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A920" w14:textId="1ECAD990" w:rsidR="00EA0E8B" w:rsidRPr="002C0581" w:rsidRDefault="00EA0E8B" w:rsidP="00FC4A11">
      <w:pPr>
        <w:pStyle w:val="Heading1"/>
        <w:spacing w:before="0" w:after="0" w:line="340" w:lineRule="exact"/>
        <w:rPr>
          <w:b/>
          <w:color w:val="70AD47" w:themeColor="accent6"/>
          <w:sz w:val="24"/>
        </w:rPr>
      </w:pPr>
      <w:r>
        <w:rPr>
          <w:b/>
          <w:color w:val="70AD47" w:themeColor="accent6"/>
          <w:sz w:val="24"/>
        </w:rPr>
        <w:t>MODELE</w:t>
      </w:r>
    </w:p>
    <w:p w14:paraId="7C19C58D" w14:textId="6FF7F0CD" w:rsidR="000301CD" w:rsidRPr="006615A7" w:rsidRDefault="000301CD" w:rsidP="699BBF71">
      <w:pPr>
        <w:spacing w:line="300" w:lineRule="exact"/>
        <w:rPr>
          <w:b/>
          <w:bCs/>
          <w:color w:val="4472C4" w:themeColor="accent1"/>
          <w:sz w:val="36"/>
          <w:szCs w:val="36"/>
        </w:rPr>
      </w:pPr>
    </w:p>
    <w:p w14:paraId="7C52495E" w14:textId="034D5415" w:rsidR="699BBF71" w:rsidRDefault="009A2934" w:rsidP="699BBF71">
      <w:pPr>
        <w:spacing w:line="300" w:lineRule="exact"/>
        <w:jc w:val="center"/>
        <w:rPr>
          <w:b/>
          <w:bCs/>
          <w:color w:val="4472C4" w:themeColor="accent1"/>
          <w:sz w:val="32"/>
          <w:szCs w:val="32"/>
        </w:rPr>
      </w:pPr>
      <w:r>
        <w:rPr>
          <w:b/>
          <w:bCs/>
          <w:color w:val="4472C4" w:themeColor="accent1"/>
          <w:sz w:val="32"/>
          <w:szCs w:val="32"/>
        </w:rPr>
        <w:t>GUINEE</w:t>
      </w:r>
    </w:p>
    <w:p w14:paraId="2F1C3C11" w14:textId="77777777" w:rsidR="00B177EC" w:rsidRPr="006615A7" w:rsidRDefault="00B177EC" w:rsidP="00FC4A11">
      <w:pPr>
        <w:spacing w:line="300" w:lineRule="exact"/>
        <w:rPr>
          <w:b/>
          <w:color w:val="4472C4" w:themeColor="accent1"/>
          <w:sz w:val="36"/>
          <w:szCs w:val="36"/>
        </w:rPr>
      </w:pPr>
    </w:p>
    <w:p w14:paraId="104F20A4" w14:textId="77CEDDF4" w:rsidR="00EA7614" w:rsidRDefault="000301CD" w:rsidP="002C42E8">
      <w:pPr>
        <w:spacing w:line="300" w:lineRule="exact"/>
        <w:jc w:val="center"/>
        <w:rPr>
          <w:b/>
          <w:color w:val="4471C4"/>
          <w:sz w:val="32"/>
          <w:szCs w:val="32"/>
        </w:rPr>
      </w:pPr>
      <w:r>
        <w:rPr>
          <w:b/>
          <w:color w:val="4471C4"/>
          <w:sz w:val="32"/>
        </w:rPr>
        <w:t>Justification de l'assistance pays ciblée du Cadre d'engagement des partenaires</w:t>
      </w:r>
    </w:p>
    <w:p w14:paraId="299FEA98" w14:textId="7C48F16C" w:rsidR="00EA7614" w:rsidRDefault="000301CD" w:rsidP="002C42E8">
      <w:pPr>
        <w:spacing w:line="300" w:lineRule="exact"/>
        <w:jc w:val="center"/>
        <w:rPr>
          <w:b/>
          <w:color w:val="4471C4"/>
          <w:sz w:val="32"/>
        </w:rPr>
      </w:pPr>
      <w:r>
        <w:rPr>
          <w:b/>
          <w:color w:val="4472C4" w:themeColor="accent1"/>
          <w:sz w:val="32"/>
        </w:rPr>
        <w:t>pour la planification</w:t>
      </w:r>
      <w:r>
        <w:rPr>
          <w:b/>
          <w:sz w:val="32"/>
        </w:rPr>
        <w:t xml:space="preserve"> </w:t>
      </w:r>
      <w:r>
        <w:rPr>
          <w:b/>
          <w:color w:val="4471C4"/>
          <w:sz w:val="32"/>
        </w:rPr>
        <w:t xml:space="preserve">pluriannuelle 2022-2025 </w:t>
      </w:r>
    </w:p>
    <w:p w14:paraId="1562C5F5" w14:textId="710A2817" w:rsidR="00211221" w:rsidRPr="007C3683" w:rsidRDefault="00211221" w:rsidP="002C42E8">
      <w:pPr>
        <w:spacing w:line="300" w:lineRule="exact"/>
        <w:jc w:val="center"/>
        <w:rPr>
          <w:bCs/>
          <w:i/>
          <w:iCs/>
          <w:color w:val="808080" w:themeColor="background1" w:themeShade="80"/>
          <w:sz w:val="32"/>
          <w:szCs w:val="32"/>
        </w:rPr>
      </w:pPr>
      <w:r w:rsidRPr="007C3683">
        <w:rPr>
          <w:b/>
          <w:i/>
          <w:iCs/>
          <w:color w:val="4471C4"/>
          <w:sz w:val="32"/>
          <w:highlight w:val="cyan"/>
        </w:rPr>
        <w:t>Mise à jour de novembre 2022</w:t>
      </w:r>
    </w:p>
    <w:p w14:paraId="505C9912" w14:textId="77777777" w:rsidR="000301CD" w:rsidRPr="006615A7" w:rsidRDefault="000301CD" w:rsidP="00FC4A11">
      <w:pPr>
        <w:spacing w:line="300" w:lineRule="exact"/>
        <w:rPr>
          <w:bCs/>
          <w:color w:val="808080" w:themeColor="background1" w:themeShade="80"/>
        </w:rPr>
      </w:pPr>
    </w:p>
    <w:p w14:paraId="498F0A7F" w14:textId="77777777" w:rsidR="00F245C3" w:rsidRDefault="00322FAC" w:rsidP="006D15FC">
      <w:pPr>
        <w:spacing w:line="300" w:lineRule="exact"/>
        <w:jc w:val="both"/>
        <w:rPr>
          <w:color w:val="808080" w:themeColor="background1" w:themeShade="80"/>
        </w:rPr>
      </w:pPr>
      <w:r>
        <w:rPr>
          <w:color w:val="808080" w:themeColor="background1" w:themeShade="80"/>
        </w:rPr>
        <w:t xml:space="preserve">Utilisez ce modèle pour créer un argumentaire servant à contextualiser votre plan d'assistance pays ciblée pour la durée prévue et à montrer comment le soutien demandé à Gavi va vous aider à atteindre vos objectifs de vaccination. </w:t>
      </w:r>
    </w:p>
    <w:p w14:paraId="0E23D244" w14:textId="7ED196B1" w:rsidR="000D0267" w:rsidRDefault="00322FAC" w:rsidP="006D15FC">
      <w:pPr>
        <w:spacing w:line="300" w:lineRule="exact"/>
        <w:jc w:val="both"/>
        <w:rPr>
          <w:bCs/>
          <w:color w:val="808080" w:themeColor="background1" w:themeShade="80"/>
        </w:rPr>
      </w:pPr>
      <w:r>
        <w:rPr>
          <w:color w:val="808080" w:themeColor="background1" w:themeShade="80"/>
        </w:rPr>
        <w:t xml:space="preserve"> </w:t>
      </w:r>
    </w:p>
    <w:p w14:paraId="1AB11C18" w14:textId="7B9343BB" w:rsidR="001C1D82" w:rsidRDefault="00FC7E52" w:rsidP="06A0C929">
      <w:pPr>
        <w:spacing w:line="300" w:lineRule="exact"/>
        <w:jc w:val="both"/>
        <w:rPr>
          <w:i/>
          <w:iCs/>
          <w:color w:val="808080" w:themeColor="background1" w:themeShade="80"/>
        </w:rPr>
      </w:pPr>
      <w:r w:rsidRPr="06A0C929">
        <w:rPr>
          <w:i/>
          <w:iCs/>
        </w:rPr>
        <w:t xml:space="preserve">Considérant que le financement TCA pour les années suivantes sera incorporé à la demande RSS3/FPP, l’équipe pays a pris en compte la planification de la totalité du plafond </w:t>
      </w:r>
      <w:bookmarkStart w:id="0" w:name="_Hlk103946273"/>
      <w:r w:rsidRPr="06A0C929">
        <w:rPr>
          <w:i/>
          <w:iCs/>
        </w:rPr>
        <w:t xml:space="preserve">de financement de l’année 2022 </w:t>
      </w:r>
      <w:r w:rsidR="00711BDA" w:rsidRPr="06A0C929">
        <w:rPr>
          <w:i/>
          <w:iCs/>
        </w:rPr>
        <w:t>a hauteur 251,748 USD</w:t>
      </w:r>
      <w:bookmarkEnd w:id="0"/>
      <w:r w:rsidR="00711BDA" w:rsidRPr="06A0C929">
        <w:rPr>
          <w:i/>
          <w:iCs/>
        </w:rPr>
        <w:t xml:space="preserve">. L’équipe </w:t>
      </w:r>
      <w:r w:rsidRPr="06A0C929">
        <w:rPr>
          <w:i/>
          <w:iCs/>
        </w:rPr>
        <w:t>propos</w:t>
      </w:r>
      <w:r w:rsidR="00711BDA" w:rsidRPr="06A0C929">
        <w:rPr>
          <w:i/>
          <w:iCs/>
        </w:rPr>
        <w:t xml:space="preserve">e également </w:t>
      </w:r>
      <w:r w:rsidRPr="06A0C929">
        <w:rPr>
          <w:i/>
          <w:iCs/>
        </w:rPr>
        <w:t>un échelonnement de l’enveloppe restante sur la période allant de 2023</w:t>
      </w:r>
      <w:r w:rsidR="00711BDA" w:rsidRPr="06A0C929">
        <w:rPr>
          <w:i/>
          <w:iCs/>
        </w:rPr>
        <w:t xml:space="preserve"> à</w:t>
      </w:r>
      <w:r w:rsidRPr="06A0C929">
        <w:rPr>
          <w:i/>
          <w:iCs/>
        </w:rPr>
        <w:t xml:space="preserve"> 2025. Cet échelonnement tient compte de</w:t>
      </w:r>
      <w:r w:rsidR="005363BD" w:rsidRPr="06A0C929">
        <w:rPr>
          <w:i/>
          <w:iCs/>
        </w:rPr>
        <w:t>s</w:t>
      </w:r>
      <w:r w:rsidRPr="06A0C929">
        <w:rPr>
          <w:i/>
          <w:iCs/>
        </w:rPr>
        <w:t xml:space="preserve"> d</w:t>
      </w:r>
      <w:r w:rsidR="005363BD" w:rsidRPr="06A0C929">
        <w:rPr>
          <w:i/>
          <w:iCs/>
        </w:rPr>
        <w:t>é</w:t>
      </w:r>
      <w:r w:rsidRPr="06A0C929">
        <w:rPr>
          <w:i/>
          <w:iCs/>
        </w:rPr>
        <w:t>ductions des dépenses réalisées entre 2021 et juin 2022 qui s’</w:t>
      </w:r>
      <w:r w:rsidR="00B04424" w:rsidRPr="06A0C929">
        <w:rPr>
          <w:i/>
          <w:iCs/>
        </w:rPr>
        <w:t>élè</w:t>
      </w:r>
      <w:r w:rsidRPr="06A0C929">
        <w:rPr>
          <w:i/>
          <w:iCs/>
        </w:rPr>
        <w:t>ve</w:t>
      </w:r>
      <w:r w:rsidR="00B22337" w:rsidRPr="06A0C929">
        <w:rPr>
          <w:i/>
          <w:iCs/>
        </w:rPr>
        <w:t>nt</w:t>
      </w:r>
      <w:r w:rsidRPr="06A0C929">
        <w:rPr>
          <w:i/>
          <w:iCs/>
        </w:rPr>
        <w:t xml:space="preserve"> </w:t>
      </w:r>
      <w:r w:rsidR="00711BDA" w:rsidRPr="06A0C929">
        <w:rPr>
          <w:i/>
          <w:iCs/>
        </w:rPr>
        <w:t>à $</w:t>
      </w:r>
      <w:r w:rsidR="00C30E22" w:rsidRPr="06A0C929">
        <w:rPr>
          <w:i/>
          <w:iCs/>
        </w:rPr>
        <w:t xml:space="preserve">1,519,508.93 </w:t>
      </w:r>
      <w:r w:rsidR="005363BD" w:rsidRPr="06A0C929">
        <w:rPr>
          <w:i/>
          <w:iCs/>
        </w:rPr>
        <w:t xml:space="preserve">(28%) </w:t>
      </w:r>
      <w:r w:rsidR="00B04424" w:rsidRPr="06A0C929">
        <w:rPr>
          <w:i/>
          <w:iCs/>
        </w:rPr>
        <w:t xml:space="preserve">du montant </w:t>
      </w:r>
      <w:r w:rsidRPr="06A0C929">
        <w:rPr>
          <w:i/>
          <w:iCs/>
        </w:rPr>
        <w:t xml:space="preserve">total </w:t>
      </w:r>
      <w:r w:rsidR="00B04424" w:rsidRPr="06A0C929">
        <w:rPr>
          <w:i/>
          <w:iCs/>
        </w:rPr>
        <w:t xml:space="preserve">qui est </w:t>
      </w:r>
      <w:r w:rsidRPr="06A0C929">
        <w:rPr>
          <w:i/>
          <w:iCs/>
        </w:rPr>
        <w:t>de 5,366,194 USD</w:t>
      </w:r>
      <w:r w:rsidRPr="06A0C929">
        <w:rPr>
          <w:i/>
          <w:iCs/>
          <w:color w:val="808080" w:themeColor="background1" w:themeShade="80"/>
        </w:rPr>
        <w:t>.</w:t>
      </w:r>
    </w:p>
    <w:p w14:paraId="5B9A54F8" w14:textId="30A0CE3F" w:rsidR="00015203" w:rsidRDefault="00015203" w:rsidP="06A0C929">
      <w:pPr>
        <w:spacing w:line="300" w:lineRule="exact"/>
        <w:jc w:val="both"/>
        <w:rPr>
          <w:i/>
          <w:iCs/>
          <w:color w:val="808080" w:themeColor="background1" w:themeShade="80"/>
        </w:rPr>
      </w:pPr>
    </w:p>
    <w:p w14:paraId="06D751CC" w14:textId="0CFBC5CF" w:rsidR="0079518B" w:rsidRPr="00C567EC" w:rsidRDefault="00015203" w:rsidP="06A0C929">
      <w:pPr>
        <w:spacing w:line="300" w:lineRule="exact"/>
        <w:jc w:val="both"/>
        <w:rPr>
          <w:i/>
          <w:iCs/>
          <w:color w:val="000000" w:themeColor="text1"/>
          <w:highlight w:val="cyan"/>
        </w:rPr>
      </w:pPr>
      <w:r w:rsidRPr="007C3683">
        <w:rPr>
          <w:i/>
          <w:iCs/>
          <w:color w:val="000000" w:themeColor="text1"/>
          <w:highlight w:val="cyan"/>
        </w:rPr>
        <w:t>Due à un ajustement de dates du prochain cycle planification du portefeuille, le RSS3/FPP n’interviendra pas en début 2023 comme initialement prévu. Pour cette raison, l’équipe pays propose de compléter la présente justification par un montant additionnel de 4</w:t>
      </w:r>
      <w:r w:rsidR="002F4932">
        <w:rPr>
          <w:i/>
          <w:iCs/>
          <w:color w:val="000000" w:themeColor="text1"/>
          <w:highlight w:val="cyan"/>
        </w:rPr>
        <w:t>2</w:t>
      </w:r>
      <w:r w:rsidRPr="007C3683">
        <w:rPr>
          <w:i/>
          <w:iCs/>
          <w:color w:val="000000" w:themeColor="text1"/>
          <w:highlight w:val="cyan"/>
        </w:rPr>
        <w:t xml:space="preserve">0,000 USD pour couvrir une partie des besoins d’assistance technique pour l’année 2023 pour lesquels la contractualisation doit démarrer avant le prochain cycle de programmation. </w:t>
      </w:r>
      <w:r w:rsidR="007200DF" w:rsidRPr="00C567EC">
        <w:rPr>
          <w:i/>
          <w:iCs/>
          <w:color w:val="000000" w:themeColor="text1"/>
          <w:highlight w:val="cyan"/>
        </w:rPr>
        <w:t>Il s’agit de deux positions clés :</w:t>
      </w:r>
    </w:p>
    <w:p w14:paraId="6644040E" w14:textId="7FF226B7" w:rsidR="007200DF" w:rsidRPr="007C3683" w:rsidRDefault="007200DF" w:rsidP="007C3683">
      <w:pPr>
        <w:pStyle w:val="ListParagraph"/>
        <w:numPr>
          <w:ilvl w:val="0"/>
          <w:numId w:val="45"/>
        </w:numPr>
        <w:spacing w:line="300" w:lineRule="exact"/>
        <w:jc w:val="both"/>
        <w:rPr>
          <w:i/>
          <w:iCs/>
          <w:color w:val="000000" w:themeColor="text1"/>
          <w:highlight w:val="cyan"/>
        </w:rPr>
      </w:pPr>
      <w:r w:rsidRPr="007C3683">
        <w:rPr>
          <w:i/>
          <w:iCs/>
          <w:color w:val="000000" w:themeColor="text1"/>
          <w:highlight w:val="cyan"/>
        </w:rPr>
        <w:t>Continuation du contrat de l’actuel agent de liaison de Gavi en Guinée</w:t>
      </w:r>
      <w:r w:rsidR="00C567EC" w:rsidRPr="007C3683">
        <w:rPr>
          <w:i/>
          <w:iCs/>
          <w:color w:val="000000" w:themeColor="text1"/>
          <w:highlight w:val="cyan"/>
        </w:rPr>
        <w:t xml:space="preserve">. Son </w:t>
      </w:r>
      <w:r w:rsidRPr="007C3683">
        <w:rPr>
          <w:i/>
          <w:iCs/>
          <w:color w:val="000000" w:themeColor="text1"/>
          <w:highlight w:val="cyan"/>
        </w:rPr>
        <w:t xml:space="preserve">rôle est d’assurer la </w:t>
      </w:r>
      <w:r w:rsidR="005D43D7">
        <w:rPr>
          <w:i/>
          <w:iCs/>
          <w:color w:val="000000" w:themeColor="text1"/>
          <w:highlight w:val="cyan"/>
        </w:rPr>
        <w:t xml:space="preserve">facilitation de la </w:t>
      </w:r>
      <w:r w:rsidRPr="007C3683">
        <w:rPr>
          <w:i/>
          <w:iCs/>
          <w:color w:val="000000" w:themeColor="text1"/>
          <w:highlight w:val="cyan"/>
        </w:rPr>
        <w:t>mise en œuvre et la coordination efficace des activités financés par Gavi et les autres parties prenantes du programme élargi de vaccination (PEV). Son contrat actuel arrive à échéance en fin  2022 et doit être renouvelé dans les prochaines semaines.</w:t>
      </w:r>
    </w:p>
    <w:p w14:paraId="0F7DF14F" w14:textId="3E587AC3" w:rsidR="007200DF" w:rsidRPr="007C3683" w:rsidRDefault="00C567EC" w:rsidP="007C3683">
      <w:pPr>
        <w:pStyle w:val="ListParagraph"/>
        <w:numPr>
          <w:ilvl w:val="0"/>
          <w:numId w:val="45"/>
        </w:numPr>
        <w:spacing w:line="300" w:lineRule="exact"/>
        <w:jc w:val="both"/>
        <w:rPr>
          <w:i/>
          <w:iCs/>
          <w:color w:val="000000" w:themeColor="text1"/>
          <w:highlight w:val="cyan"/>
        </w:rPr>
      </w:pPr>
      <w:r>
        <w:rPr>
          <w:i/>
          <w:iCs/>
          <w:color w:val="000000" w:themeColor="text1"/>
          <w:highlight w:val="cyan"/>
        </w:rPr>
        <w:t xml:space="preserve">Engagement d’un coach pour </w:t>
      </w:r>
      <w:r w:rsidR="007200DF" w:rsidRPr="007C3683">
        <w:rPr>
          <w:i/>
          <w:iCs/>
          <w:color w:val="000000" w:themeColor="text1"/>
          <w:highlight w:val="cyan"/>
        </w:rPr>
        <w:t xml:space="preserve">accompagner et former le leadership du PEV dans la planification </w:t>
      </w:r>
      <w:r w:rsidR="00D03C5E">
        <w:rPr>
          <w:i/>
          <w:iCs/>
          <w:color w:val="000000" w:themeColor="text1"/>
          <w:highlight w:val="cyan"/>
        </w:rPr>
        <w:t>c</w:t>
      </w:r>
      <w:r w:rsidR="00760F2E">
        <w:rPr>
          <w:i/>
          <w:iCs/>
          <w:color w:val="000000" w:themeColor="text1"/>
          <w:highlight w:val="cyan"/>
        </w:rPr>
        <w:t>o</w:t>
      </w:r>
      <w:r w:rsidR="0010031A">
        <w:rPr>
          <w:i/>
          <w:iCs/>
          <w:color w:val="000000" w:themeColor="text1"/>
          <w:highlight w:val="cyan"/>
        </w:rPr>
        <w:t xml:space="preserve">ordination, </w:t>
      </w:r>
      <w:r w:rsidR="007200DF" w:rsidRPr="007C3683">
        <w:rPr>
          <w:i/>
          <w:iCs/>
          <w:color w:val="000000" w:themeColor="text1"/>
          <w:highlight w:val="cyan"/>
        </w:rPr>
        <w:t xml:space="preserve">gestion </w:t>
      </w:r>
      <w:r w:rsidR="0010031A">
        <w:rPr>
          <w:i/>
          <w:iCs/>
          <w:color w:val="000000" w:themeColor="text1"/>
          <w:highlight w:val="cyan"/>
        </w:rPr>
        <w:t xml:space="preserve">et suivi </w:t>
      </w:r>
      <w:r w:rsidR="007200DF" w:rsidRPr="007C3683">
        <w:rPr>
          <w:i/>
          <w:iCs/>
          <w:color w:val="000000" w:themeColor="text1"/>
          <w:highlight w:val="cyan"/>
        </w:rPr>
        <w:t>des activités du programme</w:t>
      </w:r>
      <w:r w:rsidR="004B62DE">
        <w:rPr>
          <w:i/>
          <w:iCs/>
          <w:color w:val="000000" w:themeColor="text1"/>
          <w:highlight w:val="cyan"/>
        </w:rPr>
        <w:t xml:space="preserve"> aux différents niveaux</w:t>
      </w:r>
      <w:r w:rsidR="004B6EE4">
        <w:rPr>
          <w:i/>
          <w:iCs/>
          <w:color w:val="000000" w:themeColor="text1"/>
          <w:highlight w:val="cyan"/>
        </w:rPr>
        <w:t xml:space="preserve"> à </w:t>
      </w:r>
      <w:r w:rsidR="00052031">
        <w:rPr>
          <w:i/>
          <w:iCs/>
          <w:color w:val="000000" w:themeColor="text1"/>
          <w:highlight w:val="cyan"/>
        </w:rPr>
        <w:t>travers un cadre de redevabilité bien défin</w:t>
      </w:r>
      <w:r w:rsidR="00634CBD">
        <w:rPr>
          <w:i/>
          <w:iCs/>
          <w:color w:val="000000" w:themeColor="text1"/>
          <w:highlight w:val="cyan"/>
        </w:rPr>
        <w:t>i</w:t>
      </w:r>
      <w:r>
        <w:rPr>
          <w:i/>
          <w:iCs/>
          <w:color w:val="000000" w:themeColor="text1"/>
          <w:highlight w:val="cyan"/>
        </w:rPr>
        <w:t>. La</w:t>
      </w:r>
      <w:r w:rsidR="00A925DF">
        <w:rPr>
          <w:i/>
          <w:iCs/>
          <w:color w:val="000000" w:themeColor="text1"/>
          <w:highlight w:val="cyan"/>
        </w:rPr>
        <w:t xml:space="preserve"> faible </w:t>
      </w:r>
      <w:r>
        <w:rPr>
          <w:i/>
          <w:iCs/>
          <w:color w:val="000000" w:themeColor="text1"/>
          <w:highlight w:val="cyan"/>
        </w:rPr>
        <w:t>capacité au niveau d</w:t>
      </w:r>
      <w:r w:rsidR="00A925DF">
        <w:rPr>
          <w:i/>
          <w:iCs/>
          <w:color w:val="000000" w:themeColor="text1"/>
          <w:highlight w:val="cyan"/>
        </w:rPr>
        <w:t>u</w:t>
      </w:r>
      <w:r>
        <w:rPr>
          <w:i/>
          <w:iCs/>
          <w:color w:val="000000" w:themeColor="text1"/>
          <w:highlight w:val="cyan"/>
        </w:rPr>
        <w:t xml:space="preserve"> PEV central a été identifié comme défis clé lors d’une récente mission de haut-niveau de Gavi.</w:t>
      </w:r>
    </w:p>
    <w:p w14:paraId="71BFAD93" w14:textId="690C5C30" w:rsidR="006A4B26" w:rsidRPr="007C3683" w:rsidRDefault="006A4B26" w:rsidP="06A0C929">
      <w:pPr>
        <w:spacing w:line="300" w:lineRule="exact"/>
        <w:jc w:val="both"/>
        <w:rPr>
          <w:i/>
          <w:iCs/>
          <w:color w:val="000000" w:themeColor="text1"/>
          <w:highlight w:val="cyan"/>
        </w:rPr>
      </w:pPr>
    </w:p>
    <w:p w14:paraId="1A399540" w14:textId="1CBD1770" w:rsidR="006A4B26" w:rsidRPr="007C3683" w:rsidRDefault="006A4B26" w:rsidP="06A0C929">
      <w:pPr>
        <w:spacing w:line="300" w:lineRule="exact"/>
        <w:jc w:val="both"/>
        <w:rPr>
          <w:i/>
          <w:iCs/>
          <w:color w:val="000000" w:themeColor="text1"/>
        </w:rPr>
      </w:pPr>
      <w:r w:rsidRPr="007C3683">
        <w:rPr>
          <w:i/>
          <w:iCs/>
          <w:color w:val="000000" w:themeColor="text1"/>
          <w:highlight w:val="cyan"/>
        </w:rPr>
        <w:t>Tous les compléments à la justification initialement soumis</w:t>
      </w:r>
      <w:r w:rsidR="004C70DA">
        <w:rPr>
          <w:i/>
          <w:iCs/>
          <w:color w:val="000000" w:themeColor="text1"/>
          <w:highlight w:val="cyan"/>
        </w:rPr>
        <w:t>e</w:t>
      </w:r>
      <w:r w:rsidRPr="007C3683">
        <w:rPr>
          <w:i/>
          <w:iCs/>
          <w:color w:val="000000" w:themeColor="text1"/>
          <w:highlight w:val="cyan"/>
        </w:rPr>
        <w:t xml:space="preserve"> au CEI en ju</w:t>
      </w:r>
      <w:r w:rsidR="00E236C4" w:rsidRPr="007C3683">
        <w:rPr>
          <w:i/>
          <w:iCs/>
          <w:color w:val="000000" w:themeColor="text1"/>
          <w:highlight w:val="cyan"/>
        </w:rPr>
        <w:t xml:space="preserve">illet 2022 sont marqués en bleu pour faciliter la </w:t>
      </w:r>
      <w:r w:rsidR="00C567EC" w:rsidRPr="007C3683">
        <w:rPr>
          <w:i/>
          <w:iCs/>
          <w:color w:val="000000" w:themeColor="text1"/>
          <w:highlight w:val="cyan"/>
        </w:rPr>
        <w:t>lecture d</w:t>
      </w:r>
      <w:r w:rsidR="00161E2A" w:rsidRPr="007C3683">
        <w:rPr>
          <w:i/>
          <w:iCs/>
          <w:color w:val="000000" w:themeColor="text1"/>
          <w:highlight w:val="cyan"/>
        </w:rPr>
        <w:t>u document présent.</w:t>
      </w:r>
    </w:p>
    <w:p w14:paraId="6AF15F87" w14:textId="77777777" w:rsidR="00015203" w:rsidRPr="0065351E" w:rsidRDefault="00015203" w:rsidP="06A0C929">
      <w:pPr>
        <w:spacing w:line="300" w:lineRule="exact"/>
        <w:jc w:val="both"/>
        <w:rPr>
          <w:i/>
          <w:iCs/>
          <w:color w:val="808080" w:themeColor="background1" w:themeShade="80"/>
        </w:rPr>
      </w:pPr>
    </w:p>
    <w:tbl>
      <w:tblPr>
        <w:tblStyle w:val="TableGrid"/>
        <w:tblW w:w="9552" w:type="dxa"/>
        <w:shd w:val="clear" w:color="auto" w:fill="FFFFFF" w:themeFill="background1"/>
        <w:tblLook w:val="04A0" w:firstRow="1" w:lastRow="0" w:firstColumn="1" w:lastColumn="0" w:noHBand="0" w:noVBand="1"/>
      </w:tblPr>
      <w:tblGrid>
        <w:gridCol w:w="2370"/>
        <w:gridCol w:w="856"/>
        <w:gridCol w:w="5363"/>
        <w:gridCol w:w="963"/>
      </w:tblGrid>
      <w:tr w:rsidR="00FB048D" w14:paraId="70C3917F" w14:textId="6D7D2D4E" w:rsidTr="00711BDA">
        <w:trPr>
          <w:trHeight w:val="294"/>
        </w:trPr>
        <w:tc>
          <w:tcPr>
            <w:tcW w:w="2370" w:type="dxa"/>
            <w:shd w:val="clear" w:color="auto" w:fill="DEEAF6" w:themeFill="accent5" w:themeFillTint="33"/>
          </w:tcPr>
          <w:p w14:paraId="7BD2C001" w14:textId="3006477B" w:rsidR="00FB048D" w:rsidRPr="00372D1F" w:rsidRDefault="00FB048D" w:rsidP="00FC4A11">
            <w:pPr>
              <w:spacing w:line="300" w:lineRule="exact"/>
              <w:rPr>
                <w:b/>
              </w:rPr>
            </w:pPr>
            <w:r>
              <w:rPr>
                <w:b/>
              </w:rPr>
              <w:t>Enveloppe totale</w:t>
            </w:r>
            <w:r w:rsidR="00C6375C">
              <w:rPr>
                <w:b/>
              </w:rPr>
              <w:t xml:space="preserve"> 2021-2025</w:t>
            </w:r>
          </w:p>
        </w:tc>
        <w:tc>
          <w:tcPr>
            <w:tcW w:w="6219" w:type="dxa"/>
            <w:gridSpan w:val="2"/>
            <w:shd w:val="clear" w:color="auto" w:fill="DEEAF6" w:themeFill="accent5" w:themeFillTint="33"/>
          </w:tcPr>
          <w:p w14:paraId="5F1CD927" w14:textId="6426DCE3" w:rsidR="00FB048D" w:rsidRPr="00372D1F" w:rsidRDefault="00FB048D" w:rsidP="00FC4A11">
            <w:pPr>
              <w:spacing w:line="300" w:lineRule="exact"/>
              <w:rPr>
                <w:b/>
              </w:rPr>
            </w:pPr>
            <w:r>
              <w:rPr>
                <w:b/>
              </w:rPr>
              <w:t>Allocation indicative pour 2022-2025</w:t>
            </w:r>
          </w:p>
        </w:tc>
        <w:tc>
          <w:tcPr>
            <w:tcW w:w="963" w:type="dxa"/>
            <w:shd w:val="clear" w:color="auto" w:fill="DEEAF6" w:themeFill="accent5" w:themeFillTint="33"/>
          </w:tcPr>
          <w:p w14:paraId="7640021E" w14:textId="0969877A" w:rsidR="00FB048D" w:rsidRPr="00372D1F" w:rsidRDefault="00FB048D" w:rsidP="005363BD">
            <w:pPr>
              <w:spacing w:line="300" w:lineRule="exact"/>
              <w:jc w:val="center"/>
              <w:rPr>
                <w:b/>
              </w:rPr>
            </w:pPr>
            <w:r>
              <w:rPr>
                <w:b/>
              </w:rPr>
              <w:t>%</w:t>
            </w:r>
          </w:p>
        </w:tc>
      </w:tr>
      <w:tr w:rsidR="005363BD" w14:paraId="150C4E2A" w14:textId="117ACA42" w:rsidTr="00711BDA">
        <w:trPr>
          <w:trHeight w:val="302"/>
        </w:trPr>
        <w:tc>
          <w:tcPr>
            <w:tcW w:w="2370" w:type="dxa"/>
            <w:vMerge w:val="restart"/>
            <w:shd w:val="clear" w:color="auto" w:fill="FFFFFF" w:themeFill="background1"/>
          </w:tcPr>
          <w:p w14:paraId="731ED098" w14:textId="3DBD2090" w:rsidR="005363BD" w:rsidRDefault="005363BD" w:rsidP="005363BD">
            <w:pPr>
              <w:spacing w:line="300" w:lineRule="exact"/>
              <w:rPr>
                <w:color w:val="808080" w:themeColor="background1" w:themeShade="80"/>
              </w:rPr>
            </w:pPr>
            <w:r w:rsidRPr="699BBF71">
              <w:rPr>
                <w:color w:val="808080" w:themeColor="background1" w:themeShade="80"/>
              </w:rPr>
              <w:t xml:space="preserve">$ </w:t>
            </w:r>
            <w:r w:rsidRPr="00956DC6">
              <w:rPr>
                <w:color w:val="808080" w:themeColor="background1" w:themeShade="80"/>
              </w:rPr>
              <w:t>5</w:t>
            </w:r>
            <w:r>
              <w:rPr>
                <w:color w:val="808080" w:themeColor="background1" w:themeShade="80"/>
              </w:rPr>
              <w:t>,366</w:t>
            </w:r>
            <w:r w:rsidRPr="00956DC6">
              <w:rPr>
                <w:color w:val="808080" w:themeColor="background1" w:themeShade="80"/>
              </w:rPr>
              <w:t>,</w:t>
            </w:r>
            <w:r>
              <w:rPr>
                <w:color w:val="808080" w:themeColor="background1" w:themeShade="80"/>
              </w:rPr>
              <w:t>19</w:t>
            </w:r>
            <w:r w:rsidRPr="00956DC6">
              <w:rPr>
                <w:color w:val="808080" w:themeColor="background1" w:themeShade="80"/>
              </w:rPr>
              <w:t>4.00</w:t>
            </w:r>
            <w:r w:rsidRPr="00956DC6">
              <w:rPr>
                <w:rFonts w:eastAsia="Times New Roman"/>
                <w:color w:val="000000"/>
                <w:lang w:val="en-US" w:eastAsia="en-US"/>
              </w:rPr>
              <w:t xml:space="preserve"> </w:t>
            </w:r>
            <w:r w:rsidRPr="699BBF71">
              <w:rPr>
                <w:color w:val="808080" w:themeColor="background1" w:themeShade="80"/>
              </w:rPr>
              <w:t>USD</w:t>
            </w:r>
          </w:p>
        </w:tc>
        <w:tc>
          <w:tcPr>
            <w:tcW w:w="856" w:type="dxa"/>
            <w:shd w:val="clear" w:color="auto" w:fill="E2EFD9" w:themeFill="accent6" w:themeFillTint="33"/>
          </w:tcPr>
          <w:p w14:paraId="7CFDAA42" w14:textId="1406FB5F" w:rsidR="005363BD" w:rsidRPr="007530C5" w:rsidRDefault="005363BD" w:rsidP="005363BD">
            <w:pPr>
              <w:spacing w:line="300" w:lineRule="exact"/>
              <w:rPr>
                <w:b/>
                <w:bCs/>
              </w:rPr>
            </w:pPr>
            <w:r w:rsidRPr="699BBF71">
              <w:rPr>
                <w:b/>
                <w:bCs/>
              </w:rPr>
              <w:t>2022</w:t>
            </w:r>
          </w:p>
        </w:tc>
        <w:tc>
          <w:tcPr>
            <w:tcW w:w="5363" w:type="dxa"/>
            <w:shd w:val="clear" w:color="auto" w:fill="E2EFD9" w:themeFill="accent6" w:themeFillTint="33"/>
          </w:tcPr>
          <w:p w14:paraId="00353A5A" w14:textId="08FD86A9" w:rsidR="005363BD" w:rsidRPr="003F1471" w:rsidRDefault="005363BD" w:rsidP="005363BD">
            <w:pPr>
              <w:spacing w:line="300" w:lineRule="exact"/>
              <w:rPr>
                <w:color w:val="808080" w:themeColor="background1" w:themeShade="80"/>
              </w:rPr>
            </w:pPr>
            <w:r w:rsidRPr="699BBF71">
              <w:rPr>
                <w:color w:val="808080" w:themeColor="background1" w:themeShade="80"/>
              </w:rPr>
              <w:t xml:space="preserve">$ </w:t>
            </w:r>
            <w:r w:rsidRPr="00FC7E52">
              <w:rPr>
                <w:color w:val="808080" w:themeColor="background1" w:themeShade="80"/>
              </w:rPr>
              <w:t>251,748</w:t>
            </w:r>
            <w:r w:rsidR="000E716E">
              <w:rPr>
                <w:color w:val="808080" w:themeColor="background1" w:themeShade="80"/>
              </w:rPr>
              <w:t xml:space="preserve"> (déjà approuvé)</w:t>
            </w:r>
          </w:p>
        </w:tc>
        <w:tc>
          <w:tcPr>
            <w:tcW w:w="963" w:type="dxa"/>
            <w:shd w:val="clear" w:color="auto" w:fill="E2EFD9" w:themeFill="accent6" w:themeFillTint="33"/>
          </w:tcPr>
          <w:p w14:paraId="2EADFDF3" w14:textId="74862E2F" w:rsidR="005363BD" w:rsidRDefault="005363BD" w:rsidP="005363BD">
            <w:pPr>
              <w:spacing w:line="300" w:lineRule="exact"/>
              <w:jc w:val="center"/>
              <w:rPr>
                <w:color w:val="808080" w:themeColor="background1" w:themeShade="80"/>
                <w:lang w:val="en-GB"/>
              </w:rPr>
            </w:pPr>
            <w:r w:rsidRPr="00BD12F4">
              <w:t>5%</w:t>
            </w:r>
          </w:p>
        </w:tc>
      </w:tr>
      <w:tr w:rsidR="005363BD" w14:paraId="2A93377C" w14:textId="77777777" w:rsidTr="00711BDA">
        <w:trPr>
          <w:trHeight w:val="302"/>
        </w:trPr>
        <w:tc>
          <w:tcPr>
            <w:tcW w:w="2370" w:type="dxa"/>
            <w:vMerge/>
            <w:shd w:val="clear" w:color="auto" w:fill="FFFFFF" w:themeFill="background1"/>
          </w:tcPr>
          <w:p w14:paraId="7A669E86" w14:textId="77777777" w:rsidR="005363BD" w:rsidRPr="699BBF71" w:rsidRDefault="005363BD" w:rsidP="005363BD">
            <w:pPr>
              <w:spacing w:line="300" w:lineRule="exact"/>
              <w:rPr>
                <w:color w:val="808080" w:themeColor="background1" w:themeShade="80"/>
              </w:rPr>
            </w:pPr>
          </w:p>
        </w:tc>
        <w:tc>
          <w:tcPr>
            <w:tcW w:w="856" w:type="dxa"/>
            <w:shd w:val="clear" w:color="auto" w:fill="E2EFD9" w:themeFill="accent6" w:themeFillTint="33"/>
          </w:tcPr>
          <w:p w14:paraId="4DDC8512" w14:textId="01FDD7C4" w:rsidR="005363BD" w:rsidRPr="00D15F06" w:rsidRDefault="005363BD" w:rsidP="005363BD">
            <w:pPr>
              <w:spacing w:line="300" w:lineRule="exact"/>
              <w:rPr>
                <w:b/>
                <w:bCs/>
                <w:strike/>
              </w:rPr>
            </w:pPr>
            <w:r w:rsidRPr="00D15F06">
              <w:rPr>
                <w:b/>
                <w:bCs/>
                <w:strike/>
              </w:rPr>
              <w:t>2023</w:t>
            </w:r>
          </w:p>
        </w:tc>
        <w:tc>
          <w:tcPr>
            <w:tcW w:w="5363" w:type="dxa"/>
            <w:shd w:val="clear" w:color="auto" w:fill="E2EFD9" w:themeFill="accent6" w:themeFillTint="33"/>
          </w:tcPr>
          <w:p w14:paraId="61EA58F5" w14:textId="4DBB2231" w:rsidR="000E716E" w:rsidRPr="000E716E" w:rsidRDefault="005363BD" w:rsidP="005363BD">
            <w:pPr>
              <w:spacing w:line="240" w:lineRule="auto"/>
              <w:rPr>
                <w:b/>
                <w:bCs/>
                <w:color w:val="808080" w:themeColor="background1" w:themeShade="80"/>
              </w:rPr>
            </w:pPr>
            <w:r w:rsidRPr="000E716E">
              <w:rPr>
                <w:b/>
                <w:bCs/>
                <w:color w:val="808080" w:themeColor="background1" w:themeShade="80"/>
                <w:highlight w:val="cyan"/>
              </w:rPr>
              <w:t>$</w:t>
            </w:r>
            <w:r w:rsidR="006D3F33" w:rsidRPr="000E716E">
              <w:rPr>
                <w:b/>
                <w:bCs/>
                <w:color w:val="808080" w:themeColor="background1" w:themeShade="80"/>
                <w:highlight w:val="cyan"/>
              </w:rPr>
              <w:t>420,000</w:t>
            </w:r>
            <w:r w:rsidR="000E716E" w:rsidRPr="000E716E">
              <w:rPr>
                <w:b/>
                <w:bCs/>
                <w:color w:val="808080" w:themeColor="background1" w:themeShade="80"/>
                <w:highlight w:val="cyan"/>
              </w:rPr>
              <w:t xml:space="preserve"> (pour approbation du CEI)</w:t>
            </w:r>
          </w:p>
          <w:p w14:paraId="1FE9F043" w14:textId="5C8D48C6" w:rsidR="005363BD" w:rsidRPr="000E716E" w:rsidRDefault="000E716E" w:rsidP="005363BD">
            <w:pPr>
              <w:spacing w:line="240" w:lineRule="auto"/>
              <w:rPr>
                <w:color w:val="808080" w:themeColor="background1" w:themeShade="80"/>
              </w:rPr>
            </w:pPr>
            <w:r w:rsidRPr="000E716E">
              <w:rPr>
                <w:color w:val="808080" w:themeColor="background1" w:themeShade="80"/>
              </w:rPr>
              <w:t>$ 8</w:t>
            </w:r>
            <w:r w:rsidR="005363BD" w:rsidRPr="000E716E">
              <w:rPr>
                <w:color w:val="808080" w:themeColor="background1" w:themeShade="80"/>
              </w:rPr>
              <w:t xml:space="preserve">20,347.90 </w:t>
            </w:r>
            <w:r w:rsidRPr="000E716E">
              <w:rPr>
                <w:color w:val="808080" w:themeColor="background1" w:themeShade="80"/>
              </w:rPr>
              <w:t>(</w:t>
            </w:r>
            <w:r>
              <w:rPr>
                <w:color w:val="808080" w:themeColor="background1" w:themeShade="80"/>
              </w:rPr>
              <w:t>future allocation</w:t>
            </w:r>
            <w:r w:rsidRPr="000E716E">
              <w:rPr>
                <w:color w:val="808080" w:themeColor="background1" w:themeShade="80"/>
              </w:rPr>
              <w:t>)</w:t>
            </w:r>
          </w:p>
        </w:tc>
        <w:tc>
          <w:tcPr>
            <w:tcW w:w="963" w:type="dxa"/>
            <w:shd w:val="clear" w:color="auto" w:fill="E2EFD9" w:themeFill="accent6" w:themeFillTint="33"/>
          </w:tcPr>
          <w:p w14:paraId="6CB30351" w14:textId="5AA6C732" w:rsidR="005363BD" w:rsidRPr="000E716E" w:rsidRDefault="005363BD" w:rsidP="005363BD">
            <w:pPr>
              <w:spacing w:line="300" w:lineRule="exact"/>
              <w:jc w:val="center"/>
              <w:rPr>
                <w:color w:val="808080" w:themeColor="background1" w:themeShade="80"/>
                <w:lang w:val="en-GB"/>
              </w:rPr>
            </w:pPr>
            <w:r w:rsidRPr="000E716E">
              <w:t>23%</w:t>
            </w:r>
          </w:p>
        </w:tc>
      </w:tr>
      <w:tr w:rsidR="005363BD" w14:paraId="7D0B95DB" w14:textId="77777777" w:rsidTr="00711BDA">
        <w:trPr>
          <w:trHeight w:val="302"/>
        </w:trPr>
        <w:tc>
          <w:tcPr>
            <w:tcW w:w="2370" w:type="dxa"/>
            <w:vMerge/>
            <w:shd w:val="clear" w:color="auto" w:fill="FFFFFF" w:themeFill="background1"/>
          </w:tcPr>
          <w:p w14:paraId="46FF5581" w14:textId="77777777" w:rsidR="005363BD" w:rsidRPr="699BBF71" w:rsidRDefault="005363BD" w:rsidP="005363BD">
            <w:pPr>
              <w:spacing w:line="300" w:lineRule="exact"/>
              <w:rPr>
                <w:color w:val="808080" w:themeColor="background1" w:themeShade="80"/>
              </w:rPr>
            </w:pPr>
          </w:p>
        </w:tc>
        <w:tc>
          <w:tcPr>
            <w:tcW w:w="856" w:type="dxa"/>
            <w:shd w:val="clear" w:color="auto" w:fill="E2EFD9" w:themeFill="accent6" w:themeFillTint="33"/>
          </w:tcPr>
          <w:p w14:paraId="4C800E21" w14:textId="1F699D89" w:rsidR="005363BD" w:rsidRPr="00D15F06" w:rsidRDefault="005363BD" w:rsidP="005363BD">
            <w:pPr>
              <w:spacing w:line="300" w:lineRule="exact"/>
              <w:rPr>
                <w:b/>
                <w:bCs/>
                <w:strike/>
              </w:rPr>
            </w:pPr>
            <w:r w:rsidRPr="00D15F06">
              <w:rPr>
                <w:b/>
                <w:bCs/>
                <w:strike/>
              </w:rPr>
              <w:t>2024</w:t>
            </w:r>
          </w:p>
        </w:tc>
        <w:tc>
          <w:tcPr>
            <w:tcW w:w="5363" w:type="dxa"/>
            <w:shd w:val="clear" w:color="auto" w:fill="E2EFD9" w:themeFill="accent6" w:themeFillTint="33"/>
          </w:tcPr>
          <w:p w14:paraId="67AAE0C7" w14:textId="04D525CF" w:rsidR="005363BD" w:rsidRPr="000E716E" w:rsidRDefault="005363BD" w:rsidP="005363BD">
            <w:pPr>
              <w:spacing w:line="300" w:lineRule="exact"/>
              <w:rPr>
                <w:color w:val="808080" w:themeColor="background1" w:themeShade="80"/>
              </w:rPr>
            </w:pPr>
            <w:r w:rsidRPr="000E716E">
              <w:rPr>
                <w:color w:val="808080" w:themeColor="background1" w:themeShade="80"/>
              </w:rPr>
              <w:t>$1,189,785.38</w:t>
            </w:r>
            <w:r w:rsidR="000E716E">
              <w:rPr>
                <w:color w:val="808080" w:themeColor="background1" w:themeShade="80"/>
              </w:rPr>
              <w:t xml:space="preserve"> (future allocation)</w:t>
            </w:r>
          </w:p>
        </w:tc>
        <w:tc>
          <w:tcPr>
            <w:tcW w:w="963" w:type="dxa"/>
            <w:shd w:val="clear" w:color="auto" w:fill="E2EFD9" w:themeFill="accent6" w:themeFillTint="33"/>
          </w:tcPr>
          <w:p w14:paraId="217E1580" w14:textId="4B34A866" w:rsidR="005363BD" w:rsidRPr="000E716E" w:rsidRDefault="005363BD" w:rsidP="005363BD">
            <w:pPr>
              <w:spacing w:line="300" w:lineRule="exact"/>
              <w:jc w:val="center"/>
              <w:rPr>
                <w:color w:val="808080" w:themeColor="background1" w:themeShade="80"/>
                <w:lang w:val="en-GB"/>
              </w:rPr>
            </w:pPr>
            <w:r w:rsidRPr="000E716E">
              <w:t>22%</w:t>
            </w:r>
          </w:p>
        </w:tc>
      </w:tr>
      <w:tr w:rsidR="005363BD" w14:paraId="7B3C5A64" w14:textId="77777777" w:rsidTr="00711BDA">
        <w:trPr>
          <w:trHeight w:val="302"/>
        </w:trPr>
        <w:tc>
          <w:tcPr>
            <w:tcW w:w="2370" w:type="dxa"/>
            <w:vMerge/>
            <w:shd w:val="clear" w:color="auto" w:fill="FFFFFF" w:themeFill="background1"/>
          </w:tcPr>
          <w:p w14:paraId="60624B47" w14:textId="77777777" w:rsidR="005363BD" w:rsidRPr="699BBF71" w:rsidRDefault="005363BD" w:rsidP="005363BD">
            <w:pPr>
              <w:spacing w:line="300" w:lineRule="exact"/>
              <w:rPr>
                <w:color w:val="808080" w:themeColor="background1" w:themeShade="80"/>
              </w:rPr>
            </w:pPr>
          </w:p>
        </w:tc>
        <w:tc>
          <w:tcPr>
            <w:tcW w:w="856" w:type="dxa"/>
            <w:shd w:val="clear" w:color="auto" w:fill="E2EFD9" w:themeFill="accent6" w:themeFillTint="33"/>
          </w:tcPr>
          <w:p w14:paraId="35EEC852" w14:textId="0A57323C" w:rsidR="005363BD" w:rsidRPr="00D15F06" w:rsidRDefault="005363BD" w:rsidP="005363BD">
            <w:pPr>
              <w:spacing w:line="300" w:lineRule="exact"/>
              <w:rPr>
                <w:b/>
                <w:bCs/>
                <w:strike/>
              </w:rPr>
            </w:pPr>
            <w:r w:rsidRPr="00D15F06">
              <w:rPr>
                <w:b/>
                <w:bCs/>
                <w:strike/>
              </w:rPr>
              <w:t>2025</w:t>
            </w:r>
          </w:p>
        </w:tc>
        <w:tc>
          <w:tcPr>
            <w:tcW w:w="5363" w:type="dxa"/>
            <w:shd w:val="clear" w:color="auto" w:fill="E2EFD9" w:themeFill="accent6" w:themeFillTint="33"/>
          </w:tcPr>
          <w:p w14:paraId="2487D05A" w14:textId="736CB5C9" w:rsidR="005363BD" w:rsidRPr="000E716E" w:rsidRDefault="005363BD" w:rsidP="005363BD">
            <w:pPr>
              <w:spacing w:line="240" w:lineRule="auto"/>
              <w:rPr>
                <w:color w:val="808080" w:themeColor="background1" w:themeShade="80"/>
              </w:rPr>
            </w:pPr>
            <w:r w:rsidRPr="000E716E">
              <w:rPr>
                <w:color w:val="808080" w:themeColor="background1" w:themeShade="80"/>
              </w:rPr>
              <w:t>$ 1,184,803.79</w:t>
            </w:r>
            <w:r w:rsidR="000E716E">
              <w:rPr>
                <w:color w:val="808080" w:themeColor="background1" w:themeShade="80"/>
              </w:rPr>
              <w:t xml:space="preserve"> (future allocation)</w:t>
            </w:r>
          </w:p>
        </w:tc>
        <w:tc>
          <w:tcPr>
            <w:tcW w:w="963" w:type="dxa"/>
            <w:shd w:val="clear" w:color="auto" w:fill="E2EFD9" w:themeFill="accent6" w:themeFillTint="33"/>
          </w:tcPr>
          <w:p w14:paraId="0950C904" w14:textId="3E2D25B9" w:rsidR="005363BD" w:rsidRPr="000E716E" w:rsidRDefault="005363BD" w:rsidP="005363BD">
            <w:pPr>
              <w:spacing w:line="300" w:lineRule="exact"/>
              <w:jc w:val="center"/>
              <w:rPr>
                <w:color w:val="808080" w:themeColor="background1" w:themeShade="80"/>
                <w:lang w:val="en-GB"/>
              </w:rPr>
            </w:pPr>
            <w:r w:rsidRPr="000E716E">
              <w:t>22%</w:t>
            </w:r>
          </w:p>
        </w:tc>
      </w:tr>
    </w:tbl>
    <w:p w14:paraId="1F6083B3" w14:textId="77777777"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ListParagraph"/>
        <w:numPr>
          <w:ilvl w:val="0"/>
          <w:numId w:val="4"/>
        </w:numPr>
        <w:spacing w:line="300" w:lineRule="exact"/>
        <w:ind w:left="426"/>
        <w:rPr>
          <w:b/>
          <w:color w:val="84C650"/>
          <w:sz w:val="26"/>
          <w:szCs w:val="26"/>
        </w:rPr>
      </w:pPr>
      <w:r>
        <w:rPr>
          <w:b/>
          <w:color w:val="70AD47" w:themeColor="accent6"/>
          <w:sz w:val="26"/>
        </w:rPr>
        <w:t>Principaux objectifs du PEV et difficultés/goulots d'étranglement connus (0,5 page)</w:t>
      </w:r>
    </w:p>
    <w:p w14:paraId="52D793FC" w14:textId="77777777" w:rsidR="000E69CF" w:rsidRPr="006615A7" w:rsidRDefault="000E69CF" w:rsidP="00FC4A11">
      <w:pPr>
        <w:spacing w:line="300" w:lineRule="exact"/>
        <w:rPr>
          <w:bCs/>
          <w:color w:val="808080" w:themeColor="background1" w:themeShade="8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50EB6" w14:paraId="4DE8D376" w14:textId="77777777" w:rsidTr="00E97920">
        <w:tc>
          <w:tcPr>
            <w:tcW w:w="5000" w:type="pct"/>
            <w:tcBorders>
              <w:bottom w:val="single" w:sz="6" w:space="0" w:color="auto"/>
            </w:tcBorders>
            <w:shd w:val="clear" w:color="auto" w:fill="F2F2F2" w:themeFill="background1" w:themeFillShade="F2"/>
          </w:tcPr>
          <w:p w14:paraId="7976640A" w14:textId="4E0AAE28" w:rsidR="00650EB6" w:rsidRPr="00650EB6" w:rsidRDefault="00650EB6" w:rsidP="00871FCF">
            <w:pPr>
              <w:spacing w:line="300" w:lineRule="exact"/>
              <w:rPr>
                <w:b/>
                <w:i/>
                <w:iCs/>
                <w:color w:val="000000" w:themeColor="text1"/>
                <w:sz w:val="20"/>
                <w:szCs w:val="20"/>
              </w:rPr>
            </w:pPr>
            <w:r>
              <w:rPr>
                <w:b/>
                <w:i/>
                <w:sz w:val="20"/>
              </w:rPr>
              <w:t>1.1</w:t>
            </w:r>
            <w:r>
              <w:rPr>
                <w:b/>
                <w:i/>
                <w:sz w:val="20"/>
              </w:rPr>
              <w:tab/>
              <w:t xml:space="preserve">Veuillez indiquer tout contexte national qui est important pour comprendre la vision du pays et la demande d'assistance pays ciblée de Gavi. Quels effets spécifiques ces facteurs </w:t>
            </w:r>
            <w:r w:rsidR="004C15D1">
              <w:rPr>
                <w:b/>
                <w:i/>
                <w:sz w:val="20"/>
              </w:rPr>
              <w:t>ont-ils</w:t>
            </w:r>
            <w:r>
              <w:rPr>
                <w:b/>
                <w:i/>
                <w:sz w:val="20"/>
              </w:rPr>
              <w:t xml:space="preserve"> sur le programme national de vaccination?</w:t>
            </w:r>
          </w:p>
        </w:tc>
      </w:tr>
      <w:tr w:rsidR="00253DFD" w14:paraId="61816B17" w14:textId="77777777" w:rsidTr="00E97920">
        <w:tc>
          <w:tcPr>
            <w:tcW w:w="5000" w:type="pct"/>
            <w:tcBorders>
              <w:top w:val="single" w:sz="6" w:space="0" w:color="auto"/>
              <w:left w:val="single" w:sz="6" w:space="0" w:color="auto"/>
              <w:bottom w:val="single" w:sz="6" w:space="0" w:color="auto"/>
              <w:right w:val="single" w:sz="6" w:space="0" w:color="auto"/>
            </w:tcBorders>
          </w:tcPr>
          <w:p w14:paraId="5EC68BE1" w14:textId="37DE4989" w:rsidR="00D0247C" w:rsidRPr="00EE5837" w:rsidRDefault="00D0247C" w:rsidP="00EE5837">
            <w:pPr>
              <w:spacing w:line="300" w:lineRule="exact"/>
              <w:jc w:val="both"/>
            </w:pPr>
            <w:r w:rsidRPr="00EE5837">
              <w:t xml:space="preserve">La République de Guinée reconnait dans sa </w:t>
            </w:r>
            <w:r w:rsidR="00B04424" w:rsidRPr="00EE5837">
              <w:t>c</w:t>
            </w:r>
            <w:r w:rsidRPr="00EE5837">
              <w:t>onstitution la santé comme un droit préalable à la jouissance des autres droits fondamentaux. En mars 2015, le pays s’est doté d’un nouveau document de Politique Nationale de Santé (PNS) qui est l’instrument de la mise en œuvre de cette obligation constitutionnelle et qui s’intègre dans la politique globale du développement du pays</w:t>
            </w:r>
            <w:r w:rsidR="00B04424" w:rsidRPr="00EE5837">
              <w:t xml:space="preserve"> </w:t>
            </w:r>
            <w:r w:rsidRPr="00EE5837">
              <w:t xml:space="preserve">(voir BSD). </w:t>
            </w:r>
          </w:p>
          <w:p w14:paraId="01F10CE9" w14:textId="53F673E8" w:rsidR="00D0247C" w:rsidRPr="00EE5837" w:rsidRDefault="00D0247C" w:rsidP="00EE5837">
            <w:pPr>
              <w:spacing w:line="300" w:lineRule="exact"/>
              <w:jc w:val="both"/>
            </w:pPr>
            <w:r w:rsidRPr="00EE5837">
              <w:t>Cette nouvelle Politique repose sur les soins de santé primaires et le renforcement du système de santé qui visent l’accès universel aux services et soins essentiels de santé.</w:t>
            </w:r>
          </w:p>
          <w:p w14:paraId="34B8BA95" w14:textId="57AA1133" w:rsidR="00C44513" w:rsidRPr="00EE5837" w:rsidRDefault="00224ED3" w:rsidP="00EE5837">
            <w:pPr>
              <w:spacing w:line="300" w:lineRule="exact"/>
              <w:jc w:val="both"/>
            </w:pPr>
            <w:r w:rsidRPr="00EE5837">
              <w:t>D</w:t>
            </w:r>
            <w:r w:rsidR="002023EA" w:rsidRPr="00EE5837">
              <w:t xml:space="preserve">epuis le 5 septembre 2021, la Guinée est </w:t>
            </w:r>
            <w:r w:rsidR="00B04424" w:rsidRPr="00EE5837">
              <w:t xml:space="preserve">entrée </w:t>
            </w:r>
            <w:r w:rsidR="002023EA" w:rsidRPr="00EE5837">
              <w:t xml:space="preserve">dans une période </w:t>
            </w:r>
            <w:r w:rsidR="001B604C" w:rsidRPr="00EE5837">
              <w:t xml:space="preserve">de transition </w:t>
            </w:r>
            <w:r w:rsidR="00070BBD">
              <w:t xml:space="preserve">politique </w:t>
            </w:r>
            <w:r w:rsidR="001B604C" w:rsidRPr="00EE5837">
              <w:t xml:space="preserve">et </w:t>
            </w:r>
            <w:r w:rsidR="00B04424" w:rsidRPr="00EE5837">
              <w:t xml:space="preserve">de </w:t>
            </w:r>
            <w:r w:rsidR="001B604C" w:rsidRPr="00EE5837">
              <w:t xml:space="preserve">mutation </w:t>
            </w:r>
            <w:r w:rsidR="00B04424" w:rsidRPr="00EE5837">
              <w:t xml:space="preserve">qui </w:t>
            </w:r>
            <w:r w:rsidR="001B604C" w:rsidRPr="00EE5837">
              <w:t>accord</w:t>
            </w:r>
            <w:r w:rsidR="00B04424" w:rsidRPr="00EE5837">
              <w:t>e</w:t>
            </w:r>
            <w:r w:rsidR="001B604C" w:rsidRPr="00EE5837">
              <w:t>nt la priorité au secteur de la santé notamment la relance du Programme élargi de vaccination</w:t>
            </w:r>
            <w:r w:rsidR="002023EA" w:rsidRPr="00EE5837">
              <w:t xml:space="preserve">. </w:t>
            </w:r>
          </w:p>
          <w:p w14:paraId="083BC3AF" w14:textId="7BF273B2" w:rsidR="00813D1E" w:rsidRPr="00EE5837" w:rsidRDefault="00B04424" w:rsidP="00813D1E">
            <w:pPr>
              <w:spacing w:line="300" w:lineRule="exact"/>
              <w:jc w:val="both"/>
            </w:pPr>
            <w:r w:rsidRPr="00EE5837">
              <w:t>S</w:t>
            </w:r>
            <w:r w:rsidR="60A2933B" w:rsidRPr="00EE5837">
              <w:t>ur le plan san</w:t>
            </w:r>
            <w:r w:rsidR="78C6D505" w:rsidRPr="00EE5837">
              <w:t>i</w:t>
            </w:r>
            <w:r w:rsidR="60A2933B" w:rsidRPr="00EE5837">
              <w:t xml:space="preserve">taire, </w:t>
            </w:r>
            <w:r w:rsidR="0AB175A1" w:rsidRPr="00EE5837">
              <w:t>le pays</w:t>
            </w:r>
            <w:r w:rsidR="5ECDB87B" w:rsidRPr="00EE5837">
              <w:t xml:space="preserve"> </w:t>
            </w:r>
            <w:r w:rsidR="22C2043A" w:rsidRPr="00EE5837">
              <w:t xml:space="preserve">a été confronté </w:t>
            </w:r>
            <w:r w:rsidR="59E529F9" w:rsidRPr="00EE5837">
              <w:t xml:space="preserve">depuis </w:t>
            </w:r>
            <w:r w:rsidR="60A2933B" w:rsidRPr="00EE5837">
              <w:t xml:space="preserve">2012 </w:t>
            </w:r>
            <w:r w:rsidR="22C2043A" w:rsidRPr="00EE5837">
              <w:t xml:space="preserve">à </w:t>
            </w:r>
            <w:r w:rsidR="40D1DF1A" w:rsidRPr="00EE5837">
              <w:t>plusieurs épidémies dues aux fièvres hémorragiques (</w:t>
            </w:r>
            <w:r w:rsidR="0AB175A1" w:rsidRPr="00EE5837">
              <w:t>Lassa</w:t>
            </w:r>
            <w:r w:rsidR="22C2043A" w:rsidRPr="00EE5837">
              <w:t xml:space="preserve">, </w:t>
            </w:r>
            <w:r w:rsidR="0AB175A1" w:rsidRPr="00EE5837">
              <w:t xml:space="preserve">Ebola, </w:t>
            </w:r>
            <w:r w:rsidR="40D1DF1A" w:rsidRPr="00EE5837">
              <w:t>Marburg et la fièvre jaune), la maladie à coronavirus (COVID-19) et d’autres épidémies (rougeole, poliomyélite c</w:t>
            </w:r>
            <w:r w:rsidR="34C2B0F7" w:rsidRPr="00EE5837">
              <w:t xml:space="preserve">VDPV2, </w:t>
            </w:r>
            <w:r w:rsidR="22C2043A" w:rsidRPr="00EE5837">
              <w:t xml:space="preserve">grippe </w:t>
            </w:r>
            <w:r w:rsidR="34C2B0F7" w:rsidRPr="00EE5837">
              <w:t xml:space="preserve">saisonnière </w:t>
            </w:r>
            <w:r w:rsidR="1AF237F1" w:rsidRPr="00EE5837">
              <w:t>etc</w:t>
            </w:r>
            <w:r w:rsidR="22C2043A" w:rsidRPr="00EE5837">
              <w:t>.)</w:t>
            </w:r>
            <w:r w:rsidR="00740C77">
              <w:t xml:space="preserve">. Ces </w:t>
            </w:r>
            <w:r w:rsidR="00DD1FC0">
              <w:t xml:space="preserve">epidemies </w:t>
            </w:r>
            <w:r w:rsidR="22C2043A" w:rsidRPr="00EE5837">
              <w:t>ont</w:t>
            </w:r>
            <w:r w:rsidR="1AF237F1" w:rsidRPr="00EE5837">
              <w:t xml:space="preserve"> </w:t>
            </w:r>
            <w:r w:rsidR="22C2043A" w:rsidRPr="00EE5837">
              <w:t>impact</w:t>
            </w:r>
            <w:r w:rsidR="1AF237F1" w:rsidRPr="00EE5837">
              <w:t>é</w:t>
            </w:r>
            <w:r w:rsidR="2CA15455" w:rsidRPr="00EE5837">
              <w:t>es</w:t>
            </w:r>
            <w:r w:rsidR="22C2043A" w:rsidRPr="00EE5837">
              <w:t xml:space="preserve"> </w:t>
            </w:r>
            <w:r w:rsidR="1AF237F1" w:rsidRPr="00EE5837">
              <w:t xml:space="preserve">négativement l’économie et </w:t>
            </w:r>
            <w:r w:rsidR="22C2043A" w:rsidRPr="00EE5837">
              <w:t>le système de santé</w:t>
            </w:r>
            <w:r w:rsidR="00DD1FC0">
              <w:t xml:space="preserve"> Guinéen</w:t>
            </w:r>
            <w:r w:rsidR="22C2043A" w:rsidRPr="00EE5837">
              <w:t>.</w:t>
            </w:r>
            <w:r w:rsidR="00EE5837">
              <w:t xml:space="preserve"> </w:t>
            </w:r>
            <w:r w:rsidR="00813D1E" w:rsidRPr="00EE5837">
              <w:t>Le système de santé est aussi confronté à d’autres défis liés à :</w:t>
            </w:r>
          </w:p>
          <w:p w14:paraId="5030525B" w14:textId="1CB2A861" w:rsidR="00C77F2A" w:rsidRPr="00EE5837" w:rsidRDefault="69617BE9" w:rsidP="00EE5837">
            <w:pPr>
              <w:pStyle w:val="ListParagraph"/>
              <w:numPr>
                <w:ilvl w:val="0"/>
                <w:numId w:val="42"/>
              </w:numPr>
              <w:spacing w:line="300" w:lineRule="exact"/>
              <w:jc w:val="both"/>
            </w:pPr>
            <w:r w:rsidRPr="00EE5837">
              <w:t>L’insuffisance</w:t>
            </w:r>
            <w:r w:rsidR="243A5851" w:rsidRPr="00EE5837">
              <w:t xml:space="preserve"> des ressources humaines qualifiées dédiées aux activités de vaccination ;</w:t>
            </w:r>
          </w:p>
          <w:p w14:paraId="5CB62518" w14:textId="6695C7AB" w:rsidR="00813D1E" w:rsidRPr="00EE5837" w:rsidRDefault="69617BE9" w:rsidP="00EE5837">
            <w:pPr>
              <w:pStyle w:val="ListParagraph"/>
              <w:numPr>
                <w:ilvl w:val="0"/>
                <w:numId w:val="42"/>
              </w:numPr>
              <w:spacing w:line="300" w:lineRule="exact"/>
              <w:jc w:val="both"/>
            </w:pPr>
            <w:r w:rsidRPr="00EE5837">
              <w:t>L’insuffisance</w:t>
            </w:r>
            <w:r w:rsidR="06AFB54F" w:rsidRPr="00EE5837">
              <w:t xml:space="preserve"> du </w:t>
            </w:r>
            <w:r w:rsidRPr="00EE5837">
              <w:t xml:space="preserve">financement du </w:t>
            </w:r>
            <w:r w:rsidR="2CA15455" w:rsidRPr="00EE5837">
              <w:t>budget national de développement (</w:t>
            </w:r>
            <w:r w:rsidR="06AFB54F" w:rsidRPr="00EE5837">
              <w:t>BND</w:t>
            </w:r>
            <w:r w:rsidR="2CA15455" w:rsidRPr="00EE5837">
              <w:t>)</w:t>
            </w:r>
            <w:r w:rsidR="06AFB54F" w:rsidRPr="00EE5837">
              <w:t xml:space="preserve"> alloué à l’achat des vaccins/consommables et aux coûts opérationnels </w:t>
            </w:r>
            <w:r w:rsidR="1B35A012" w:rsidRPr="00EE5837">
              <w:t>et de gestion du programme ;</w:t>
            </w:r>
            <w:r w:rsidR="06AFB54F" w:rsidRPr="00EE5837">
              <w:t xml:space="preserve"> </w:t>
            </w:r>
          </w:p>
          <w:p w14:paraId="6D7225D2" w14:textId="1B006947" w:rsidR="00813D1E" w:rsidRPr="00EE5837" w:rsidRDefault="00291AD2" w:rsidP="00EE5837">
            <w:pPr>
              <w:pStyle w:val="ListParagraph"/>
              <w:numPr>
                <w:ilvl w:val="0"/>
                <w:numId w:val="42"/>
              </w:numPr>
              <w:spacing w:line="300" w:lineRule="exact"/>
              <w:jc w:val="both"/>
            </w:pPr>
            <w:r w:rsidRPr="00EE5837">
              <w:t xml:space="preserve">La </w:t>
            </w:r>
            <w:r w:rsidR="7A3C42CB" w:rsidRPr="00EE5837">
              <w:t xml:space="preserve">discontinuité </w:t>
            </w:r>
            <w:r w:rsidRPr="00EE5837">
              <w:t xml:space="preserve">des services de vaccination au fil du temps </w:t>
            </w:r>
            <w:r w:rsidR="06AFB54F" w:rsidRPr="00EE5837">
              <w:t xml:space="preserve">augmentant le nombre d’enfants </w:t>
            </w:r>
            <w:r w:rsidR="36EFBD23" w:rsidRPr="00EE5837">
              <w:t xml:space="preserve">zéro doses et communautés mal desservies </w:t>
            </w:r>
            <w:r w:rsidR="06AFB54F" w:rsidRPr="00EE5837">
              <w:t xml:space="preserve">; </w:t>
            </w:r>
          </w:p>
          <w:p w14:paraId="411B4905" w14:textId="52A7F8E8" w:rsidR="00813D1E" w:rsidRPr="00EE5837" w:rsidRDefault="69617BE9" w:rsidP="00EE5837">
            <w:pPr>
              <w:pStyle w:val="ListParagraph"/>
              <w:numPr>
                <w:ilvl w:val="0"/>
                <w:numId w:val="42"/>
              </w:numPr>
              <w:spacing w:line="300" w:lineRule="exact"/>
              <w:jc w:val="both"/>
            </w:pPr>
            <w:r w:rsidRPr="00EE5837">
              <w:t>La</w:t>
            </w:r>
            <w:r w:rsidR="36EFBD23" w:rsidRPr="00EE5837">
              <w:t xml:space="preserve"> qualité sous-optimale des données ;</w:t>
            </w:r>
          </w:p>
          <w:p w14:paraId="5F83A113" w14:textId="24085521" w:rsidR="00813D1E" w:rsidRPr="00EE5837" w:rsidRDefault="69617BE9" w:rsidP="00EE5837">
            <w:pPr>
              <w:pStyle w:val="ListParagraph"/>
              <w:numPr>
                <w:ilvl w:val="0"/>
                <w:numId w:val="42"/>
              </w:numPr>
              <w:spacing w:line="300" w:lineRule="exact"/>
              <w:jc w:val="both"/>
            </w:pPr>
            <w:r w:rsidRPr="00EE5837">
              <w:t>L’insuffisance</w:t>
            </w:r>
            <w:r w:rsidR="06AFB54F" w:rsidRPr="00EE5837">
              <w:t xml:space="preserve"> de moyens logistiques</w:t>
            </w:r>
            <w:r w:rsidR="4C3E007A" w:rsidRPr="00EE5837">
              <w:t>,</w:t>
            </w:r>
            <w:r w:rsidR="06AFB54F" w:rsidRPr="00EE5837">
              <w:t xml:space="preserve"> de</w:t>
            </w:r>
            <w:r w:rsidR="4C3E007A" w:rsidRPr="00EE5837">
              <w:t xml:space="preserve"> suivi </w:t>
            </w:r>
            <w:r w:rsidR="243A5851" w:rsidRPr="00EE5837">
              <w:t xml:space="preserve">et </w:t>
            </w:r>
            <w:r w:rsidR="10DF4DB4" w:rsidRPr="00EE5837">
              <w:t>de</w:t>
            </w:r>
            <w:r w:rsidR="243A5851" w:rsidRPr="00EE5837">
              <w:t xml:space="preserve"> la</w:t>
            </w:r>
            <w:r w:rsidR="10DF4DB4" w:rsidRPr="00EE5837">
              <w:t xml:space="preserve"> </w:t>
            </w:r>
            <w:r w:rsidR="06AFB54F" w:rsidRPr="00EE5837">
              <w:t xml:space="preserve">maintenance des équipements de la chaine du froid (ECdF); </w:t>
            </w:r>
          </w:p>
          <w:p w14:paraId="0AA6EE7A" w14:textId="5BFADF3E" w:rsidR="00813D1E" w:rsidRPr="00EE5837" w:rsidRDefault="69617BE9" w:rsidP="00EE5837">
            <w:pPr>
              <w:pStyle w:val="ListParagraph"/>
              <w:numPr>
                <w:ilvl w:val="0"/>
                <w:numId w:val="42"/>
              </w:numPr>
              <w:spacing w:line="300" w:lineRule="exact"/>
              <w:jc w:val="both"/>
            </w:pPr>
            <w:r w:rsidRPr="00EE5837">
              <w:t>La</w:t>
            </w:r>
            <w:r w:rsidR="06AFB54F" w:rsidRPr="00EE5837">
              <w:t xml:space="preserve"> faible utilisation des services de </w:t>
            </w:r>
            <w:r w:rsidR="3570790E" w:rsidRPr="00EE5837">
              <w:t>vaccination</w:t>
            </w:r>
            <w:r w:rsidR="06AFB54F" w:rsidRPr="00EE5837">
              <w:t xml:space="preserve"> due </w:t>
            </w:r>
            <w:r w:rsidR="15495F52" w:rsidRPr="00EE5837">
              <w:t>à un manque de</w:t>
            </w:r>
            <w:r w:rsidR="3570790E" w:rsidRPr="00EE5837">
              <w:t xml:space="preserve"> confiance </w:t>
            </w:r>
            <w:r w:rsidR="15495F52" w:rsidRPr="00EE5837">
              <w:t xml:space="preserve">au </w:t>
            </w:r>
            <w:r w:rsidR="3570790E" w:rsidRPr="00EE5837">
              <w:t>système de santé ;</w:t>
            </w:r>
          </w:p>
          <w:p w14:paraId="3EBCCB05" w14:textId="6683AEF4" w:rsidR="00813D1E" w:rsidRPr="00EE5837" w:rsidRDefault="69617BE9" w:rsidP="00EE5837">
            <w:pPr>
              <w:pStyle w:val="ListParagraph"/>
              <w:numPr>
                <w:ilvl w:val="0"/>
                <w:numId w:val="42"/>
              </w:numPr>
              <w:spacing w:line="300" w:lineRule="exact"/>
              <w:jc w:val="both"/>
            </w:pPr>
            <w:r w:rsidRPr="00EE5837">
              <w:t>Faible</w:t>
            </w:r>
            <w:r w:rsidR="06AFB54F" w:rsidRPr="00EE5837">
              <w:t xml:space="preserve"> implication des structures privées et des Organisations de la société civile dans la vaccination. </w:t>
            </w:r>
          </w:p>
          <w:p w14:paraId="2E722232" w14:textId="77777777" w:rsidR="00813D1E" w:rsidRDefault="69617BE9" w:rsidP="00EE5837">
            <w:pPr>
              <w:pStyle w:val="ListParagraph"/>
              <w:numPr>
                <w:ilvl w:val="0"/>
                <w:numId w:val="42"/>
              </w:numPr>
              <w:spacing w:line="300" w:lineRule="exact"/>
              <w:jc w:val="both"/>
            </w:pPr>
            <w:r w:rsidRPr="00EE5837">
              <w:t>L’insuffisance</w:t>
            </w:r>
            <w:r w:rsidR="06AFB54F" w:rsidRPr="00EE5837">
              <w:t xml:space="preserve"> de fonds d’urgence pour la riposte aux épidémies et autres calamitées. </w:t>
            </w:r>
          </w:p>
          <w:p w14:paraId="1C436B8B" w14:textId="64EF97A8" w:rsidR="007125AF" w:rsidRPr="00EE5837" w:rsidRDefault="007125AF" w:rsidP="007C3683">
            <w:pPr>
              <w:spacing w:line="300" w:lineRule="exact"/>
              <w:jc w:val="both"/>
            </w:pPr>
            <w:r w:rsidRPr="007C3683">
              <w:rPr>
                <w:highlight w:val="cyan"/>
              </w:rPr>
              <w:t>En octobre 2022, lors d’une mission de haut niveau de Gavi, un</w:t>
            </w:r>
            <w:r w:rsidR="00B3518E" w:rsidRPr="007C3683">
              <w:rPr>
                <w:highlight w:val="cyan"/>
              </w:rPr>
              <w:t xml:space="preserve"> plan d’actions prioritaires a été convenu pour relancer le programme de vaccination</w:t>
            </w:r>
            <w:r w:rsidR="00902A01" w:rsidRPr="007C3683">
              <w:rPr>
                <w:highlight w:val="cyan"/>
              </w:rPr>
              <w:t xml:space="preserve"> sur les prochains 6 à 9 mois. Ce plan d’action se focalise sur la volonté politique et la redevabilité ; les activités de vaccination de routine et de rattrapage d’enfants manqués ; de </w:t>
            </w:r>
            <w:r w:rsidR="00634CBD">
              <w:rPr>
                <w:highlight w:val="cyan"/>
              </w:rPr>
              <w:t xml:space="preserve">financement et </w:t>
            </w:r>
            <w:r w:rsidR="00902A01" w:rsidRPr="007C3683">
              <w:rPr>
                <w:highlight w:val="cyan"/>
              </w:rPr>
              <w:t>gestion efficace de vaccins ; de renforcement des ressources humaines</w:t>
            </w:r>
            <w:r w:rsidR="00161E2A">
              <w:rPr>
                <w:highlight w:val="cyan"/>
              </w:rPr>
              <w:t xml:space="preserve"> du PEV</w:t>
            </w:r>
            <w:r w:rsidR="00902A01" w:rsidRPr="007C3683">
              <w:rPr>
                <w:highlight w:val="cyan"/>
              </w:rPr>
              <w:t> </w:t>
            </w:r>
            <w:r w:rsidR="002413F4">
              <w:rPr>
                <w:highlight w:val="cyan"/>
              </w:rPr>
              <w:t>aux différent</w:t>
            </w:r>
            <w:r w:rsidR="00D03C5E">
              <w:rPr>
                <w:highlight w:val="cyan"/>
              </w:rPr>
              <w:t>s</w:t>
            </w:r>
            <w:r w:rsidR="002413F4">
              <w:rPr>
                <w:highlight w:val="cyan"/>
              </w:rPr>
              <w:t xml:space="preserve"> niveaux</w:t>
            </w:r>
            <w:r w:rsidR="00902A01" w:rsidRPr="007C3683">
              <w:rPr>
                <w:highlight w:val="cyan"/>
              </w:rPr>
              <w:t>; et de l’amélioration des flux financiers.</w:t>
            </w:r>
          </w:p>
        </w:tc>
      </w:tr>
    </w:tbl>
    <w:p w14:paraId="3CF64904" w14:textId="77777777" w:rsidR="00253DFD" w:rsidRDefault="00253DFD" w:rsidP="00253DFD">
      <w:pPr>
        <w:spacing w:line="300" w:lineRule="exact"/>
        <w:rPr>
          <w:bCs/>
          <w:color w:val="808080" w:themeColor="background1" w:themeShade="80"/>
        </w:rPr>
      </w:pPr>
    </w:p>
    <w:p w14:paraId="5CAF378B" w14:textId="658F9E51" w:rsidR="004E4361" w:rsidRPr="00372D1F" w:rsidRDefault="004E4361" w:rsidP="00CE1F57">
      <w:pPr>
        <w:pStyle w:val="ListParagraph"/>
        <w:numPr>
          <w:ilvl w:val="0"/>
          <w:numId w:val="4"/>
        </w:numPr>
        <w:spacing w:line="300" w:lineRule="exact"/>
        <w:ind w:left="426"/>
        <w:rPr>
          <w:b/>
          <w:bCs/>
          <w:color w:val="84C650"/>
          <w:sz w:val="26"/>
          <w:szCs w:val="26"/>
        </w:rPr>
      </w:pPr>
      <w:r>
        <w:rPr>
          <w:b/>
          <w:color w:val="70AD47" w:themeColor="accent6"/>
          <w:sz w:val="26"/>
        </w:rPr>
        <w:t>Besoins actuels en AT de votre système de vaccination (1-2 pages)</w:t>
      </w:r>
    </w:p>
    <w:p w14:paraId="272993D5" w14:textId="0CBE90F0" w:rsidR="0095370A" w:rsidRDefault="00EC2EA5" w:rsidP="00291AD2">
      <w:pPr>
        <w:pStyle w:val="ListParagraph"/>
        <w:spacing w:line="300" w:lineRule="exact"/>
        <w:ind w:left="142"/>
        <w:jc w:val="both"/>
        <w:rPr>
          <w:b/>
          <w:i/>
          <w:sz w:val="20"/>
        </w:rPr>
      </w:pPr>
      <w:r>
        <w:rPr>
          <w:b/>
          <w:i/>
          <w:sz w:val="20"/>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r:id="rId13" w:history="1">
        <w:r>
          <w:rPr>
            <w:rStyle w:val="Hyperlink"/>
            <w:b/>
            <w:i/>
            <w:sz w:val="20"/>
          </w:rPr>
          <w:t>Directives sur le financement des programmes</w:t>
        </w:r>
      </w:hyperlink>
      <w:r>
        <w:rPr>
          <w:b/>
          <w:i/>
          <w:sz w:val="20"/>
        </w:rPr>
        <w:t xml:space="preserve"> de Gavi. Le pays peut planifier pour la durée restante de son actuelle subvention de RSS</w:t>
      </w:r>
    </w:p>
    <w:p w14:paraId="05CB0C20" w14:textId="65ED1EBD" w:rsidR="00291AD2" w:rsidRPr="0045580D" w:rsidRDefault="00291AD2" w:rsidP="06A0C929">
      <w:pPr>
        <w:pStyle w:val="ListParagraph"/>
        <w:spacing w:line="300" w:lineRule="exact"/>
        <w:ind w:left="142"/>
        <w:jc w:val="both"/>
        <w:rPr>
          <w:sz w:val="20"/>
          <w:szCs w:val="20"/>
        </w:rPr>
      </w:pPr>
      <w:r w:rsidRPr="0045580D">
        <w:rPr>
          <w:sz w:val="20"/>
          <w:szCs w:val="20"/>
        </w:rPr>
        <w:t>Tenant compte de la période restante pour la mise en œuvre du RSS2, l’équipe pays aligne la planification actuelle de l'assistance ciblée sur la période allant de janvier à décembre 2022 conformément au financement de l’année 2022 à hauteur 251,748 USD.</w:t>
      </w:r>
      <w:r w:rsidR="00A31BCE" w:rsidRPr="0045580D">
        <w:rPr>
          <w:sz w:val="20"/>
          <w:szCs w:val="20"/>
        </w:rPr>
        <w:t xml:space="preserve"> </w:t>
      </w:r>
      <w:r w:rsidRPr="0045580D">
        <w:rPr>
          <w:sz w:val="20"/>
          <w:szCs w:val="20"/>
        </w:rPr>
        <w:t xml:space="preserve"> </w:t>
      </w:r>
      <w:r w:rsidR="00E62AD6" w:rsidRPr="0045580D">
        <w:rPr>
          <w:sz w:val="20"/>
          <w:szCs w:val="20"/>
        </w:rPr>
        <w:t>Il est à noter</w:t>
      </w:r>
      <w:r w:rsidR="00E1708D" w:rsidRPr="0045580D">
        <w:rPr>
          <w:sz w:val="20"/>
          <w:szCs w:val="20"/>
        </w:rPr>
        <w:t xml:space="preserve"> qu</w:t>
      </w:r>
      <w:r w:rsidR="00E57771" w:rsidRPr="0045580D">
        <w:rPr>
          <w:sz w:val="20"/>
          <w:szCs w:val="20"/>
        </w:rPr>
        <w:t>’un reliquat de</w:t>
      </w:r>
      <w:r w:rsidR="00E1708D" w:rsidRPr="0045580D">
        <w:rPr>
          <w:sz w:val="20"/>
          <w:szCs w:val="20"/>
        </w:rPr>
        <w:t xml:space="preserve"> </w:t>
      </w:r>
      <w:r w:rsidR="00E62AD6" w:rsidRPr="0045580D">
        <w:rPr>
          <w:sz w:val="20"/>
          <w:szCs w:val="20"/>
        </w:rPr>
        <w:t>263 058</w:t>
      </w:r>
      <w:r w:rsidR="00E57771" w:rsidRPr="0045580D">
        <w:rPr>
          <w:sz w:val="20"/>
          <w:szCs w:val="20"/>
        </w:rPr>
        <w:t xml:space="preserve"> </w:t>
      </w:r>
      <w:r w:rsidR="00E1708D" w:rsidRPr="0045580D">
        <w:rPr>
          <w:sz w:val="20"/>
          <w:szCs w:val="20"/>
        </w:rPr>
        <w:t xml:space="preserve">USD sont disponibles </w:t>
      </w:r>
      <w:r w:rsidR="00E57771" w:rsidRPr="0045580D">
        <w:rPr>
          <w:sz w:val="20"/>
          <w:szCs w:val="20"/>
        </w:rPr>
        <w:t>pour l’Asistance Technique est disponible en Guinée,</w:t>
      </w:r>
      <w:r w:rsidR="0045580D" w:rsidRPr="0045580D">
        <w:rPr>
          <w:sz w:val="20"/>
          <w:szCs w:val="20"/>
        </w:rPr>
        <w:t xml:space="preserve"> notamment avec </w:t>
      </w:r>
      <w:r w:rsidR="00E1708D" w:rsidRPr="0045580D">
        <w:rPr>
          <w:sz w:val="20"/>
          <w:szCs w:val="20"/>
        </w:rPr>
        <w:t>l’OMS (238 400 USD) et l’UNICEF (24</w:t>
      </w:r>
      <w:r w:rsidR="009F5DF2" w:rsidRPr="0045580D">
        <w:rPr>
          <w:sz w:val="20"/>
          <w:szCs w:val="20"/>
        </w:rPr>
        <w:t> </w:t>
      </w:r>
      <w:r w:rsidR="00E62AD6" w:rsidRPr="0045580D">
        <w:rPr>
          <w:sz w:val="20"/>
          <w:szCs w:val="20"/>
        </w:rPr>
        <w:t>6</w:t>
      </w:r>
      <w:r w:rsidR="009F5DF2" w:rsidRPr="0045580D">
        <w:rPr>
          <w:sz w:val="20"/>
          <w:szCs w:val="20"/>
        </w:rPr>
        <w:t>58,31</w:t>
      </w:r>
      <w:r w:rsidR="00E1708D" w:rsidRPr="0045580D">
        <w:rPr>
          <w:sz w:val="20"/>
          <w:szCs w:val="20"/>
        </w:rPr>
        <w:t>) pour la poursuite de l’AT de 2021.</w:t>
      </w:r>
    </w:p>
    <w:p w14:paraId="1D079834" w14:textId="20338A7C" w:rsidR="00655D56" w:rsidRDefault="000F1BD7" w:rsidP="00372D1F">
      <w:pPr>
        <w:pStyle w:val="ListParagraph"/>
        <w:spacing w:line="300" w:lineRule="exact"/>
        <w:ind w:left="426"/>
        <w:rPr>
          <w:i/>
          <w:color w:val="808080" w:themeColor="background1" w:themeShade="80"/>
        </w:rPr>
      </w:pPr>
      <w:r>
        <w:rPr>
          <w:i/>
          <w:color w:val="808080" w:themeColor="background1" w:themeShade="80"/>
        </w:rPr>
        <w:t xml:space="preserve"> </w:t>
      </w:r>
      <w:r w:rsidR="00372D1F">
        <w:rPr>
          <w:i/>
          <w:color w:val="808080" w:themeColor="background1" w:themeShade="80"/>
        </w:rPr>
        <w:t>(N'hésitez pas à ajouter des lignes, si nécessaire)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5183"/>
        <w:gridCol w:w="1318"/>
        <w:gridCol w:w="1165"/>
      </w:tblGrid>
      <w:tr w:rsidR="00956DC6" w:rsidRPr="00956DC6" w14:paraId="4718438B" w14:textId="77777777" w:rsidTr="006F6565">
        <w:trPr>
          <w:trHeight w:val="465"/>
        </w:trPr>
        <w:tc>
          <w:tcPr>
            <w:tcW w:w="3706" w:type="pct"/>
            <w:gridSpan w:val="2"/>
            <w:shd w:val="clear" w:color="auto" w:fill="DEEAF6" w:themeFill="accent5" w:themeFillTint="33"/>
            <w:vAlign w:val="center"/>
            <w:hideMark/>
          </w:tcPr>
          <w:p w14:paraId="32A75B27" w14:textId="77777777" w:rsidR="00956DC6" w:rsidRPr="00956DC6" w:rsidRDefault="7A3580D0" w:rsidP="06A0C929">
            <w:pPr>
              <w:spacing w:line="240" w:lineRule="auto"/>
              <w:jc w:val="center"/>
              <w:rPr>
                <w:rFonts w:eastAsia="Times New Roman"/>
                <w:b/>
                <w:bCs/>
                <w:color w:val="000000"/>
                <w:sz w:val="20"/>
                <w:szCs w:val="20"/>
                <w:lang w:eastAsia="en-US"/>
              </w:rPr>
            </w:pPr>
            <w:r w:rsidRPr="06A0C929">
              <w:rPr>
                <w:rFonts w:eastAsia="Times New Roman"/>
                <w:b/>
                <w:bCs/>
                <w:color w:val="000000" w:themeColor="text1"/>
                <w:sz w:val="20"/>
                <w:szCs w:val="20"/>
                <w:lang w:eastAsia="en-US"/>
              </w:rPr>
              <w:t>Plan de haut niveau 2022</w:t>
            </w:r>
          </w:p>
        </w:tc>
        <w:tc>
          <w:tcPr>
            <w:tcW w:w="680" w:type="pct"/>
            <w:shd w:val="clear" w:color="auto" w:fill="DEEAF6" w:themeFill="accent5" w:themeFillTint="33"/>
            <w:vAlign w:val="center"/>
            <w:hideMark/>
          </w:tcPr>
          <w:p w14:paraId="5960ADC0" w14:textId="77777777" w:rsidR="00956DC6" w:rsidRPr="00956DC6" w:rsidRDefault="7A3580D0" w:rsidP="06A0C929">
            <w:pPr>
              <w:spacing w:line="240" w:lineRule="auto"/>
              <w:jc w:val="center"/>
              <w:rPr>
                <w:rFonts w:eastAsia="Times New Roman"/>
                <w:b/>
                <w:bCs/>
                <w:color w:val="000000"/>
                <w:sz w:val="20"/>
                <w:szCs w:val="20"/>
                <w:lang w:eastAsia="en-US"/>
              </w:rPr>
            </w:pPr>
            <w:r w:rsidRPr="06A0C929">
              <w:rPr>
                <w:rFonts w:eastAsia="Times New Roman"/>
                <w:b/>
                <w:bCs/>
                <w:color w:val="000000" w:themeColor="text1"/>
                <w:sz w:val="20"/>
                <w:szCs w:val="20"/>
                <w:lang w:eastAsia="en-US"/>
              </w:rPr>
              <w:t>Budget (USD)</w:t>
            </w:r>
          </w:p>
        </w:tc>
        <w:tc>
          <w:tcPr>
            <w:tcW w:w="615" w:type="pct"/>
            <w:shd w:val="clear" w:color="auto" w:fill="DEEAF6" w:themeFill="accent5" w:themeFillTint="33"/>
            <w:vAlign w:val="center"/>
            <w:hideMark/>
          </w:tcPr>
          <w:p w14:paraId="6CF67CA2" w14:textId="77777777" w:rsidR="00956DC6" w:rsidRPr="00956DC6" w:rsidRDefault="7A3580D0" w:rsidP="06A0C929">
            <w:pPr>
              <w:spacing w:line="240" w:lineRule="auto"/>
              <w:jc w:val="center"/>
              <w:rPr>
                <w:rFonts w:eastAsia="Times New Roman"/>
                <w:b/>
                <w:bCs/>
                <w:color w:val="000000"/>
                <w:sz w:val="20"/>
                <w:szCs w:val="20"/>
                <w:lang w:eastAsia="en-US"/>
              </w:rPr>
            </w:pPr>
            <w:r w:rsidRPr="06A0C929">
              <w:rPr>
                <w:rFonts w:eastAsia="Times New Roman"/>
                <w:b/>
                <w:bCs/>
                <w:color w:val="000000" w:themeColor="text1"/>
                <w:sz w:val="20"/>
                <w:szCs w:val="20"/>
                <w:lang w:eastAsia="en-US"/>
              </w:rPr>
              <w:t>%</w:t>
            </w:r>
          </w:p>
        </w:tc>
      </w:tr>
      <w:tr w:rsidR="00956DC6" w:rsidRPr="00956DC6" w14:paraId="02B30756" w14:textId="77777777" w:rsidTr="006F6565">
        <w:trPr>
          <w:trHeight w:val="465"/>
        </w:trPr>
        <w:tc>
          <w:tcPr>
            <w:tcW w:w="1071" w:type="pct"/>
            <w:shd w:val="clear" w:color="auto" w:fill="E2EFD9" w:themeFill="accent6" w:themeFillTint="33"/>
            <w:vAlign w:val="center"/>
            <w:hideMark/>
          </w:tcPr>
          <w:p w14:paraId="08E40C88" w14:textId="77777777" w:rsidR="00956DC6" w:rsidRPr="00956DC6" w:rsidRDefault="7A3580D0" w:rsidP="06A0C929">
            <w:pPr>
              <w:spacing w:line="240" w:lineRule="auto"/>
              <w:jc w:val="center"/>
              <w:rPr>
                <w:rFonts w:eastAsia="Times New Roman"/>
                <w:b/>
                <w:bCs/>
                <w:color w:val="000000"/>
                <w:sz w:val="20"/>
                <w:szCs w:val="20"/>
                <w:lang w:eastAsia="en-US"/>
              </w:rPr>
            </w:pPr>
            <w:r w:rsidRPr="06A0C929">
              <w:rPr>
                <w:rFonts w:eastAsia="Times New Roman"/>
                <w:b/>
                <w:bCs/>
                <w:color w:val="000000" w:themeColor="text1"/>
                <w:sz w:val="20"/>
                <w:szCs w:val="20"/>
                <w:lang w:eastAsia="en-US"/>
              </w:rPr>
              <w:t>Domaine</w:t>
            </w:r>
          </w:p>
        </w:tc>
        <w:tc>
          <w:tcPr>
            <w:tcW w:w="2635" w:type="pct"/>
            <w:shd w:val="clear" w:color="auto" w:fill="E2EFD9" w:themeFill="accent6" w:themeFillTint="33"/>
            <w:vAlign w:val="center"/>
            <w:hideMark/>
          </w:tcPr>
          <w:p w14:paraId="2FC17980" w14:textId="47C1530D" w:rsidR="00956DC6" w:rsidRPr="00956DC6" w:rsidRDefault="7A3580D0" w:rsidP="06A0C929">
            <w:pPr>
              <w:spacing w:line="240" w:lineRule="auto"/>
              <w:jc w:val="center"/>
              <w:rPr>
                <w:rFonts w:eastAsia="Times New Roman"/>
                <w:b/>
                <w:bCs/>
                <w:color w:val="000000"/>
                <w:sz w:val="20"/>
                <w:szCs w:val="20"/>
                <w:lang w:eastAsia="en-US"/>
              </w:rPr>
            </w:pPr>
            <w:r w:rsidRPr="06A0C929">
              <w:rPr>
                <w:rFonts w:eastAsia="Times New Roman"/>
                <w:b/>
                <w:bCs/>
                <w:color w:val="000000" w:themeColor="text1"/>
                <w:sz w:val="20"/>
                <w:szCs w:val="20"/>
                <w:lang w:eastAsia="en-US"/>
              </w:rPr>
              <w:t>Activité</w:t>
            </w:r>
          </w:p>
        </w:tc>
        <w:tc>
          <w:tcPr>
            <w:tcW w:w="680" w:type="pct"/>
            <w:shd w:val="clear" w:color="auto" w:fill="E2EFD9" w:themeFill="accent6" w:themeFillTint="33"/>
            <w:vAlign w:val="center"/>
            <w:hideMark/>
          </w:tcPr>
          <w:p w14:paraId="2C5EF0E7" w14:textId="77777777" w:rsidR="00956DC6" w:rsidRPr="00956DC6" w:rsidRDefault="7A3580D0" w:rsidP="06A0C929">
            <w:pPr>
              <w:spacing w:line="240" w:lineRule="auto"/>
              <w:jc w:val="center"/>
              <w:rPr>
                <w:rFonts w:eastAsia="Times New Roman"/>
                <w:color w:val="000000"/>
                <w:lang w:eastAsia="en-US"/>
              </w:rPr>
            </w:pPr>
            <w:r w:rsidRPr="06A0C929">
              <w:rPr>
                <w:rFonts w:eastAsia="Times New Roman"/>
                <w:color w:val="000000" w:themeColor="text1"/>
                <w:lang w:eastAsia="en-US"/>
              </w:rPr>
              <w:t xml:space="preserve"> $ 251,748.00 </w:t>
            </w:r>
          </w:p>
        </w:tc>
        <w:tc>
          <w:tcPr>
            <w:tcW w:w="615" w:type="pct"/>
            <w:shd w:val="clear" w:color="auto" w:fill="E2EFD9" w:themeFill="accent6" w:themeFillTint="33"/>
            <w:vAlign w:val="center"/>
            <w:hideMark/>
          </w:tcPr>
          <w:p w14:paraId="514C99BF" w14:textId="77777777" w:rsidR="00956DC6" w:rsidRPr="00956DC6" w:rsidRDefault="7A3580D0" w:rsidP="06A0C929">
            <w:pPr>
              <w:spacing w:line="240" w:lineRule="auto"/>
              <w:jc w:val="center"/>
              <w:rPr>
                <w:rFonts w:eastAsia="Times New Roman"/>
                <w:color w:val="000000"/>
                <w:sz w:val="20"/>
                <w:szCs w:val="20"/>
                <w:lang w:eastAsia="en-US"/>
              </w:rPr>
            </w:pPr>
            <w:r w:rsidRPr="06A0C929">
              <w:rPr>
                <w:rFonts w:eastAsia="Times New Roman"/>
                <w:color w:val="000000" w:themeColor="text1"/>
                <w:sz w:val="20"/>
                <w:szCs w:val="20"/>
                <w:lang w:eastAsia="en-US"/>
              </w:rPr>
              <w:t>100</w:t>
            </w:r>
          </w:p>
        </w:tc>
      </w:tr>
      <w:tr w:rsidR="00956DC6" w:rsidRPr="00956DC6" w14:paraId="7AAFA9BD" w14:textId="77777777" w:rsidTr="006F6565">
        <w:trPr>
          <w:trHeight w:val="624"/>
        </w:trPr>
        <w:tc>
          <w:tcPr>
            <w:tcW w:w="1071" w:type="pct"/>
            <w:vMerge w:val="restart"/>
            <w:shd w:val="clear" w:color="auto" w:fill="FFFFFF" w:themeFill="background1"/>
            <w:vAlign w:val="center"/>
            <w:hideMark/>
          </w:tcPr>
          <w:p w14:paraId="292D24A4" w14:textId="46CE4A49" w:rsidR="00956DC6" w:rsidRPr="00956DC6" w:rsidRDefault="11841A76" w:rsidP="06A0C929">
            <w:pPr>
              <w:spacing w:line="240" w:lineRule="auto"/>
              <w:jc w:val="center"/>
              <w:rPr>
                <w:rFonts w:eastAsia="Times New Roman"/>
                <w:color w:val="000000"/>
                <w:lang w:eastAsia="en-US"/>
              </w:rPr>
            </w:pPr>
            <w:r w:rsidRPr="06A0C929">
              <w:rPr>
                <w:rFonts w:eastAsia="Times New Roman"/>
                <w:color w:val="000000" w:themeColor="text1"/>
                <w:lang w:eastAsia="en-US"/>
              </w:rPr>
              <w:t>Offre des services</w:t>
            </w:r>
          </w:p>
        </w:tc>
        <w:tc>
          <w:tcPr>
            <w:tcW w:w="2635" w:type="pct"/>
            <w:shd w:val="clear" w:color="auto" w:fill="FFFFFF" w:themeFill="background1"/>
            <w:vAlign w:val="center"/>
            <w:hideMark/>
          </w:tcPr>
          <w:p w14:paraId="43E37C79" w14:textId="2DA5F65E" w:rsidR="00956DC6" w:rsidRPr="00956DC6" w:rsidRDefault="6B4531FA" w:rsidP="06A0C929">
            <w:pPr>
              <w:spacing w:line="240" w:lineRule="auto"/>
              <w:rPr>
                <w:rFonts w:eastAsia="Times New Roman"/>
                <w:color w:val="000000"/>
                <w:lang w:eastAsia="en-US"/>
              </w:rPr>
            </w:pPr>
            <w:r w:rsidRPr="06A0C929">
              <w:rPr>
                <w:rFonts w:eastAsia="Times New Roman"/>
                <w:color w:val="000000" w:themeColor="text1"/>
                <w:lang w:eastAsia="en-US"/>
              </w:rPr>
              <w:t>Contribuer à l’identification des enfants</w:t>
            </w:r>
            <w:r w:rsidR="7A3580D0" w:rsidRPr="06A0C929">
              <w:rPr>
                <w:rFonts w:eastAsia="Times New Roman"/>
                <w:color w:val="000000" w:themeColor="text1"/>
                <w:lang w:eastAsia="en-US"/>
              </w:rPr>
              <w:t xml:space="preserve"> zéro dose et sous-vaccinés et les communautés difficiles d’accès</w:t>
            </w:r>
            <w:r w:rsidR="055730CC" w:rsidRPr="06A0C929">
              <w:rPr>
                <w:rFonts w:eastAsia="Times New Roman"/>
                <w:color w:val="000000" w:themeColor="text1"/>
                <w:lang w:eastAsia="en-US"/>
              </w:rPr>
              <w:t> ;</w:t>
            </w:r>
          </w:p>
        </w:tc>
        <w:tc>
          <w:tcPr>
            <w:tcW w:w="680" w:type="pct"/>
            <w:vMerge w:val="restart"/>
            <w:shd w:val="clear" w:color="auto" w:fill="FFFFFF" w:themeFill="background1"/>
            <w:vAlign w:val="center"/>
            <w:hideMark/>
          </w:tcPr>
          <w:p w14:paraId="3C5EC478" w14:textId="77777777" w:rsidR="00AB1044" w:rsidRPr="00AB1044" w:rsidRDefault="7A3580D0" w:rsidP="06A0C929">
            <w:pPr>
              <w:spacing w:line="240" w:lineRule="auto"/>
              <w:jc w:val="center"/>
              <w:rPr>
                <w:rFonts w:eastAsia="Times New Roman"/>
                <w:color w:val="000000"/>
                <w:lang w:eastAsia="en-US"/>
              </w:rPr>
            </w:pPr>
            <w:r w:rsidRPr="06A0C929">
              <w:rPr>
                <w:rFonts w:eastAsia="Times New Roman"/>
                <w:color w:val="000000" w:themeColor="text1"/>
                <w:highlight w:val="yellow"/>
                <w:lang w:eastAsia="en-US"/>
              </w:rPr>
              <w:t xml:space="preserve">      </w:t>
            </w:r>
            <w:r w:rsidR="2678B840" w:rsidRPr="06A0C929">
              <w:rPr>
                <w:rFonts w:eastAsia="Times New Roman"/>
                <w:color w:val="000000" w:themeColor="text1"/>
                <w:lang w:eastAsia="en-US"/>
              </w:rPr>
              <w:t xml:space="preserve">67,971.96 </w:t>
            </w:r>
          </w:p>
          <w:p w14:paraId="1AA3F2E2" w14:textId="77777777" w:rsidR="00AB1044" w:rsidRPr="00AB1044" w:rsidRDefault="00AB1044" w:rsidP="06A0C929">
            <w:pPr>
              <w:spacing w:line="240" w:lineRule="auto"/>
              <w:jc w:val="center"/>
              <w:rPr>
                <w:rFonts w:eastAsia="Times New Roman"/>
                <w:color w:val="000000"/>
                <w:lang w:eastAsia="en-US"/>
              </w:rPr>
            </w:pPr>
          </w:p>
          <w:p w14:paraId="1EA97FED" w14:textId="77777777" w:rsidR="00AB1044" w:rsidRPr="00AB1044" w:rsidRDefault="00AB1044" w:rsidP="06A0C929">
            <w:pPr>
              <w:spacing w:line="240" w:lineRule="auto"/>
              <w:jc w:val="center"/>
              <w:rPr>
                <w:rFonts w:eastAsia="Times New Roman"/>
                <w:color w:val="000000"/>
                <w:lang w:eastAsia="en-US"/>
              </w:rPr>
            </w:pPr>
          </w:p>
          <w:p w14:paraId="092B1716" w14:textId="679D66EF" w:rsidR="00956DC6" w:rsidRPr="00BA439C" w:rsidRDefault="00956DC6" w:rsidP="06A0C929">
            <w:pPr>
              <w:spacing w:line="240" w:lineRule="auto"/>
              <w:jc w:val="center"/>
              <w:rPr>
                <w:rFonts w:eastAsia="Times New Roman"/>
                <w:color w:val="000000"/>
                <w:highlight w:val="yellow"/>
                <w:lang w:eastAsia="en-US"/>
              </w:rPr>
            </w:pPr>
          </w:p>
        </w:tc>
        <w:tc>
          <w:tcPr>
            <w:tcW w:w="615" w:type="pct"/>
            <w:vMerge w:val="restart"/>
            <w:shd w:val="clear" w:color="auto" w:fill="FFFFFF" w:themeFill="background1"/>
            <w:vAlign w:val="center"/>
            <w:hideMark/>
          </w:tcPr>
          <w:p w14:paraId="55215466" w14:textId="569A0025" w:rsidR="00956DC6" w:rsidRPr="00BA439C" w:rsidRDefault="006A6A11" w:rsidP="06A0C929">
            <w:pPr>
              <w:spacing w:line="240" w:lineRule="auto"/>
              <w:jc w:val="center"/>
              <w:rPr>
                <w:rFonts w:eastAsia="Times New Roman"/>
                <w:color w:val="000000"/>
                <w:highlight w:val="yellow"/>
                <w:lang w:eastAsia="en-US"/>
              </w:rPr>
            </w:pPr>
            <w:r w:rsidRPr="007C3683">
              <w:rPr>
                <w:rFonts w:eastAsia="Times New Roman"/>
                <w:color w:val="000000" w:themeColor="text1"/>
                <w:highlight w:val="cyan"/>
                <w:lang w:eastAsia="en-US"/>
              </w:rPr>
              <w:t>10</w:t>
            </w:r>
            <w:r w:rsidR="7A3580D0" w:rsidRPr="007C3683">
              <w:rPr>
                <w:rFonts w:eastAsia="Times New Roman"/>
                <w:color w:val="000000" w:themeColor="text1"/>
                <w:highlight w:val="cyan"/>
                <w:lang w:eastAsia="en-US"/>
              </w:rPr>
              <w:t>%</w:t>
            </w:r>
          </w:p>
        </w:tc>
      </w:tr>
      <w:tr w:rsidR="00956DC6" w:rsidRPr="00956DC6" w14:paraId="445D9174" w14:textId="77777777" w:rsidTr="006F6565">
        <w:trPr>
          <w:trHeight w:val="804"/>
        </w:trPr>
        <w:tc>
          <w:tcPr>
            <w:tcW w:w="1071" w:type="pct"/>
            <w:vMerge/>
            <w:vAlign w:val="center"/>
            <w:hideMark/>
          </w:tcPr>
          <w:p w14:paraId="400FABF3" w14:textId="77777777" w:rsidR="00956DC6" w:rsidRPr="00956DC6" w:rsidRDefault="00956DC6" w:rsidP="00956DC6">
            <w:pPr>
              <w:spacing w:line="240" w:lineRule="auto"/>
              <w:rPr>
                <w:rFonts w:eastAsia="Times New Roman"/>
                <w:color w:val="000000"/>
                <w:lang w:val="en-US" w:eastAsia="en-US"/>
              </w:rPr>
            </w:pPr>
          </w:p>
        </w:tc>
        <w:tc>
          <w:tcPr>
            <w:tcW w:w="2635" w:type="pct"/>
            <w:shd w:val="clear" w:color="auto" w:fill="FFFFFF" w:themeFill="background1"/>
            <w:vAlign w:val="center"/>
            <w:hideMark/>
          </w:tcPr>
          <w:p w14:paraId="34445F85" w14:textId="5B612896" w:rsidR="00956DC6" w:rsidRPr="00850CA7" w:rsidRDefault="66AED257" w:rsidP="06A0C929">
            <w:pPr>
              <w:spacing w:line="240" w:lineRule="auto"/>
            </w:pPr>
            <w:r w:rsidRPr="06A0C929">
              <w:t xml:space="preserve">Appuyer l’identification et </w:t>
            </w:r>
            <w:r w:rsidR="4B60715B" w:rsidRPr="06A0C929">
              <w:t xml:space="preserve">l’analyse continue des obstacles </w:t>
            </w:r>
            <w:r w:rsidRPr="06A0C929">
              <w:t xml:space="preserve">et déterminants </w:t>
            </w:r>
            <w:r w:rsidR="055730CC" w:rsidRPr="06A0C929">
              <w:t>de l’utilisation initiale et de la discontinuité de la vaccination ;</w:t>
            </w:r>
          </w:p>
        </w:tc>
        <w:tc>
          <w:tcPr>
            <w:tcW w:w="680" w:type="pct"/>
            <w:vMerge/>
            <w:vAlign w:val="center"/>
            <w:hideMark/>
          </w:tcPr>
          <w:p w14:paraId="3E114DC7" w14:textId="77777777" w:rsidR="00956DC6" w:rsidRPr="00BA439C" w:rsidRDefault="00956DC6" w:rsidP="00956DC6">
            <w:pPr>
              <w:spacing w:line="240" w:lineRule="auto"/>
              <w:rPr>
                <w:rFonts w:eastAsia="Times New Roman"/>
                <w:color w:val="000000"/>
                <w:highlight w:val="yellow"/>
                <w:lang w:eastAsia="en-US"/>
              </w:rPr>
            </w:pPr>
          </w:p>
        </w:tc>
        <w:tc>
          <w:tcPr>
            <w:tcW w:w="615" w:type="pct"/>
            <w:vMerge/>
            <w:vAlign w:val="center"/>
            <w:hideMark/>
          </w:tcPr>
          <w:p w14:paraId="38E1AAAD" w14:textId="77777777" w:rsidR="00956DC6" w:rsidRPr="00BA439C" w:rsidRDefault="00956DC6" w:rsidP="00956DC6">
            <w:pPr>
              <w:spacing w:line="240" w:lineRule="auto"/>
              <w:rPr>
                <w:rFonts w:eastAsia="Times New Roman"/>
                <w:color w:val="000000"/>
                <w:highlight w:val="yellow"/>
                <w:lang w:eastAsia="en-US"/>
              </w:rPr>
            </w:pPr>
          </w:p>
        </w:tc>
      </w:tr>
      <w:tr w:rsidR="00956DC6" w:rsidRPr="00956DC6" w14:paraId="06B15400" w14:textId="77777777" w:rsidTr="006F6565">
        <w:trPr>
          <w:trHeight w:val="1320"/>
        </w:trPr>
        <w:tc>
          <w:tcPr>
            <w:tcW w:w="1071" w:type="pct"/>
            <w:vMerge/>
            <w:vAlign w:val="center"/>
            <w:hideMark/>
          </w:tcPr>
          <w:p w14:paraId="54A1EA7A" w14:textId="77777777" w:rsidR="00956DC6" w:rsidRPr="00956DC6" w:rsidRDefault="00956DC6" w:rsidP="00956DC6">
            <w:pPr>
              <w:spacing w:line="240" w:lineRule="auto"/>
              <w:rPr>
                <w:rFonts w:eastAsia="Times New Roman"/>
                <w:color w:val="000000"/>
                <w:lang w:eastAsia="en-US"/>
              </w:rPr>
            </w:pPr>
          </w:p>
        </w:tc>
        <w:tc>
          <w:tcPr>
            <w:tcW w:w="2635" w:type="pct"/>
            <w:shd w:val="clear" w:color="auto" w:fill="FFFFFF" w:themeFill="background1"/>
            <w:vAlign w:val="center"/>
            <w:hideMark/>
          </w:tcPr>
          <w:p w14:paraId="62AD3444" w14:textId="70FD225D" w:rsidR="00344B16" w:rsidRPr="00344B16" w:rsidRDefault="4B60715B" w:rsidP="06A0C929">
            <w:pPr>
              <w:autoSpaceDE w:val="0"/>
              <w:autoSpaceDN w:val="0"/>
              <w:adjustRightInd w:val="0"/>
              <w:spacing w:line="240" w:lineRule="auto"/>
              <w:rPr>
                <w:rFonts w:eastAsia="Times New Roman"/>
                <w:color w:val="000000"/>
                <w:lang w:eastAsia="en-US"/>
              </w:rPr>
            </w:pPr>
            <w:r w:rsidRPr="06A0C929">
              <w:rPr>
                <w:rFonts w:eastAsia="Times New Roman"/>
                <w:color w:val="000000" w:themeColor="text1"/>
                <w:lang w:eastAsia="en-US"/>
              </w:rPr>
              <w:t xml:space="preserve">Soutenir l’élaboration des </w:t>
            </w:r>
            <w:r w:rsidR="055730CC" w:rsidRPr="06A0C929">
              <w:rPr>
                <w:rFonts w:eastAsia="Times New Roman"/>
                <w:color w:val="000000" w:themeColor="text1"/>
                <w:lang w:eastAsia="en-US"/>
              </w:rPr>
              <w:t xml:space="preserve">micro </w:t>
            </w:r>
            <w:r w:rsidRPr="06A0C929">
              <w:rPr>
                <w:rFonts w:eastAsia="Times New Roman"/>
                <w:color w:val="000000" w:themeColor="text1"/>
                <w:lang w:eastAsia="en-US"/>
              </w:rPr>
              <w:t xml:space="preserve">plans </w:t>
            </w:r>
            <w:r w:rsidR="055730CC" w:rsidRPr="06A0C929">
              <w:rPr>
                <w:rFonts w:eastAsia="Times New Roman"/>
                <w:color w:val="000000" w:themeColor="text1"/>
                <w:lang w:eastAsia="en-US"/>
              </w:rPr>
              <w:t xml:space="preserve">équité </w:t>
            </w:r>
            <w:r w:rsidRPr="06A0C929">
              <w:rPr>
                <w:rFonts w:eastAsia="Times New Roman"/>
                <w:color w:val="000000" w:themeColor="text1"/>
                <w:lang w:eastAsia="en-US"/>
              </w:rPr>
              <w:t xml:space="preserve">de vaccination sub-nationaux </w:t>
            </w:r>
            <w:r w:rsidR="574AF669" w:rsidRPr="06A0C929">
              <w:rPr>
                <w:rFonts w:eastAsia="Times New Roman"/>
                <w:color w:val="000000" w:themeColor="text1"/>
                <w:lang w:eastAsia="en-US"/>
              </w:rPr>
              <w:t>pour atteindre les enfants zéro dose et communauté</w:t>
            </w:r>
            <w:r w:rsidR="6B4531FA" w:rsidRPr="06A0C929">
              <w:rPr>
                <w:rFonts w:eastAsia="Times New Roman"/>
                <w:color w:val="000000" w:themeColor="text1"/>
                <w:lang w:eastAsia="en-US"/>
              </w:rPr>
              <w:t>s</w:t>
            </w:r>
            <w:r w:rsidR="574AF669" w:rsidRPr="06A0C929">
              <w:rPr>
                <w:rFonts w:eastAsia="Times New Roman"/>
                <w:color w:val="000000" w:themeColor="text1"/>
                <w:lang w:eastAsia="en-US"/>
              </w:rPr>
              <w:t xml:space="preserve"> sous desservies ; </w:t>
            </w:r>
          </w:p>
        </w:tc>
        <w:tc>
          <w:tcPr>
            <w:tcW w:w="680" w:type="pct"/>
            <w:vMerge/>
            <w:vAlign w:val="center"/>
            <w:hideMark/>
          </w:tcPr>
          <w:p w14:paraId="29BB0EC3" w14:textId="77777777" w:rsidR="00956DC6" w:rsidRPr="00BA439C" w:rsidRDefault="00956DC6" w:rsidP="00956DC6">
            <w:pPr>
              <w:spacing w:line="240" w:lineRule="auto"/>
              <w:rPr>
                <w:rFonts w:eastAsia="Times New Roman"/>
                <w:color w:val="000000"/>
                <w:highlight w:val="yellow"/>
                <w:lang w:eastAsia="en-US"/>
              </w:rPr>
            </w:pPr>
          </w:p>
        </w:tc>
        <w:tc>
          <w:tcPr>
            <w:tcW w:w="615" w:type="pct"/>
            <w:vMerge/>
            <w:vAlign w:val="center"/>
            <w:hideMark/>
          </w:tcPr>
          <w:p w14:paraId="08322490" w14:textId="77777777" w:rsidR="00956DC6" w:rsidRPr="00BA439C" w:rsidRDefault="00956DC6" w:rsidP="00956DC6">
            <w:pPr>
              <w:spacing w:line="240" w:lineRule="auto"/>
              <w:rPr>
                <w:rFonts w:eastAsia="Times New Roman"/>
                <w:color w:val="000000"/>
                <w:highlight w:val="yellow"/>
                <w:lang w:eastAsia="en-US"/>
              </w:rPr>
            </w:pPr>
          </w:p>
        </w:tc>
      </w:tr>
      <w:tr w:rsidR="00956DC6" w:rsidRPr="00956DC6" w14:paraId="12B718BF" w14:textId="77777777" w:rsidTr="006F6565">
        <w:trPr>
          <w:trHeight w:val="975"/>
        </w:trPr>
        <w:tc>
          <w:tcPr>
            <w:tcW w:w="1071" w:type="pct"/>
            <w:shd w:val="clear" w:color="auto" w:fill="FFFFFF" w:themeFill="background1"/>
            <w:vAlign w:val="center"/>
            <w:hideMark/>
          </w:tcPr>
          <w:p w14:paraId="5BF03381" w14:textId="77777777" w:rsidR="00956DC6" w:rsidRPr="00956DC6" w:rsidRDefault="7A3580D0" w:rsidP="06A0C929">
            <w:pPr>
              <w:spacing w:line="240" w:lineRule="auto"/>
              <w:rPr>
                <w:rFonts w:eastAsia="Times New Roman"/>
                <w:color w:val="000000"/>
                <w:lang w:eastAsia="en-US"/>
              </w:rPr>
            </w:pPr>
            <w:r w:rsidRPr="06A0C929">
              <w:rPr>
                <w:rFonts w:eastAsia="Times New Roman"/>
                <w:color w:val="000000" w:themeColor="text1"/>
                <w:lang w:eastAsia="en-US"/>
              </w:rPr>
              <w:t>Ressources humaines pour la santé</w:t>
            </w:r>
          </w:p>
        </w:tc>
        <w:tc>
          <w:tcPr>
            <w:tcW w:w="2635" w:type="pct"/>
            <w:shd w:val="clear" w:color="auto" w:fill="FFFFFF" w:themeFill="background1"/>
            <w:vAlign w:val="center"/>
            <w:hideMark/>
          </w:tcPr>
          <w:p w14:paraId="28F4BBD9" w14:textId="2AF77660" w:rsidR="00245D84" w:rsidRPr="00956DC6" w:rsidRDefault="7B7DB03E" w:rsidP="06A0C929">
            <w:pPr>
              <w:autoSpaceDE w:val="0"/>
              <w:autoSpaceDN w:val="0"/>
              <w:adjustRightInd w:val="0"/>
              <w:spacing w:line="240" w:lineRule="auto"/>
              <w:rPr>
                <w:rFonts w:eastAsia="Times New Roman"/>
                <w:color w:val="000000"/>
                <w:lang w:eastAsia="en-US"/>
              </w:rPr>
            </w:pPr>
            <w:r w:rsidRPr="06A0C929">
              <w:rPr>
                <w:rFonts w:eastAsia="Times New Roman"/>
                <w:color w:val="000000" w:themeColor="text1"/>
                <w:lang w:eastAsia="en-US"/>
              </w:rPr>
              <w:t>Soutenir le développement et la mise en œuvre du plan de renforcement des capacités des vaccinateurs et superviseurs sur la vaccination pratique et surveillance des évènements indésirables ;</w:t>
            </w:r>
            <w:r w:rsidRPr="06A0C929">
              <w:rPr>
                <w:rFonts w:ascii="CIDFont+F5" w:eastAsiaTheme="minorEastAsia" w:hAnsi="CIDFont+F5" w:cs="CIDFont+F5"/>
                <w:sz w:val="19"/>
                <w:szCs w:val="19"/>
                <w:lang w:eastAsia="en-US"/>
              </w:rPr>
              <w:t xml:space="preserve"> </w:t>
            </w:r>
          </w:p>
        </w:tc>
        <w:tc>
          <w:tcPr>
            <w:tcW w:w="680" w:type="pct"/>
            <w:shd w:val="clear" w:color="auto" w:fill="FFFFFF" w:themeFill="background1"/>
            <w:vAlign w:val="center"/>
            <w:hideMark/>
          </w:tcPr>
          <w:p w14:paraId="4FD74175" w14:textId="35BE2F6A" w:rsidR="00956DC6" w:rsidRPr="00BA439C" w:rsidRDefault="7A3580D0" w:rsidP="06A0C929">
            <w:pPr>
              <w:spacing w:line="240" w:lineRule="auto"/>
              <w:jc w:val="center"/>
              <w:rPr>
                <w:rFonts w:eastAsia="Times New Roman"/>
                <w:color w:val="000000"/>
                <w:sz w:val="20"/>
                <w:szCs w:val="20"/>
                <w:highlight w:val="yellow"/>
                <w:lang w:eastAsia="en-US"/>
              </w:rPr>
            </w:pPr>
            <w:r w:rsidRPr="06A0C929">
              <w:rPr>
                <w:rFonts w:eastAsia="Times New Roman"/>
                <w:color w:val="000000" w:themeColor="text1"/>
                <w:sz w:val="20"/>
                <w:szCs w:val="20"/>
                <w:highlight w:val="yellow"/>
                <w:lang w:eastAsia="en-US"/>
              </w:rPr>
              <w:t xml:space="preserve">       </w:t>
            </w:r>
            <w:r w:rsidR="288278A3" w:rsidRPr="06A0C929">
              <w:rPr>
                <w:rFonts w:eastAsia="Times New Roman"/>
                <w:color w:val="000000" w:themeColor="text1"/>
                <w:sz w:val="20"/>
                <w:szCs w:val="20"/>
                <w:lang w:eastAsia="en-US"/>
              </w:rPr>
              <w:t>10,069.92</w:t>
            </w:r>
          </w:p>
        </w:tc>
        <w:tc>
          <w:tcPr>
            <w:tcW w:w="615" w:type="pct"/>
            <w:shd w:val="clear" w:color="auto" w:fill="FFFFFF" w:themeFill="background1"/>
            <w:vAlign w:val="center"/>
            <w:hideMark/>
          </w:tcPr>
          <w:p w14:paraId="0FF7063D" w14:textId="6D045C70" w:rsidR="00956DC6" w:rsidRPr="00BA439C" w:rsidRDefault="00DF134C" w:rsidP="06A0C929">
            <w:pPr>
              <w:spacing w:line="240" w:lineRule="auto"/>
              <w:jc w:val="center"/>
              <w:rPr>
                <w:rFonts w:eastAsia="Times New Roman"/>
                <w:color w:val="000000"/>
                <w:sz w:val="20"/>
                <w:szCs w:val="20"/>
                <w:highlight w:val="yellow"/>
                <w:lang w:eastAsia="en-US"/>
              </w:rPr>
            </w:pPr>
            <w:r>
              <w:rPr>
                <w:rFonts w:eastAsia="Times New Roman"/>
                <w:color w:val="000000" w:themeColor="text1"/>
                <w:sz w:val="20"/>
                <w:szCs w:val="20"/>
                <w:highlight w:val="cyan"/>
                <w:lang w:eastAsia="en-US"/>
              </w:rPr>
              <w:t>2</w:t>
            </w:r>
            <w:r w:rsidR="7A3580D0" w:rsidRPr="007C3683">
              <w:rPr>
                <w:rFonts w:eastAsia="Times New Roman"/>
                <w:color w:val="000000" w:themeColor="text1"/>
                <w:sz w:val="20"/>
                <w:szCs w:val="20"/>
                <w:highlight w:val="cyan"/>
                <w:lang w:eastAsia="en-US"/>
              </w:rPr>
              <w:t>%</w:t>
            </w:r>
          </w:p>
        </w:tc>
      </w:tr>
      <w:tr w:rsidR="00956DC6" w:rsidRPr="00956DC6" w14:paraId="6E96860C" w14:textId="77777777" w:rsidTr="006F6565">
        <w:trPr>
          <w:trHeight w:val="831"/>
        </w:trPr>
        <w:tc>
          <w:tcPr>
            <w:tcW w:w="1071" w:type="pct"/>
            <w:vMerge w:val="restart"/>
            <w:shd w:val="clear" w:color="auto" w:fill="FFFFFF" w:themeFill="background1"/>
            <w:vAlign w:val="center"/>
            <w:hideMark/>
          </w:tcPr>
          <w:p w14:paraId="153D0EE9" w14:textId="77777777" w:rsidR="00956DC6" w:rsidRPr="00956DC6" w:rsidRDefault="7A3580D0" w:rsidP="06A0C929">
            <w:pPr>
              <w:spacing w:line="240" w:lineRule="auto"/>
              <w:jc w:val="center"/>
              <w:rPr>
                <w:rFonts w:eastAsia="Times New Roman"/>
                <w:color w:val="000000"/>
                <w:lang w:eastAsia="en-US"/>
              </w:rPr>
            </w:pPr>
            <w:r w:rsidRPr="06A0C929">
              <w:rPr>
                <w:rFonts w:eastAsia="Times New Roman"/>
                <w:color w:val="000000" w:themeColor="text1"/>
                <w:lang w:eastAsia="en-US"/>
              </w:rPr>
              <w:t xml:space="preserve">Chaîne d’approvisionnement  </w:t>
            </w:r>
          </w:p>
        </w:tc>
        <w:tc>
          <w:tcPr>
            <w:tcW w:w="2635" w:type="pct"/>
            <w:shd w:val="clear" w:color="auto" w:fill="FFFFFF" w:themeFill="background1"/>
            <w:vAlign w:val="center"/>
            <w:hideMark/>
          </w:tcPr>
          <w:p w14:paraId="6271CAF9" w14:textId="69358EE7" w:rsidR="001D0FB2" w:rsidRPr="001D0FB2" w:rsidRDefault="70A44364" w:rsidP="06A0C929">
            <w:pPr>
              <w:spacing w:line="240" w:lineRule="auto"/>
              <w:rPr>
                <w:rFonts w:eastAsia="Times New Roman"/>
                <w:color w:val="000000"/>
                <w:lang w:eastAsia="en-US"/>
              </w:rPr>
            </w:pPr>
            <w:r w:rsidRPr="06A0C929">
              <w:rPr>
                <w:rFonts w:eastAsia="Times New Roman"/>
                <w:color w:val="000000" w:themeColor="text1"/>
                <w:lang w:eastAsia="en-US"/>
              </w:rPr>
              <w:t>Contribuer à l’élaboration et la diffusion de directives et</w:t>
            </w:r>
            <w:r w:rsidR="7A5742BB" w:rsidRPr="06A0C929">
              <w:rPr>
                <w:rFonts w:eastAsia="Times New Roman"/>
                <w:color w:val="000000" w:themeColor="text1"/>
                <w:lang w:eastAsia="en-US"/>
              </w:rPr>
              <w:t xml:space="preserve"> procédures opératoires normalisées (PON) sur</w:t>
            </w:r>
            <w:r w:rsidRPr="06A0C929">
              <w:rPr>
                <w:rFonts w:eastAsia="Times New Roman"/>
                <w:color w:val="000000" w:themeColor="text1"/>
                <w:lang w:eastAsia="en-US"/>
              </w:rPr>
              <w:t xml:space="preserve"> la maintenance préventive</w:t>
            </w:r>
            <w:r w:rsidR="5B5EE4E4" w:rsidRPr="06A0C929">
              <w:rPr>
                <w:rFonts w:eastAsia="Times New Roman"/>
                <w:color w:val="000000" w:themeColor="text1"/>
                <w:lang w:eastAsia="en-US"/>
              </w:rPr>
              <w:t xml:space="preserve"> </w:t>
            </w:r>
            <w:r w:rsidRPr="06A0C929">
              <w:rPr>
                <w:rFonts w:eastAsia="Times New Roman"/>
                <w:color w:val="000000" w:themeColor="text1"/>
                <w:lang w:eastAsia="en-US"/>
              </w:rPr>
              <w:t>de</w:t>
            </w:r>
            <w:r w:rsidR="7A5742BB" w:rsidRPr="06A0C929">
              <w:rPr>
                <w:rFonts w:eastAsia="Times New Roman"/>
                <w:color w:val="000000" w:themeColor="text1"/>
                <w:lang w:eastAsia="en-US"/>
              </w:rPr>
              <w:t xml:space="preserve"> l’équipement de la chaine de froid d</w:t>
            </w:r>
            <w:r w:rsidR="5B5EE4E4" w:rsidRPr="06A0C929">
              <w:rPr>
                <w:rFonts w:eastAsia="Times New Roman"/>
                <w:color w:val="000000" w:themeColor="text1"/>
                <w:lang w:eastAsia="en-US"/>
              </w:rPr>
              <w:t>es DPS/CS/postes de santé</w:t>
            </w:r>
            <w:r w:rsidR="7A5742BB" w:rsidRPr="06A0C929">
              <w:rPr>
                <w:rFonts w:eastAsia="Times New Roman"/>
                <w:color w:val="000000" w:themeColor="text1"/>
                <w:lang w:eastAsia="en-US"/>
              </w:rPr>
              <w:t> ;</w:t>
            </w:r>
          </w:p>
        </w:tc>
        <w:tc>
          <w:tcPr>
            <w:tcW w:w="680" w:type="pct"/>
            <w:vMerge w:val="restart"/>
            <w:shd w:val="clear" w:color="auto" w:fill="FFFFFF" w:themeFill="background1"/>
            <w:vAlign w:val="center"/>
            <w:hideMark/>
          </w:tcPr>
          <w:p w14:paraId="4E99AF91" w14:textId="4EB661FC" w:rsidR="004968C8" w:rsidRPr="004968C8" w:rsidRDefault="7A3580D0" w:rsidP="00491CE6">
            <w:pPr>
              <w:spacing w:line="240" w:lineRule="auto"/>
              <w:jc w:val="center"/>
              <w:rPr>
                <w:rFonts w:eastAsia="Times New Roman"/>
                <w:color w:val="000000"/>
                <w:lang w:eastAsia="en-US"/>
              </w:rPr>
            </w:pPr>
            <w:r w:rsidRPr="06A0C929">
              <w:rPr>
                <w:rFonts w:eastAsia="Times New Roman"/>
                <w:color w:val="000000" w:themeColor="text1"/>
                <w:highlight w:val="yellow"/>
                <w:lang w:eastAsia="en-US"/>
              </w:rPr>
              <w:t xml:space="preserve">      </w:t>
            </w:r>
            <w:r w:rsidR="288278A3" w:rsidRPr="06A0C929">
              <w:rPr>
                <w:rFonts w:eastAsia="Times New Roman"/>
                <w:color w:val="000000" w:themeColor="text1"/>
                <w:lang w:eastAsia="en-US"/>
              </w:rPr>
              <w:t xml:space="preserve">32,727.24 </w:t>
            </w:r>
          </w:p>
          <w:p w14:paraId="78F13C57" w14:textId="77777777" w:rsidR="004968C8" w:rsidRPr="004968C8" w:rsidRDefault="004968C8" w:rsidP="06A0C929">
            <w:pPr>
              <w:spacing w:line="240" w:lineRule="auto"/>
              <w:jc w:val="center"/>
              <w:rPr>
                <w:rFonts w:eastAsia="Times New Roman"/>
                <w:color w:val="000000"/>
                <w:lang w:eastAsia="en-US"/>
              </w:rPr>
            </w:pPr>
          </w:p>
          <w:p w14:paraId="4284937D" w14:textId="59A4E0AC" w:rsidR="00956DC6" w:rsidRPr="00BA439C" w:rsidRDefault="00956DC6" w:rsidP="06A0C929">
            <w:pPr>
              <w:spacing w:line="240" w:lineRule="auto"/>
              <w:jc w:val="center"/>
              <w:rPr>
                <w:rFonts w:eastAsia="Times New Roman"/>
                <w:color w:val="000000"/>
                <w:highlight w:val="yellow"/>
                <w:lang w:eastAsia="en-US"/>
              </w:rPr>
            </w:pPr>
          </w:p>
        </w:tc>
        <w:tc>
          <w:tcPr>
            <w:tcW w:w="615" w:type="pct"/>
            <w:vMerge w:val="restart"/>
            <w:shd w:val="clear" w:color="auto" w:fill="FFFFFF" w:themeFill="background1"/>
            <w:vAlign w:val="center"/>
            <w:hideMark/>
          </w:tcPr>
          <w:p w14:paraId="731B04DD" w14:textId="51DDF6A9" w:rsidR="00956DC6" w:rsidRPr="00BA439C" w:rsidRDefault="00DF134C" w:rsidP="06A0C929">
            <w:pPr>
              <w:spacing w:line="240" w:lineRule="auto"/>
              <w:jc w:val="center"/>
              <w:rPr>
                <w:rFonts w:eastAsia="Times New Roman"/>
                <w:color w:val="000000"/>
                <w:highlight w:val="yellow"/>
                <w:lang w:eastAsia="en-US"/>
              </w:rPr>
            </w:pPr>
            <w:r>
              <w:rPr>
                <w:rFonts w:eastAsia="Times New Roman"/>
                <w:color w:val="000000" w:themeColor="text1"/>
                <w:highlight w:val="cyan"/>
                <w:lang w:eastAsia="en-US"/>
              </w:rPr>
              <w:t>6</w:t>
            </w:r>
            <w:r w:rsidR="7A3580D0" w:rsidRPr="007C3683">
              <w:rPr>
                <w:rFonts w:eastAsia="Times New Roman"/>
                <w:color w:val="000000" w:themeColor="text1"/>
                <w:highlight w:val="cyan"/>
                <w:lang w:eastAsia="en-US"/>
              </w:rPr>
              <w:t>%</w:t>
            </w:r>
          </w:p>
        </w:tc>
      </w:tr>
      <w:tr w:rsidR="00956DC6" w:rsidRPr="00956DC6" w14:paraId="37E923D5" w14:textId="77777777" w:rsidTr="006F6565">
        <w:trPr>
          <w:trHeight w:val="957"/>
        </w:trPr>
        <w:tc>
          <w:tcPr>
            <w:tcW w:w="1071" w:type="pct"/>
            <w:vMerge/>
            <w:vAlign w:val="center"/>
            <w:hideMark/>
          </w:tcPr>
          <w:p w14:paraId="1FA16CA1" w14:textId="77777777" w:rsidR="00956DC6" w:rsidRPr="00956DC6" w:rsidRDefault="00956DC6" w:rsidP="00956DC6">
            <w:pPr>
              <w:spacing w:line="240" w:lineRule="auto"/>
              <w:rPr>
                <w:rFonts w:eastAsia="Times New Roman"/>
                <w:color w:val="000000"/>
                <w:lang w:val="en-US" w:eastAsia="en-US"/>
              </w:rPr>
            </w:pPr>
          </w:p>
        </w:tc>
        <w:tc>
          <w:tcPr>
            <w:tcW w:w="2635" w:type="pct"/>
            <w:shd w:val="clear" w:color="auto" w:fill="FFFFFF" w:themeFill="background1"/>
            <w:vAlign w:val="center"/>
            <w:hideMark/>
          </w:tcPr>
          <w:p w14:paraId="0ED1101E" w14:textId="783A4390" w:rsidR="00956DC6" w:rsidRPr="00956DC6" w:rsidRDefault="7A3580D0" w:rsidP="06A0C929">
            <w:pPr>
              <w:spacing w:line="240" w:lineRule="auto"/>
              <w:rPr>
                <w:rFonts w:eastAsia="Times New Roman"/>
                <w:color w:val="000000"/>
                <w:lang w:eastAsia="en-US"/>
              </w:rPr>
            </w:pPr>
            <w:r w:rsidRPr="06A0C929">
              <w:rPr>
                <w:rFonts w:eastAsia="Times New Roman"/>
                <w:color w:val="000000" w:themeColor="text1"/>
                <w:lang w:eastAsia="en-US"/>
              </w:rPr>
              <w:t>Améliorer la gestion des stocks de vaccins</w:t>
            </w:r>
            <w:r w:rsidR="26127297" w:rsidRPr="06A0C929">
              <w:rPr>
                <w:rFonts w:eastAsia="Times New Roman"/>
                <w:color w:val="000000" w:themeColor="text1"/>
                <w:lang w:eastAsia="en-US"/>
              </w:rPr>
              <w:t>,</w:t>
            </w:r>
            <w:r w:rsidRPr="06A0C929">
              <w:rPr>
                <w:rFonts w:eastAsia="Times New Roman"/>
                <w:color w:val="000000" w:themeColor="text1"/>
                <w:lang w:eastAsia="en-US"/>
              </w:rPr>
              <w:t xml:space="preserve"> </w:t>
            </w:r>
            <w:r w:rsidR="26127297" w:rsidRPr="06A0C929">
              <w:rPr>
                <w:rFonts w:eastAsia="Times New Roman"/>
                <w:color w:val="000000" w:themeColor="text1"/>
                <w:lang w:eastAsia="en-US"/>
              </w:rPr>
              <w:t xml:space="preserve">dispositifs de la vaccination et le rapport de situation y afférente </w:t>
            </w:r>
            <w:r w:rsidR="70A44364" w:rsidRPr="06A0C929">
              <w:rPr>
                <w:rFonts w:eastAsia="Times New Roman"/>
                <w:color w:val="000000" w:themeColor="text1"/>
                <w:lang w:eastAsia="en-US"/>
              </w:rPr>
              <w:t>au niveau infranational</w:t>
            </w:r>
            <w:r w:rsidR="26127297" w:rsidRPr="06A0C929">
              <w:rPr>
                <w:rFonts w:eastAsia="Times New Roman"/>
                <w:color w:val="000000" w:themeColor="text1"/>
                <w:lang w:eastAsia="en-US"/>
              </w:rPr>
              <w:t> ;</w:t>
            </w:r>
          </w:p>
        </w:tc>
        <w:tc>
          <w:tcPr>
            <w:tcW w:w="680" w:type="pct"/>
            <w:vMerge/>
            <w:vAlign w:val="center"/>
            <w:hideMark/>
          </w:tcPr>
          <w:p w14:paraId="05640826" w14:textId="77777777" w:rsidR="00956DC6" w:rsidRPr="00BA439C" w:rsidRDefault="00956DC6" w:rsidP="00956DC6">
            <w:pPr>
              <w:spacing w:line="240" w:lineRule="auto"/>
              <w:rPr>
                <w:rFonts w:eastAsia="Times New Roman"/>
                <w:color w:val="000000"/>
                <w:highlight w:val="yellow"/>
                <w:lang w:eastAsia="en-US"/>
              </w:rPr>
            </w:pPr>
          </w:p>
        </w:tc>
        <w:tc>
          <w:tcPr>
            <w:tcW w:w="615" w:type="pct"/>
            <w:vMerge/>
            <w:vAlign w:val="center"/>
            <w:hideMark/>
          </w:tcPr>
          <w:p w14:paraId="69994496" w14:textId="77777777" w:rsidR="00956DC6" w:rsidRPr="00BA439C" w:rsidRDefault="00956DC6" w:rsidP="00956DC6">
            <w:pPr>
              <w:spacing w:line="240" w:lineRule="auto"/>
              <w:rPr>
                <w:rFonts w:eastAsia="Times New Roman"/>
                <w:color w:val="000000"/>
                <w:highlight w:val="yellow"/>
                <w:lang w:eastAsia="en-US"/>
              </w:rPr>
            </w:pPr>
          </w:p>
        </w:tc>
      </w:tr>
      <w:tr w:rsidR="00956DC6" w:rsidRPr="00956DC6" w14:paraId="547B67D8" w14:textId="77777777" w:rsidTr="006F6565">
        <w:trPr>
          <w:trHeight w:val="1092"/>
        </w:trPr>
        <w:tc>
          <w:tcPr>
            <w:tcW w:w="1071" w:type="pct"/>
            <w:vMerge/>
            <w:vAlign w:val="center"/>
            <w:hideMark/>
          </w:tcPr>
          <w:p w14:paraId="7B42613B" w14:textId="77777777" w:rsidR="00956DC6" w:rsidRPr="00956DC6" w:rsidRDefault="00956DC6" w:rsidP="00956DC6">
            <w:pPr>
              <w:spacing w:line="240" w:lineRule="auto"/>
              <w:rPr>
                <w:rFonts w:eastAsia="Times New Roman"/>
                <w:color w:val="000000"/>
                <w:lang w:eastAsia="en-US"/>
              </w:rPr>
            </w:pPr>
          </w:p>
        </w:tc>
        <w:tc>
          <w:tcPr>
            <w:tcW w:w="2635" w:type="pct"/>
            <w:shd w:val="clear" w:color="auto" w:fill="FFFFFF" w:themeFill="background1"/>
            <w:vAlign w:val="center"/>
            <w:hideMark/>
          </w:tcPr>
          <w:p w14:paraId="3C98FE28" w14:textId="77777777" w:rsidR="00956DC6" w:rsidRPr="00956DC6" w:rsidRDefault="7A3580D0" w:rsidP="06A0C929">
            <w:pPr>
              <w:spacing w:line="240" w:lineRule="auto"/>
              <w:rPr>
                <w:rFonts w:eastAsia="Times New Roman"/>
                <w:color w:val="000000"/>
                <w:lang w:eastAsia="en-US"/>
              </w:rPr>
            </w:pPr>
            <w:r w:rsidRPr="06A0C929">
              <w:rPr>
                <w:rFonts w:eastAsia="Times New Roman"/>
                <w:color w:val="000000" w:themeColor="text1"/>
                <w:lang w:eastAsia="en-US"/>
              </w:rPr>
              <w:t>Renforcer les systèmes d’information sur la gestion logistique pour assurer le suivi en temps réel à tous les niveaux de la chaîne d’approvisionnement des vaccins</w:t>
            </w:r>
          </w:p>
        </w:tc>
        <w:tc>
          <w:tcPr>
            <w:tcW w:w="680" w:type="pct"/>
            <w:vMerge/>
            <w:vAlign w:val="center"/>
            <w:hideMark/>
          </w:tcPr>
          <w:p w14:paraId="545B29C2" w14:textId="77777777" w:rsidR="00956DC6" w:rsidRPr="00BA439C" w:rsidRDefault="00956DC6" w:rsidP="00956DC6">
            <w:pPr>
              <w:spacing w:line="240" w:lineRule="auto"/>
              <w:rPr>
                <w:rFonts w:eastAsia="Times New Roman"/>
                <w:color w:val="000000"/>
                <w:highlight w:val="yellow"/>
                <w:lang w:eastAsia="en-US"/>
              </w:rPr>
            </w:pPr>
          </w:p>
        </w:tc>
        <w:tc>
          <w:tcPr>
            <w:tcW w:w="615" w:type="pct"/>
            <w:vMerge/>
            <w:vAlign w:val="center"/>
            <w:hideMark/>
          </w:tcPr>
          <w:p w14:paraId="485DE087" w14:textId="77777777" w:rsidR="00956DC6" w:rsidRPr="00BA439C" w:rsidRDefault="00956DC6" w:rsidP="00956DC6">
            <w:pPr>
              <w:spacing w:line="240" w:lineRule="auto"/>
              <w:rPr>
                <w:rFonts w:eastAsia="Times New Roman"/>
                <w:color w:val="000000"/>
                <w:highlight w:val="yellow"/>
                <w:lang w:eastAsia="en-US"/>
              </w:rPr>
            </w:pPr>
          </w:p>
        </w:tc>
      </w:tr>
      <w:tr w:rsidR="00956DC6" w:rsidRPr="00956DC6" w14:paraId="5B9D6840" w14:textId="77777777" w:rsidTr="006F6565">
        <w:trPr>
          <w:trHeight w:val="858"/>
        </w:trPr>
        <w:tc>
          <w:tcPr>
            <w:tcW w:w="1071" w:type="pct"/>
            <w:vMerge/>
            <w:vAlign w:val="center"/>
            <w:hideMark/>
          </w:tcPr>
          <w:p w14:paraId="1D4BAA47" w14:textId="77777777" w:rsidR="00956DC6" w:rsidRPr="00956DC6" w:rsidRDefault="00956DC6" w:rsidP="00956DC6">
            <w:pPr>
              <w:spacing w:line="240" w:lineRule="auto"/>
              <w:rPr>
                <w:rFonts w:eastAsia="Times New Roman"/>
                <w:color w:val="000000"/>
                <w:lang w:eastAsia="en-US"/>
              </w:rPr>
            </w:pPr>
          </w:p>
        </w:tc>
        <w:tc>
          <w:tcPr>
            <w:tcW w:w="2635" w:type="pct"/>
            <w:shd w:val="clear" w:color="auto" w:fill="FFFFFF" w:themeFill="background1"/>
            <w:vAlign w:val="center"/>
            <w:hideMark/>
          </w:tcPr>
          <w:p w14:paraId="7AD03357" w14:textId="24B2BAC0" w:rsidR="00956DC6" w:rsidRPr="00956DC6" w:rsidRDefault="747CC2FD" w:rsidP="06A0C929">
            <w:pPr>
              <w:spacing w:line="240" w:lineRule="auto"/>
              <w:rPr>
                <w:rFonts w:eastAsia="Times New Roman"/>
                <w:color w:val="000000"/>
                <w:lang w:eastAsia="en-US"/>
              </w:rPr>
            </w:pPr>
            <w:r w:rsidRPr="06A0C929">
              <w:rPr>
                <w:rFonts w:eastAsia="Times New Roman"/>
                <w:color w:val="000000" w:themeColor="text1"/>
                <w:lang w:eastAsia="en-US"/>
              </w:rPr>
              <w:t>Soutenir la mise en œuvre du plan de</w:t>
            </w:r>
            <w:r w:rsidR="7A3580D0" w:rsidRPr="06A0C929">
              <w:rPr>
                <w:rFonts w:eastAsia="Times New Roman"/>
                <w:color w:val="000000" w:themeColor="text1"/>
                <w:lang w:eastAsia="en-US"/>
              </w:rPr>
              <w:t xml:space="preserve"> gestion des déchets pour réduire le risque d’infection et/ou l’impact environnemental</w:t>
            </w:r>
          </w:p>
        </w:tc>
        <w:tc>
          <w:tcPr>
            <w:tcW w:w="680" w:type="pct"/>
            <w:vMerge/>
            <w:vAlign w:val="center"/>
            <w:hideMark/>
          </w:tcPr>
          <w:p w14:paraId="204E90BC" w14:textId="77777777" w:rsidR="00956DC6" w:rsidRPr="00BA439C" w:rsidRDefault="00956DC6" w:rsidP="00956DC6">
            <w:pPr>
              <w:spacing w:line="240" w:lineRule="auto"/>
              <w:rPr>
                <w:rFonts w:eastAsia="Times New Roman"/>
                <w:color w:val="000000"/>
                <w:highlight w:val="yellow"/>
                <w:lang w:eastAsia="en-US"/>
              </w:rPr>
            </w:pPr>
          </w:p>
        </w:tc>
        <w:tc>
          <w:tcPr>
            <w:tcW w:w="615" w:type="pct"/>
            <w:vMerge/>
            <w:vAlign w:val="center"/>
            <w:hideMark/>
          </w:tcPr>
          <w:p w14:paraId="01134728" w14:textId="77777777" w:rsidR="00956DC6" w:rsidRPr="00BA439C" w:rsidRDefault="00956DC6" w:rsidP="00956DC6">
            <w:pPr>
              <w:spacing w:line="240" w:lineRule="auto"/>
              <w:rPr>
                <w:rFonts w:eastAsia="Times New Roman"/>
                <w:color w:val="000000"/>
                <w:highlight w:val="yellow"/>
                <w:lang w:eastAsia="en-US"/>
              </w:rPr>
            </w:pPr>
          </w:p>
        </w:tc>
      </w:tr>
      <w:tr w:rsidR="00956DC6" w:rsidRPr="00956DC6" w14:paraId="7147B1CB" w14:textId="77777777" w:rsidTr="006F6565">
        <w:trPr>
          <w:trHeight w:val="1083"/>
        </w:trPr>
        <w:tc>
          <w:tcPr>
            <w:tcW w:w="1071" w:type="pct"/>
            <w:vMerge w:val="restart"/>
            <w:shd w:val="clear" w:color="auto" w:fill="FFFFFF" w:themeFill="background1"/>
            <w:vAlign w:val="center"/>
            <w:hideMark/>
          </w:tcPr>
          <w:p w14:paraId="40B54B39" w14:textId="77777777" w:rsidR="00956DC6" w:rsidRPr="00956DC6" w:rsidRDefault="7A3580D0" w:rsidP="06A0C929">
            <w:pPr>
              <w:spacing w:line="240" w:lineRule="auto"/>
              <w:rPr>
                <w:rFonts w:eastAsia="Times New Roman"/>
                <w:color w:val="000000"/>
                <w:lang w:eastAsia="en-US"/>
              </w:rPr>
            </w:pPr>
            <w:r w:rsidRPr="06A0C929">
              <w:rPr>
                <w:rFonts w:eastAsia="Times New Roman"/>
                <w:color w:val="000000" w:themeColor="text1"/>
                <w:lang w:eastAsia="en-US"/>
              </w:rPr>
              <w:t>Système d’information sanitaire et suivi et apprentissage</w:t>
            </w:r>
          </w:p>
        </w:tc>
        <w:tc>
          <w:tcPr>
            <w:tcW w:w="2635" w:type="pct"/>
            <w:shd w:val="clear" w:color="auto" w:fill="FFFFFF" w:themeFill="background1"/>
            <w:vAlign w:val="center"/>
            <w:hideMark/>
          </w:tcPr>
          <w:p w14:paraId="0613A533" w14:textId="75F25C8E" w:rsidR="00956DC6" w:rsidRPr="00AC09A2" w:rsidRDefault="5B5EE4E4" w:rsidP="06A0C929">
            <w:pPr>
              <w:spacing w:line="240" w:lineRule="auto"/>
              <w:rPr>
                <w:rFonts w:eastAsia="Times New Roman"/>
                <w:color w:val="000000"/>
                <w:lang w:eastAsia="en-US"/>
              </w:rPr>
            </w:pPr>
            <w:r w:rsidRPr="06A0C929">
              <w:rPr>
                <w:rFonts w:eastAsia="Times New Roman"/>
                <w:color w:val="000000" w:themeColor="text1"/>
                <w:lang w:eastAsia="en-US"/>
              </w:rPr>
              <w:t xml:space="preserve">Soutenir l’évaluation approfondie de la qualité des données dans les aires de santé et districts sanitaires </w:t>
            </w:r>
            <w:r w:rsidR="0B292207" w:rsidRPr="06A0C929">
              <w:rPr>
                <w:rFonts w:eastAsia="Times New Roman"/>
                <w:color w:val="000000" w:themeColor="text1"/>
                <w:lang w:eastAsia="en-US"/>
              </w:rPr>
              <w:t>dans la région de Labé ;</w:t>
            </w:r>
            <w:r w:rsidRPr="06A0C929">
              <w:rPr>
                <w:rFonts w:eastAsia="Times New Roman"/>
                <w:color w:val="000000" w:themeColor="text1"/>
                <w:lang w:eastAsia="en-US"/>
              </w:rPr>
              <w:t xml:space="preserve"> </w:t>
            </w:r>
          </w:p>
        </w:tc>
        <w:tc>
          <w:tcPr>
            <w:tcW w:w="680" w:type="pct"/>
            <w:vMerge w:val="restart"/>
            <w:shd w:val="clear" w:color="auto" w:fill="FFFFFF" w:themeFill="background1"/>
            <w:vAlign w:val="center"/>
            <w:hideMark/>
          </w:tcPr>
          <w:p w14:paraId="6B4C2331" w14:textId="77777777" w:rsidR="004968C8" w:rsidRPr="004968C8" w:rsidRDefault="7A3580D0" w:rsidP="06A0C929">
            <w:pPr>
              <w:spacing w:line="240" w:lineRule="auto"/>
              <w:jc w:val="center"/>
              <w:rPr>
                <w:rFonts w:eastAsia="Times New Roman"/>
                <w:color w:val="000000"/>
                <w:lang w:eastAsia="en-US"/>
              </w:rPr>
            </w:pPr>
            <w:r w:rsidRPr="06A0C929">
              <w:rPr>
                <w:rFonts w:eastAsia="Times New Roman"/>
                <w:color w:val="000000" w:themeColor="text1"/>
                <w:highlight w:val="yellow"/>
                <w:lang w:eastAsia="en-US"/>
              </w:rPr>
              <w:t xml:space="preserve">      </w:t>
            </w:r>
            <w:r w:rsidR="288278A3" w:rsidRPr="06A0C929">
              <w:rPr>
                <w:rFonts w:eastAsia="Times New Roman"/>
                <w:color w:val="000000" w:themeColor="text1"/>
                <w:lang w:eastAsia="en-US"/>
              </w:rPr>
              <w:t xml:space="preserve">42,797.16 </w:t>
            </w:r>
          </w:p>
          <w:p w14:paraId="62EF1273" w14:textId="77777777" w:rsidR="004968C8" w:rsidRPr="004968C8" w:rsidRDefault="004968C8" w:rsidP="06A0C929">
            <w:pPr>
              <w:spacing w:line="240" w:lineRule="auto"/>
              <w:jc w:val="center"/>
              <w:rPr>
                <w:rFonts w:eastAsia="Times New Roman"/>
                <w:color w:val="000000"/>
                <w:lang w:eastAsia="en-US"/>
              </w:rPr>
            </w:pPr>
          </w:p>
          <w:p w14:paraId="3AB540B0" w14:textId="08A3A52A" w:rsidR="00956DC6" w:rsidRPr="00BA439C" w:rsidRDefault="00956DC6" w:rsidP="06A0C929">
            <w:pPr>
              <w:spacing w:line="240" w:lineRule="auto"/>
              <w:jc w:val="center"/>
              <w:rPr>
                <w:rFonts w:eastAsia="Times New Roman"/>
                <w:color w:val="000000"/>
                <w:highlight w:val="yellow"/>
                <w:lang w:eastAsia="en-US"/>
              </w:rPr>
            </w:pPr>
          </w:p>
        </w:tc>
        <w:tc>
          <w:tcPr>
            <w:tcW w:w="615" w:type="pct"/>
            <w:vMerge w:val="restart"/>
            <w:shd w:val="clear" w:color="auto" w:fill="auto"/>
            <w:vAlign w:val="center"/>
            <w:hideMark/>
          </w:tcPr>
          <w:p w14:paraId="567F6B64" w14:textId="4B4C9F17" w:rsidR="00956DC6" w:rsidRPr="004968C8" w:rsidRDefault="00491CE6" w:rsidP="06A0C929">
            <w:pPr>
              <w:spacing w:line="240" w:lineRule="auto"/>
              <w:jc w:val="center"/>
              <w:rPr>
                <w:rFonts w:eastAsia="Times New Roman"/>
                <w:color w:val="000000"/>
                <w:lang w:eastAsia="en-US"/>
              </w:rPr>
            </w:pPr>
            <w:r w:rsidRPr="007C3683">
              <w:rPr>
                <w:rFonts w:eastAsia="Times New Roman"/>
                <w:color w:val="000000" w:themeColor="text1"/>
                <w:highlight w:val="cyan"/>
                <w:lang w:eastAsia="en-US"/>
              </w:rPr>
              <w:t>6</w:t>
            </w:r>
            <w:r w:rsidR="7A3580D0" w:rsidRPr="007C3683">
              <w:rPr>
                <w:rFonts w:eastAsia="Times New Roman"/>
                <w:color w:val="000000" w:themeColor="text1"/>
                <w:highlight w:val="cyan"/>
                <w:lang w:eastAsia="en-US"/>
              </w:rPr>
              <w:t>%</w:t>
            </w:r>
          </w:p>
        </w:tc>
      </w:tr>
      <w:tr w:rsidR="00956DC6" w:rsidRPr="00956DC6" w14:paraId="3D56CF3A" w14:textId="77777777" w:rsidTr="006F6565">
        <w:trPr>
          <w:trHeight w:val="1065"/>
        </w:trPr>
        <w:tc>
          <w:tcPr>
            <w:tcW w:w="1071" w:type="pct"/>
            <w:vMerge/>
            <w:vAlign w:val="center"/>
            <w:hideMark/>
          </w:tcPr>
          <w:p w14:paraId="667CAA1C" w14:textId="77777777" w:rsidR="00956DC6" w:rsidRPr="00956DC6" w:rsidRDefault="00956DC6" w:rsidP="00956DC6">
            <w:pPr>
              <w:spacing w:line="240" w:lineRule="auto"/>
              <w:rPr>
                <w:rFonts w:eastAsia="Times New Roman"/>
                <w:color w:val="000000"/>
                <w:lang w:val="en-US" w:eastAsia="en-US"/>
              </w:rPr>
            </w:pPr>
          </w:p>
        </w:tc>
        <w:tc>
          <w:tcPr>
            <w:tcW w:w="2635" w:type="pct"/>
            <w:shd w:val="clear" w:color="auto" w:fill="FFFFFF" w:themeFill="background1"/>
            <w:vAlign w:val="center"/>
            <w:hideMark/>
          </w:tcPr>
          <w:p w14:paraId="47558208" w14:textId="50B42D07" w:rsidR="00956DC6" w:rsidRDefault="00956DC6" w:rsidP="06A0C929">
            <w:pPr>
              <w:spacing w:line="240" w:lineRule="auto"/>
              <w:rPr>
                <w:rFonts w:eastAsia="Times New Roman"/>
                <w:color w:val="000000"/>
                <w:lang w:eastAsia="en-US"/>
              </w:rPr>
            </w:pPr>
          </w:p>
          <w:p w14:paraId="5796EDA1" w14:textId="00DEDFE2" w:rsidR="00D30F66" w:rsidRPr="00956DC6" w:rsidRDefault="0D2D5FBD" w:rsidP="06A0C929">
            <w:pPr>
              <w:spacing w:line="240" w:lineRule="auto"/>
              <w:rPr>
                <w:rFonts w:eastAsia="Times New Roman"/>
                <w:color w:val="000000"/>
                <w:lang w:eastAsia="en-US"/>
              </w:rPr>
            </w:pPr>
            <w:r w:rsidRPr="06A0C929">
              <w:rPr>
                <w:rFonts w:eastAsia="Times New Roman"/>
                <w:color w:val="000000" w:themeColor="text1"/>
                <w:lang w:eastAsia="en-US"/>
              </w:rPr>
              <w:t>Renforcer les capacités pour l’utilisation optimale du DHIS2</w:t>
            </w:r>
            <w:r w:rsidR="36922CD4" w:rsidRPr="06A0C929">
              <w:rPr>
                <w:rFonts w:eastAsia="Times New Roman"/>
                <w:color w:val="000000" w:themeColor="text1"/>
                <w:lang w:eastAsia="en-US"/>
              </w:rPr>
              <w:t xml:space="preserve"> et la qualité des données</w:t>
            </w:r>
          </w:p>
        </w:tc>
        <w:tc>
          <w:tcPr>
            <w:tcW w:w="680" w:type="pct"/>
            <w:vMerge/>
            <w:vAlign w:val="center"/>
            <w:hideMark/>
          </w:tcPr>
          <w:p w14:paraId="5427242F" w14:textId="77777777" w:rsidR="00956DC6" w:rsidRPr="00BA439C" w:rsidRDefault="00956DC6" w:rsidP="00956DC6">
            <w:pPr>
              <w:spacing w:line="240" w:lineRule="auto"/>
              <w:rPr>
                <w:rFonts w:eastAsia="Times New Roman"/>
                <w:color w:val="000000"/>
                <w:highlight w:val="yellow"/>
                <w:lang w:eastAsia="en-US"/>
              </w:rPr>
            </w:pPr>
          </w:p>
        </w:tc>
        <w:tc>
          <w:tcPr>
            <w:tcW w:w="615" w:type="pct"/>
            <w:vMerge/>
            <w:vAlign w:val="center"/>
            <w:hideMark/>
          </w:tcPr>
          <w:p w14:paraId="7CA41216" w14:textId="77777777" w:rsidR="00956DC6" w:rsidRPr="004968C8" w:rsidRDefault="00956DC6" w:rsidP="00956DC6">
            <w:pPr>
              <w:spacing w:line="240" w:lineRule="auto"/>
              <w:rPr>
                <w:rFonts w:eastAsia="Times New Roman"/>
                <w:color w:val="000000"/>
                <w:lang w:eastAsia="en-US"/>
              </w:rPr>
            </w:pPr>
          </w:p>
        </w:tc>
      </w:tr>
      <w:tr w:rsidR="00956DC6" w:rsidRPr="00956DC6" w14:paraId="6EF13EDE" w14:textId="77777777" w:rsidTr="006F6565">
        <w:trPr>
          <w:trHeight w:val="894"/>
        </w:trPr>
        <w:tc>
          <w:tcPr>
            <w:tcW w:w="1071" w:type="pct"/>
            <w:vMerge/>
            <w:vAlign w:val="center"/>
            <w:hideMark/>
          </w:tcPr>
          <w:p w14:paraId="31934A94" w14:textId="77777777" w:rsidR="00956DC6" w:rsidRPr="00956DC6" w:rsidRDefault="00956DC6" w:rsidP="00956DC6">
            <w:pPr>
              <w:spacing w:line="240" w:lineRule="auto"/>
              <w:rPr>
                <w:rFonts w:eastAsia="Times New Roman"/>
                <w:color w:val="000000"/>
                <w:lang w:eastAsia="en-US"/>
              </w:rPr>
            </w:pPr>
          </w:p>
        </w:tc>
        <w:tc>
          <w:tcPr>
            <w:tcW w:w="2635" w:type="pct"/>
            <w:shd w:val="clear" w:color="auto" w:fill="FFFFFF" w:themeFill="background1"/>
            <w:vAlign w:val="center"/>
            <w:hideMark/>
          </w:tcPr>
          <w:p w14:paraId="7AA0DC1D" w14:textId="5DA3C731" w:rsidR="009C22EC" w:rsidRPr="006838D5" w:rsidRDefault="1A8FBC44" w:rsidP="06A0C929">
            <w:pPr>
              <w:spacing w:line="240" w:lineRule="auto"/>
              <w:rPr>
                <w:rFonts w:eastAsia="Times New Roman"/>
                <w:color w:val="000000" w:themeColor="text1"/>
                <w:lang w:eastAsia="en-US"/>
              </w:rPr>
            </w:pPr>
            <w:r w:rsidRPr="06A0C929">
              <w:rPr>
                <w:rFonts w:eastAsia="Times New Roman"/>
                <w:color w:val="000000" w:themeColor="text1"/>
                <w:lang w:eastAsia="en-US"/>
              </w:rPr>
              <w:t>Assistance technique pour appuyer la mise en œuvre de l’enquête post campagne intégrée et l’enquête de couvertures vaccinales de routine</w:t>
            </w:r>
          </w:p>
        </w:tc>
        <w:tc>
          <w:tcPr>
            <w:tcW w:w="680" w:type="pct"/>
            <w:vMerge/>
            <w:vAlign w:val="center"/>
            <w:hideMark/>
          </w:tcPr>
          <w:p w14:paraId="08294843" w14:textId="77777777" w:rsidR="00956DC6" w:rsidRPr="00BA439C" w:rsidRDefault="00956DC6" w:rsidP="00956DC6">
            <w:pPr>
              <w:spacing w:line="240" w:lineRule="auto"/>
              <w:rPr>
                <w:rFonts w:eastAsia="Times New Roman"/>
                <w:color w:val="000000"/>
                <w:highlight w:val="yellow"/>
                <w:lang w:eastAsia="en-US"/>
              </w:rPr>
            </w:pPr>
          </w:p>
        </w:tc>
        <w:tc>
          <w:tcPr>
            <w:tcW w:w="615" w:type="pct"/>
            <w:vMerge/>
            <w:vAlign w:val="center"/>
            <w:hideMark/>
          </w:tcPr>
          <w:p w14:paraId="32C5F268" w14:textId="77777777" w:rsidR="00956DC6" w:rsidRPr="004968C8" w:rsidRDefault="00956DC6" w:rsidP="00956DC6">
            <w:pPr>
              <w:spacing w:line="240" w:lineRule="auto"/>
              <w:rPr>
                <w:rFonts w:eastAsia="Times New Roman"/>
                <w:color w:val="000000"/>
                <w:lang w:eastAsia="en-US"/>
              </w:rPr>
            </w:pPr>
          </w:p>
        </w:tc>
      </w:tr>
      <w:tr w:rsidR="00956DC6" w:rsidRPr="00956DC6" w14:paraId="265FB3CF" w14:textId="77777777" w:rsidTr="006F6565">
        <w:trPr>
          <w:trHeight w:val="822"/>
        </w:trPr>
        <w:tc>
          <w:tcPr>
            <w:tcW w:w="1071" w:type="pct"/>
            <w:vMerge w:val="restart"/>
            <w:shd w:val="clear" w:color="auto" w:fill="FFFFFF" w:themeFill="background1"/>
            <w:vAlign w:val="center"/>
            <w:hideMark/>
          </w:tcPr>
          <w:p w14:paraId="3805C89B" w14:textId="77777777" w:rsidR="00956DC6" w:rsidRPr="00956DC6" w:rsidRDefault="7A3580D0" w:rsidP="06A0C929">
            <w:pPr>
              <w:spacing w:line="240" w:lineRule="auto"/>
              <w:rPr>
                <w:rFonts w:eastAsia="Times New Roman"/>
                <w:color w:val="000000"/>
                <w:lang w:eastAsia="en-US"/>
              </w:rPr>
            </w:pPr>
            <w:r w:rsidRPr="06A0C929">
              <w:rPr>
                <w:rFonts w:eastAsia="Times New Roman"/>
                <w:color w:val="000000" w:themeColor="text1"/>
                <w:lang w:eastAsia="en-US"/>
              </w:rPr>
              <w:t>Génération de la demande et engagement communautaire</w:t>
            </w:r>
          </w:p>
        </w:tc>
        <w:tc>
          <w:tcPr>
            <w:tcW w:w="2635" w:type="pct"/>
            <w:shd w:val="clear" w:color="auto" w:fill="FFFFFF" w:themeFill="background1"/>
            <w:vAlign w:val="center"/>
            <w:hideMark/>
          </w:tcPr>
          <w:p w14:paraId="50EDA2D2" w14:textId="1CA3F356" w:rsidR="00956DC6" w:rsidRPr="00956DC6" w:rsidRDefault="1E609E96" w:rsidP="06A0C929">
            <w:pPr>
              <w:spacing w:line="240" w:lineRule="auto"/>
              <w:rPr>
                <w:rFonts w:eastAsia="Times New Roman"/>
                <w:color w:val="000000"/>
                <w:lang w:eastAsia="en-US"/>
              </w:rPr>
            </w:pPr>
            <w:r w:rsidRPr="06A0C929">
              <w:rPr>
                <w:rFonts w:eastAsia="Times New Roman"/>
                <w:color w:val="000000" w:themeColor="text1"/>
                <w:lang w:eastAsia="en-US"/>
              </w:rPr>
              <w:t>Appuyer la révision du plan intégré de communication avec prise en compte des nouvelles technologies digitales ;</w:t>
            </w:r>
          </w:p>
        </w:tc>
        <w:tc>
          <w:tcPr>
            <w:tcW w:w="680" w:type="pct"/>
            <w:vMerge w:val="restart"/>
            <w:shd w:val="clear" w:color="auto" w:fill="FFFFFF" w:themeFill="background1"/>
            <w:vAlign w:val="center"/>
            <w:hideMark/>
          </w:tcPr>
          <w:p w14:paraId="4FD1B664" w14:textId="77777777" w:rsidR="004968C8" w:rsidRPr="004968C8" w:rsidRDefault="7A3580D0" w:rsidP="06A0C929">
            <w:pPr>
              <w:spacing w:line="240" w:lineRule="auto"/>
              <w:jc w:val="center"/>
              <w:rPr>
                <w:rFonts w:eastAsia="Times New Roman"/>
                <w:color w:val="000000"/>
                <w:lang w:eastAsia="en-US"/>
              </w:rPr>
            </w:pPr>
            <w:r w:rsidRPr="06A0C929">
              <w:rPr>
                <w:rFonts w:eastAsia="Times New Roman"/>
                <w:color w:val="000000" w:themeColor="text1"/>
                <w:highlight w:val="yellow"/>
                <w:lang w:eastAsia="en-US"/>
              </w:rPr>
              <w:t xml:space="preserve">      </w:t>
            </w:r>
            <w:r w:rsidR="288278A3" w:rsidRPr="06A0C929">
              <w:rPr>
                <w:rFonts w:eastAsia="Times New Roman"/>
                <w:color w:val="000000" w:themeColor="text1"/>
                <w:lang w:eastAsia="en-US"/>
              </w:rPr>
              <w:t xml:space="preserve">30,209.76 </w:t>
            </w:r>
          </w:p>
          <w:p w14:paraId="3B4EF691" w14:textId="77777777" w:rsidR="004968C8" w:rsidRPr="004968C8" w:rsidRDefault="004968C8" w:rsidP="06A0C929">
            <w:pPr>
              <w:spacing w:line="240" w:lineRule="auto"/>
              <w:jc w:val="center"/>
              <w:rPr>
                <w:rFonts w:eastAsia="Times New Roman"/>
                <w:color w:val="000000"/>
                <w:lang w:eastAsia="en-US"/>
              </w:rPr>
            </w:pPr>
          </w:p>
          <w:p w14:paraId="5F55E327" w14:textId="77777777" w:rsidR="004968C8" w:rsidRPr="004968C8" w:rsidRDefault="004968C8" w:rsidP="06A0C929">
            <w:pPr>
              <w:spacing w:line="240" w:lineRule="auto"/>
              <w:jc w:val="center"/>
              <w:rPr>
                <w:rFonts w:eastAsia="Times New Roman"/>
                <w:color w:val="000000"/>
                <w:lang w:eastAsia="en-US"/>
              </w:rPr>
            </w:pPr>
          </w:p>
          <w:p w14:paraId="478C3B30" w14:textId="7CF83E22" w:rsidR="00956DC6" w:rsidRPr="00BA439C" w:rsidRDefault="00956DC6" w:rsidP="06A0C929">
            <w:pPr>
              <w:spacing w:line="240" w:lineRule="auto"/>
              <w:jc w:val="center"/>
              <w:rPr>
                <w:rFonts w:eastAsia="Times New Roman"/>
                <w:color w:val="000000"/>
                <w:highlight w:val="yellow"/>
                <w:lang w:eastAsia="en-US"/>
              </w:rPr>
            </w:pPr>
          </w:p>
        </w:tc>
        <w:tc>
          <w:tcPr>
            <w:tcW w:w="615" w:type="pct"/>
            <w:vMerge w:val="restart"/>
            <w:shd w:val="clear" w:color="auto" w:fill="auto"/>
            <w:vAlign w:val="center"/>
            <w:hideMark/>
          </w:tcPr>
          <w:p w14:paraId="69C785AA" w14:textId="55800C32" w:rsidR="00956DC6" w:rsidRPr="004968C8" w:rsidRDefault="00491CE6" w:rsidP="06A0C929">
            <w:pPr>
              <w:spacing w:line="240" w:lineRule="auto"/>
              <w:jc w:val="center"/>
              <w:rPr>
                <w:rFonts w:eastAsia="Times New Roman"/>
                <w:color w:val="000000"/>
                <w:lang w:eastAsia="en-US"/>
              </w:rPr>
            </w:pPr>
            <w:r w:rsidRPr="007C3683">
              <w:rPr>
                <w:rFonts w:eastAsia="Times New Roman"/>
                <w:color w:val="000000" w:themeColor="text1"/>
                <w:highlight w:val="cyan"/>
                <w:lang w:eastAsia="en-US"/>
              </w:rPr>
              <w:t>4</w:t>
            </w:r>
            <w:r w:rsidR="7A3580D0" w:rsidRPr="007C3683">
              <w:rPr>
                <w:rFonts w:eastAsia="Times New Roman"/>
                <w:color w:val="000000" w:themeColor="text1"/>
                <w:highlight w:val="cyan"/>
                <w:lang w:eastAsia="en-US"/>
              </w:rPr>
              <w:t>%</w:t>
            </w:r>
          </w:p>
        </w:tc>
      </w:tr>
      <w:tr w:rsidR="00956DC6" w:rsidRPr="00956DC6" w14:paraId="42DCC0A8" w14:textId="77777777" w:rsidTr="006F6565">
        <w:trPr>
          <w:trHeight w:val="948"/>
        </w:trPr>
        <w:tc>
          <w:tcPr>
            <w:tcW w:w="1071" w:type="pct"/>
            <w:vMerge/>
            <w:vAlign w:val="center"/>
            <w:hideMark/>
          </w:tcPr>
          <w:p w14:paraId="4081D900" w14:textId="77777777" w:rsidR="00956DC6" w:rsidRPr="00956DC6" w:rsidRDefault="00956DC6" w:rsidP="00956DC6">
            <w:pPr>
              <w:spacing w:line="240" w:lineRule="auto"/>
              <w:rPr>
                <w:rFonts w:eastAsia="Times New Roman"/>
                <w:color w:val="000000"/>
                <w:lang w:val="en-US" w:eastAsia="en-US"/>
              </w:rPr>
            </w:pPr>
          </w:p>
        </w:tc>
        <w:tc>
          <w:tcPr>
            <w:tcW w:w="2635" w:type="pct"/>
            <w:shd w:val="clear" w:color="auto" w:fill="FFFFFF" w:themeFill="background1"/>
            <w:vAlign w:val="center"/>
            <w:hideMark/>
          </w:tcPr>
          <w:p w14:paraId="506EB5CF" w14:textId="42A601D3" w:rsidR="00956DC6" w:rsidRPr="00956DC6" w:rsidRDefault="1E609E96" w:rsidP="06A0C929">
            <w:pPr>
              <w:spacing w:line="240" w:lineRule="auto"/>
              <w:rPr>
                <w:rFonts w:eastAsia="Times New Roman"/>
                <w:color w:val="000000"/>
                <w:lang w:eastAsia="en-US"/>
              </w:rPr>
            </w:pPr>
            <w:r w:rsidRPr="06A0C929">
              <w:rPr>
                <w:rFonts w:eastAsia="Times New Roman"/>
                <w:color w:val="000000" w:themeColor="text1"/>
                <w:lang w:eastAsia="en-US"/>
              </w:rPr>
              <w:t>Appuyer la visibilité du PEV par la mise en œuvre de la communication digitale</w:t>
            </w:r>
          </w:p>
        </w:tc>
        <w:tc>
          <w:tcPr>
            <w:tcW w:w="680" w:type="pct"/>
            <w:vMerge/>
            <w:vAlign w:val="center"/>
            <w:hideMark/>
          </w:tcPr>
          <w:p w14:paraId="424193C0" w14:textId="77777777" w:rsidR="00956DC6" w:rsidRPr="00BA439C" w:rsidRDefault="00956DC6" w:rsidP="00956DC6">
            <w:pPr>
              <w:spacing w:line="240" w:lineRule="auto"/>
              <w:rPr>
                <w:rFonts w:eastAsia="Times New Roman"/>
                <w:color w:val="000000"/>
                <w:highlight w:val="yellow"/>
                <w:lang w:eastAsia="en-US"/>
              </w:rPr>
            </w:pPr>
          </w:p>
        </w:tc>
        <w:tc>
          <w:tcPr>
            <w:tcW w:w="615" w:type="pct"/>
            <w:vMerge/>
            <w:vAlign w:val="center"/>
            <w:hideMark/>
          </w:tcPr>
          <w:p w14:paraId="68CE0683" w14:textId="77777777" w:rsidR="00956DC6" w:rsidRPr="00BA439C" w:rsidRDefault="00956DC6" w:rsidP="00956DC6">
            <w:pPr>
              <w:spacing w:line="240" w:lineRule="auto"/>
              <w:rPr>
                <w:rFonts w:eastAsia="Times New Roman"/>
                <w:color w:val="000000"/>
                <w:highlight w:val="yellow"/>
                <w:lang w:eastAsia="en-US"/>
              </w:rPr>
            </w:pPr>
          </w:p>
        </w:tc>
      </w:tr>
      <w:tr w:rsidR="004968C8" w:rsidRPr="00956DC6" w14:paraId="54902E8B" w14:textId="77777777" w:rsidTr="006F6565">
        <w:trPr>
          <w:trHeight w:val="1320"/>
        </w:trPr>
        <w:tc>
          <w:tcPr>
            <w:tcW w:w="1071" w:type="pct"/>
            <w:vMerge w:val="restart"/>
            <w:shd w:val="clear" w:color="auto" w:fill="FFFFFF" w:themeFill="background1"/>
            <w:vAlign w:val="center"/>
            <w:hideMark/>
          </w:tcPr>
          <w:p w14:paraId="5625929A" w14:textId="77777777" w:rsidR="004968C8" w:rsidRPr="00956DC6" w:rsidRDefault="288278A3" w:rsidP="06A0C929">
            <w:pPr>
              <w:spacing w:line="240" w:lineRule="auto"/>
              <w:rPr>
                <w:rFonts w:eastAsia="Times New Roman"/>
                <w:color w:val="000000"/>
                <w:lang w:eastAsia="en-US"/>
              </w:rPr>
            </w:pPr>
            <w:r w:rsidRPr="06A0C929">
              <w:rPr>
                <w:rFonts w:eastAsia="Times New Roman"/>
                <w:color w:val="000000" w:themeColor="text1"/>
                <w:lang w:eastAsia="en-US"/>
              </w:rPr>
              <w:t>Surveillance des maladies évitables par la vaccination</w:t>
            </w:r>
          </w:p>
        </w:tc>
        <w:tc>
          <w:tcPr>
            <w:tcW w:w="2635" w:type="pct"/>
            <w:shd w:val="clear" w:color="auto" w:fill="FFFFFF" w:themeFill="background1"/>
            <w:vAlign w:val="center"/>
            <w:hideMark/>
          </w:tcPr>
          <w:p w14:paraId="0A0CD4C5" w14:textId="14EF309B" w:rsidR="002A364D" w:rsidRPr="00956DC6" w:rsidRDefault="2961861B" w:rsidP="06A0C929">
            <w:pPr>
              <w:spacing w:line="240" w:lineRule="auto"/>
              <w:rPr>
                <w:rFonts w:eastAsia="Times New Roman"/>
                <w:color w:val="000000"/>
                <w:lang w:eastAsia="en-US"/>
              </w:rPr>
            </w:pPr>
            <w:r w:rsidRPr="06A0C929">
              <w:rPr>
                <w:rFonts w:eastAsia="Times New Roman"/>
                <w:color w:val="000000" w:themeColor="text1"/>
                <w:lang w:eastAsia="en-US"/>
              </w:rPr>
              <w:t>Appuyer le renforcement des</w:t>
            </w:r>
            <w:r w:rsidR="288278A3" w:rsidRPr="06A0C929">
              <w:rPr>
                <w:rFonts w:eastAsia="Times New Roman"/>
                <w:color w:val="000000" w:themeColor="text1"/>
                <w:lang w:eastAsia="en-US"/>
              </w:rPr>
              <w:t xml:space="preserve"> capacité</w:t>
            </w:r>
            <w:r w:rsidRPr="06A0C929">
              <w:rPr>
                <w:rFonts w:eastAsia="Times New Roman"/>
                <w:color w:val="000000" w:themeColor="text1"/>
                <w:lang w:eastAsia="en-US"/>
              </w:rPr>
              <w:t xml:space="preserve">s sur l’outil de surveillance digitale des maladies évitables par la vaccination et des MAPI dans les districts à haut risque ; </w:t>
            </w:r>
          </w:p>
          <w:p w14:paraId="7A75FF46" w14:textId="6CA19907" w:rsidR="004968C8" w:rsidRPr="00956DC6" w:rsidRDefault="004968C8" w:rsidP="06A0C929">
            <w:pPr>
              <w:spacing w:line="240" w:lineRule="auto"/>
              <w:rPr>
                <w:rFonts w:eastAsia="Times New Roman"/>
                <w:color w:val="000000"/>
                <w:lang w:eastAsia="en-US"/>
              </w:rPr>
            </w:pPr>
          </w:p>
        </w:tc>
        <w:tc>
          <w:tcPr>
            <w:tcW w:w="680" w:type="pct"/>
            <w:vMerge w:val="restart"/>
            <w:shd w:val="clear" w:color="auto" w:fill="FFFFFF" w:themeFill="background1"/>
            <w:vAlign w:val="center"/>
            <w:hideMark/>
          </w:tcPr>
          <w:p w14:paraId="14ABC87C" w14:textId="77777777" w:rsidR="004968C8" w:rsidRPr="004968C8" w:rsidRDefault="288278A3" w:rsidP="06A0C929">
            <w:pPr>
              <w:rPr>
                <w:rFonts w:eastAsia="Times New Roman"/>
                <w:color w:val="000000"/>
                <w:lang w:eastAsia="en-US"/>
              </w:rPr>
            </w:pPr>
            <w:r w:rsidRPr="06A0C929">
              <w:rPr>
                <w:rFonts w:eastAsia="Times New Roman"/>
                <w:color w:val="000000" w:themeColor="text1"/>
                <w:lang w:eastAsia="en-US"/>
              </w:rPr>
              <w:t xml:space="preserve">47,500.00 </w:t>
            </w:r>
          </w:p>
          <w:p w14:paraId="1BCF1EC3" w14:textId="70A2127A" w:rsidR="004968C8" w:rsidRPr="00BA439C" w:rsidRDefault="004968C8" w:rsidP="06A0C929">
            <w:pPr>
              <w:spacing w:line="240" w:lineRule="auto"/>
              <w:jc w:val="center"/>
              <w:rPr>
                <w:rFonts w:eastAsia="Times New Roman"/>
                <w:color w:val="000000"/>
                <w:highlight w:val="yellow"/>
                <w:lang w:eastAsia="en-US"/>
              </w:rPr>
            </w:pPr>
          </w:p>
        </w:tc>
        <w:tc>
          <w:tcPr>
            <w:tcW w:w="615" w:type="pct"/>
            <w:vMerge w:val="restart"/>
            <w:shd w:val="clear" w:color="auto" w:fill="FFFFFF" w:themeFill="background1"/>
            <w:vAlign w:val="center"/>
            <w:hideMark/>
          </w:tcPr>
          <w:p w14:paraId="73DBDBE7" w14:textId="2C60C803" w:rsidR="004968C8" w:rsidRPr="00BA439C" w:rsidRDefault="00201247" w:rsidP="06A0C929">
            <w:pPr>
              <w:spacing w:line="240" w:lineRule="auto"/>
              <w:jc w:val="center"/>
              <w:rPr>
                <w:rFonts w:eastAsia="Times New Roman"/>
                <w:color w:val="000000"/>
                <w:highlight w:val="yellow"/>
                <w:lang w:eastAsia="en-US"/>
              </w:rPr>
            </w:pPr>
            <w:r w:rsidRPr="007C3683">
              <w:rPr>
                <w:rFonts w:eastAsia="Times New Roman"/>
                <w:color w:val="000000" w:themeColor="text1"/>
                <w:highlight w:val="cyan"/>
                <w:lang w:eastAsia="en-US"/>
              </w:rPr>
              <w:t>7</w:t>
            </w:r>
            <w:r w:rsidR="584A8A10" w:rsidRPr="007C3683">
              <w:rPr>
                <w:rFonts w:eastAsia="Times New Roman"/>
                <w:color w:val="000000" w:themeColor="text1"/>
                <w:highlight w:val="cyan"/>
                <w:lang w:eastAsia="en-US"/>
              </w:rPr>
              <w:t>%</w:t>
            </w:r>
            <w:r w:rsidR="288278A3" w:rsidRPr="06A0C929">
              <w:rPr>
                <w:rFonts w:eastAsia="Times New Roman"/>
                <w:color w:val="000000" w:themeColor="text1"/>
                <w:lang w:eastAsia="en-US"/>
              </w:rPr>
              <w:t> </w:t>
            </w:r>
          </w:p>
        </w:tc>
      </w:tr>
      <w:tr w:rsidR="004968C8" w:rsidRPr="00956DC6" w14:paraId="772BB5B4" w14:textId="77777777" w:rsidTr="006F6565">
        <w:trPr>
          <w:trHeight w:val="912"/>
        </w:trPr>
        <w:tc>
          <w:tcPr>
            <w:tcW w:w="1071" w:type="pct"/>
            <w:vMerge/>
            <w:vAlign w:val="center"/>
          </w:tcPr>
          <w:p w14:paraId="5198AC05" w14:textId="77777777" w:rsidR="004968C8" w:rsidRPr="00956DC6" w:rsidRDefault="004968C8" w:rsidP="00956DC6">
            <w:pPr>
              <w:spacing w:line="240" w:lineRule="auto"/>
              <w:rPr>
                <w:rFonts w:eastAsia="Times New Roman"/>
                <w:color w:val="000000"/>
                <w:lang w:eastAsia="en-US"/>
              </w:rPr>
            </w:pPr>
          </w:p>
        </w:tc>
        <w:tc>
          <w:tcPr>
            <w:tcW w:w="2635" w:type="pct"/>
            <w:shd w:val="clear" w:color="auto" w:fill="FFFFFF" w:themeFill="background1"/>
            <w:vAlign w:val="center"/>
          </w:tcPr>
          <w:p w14:paraId="690C2696" w14:textId="48B6478F" w:rsidR="004968C8" w:rsidRPr="00956DC6" w:rsidRDefault="2961861B" w:rsidP="06A0C929">
            <w:pPr>
              <w:spacing w:line="240" w:lineRule="auto"/>
              <w:rPr>
                <w:rFonts w:eastAsia="Times New Roman"/>
                <w:color w:val="000000"/>
                <w:lang w:eastAsia="en-US"/>
              </w:rPr>
            </w:pPr>
            <w:r w:rsidRPr="06A0C929">
              <w:rPr>
                <w:rFonts w:eastAsia="Times New Roman"/>
                <w:color w:val="000000" w:themeColor="text1"/>
                <w:lang w:eastAsia="en-US"/>
              </w:rPr>
              <w:t xml:space="preserve">Appuyer l’analyse </w:t>
            </w:r>
            <w:r w:rsidR="76A04A6F" w:rsidRPr="06A0C929">
              <w:rPr>
                <w:rFonts w:eastAsia="Times New Roman"/>
                <w:color w:val="000000" w:themeColor="text1"/>
                <w:lang w:eastAsia="en-US"/>
              </w:rPr>
              <w:t xml:space="preserve">et l’amélioration </w:t>
            </w:r>
            <w:r w:rsidRPr="06A0C929">
              <w:rPr>
                <w:rFonts w:eastAsia="Times New Roman"/>
                <w:color w:val="000000" w:themeColor="text1"/>
                <w:lang w:eastAsia="en-US"/>
              </w:rPr>
              <w:t xml:space="preserve">du système de collecte et transport des échantillons des maladies </w:t>
            </w:r>
            <w:r w:rsidR="7577D060" w:rsidRPr="06A0C929">
              <w:rPr>
                <w:rFonts w:eastAsia="Times New Roman"/>
                <w:color w:val="000000" w:themeColor="text1"/>
                <w:lang w:eastAsia="en-US"/>
              </w:rPr>
              <w:t>é</w:t>
            </w:r>
            <w:r w:rsidRPr="06A0C929">
              <w:rPr>
                <w:rFonts w:eastAsia="Times New Roman"/>
                <w:color w:val="000000" w:themeColor="text1"/>
                <w:lang w:eastAsia="en-US"/>
              </w:rPr>
              <w:t>vitables par la vaccination du niveau opérationnel aux laboratoires ;</w:t>
            </w:r>
          </w:p>
        </w:tc>
        <w:tc>
          <w:tcPr>
            <w:tcW w:w="680" w:type="pct"/>
            <w:vMerge/>
            <w:vAlign w:val="center"/>
          </w:tcPr>
          <w:p w14:paraId="1231427B" w14:textId="1D3701C2" w:rsidR="004968C8" w:rsidRPr="00BA439C" w:rsidRDefault="004968C8" w:rsidP="00956DC6">
            <w:pPr>
              <w:spacing w:line="240" w:lineRule="auto"/>
              <w:jc w:val="center"/>
              <w:rPr>
                <w:rFonts w:eastAsia="Times New Roman"/>
                <w:color w:val="000000"/>
                <w:highlight w:val="yellow"/>
                <w:lang w:eastAsia="en-US"/>
              </w:rPr>
            </w:pPr>
          </w:p>
        </w:tc>
        <w:tc>
          <w:tcPr>
            <w:tcW w:w="615" w:type="pct"/>
            <w:vMerge/>
            <w:vAlign w:val="center"/>
          </w:tcPr>
          <w:p w14:paraId="06D01113" w14:textId="77777777" w:rsidR="004968C8" w:rsidRPr="00BA439C" w:rsidRDefault="004968C8" w:rsidP="00956DC6">
            <w:pPr>
              <w:spacing w:line="240" w:lineRule="auto"/>
              <w:jc w:val="center"/>
              <w:rPr>
                <w:rFonts w:eastAsia="Times New Roman"/>
                <w:color w:val="000000"/>
                <w:highlight w:val="yellow"/>
                <w:lang w:eastAsia="en-US"/>
              </w:rPr>
            </w:pPr>
          </w:p>
        </w:tc>
      </w:tr>
      <w:tr w:rsidR="00956DC6" w:rsidRPr="00956DC6" w14:paraId="7EE324A9" w14:textId="77777777" w:rsidTr="006F6565">
        <w:trPr>
          <w:trHeight w:val="1065"/>
        </w:trPr>
        <w:tc>
          <w:tcPr>
            <w:tcW w:w="1071" w:type="pct"/>
            <w:vMerge w:val="restart"/>
            <w:shd w:val="clear" w:color="auto" w:fill="FFFFFF" w:themeFill="background1"/>
            <w:vAlign w:val="center"/>
            <w:hideMark/>
          </w:tcPr>
          <w:p w14:paraId="3A566DA0" w14:textId="77777777" w:rsidR="00956DC6" w:rsidRPr="00956DC6" w:rsidRDefault="7A3580D0" w:rsidP="06A0C929">
            <w:pPr>
              <w:spacing w:line="240" w:lineRule="auto"/>
              <w:rPr>
                <w:rFonts w:eastAsia="Times New Roman"/>
                <w:color w:val="000000"/>
                <w:lang w:eastAsia="en-US"/>
              </w:rPr>
            </w:pPr>
            <w:r w:rsidRPr="06A0C929">
              <w:rPr>
                <w:rFonts w:eastAsia="Times New Roman"/>
                <w:color w:val="000000" w:themeColor="text1"/>
                <w:lang w:eastAsia="en-US"/>
              </w:rPr>
              <w:t>Gouvernance, politique, planification stratégique et gestion du programme</w:t>
            </w:r>
          </w:p>
        </w:tc>
        <w:tc>
          <w:tcPr>
            <w:tcW w:w="2635" w:type="pct"/>
            <w:shd w:val="clear" w:color="auto" w:fill="FFFFFF" w:themeFill="background1"/>
            <w:vAlign w:val="center"/>
            <w:hideMark/>
          </w:tcPr>
          <w:p w14:paraId="20B878E1" w14:textId="3020E6F7" w:rsidR="00956DC6" w:rsidRPr="00956DC6" w:rsidRDefault="2961861B" w:rsidP="06A0C929">
            <w:pPr>
              <w:spacing w:line="240" w:lineRule="auto"/>
              <w:rPr>
                <w:rFonts w:eastAsia="Times New Roman"/>
                <w:color w:val="000000"/>
                <w:lang w:eastAsia="en-US"/>
              </w:rPr>
            </w:pPr>
            <w:r w:rsidRPr="06A0C929">
              <w:rPr>
                <w:rFonts w:eastAsia="Times New Roman"/>
                <w:color w:val="000000" w:themeColor="text1"/>
                <w:lang w:eastAsia="en-US"/>
              </w:rPr>
              <w:t>Appuyer le r</w:t>
            </w:r>
            <w:r w:rsidR="7A3580D0" w:rsidRPr="06A0C929">
              <w:rPr>
                <w:rFonts w:eastAsia="Times New Roman"/>
                <w:color w:val="000000" w:themeColor="text1"/>
                <w:lang w:eastAsia="en-US"/>
              </w:rPr>
              <w:t>enforce</w:t>
            </w:r>
            <w:r w:rsidRPr="06A0C929">
              <w:rPr>
                <w:rFonts w:eastAsia="Times New Roman"/>
                <w:color w:val="000000" w:themeColor="text1"/>
                <w:lang w:eastAsia="en-US"/>
              </w:rPr>
              <w:t>ment des</w:t>
            </w:r>
            <w:r w:rsidR="7A3580D0" w:rsidRPr="06A0C929">
              <w:rPr>
                <w:rFonts w:eastAsia="Times New Roman"/>
                <w:color w:val="000000" w:themeColor="text1"/>
                <w:lang w:eastAsia="en-US"/>
              </w:rPr>
              <w:t xml:space="preserve"> capacité</w:t>
            </w:r>
            <w:r w:rsidR="69DEA285" w:rsidRPr="06A0C929">
              <w:rPr>
                <w:rFonts w:eastAsia="Times New Roman"/>
                <w:color w:val="000000" w:themeColor="text1"/>
                <w:lang w:eastAsia="en-US"/>
              </w:rPr>
              <w:t>s</w:t>
            </w:r>
            <w:r w:rsidR="7A3580D0" w:rsidRPr="06A0C929">
              <w:rPr>
                <w:rFonts w:eastAsia="Times New Roman"/>
                <w:color w:val="000000" w:themeColor="text1"/>
                <w:lang w:eastAsia="en-US"/>
              </w:rPr>
              <w:t xml:space="preserve"> </w:t>
            </w:r>
            <w:r w:rsidR="69DEA285" w:rsidRPr="06A0C929">
              <w:rPr>
                <w:rFonts w:eastAsia="Times New Roman"/>
                <w:color w:val="000000" w:themeColor="text1"/>
                <w:lang w:eastAsia="en-US"/>
              </w:rPr>
              <w:t>techniques en planification</w:t>
            </w:r>
            <w:r w:rsidR="76A04A6F" w:rsidRPr="06A0C929">
              <w:rPr>
                <w:rFonts w:eastAsia="Times New Roman"/>
                <w:color w:val="000000" w:themeColor="text1"/>
                <w:lang w:eastAsia="en-US"/>
              </w:rPr>
              <w:t xml:space="preserve"> stratégique y compris l’introduction de nouveaux vaccins</w:t>
            </w:r>
            <w:r w:rsidR="69DEA285" w:rsidRPr="06A0C929">
              <w:rPr>
                <w:rFonts w:eastAsia="Times New Roman"/>
                <w:color w:val="000000" w:themeColor="text1"/>
                <w:lang w:eastAsia="en-US"/>
              </w:rPr>
              <w:t xml:space="preserve"> </w:t>
            </w:r>
            <w:r w:rsidR="76A04A6F" w:rsidRPr="06A0C929">
              <w:rPr>
                <w:rFonts w:eastAsia="Times New Roman"/>
                <w:color w:val="000000" w:themeColor="text1"/>
                <w:lang w:eastAsia="en-US"/>
              </w:rPr>
              <w:t>et sous utilisés.</w:t>
            </w:r>
          </w:p>
        </w:tc>
        <w:tc>
          <w:tcPr>
            <w:tcW w:w="680" w:type="pct"/>
            <w:vMerge w:val="restart"/>
            <w:shd w:val="clear" w:color="auto" w:fill="FFFFFF" w:themeFill="background1"/>
            <w:vAlign w:val="center"/>
            <w:hideMark/>
          </w:tcPr>
          <w:p w14:paraId="34E48BF9" w14:textId="17E5D982" w:rsidR="004968C8" w:rsidRPr="007C3683" w:rsidRDefault="7A3580D0" w:rsidP="06A0C929">
            <w:pPr>
              <w:rPr>
                <w:rFonts w:eastAsia="Times New Roman"/>
                <w:color w:val="000000"/>
                <w:highlight w:val="cyan"/>
                <w:lang w:eastAsia="en-US"/>
              </w:rPr>
            </w:pPr>
            <w:r w:rsidRPr="007C3683">
              <w:rPr>
                <w:rFonts w:eastAsia="Times New Roman"/>
                <w:color w:val="000000" w:themeColor="text1"/>
                <w:highlight w:val="cyan"/>
                <w:lang w:eastAsia="en-US"/>
              </w:rPr>
              <w:t xml:space="preserve">      </w:t>
            </w:r>
            <w:r w:rsidR="00902A01" w:rsidRPr="007C3683">
              <w:rPr>
                <w:rFonts w:eastAsia="Times New Roman"/>
                <w:color w:val="000000" w:themeColor="text1"/>
                <w:highlight w:val="cyan"/>
                <w:lang w:eastAsia="en-US"/>
              </w:rPr>
              <w:t>4</w:t>
            </w:r>
            <w:r w:rsidR="00EB3960">
              <w:rPr>
                <w:rFonts w:eastAsia="Times New Roman"/>
                <w:color w:val="000000" w:themeColor="text1"/>
                <w:highlight w:val="cyan"/>
                <w:lang w:eastAsia="en-US"/>
              </w:rPr>
              <w:t>4</w:t>
            </w:r>
            <w:r w:rsidR="288278A3" w:rsidRPr="007C3683">
              <w:rPr>
                <w:rFonts w:eastAsia="Times New Roman"/>
                <w:color w:val="000000" w:themeColor="text1"/>
                <w:highlight w:val="cyan"/>
                <w:lang w:eastAsia="en-US"/>
              </w:rPr>
              <w:t xml:space="preserve">0,441.94 </w:t>
            </w:r>
          </w:p>
          <w:p w14:paraId="60021CD6" w14:textId="3EDAA600" w:rsidR="00956DC6" w:rsidRPr="007C3683" w:rsidRDefault="00956DC6" w:rsidP="06A0C929">
            <w:pPr>
              <w:spacing w:line="240" w:lineRule="auto"/>
              <w:jc w:val="center"/>
              <w:rPr>
                <w:rFonts w:eastAsia="Times New Roman"/>
                <w:color w:val="000000"/>
                <w:highlight w:val="cyan"/>
                <w:lang w:eastAsia="en-US"/>
              </w:rPr>
            </w:pPr>
          </w:p>
        </w:tc>
        <w:tc>
          <w:tcPr>
            <w:tcW w:w="615" w:type="pct"/>
            <w:vMerge w:val="restart"/>
            <w:shd w:val="clear" w:color="auto" w:fill="FFFFFF" w:themeFill="background1"/>
            <w:vAlign w:val="center"/>
            <w:hideMark/>
          </w:tcPr>
          <w:p w14:paraId="4C193A6C" w14:textId="1A1C2DC3" w:rsidR="00956DC6" w:rsidRPr="007C3683" w:rsidRDefault="00BD1539" w:rsidP="06A0C929">
            <w:pPr>
              <w:spacing w:line="240" w:lineRule="auto"/>
              <w:jc w:val="center"/>
              <w:rPr>
                <w:rFonts w:eastAsia="Times New Roman"/>
                <w:color w:val="000000"/>
                <w:highlight w:val="cyan"/>
                <w:lang w:eastAsia="en-US"/>
              </w:rPr>
            </w:pPr>
            <w:r>
              <w:rPr>
                <w:rFonts w:eastAsia="Times New Roman"/>
                <w:color w:val="000000" w:themeColor="text1"/>
                <w:highlight w:val="cyan"/>
                <w:lang w:eastAsia="en-US"/>
              </w:rPr>
              <w:t>66</w:t>
            </w:r>
            <w:r w:rsidR="7A3580D0" w:rsidRPr="007C3683">
              <w:rPr>
                <w:rFonts w:eastAsia="Times New Roman"/>
                <w:color w:val="000000" w:themeColor="text1"/>
                <w:highlight w:val="cyan"/>
                <w:lang w:eastAsia="en-US"/>
              </w:rPr>
              <w:t>%</w:t>
            </w:r>
          </w:p>
        </w:tc>
      </w:tr>
      <w:tr w:rsidR="00902A01" w:rsidRPr="00956DC6" w14:paraId="651937FC" w14:textId="77777777" w:rsidTr="006F6565">
        <w:trPr>
          <w:trHeight w:val="1065"/>
        </w:trPr>
        <w:tc>
          <w:tcPr>
            <w:tcW w:w="1071" w:type="pct"/>
            <w:vMerge/>
            <w:shd w:val="clear" w:color="auto" w:fill="FFFFFF" w:themeFill="background1"/>
            <w:vAlign w:val="center"/>
          </w:tcPr>
          <w:p w14:paraId="034A6BCC" w14:textId="77777777" w:rsidR="00902A01" w:rsidRPr="06A0C929" w:rsidRDefault="00902A01" w:rsidP="06A0C929">
            <w:pPr>
              <w:spacing w:line="240" w:lineRule="auto"/>
              <w:rPr>
                <w:rFonts w:eastAsia="Times New Roman"/>
                <w:color w:val="000000" w:themeColor="text1"/>
                <w:lang w:eastAsia="en-US"/>
              </w:rPr>
            </w:pPr>
          </w:p>
        </w:tc>
        <w:tc>
          <w:tcPr>
            <w:tcW w:w="2635" w:type="pct"/>
            <w:shd w:val="clear" w:color="auto" w:fill="FFFFFF" w:themeFill="background1"/>
            <w:vAlign w:val="center"/>
          </w:tcPr>
          <w:p w14:paraId="59162389" w14:textId="02DB6FFE" w:rsidR="00902A01" w:rsidRPr="06A0C929" w:rsidRDefault="00902A01" w:rsidP="06A0C929">
            <w:pPr>
              <w:spacing w:line="240" w:lineRule="auto"/>
              <w:rPr>
                <w:rFonts w:eastAsia="Times New Roman"/>
                <w:color w:val="000000" w:themeColor="text1"/>
                <w:lang w:eastAsia="en-US"/>
              </w:rPr>
            </w:pPr>
            <w:r w:rsidRPr="06A0C929">
              <w:rPr>
                <w:rFonts w:eastAsia="Times New Roman"/>
                <w:color w:val="000000" w:themeColor="text1"/>
                <w:lang w:eastAsia="en-US"/>
              </w:rPr>
              <w:t>Appuyer le renforcement du mécanisme de coordination intra et intersectoriel pour l’amélioration de la gestion du programme.</w:t>
            </w:r>
          </w:p>
        </w:tc>
        <w:tc>
          <w:tcPr>
            <w:tcW w:w="680" w:type="pct"/>
            <w:vMerge/>
            <w:shd w:val="clear" w:color="auto" w:fill="FFFFFF" w:themeFill="background1"/>
            <w:vAlign w:val="center"/>
          </w:tcPr>
          <w:p w14:paraId="415E21FA" w14:textId="77777777" w:rsidR="00902A01" w:rsidRPr="06A0C929" w:rsidRDefault="00902A01" w:rsidP="06A0C929">
            <w:pPr>
              <w:rPr>
                <w:rFonts w:eastAsia="Times New Roman"/>
                <w:color w:val="000000" w:themeColor="text1"/>
                <w:highlight w:val="yellow"/>
                <w:lang w:eastAsia="en-US"/>
              </w:rPr>
            </w:pPr>
          </w:p>
        </w:tc>
        <w:tc>
          <w:tcPr>
            <w:tcW w:w="615" w:type="pct"/>
            <w:vMerge/>
            <w:shd w:val="clear" w:color="auto" w:fill="FFFFFF" w:themeFill="background1"/>
            <w:vAlign w:val="center"/>
          </w:tcPr>
          <w:p w14:paraId="534A512E" w14:textId="77777777" w:rsidR="00902A01" w:rsidRPr="06A0C929" w:rsidRDefault="00902A01" w:rsidP="06A0C929">
            <w:pPr>
              <w:spacing w:line="240" w:lineRule="auto"/>
              <w:jc w:val="center"/>
              <w:rPr>
                <w:rFonts w:eastAsia="Times New Roman"/>
                <w:color w:val="000000" w:themeColor="text1"/>
                <w:lang w:eastAsia="en-US"/>
              </w:rPr>
            </w:pPr>
          </w:p>
        </w:tc>
      </w:tr>
      <w:tr w:rsidR="00902A01" w:rsidRPr="00956DC6" w14:paraId="28802906" w14:textId="77777777" w:rsidTr="006F6565">
        <w:trPr>
          <w:trHeight w:val="1065"/>
        </w:trPr>
        <w:tc>
          <w:tcPr>
            <w:tcW w:w="1071" w:type="pct"/>
            <w:vMerge/>
            <w:shd w:val="clear" w:color="auto" w:fill="FFFFFF" w:themeFill="background1"/>
            <w:vAlign w:val="center"/>
          </w:tcPr>
          <w:p w14:paraId="3AC3AD93" w14:textId="77777777" w:rsidR="00902A01" w:rsidRPr="06A0C929" w:rsidRDefault="00902A01" w:rsidP="06A0C929">
            <w:pPr>
              <w:spacing w:line="240" w:lineRule="auto"/>
              <w:rPr>
                <w:rFonts w:eastAsia="Times New Roman"/>
                <w:color w:val="000000" w:themeColor="text1"/>
                <w:lang w:eastAsia="en-US"/>
              </w:rPr>
            </w:pPr>
          </w:p>
        </w:tc>
        <w:tc>
          <w:tcPr>
            <w:tcW w:w="2635" w:type="pct"/>
            <w:shd w:val="clear" w:color="auto" w:fill="FFFFFF" w:themeFill="background1"/>
            <w:vAlign w:val="center"/>
          </w:tcPr>
          <w:p w14:paraId="7FE6BE0F" w14:textId="0F95CF58" w:rsidR="00902A01" w:rsidRPr="007C3683" w:rsidRDefault="0069736A" w:rsidP="06A0C929">
            <w:pPr>
              <w:spacing w:line="240" w:lineRule="auto"/>
              <w:rPr>
                <w:rFonts w:eastAsia="Times New Roman"/>
                <w:color w:val="000000" w:themeColor="text1"/>
                <w:highlight w:val="cyan"/>
                <w:lang w:eastAsia="en-US"/>
              </w:rPr>
            </w:pPr>
            <w:r w:rsidRPr="007C3683">
              <w:rPr>
                <w:rFonts w:eastAsia="Times New Roman"/>
                <w:color w:val="000000" w:themeColor="text1"/>
                <w:highlight w:val="cyan"/>
                <w:lang w:eastAsia="en-US"/>
              </w:rPr>
              <w:t>Assurer l</w:t>
            </w:r>
            <w:r w:rsidR="00DA1078" w:rsidRPr="007C3683">
              <w:rPr>
                <w:rFonts w:eastAsia="Times New Roman"/>
                <w:color w:val="000000" w:themeColor="text1"/>
                <w:highlight w:val="cyan"/>
                <w:lang w:eastAsia="en-US"/>
              </w:rPr>
              <w:t xml:space="preserve">a mise en œuvre et la coordination efficace </w:t>
            </w:r>
            <w:r w:rsidR="000D46C5" w:rsidRPr="007C3683">
              <w:rPr>
                <w:rFonts w:eastAsia="Times New Roman"/>
                <w:color w:val="000000" w:themeColor="text1"/>
                <w:highlight w:val="cyan"/>
                <w:lang w:eastAsia="en-US"/>
              </w:rPr>
              <w:t xml:space="preserve">des activités financés par Gavi et </w:t>
            </w:r>
            <w:r w:rsidR="00B74B55" w:rsidRPr="007C3683">
              <w:rPr>
                <w:rFonts w:eastAsia="Times New Roman"/>
                <w:color w:val="000000" w:themeColor="text1"/>
                <w:highlight w:val="cyan"/>
                <w:lang w:eastAsia="en-US"/>
              </w:rPr>
              <w:t>les autres parties prenantes du programme élargi de vaccination</w:t>
            </w:r>
            <w:r w:rsidR="00284859">
              <w:rPr>
                <w:rFonts w:eastAsia="Times New Roman"/>
                <w:color w:val="000000" w:themeColor="text1"/>
                <w:highlight w:val="cyan"/>
                <w:lang w:eastAsia="en-US"/>
              </w:rPr>
              <w:t xml:space="preserve"> (PEV)</w:t>
            </w:r>
          </w:p>
        </w:tc>
        <w:tc>
          <w:tcPr>
            <w:tcW w:w="680" w:type="pct"/>
            <w:vMerge/>
            <w:shd w:val="clear" w:color="auto" w:fill="FFFFFF" w:themeFill="background1"/>
            <w:vAlign w:val="center"/>
          </w:tcPr>
          <w:p w14:paraId="52164799" w14:textId="77777777" w:rsidR="00902A01" w:rsidRPr="06A0C929" w:rsidRDefault="00902A01" w:rsidP="06A0C929">
            <w:pPr>
              <w:rPr>
                <w:rFonts w:eastAsia="Times New Roman"/>
                <w:color w:val="000000" w:themeColor="text1"/>
                <w:highlight w:val="yellow"/>
                <w:lang w:eastAsia="en-US"/>
              </w:rPr>
            </w:pPr>
          </w:p>
        </w:tc>
        <w:tc>
          <w:tcPr>
            <w:tcW w:w="615" w:type="pct"/>
            <w:vMerge/>
            <w:shd w:val="clear" w:color="auto" w:fill="FFFFFF" w:themeFill="background1"/>
            <w:vAlign w:val="center"/>
          </w:tcPr>
          <w:p w14:paraId="3BC5A60E" w14:textId="77777777" w:rsidR="00902A01" w:rsidRPr="06A0C929" w:rsidRDefault="00902A01" w:rsidP="06A0C929">
            <w:pPr>
              <w:spacing w:line="240" w:lineRule="auto"/>
              <w:jc w:val="center"/>
              <w:rPr>
                <w:rFonts w:eastAsia="Times New Roman"/>
                <w:color w:val="000000" w:themeColor="text1"/>
                <w:lang w:eastAsia="en-US"/>
              </w:rPr>
            </w:pPr>
          </w:p>
        </w:tc>
      </w:tr>
      <w:tr w:rsidR="00956DC6" w:rsidRPr="00956DC6" w14:paraId="7F6877E9" w14:textId="77777777" w:rsidTr="006F6565">
        <w:trPr>
          <w:trHeight w:val="1320"/>
        </w:trPr>
        <w:tc>
          <w:tcPr>
            <w:tcW w:w="1071" w:type="pct"/>
            <w:vMerge/>
            <w:vAlign w:val="center"/>
            <w:hideMark/>
          </w:tcPr>
          <w:p w14:paraId="6B026905" w14:textId="77777777" w:rsidR="00956DC6" w:rsidRPr="007C3683" w:rsidRDefault="00956DC6" w:rsidP="00956DC6">
            <w:pPr>
              <w:spacing w:line="240" w:lineRule="auto"/>
              <w:rPr>
                <w:rFonts w:eastAsia="Times New Roman"/>
                <w:color w:val="000000"/>
                <w:lang w:val="fr-CH" w:eastAsia="en-US"/>
              </w:rPr>
            </w:pPr>
          </w:p>
        </w:tc>
        <w:tc>
          <w:tcPr>
            <w:tcW w:w="2635" w:type="pct"/>
            <w:shd w:val="clear" w:color="auto" w:fill="FFFFFF" w:themeFill="background1"/>
            <w:vAlign w:val="center"/>
            <w:hideMark/>
          </w:tcPr>
          <w:p w14:paraId="5683C7F2" w14:textId="554FE6E3" w:rsidR="00956DC6" w:rsidRPr="00956DC6" w:rsidRDefault="00284859" w:rsidP="06A0C929">
            <w:pPr>
              <w:spacing w:line="240" w:lineRule="auto"/>
              <w:rPr>
                <w:rFonts w:eastAsia="Times New Roman"/>
                <w:color w:val="000000"/>
                <w:lang w:eastAsia="en-US"/>
              </w:rPr>
            </w:pPr>
            <w:r w:rsidRPr="007C3683">
              <w:rPr>
                <w:rFonts w:eastAsia="Times New Roman"/>
                <w:color w:val="000000" w:themeColor="text1"/>
                <w:highlight w:val="cyan"/>
                <w:lang w:eastAsia="en-US"/>
              </w:rPr>
              <w:t xml:space="preserve">Accompagner </w:t>
            </w:r>
            <w:r w:rsidR="00FE5882" w:rsidRPr="007C3683">
              <w:rPr>
                <w:rFonts w:eastAsia="Times New Roman"/>
                <w:color w:val="000000" w:themeColor="text1"/>
                <w:highlight w:val="cyan"/>
                <w:lang w:eastAsia="en-US"/>
              </w:rPr>
              <w:t xml:space="preserve">et former </w:t>
            </w:r>
            <w:r w:rsidRPr="007C3683">
              <w:rPr>
                <w:rFonts w:eastAsia="Times New Roman"/>
                <w:color w:val="000000" w:themeColor="text1"/>
                <w:highlight w:val="cyan"/>
                <w:lang w:eastAsia="en-US"/>
              </w:rPr>
              <w:t>le leadership du PEV dans la planification et gestion des activités du programme</w:t>
            </w:r>
            <w:r>
              <w:rPr>
                <w:rFonts w:eastAsia="Times New Roman"/>
                <w:color w:val="000000" w:themeColor="text1"/>
                <w:lang w:eastAsia="en-US"/>
              </w:rPr>
              <w:t xml:space="preserve"> </w:t>
            </w:r>
          </w:p>
        </w:tc>
        <w:tc>
          <w:tcPr>
            <w:tcW w:w="680" w:type="pct"/>
            <w:vMerge/>
            <w:vAlign w:val="center"/>
            <w:hideMark/>
          </w:tcPr>
          <w:p w14:paraId="189A74BF" w14:textId="77777777" w:rsidR="00956DC6" w:rsidRPr="00BA439C" w:rsidRDefault="00956DC6" w:rsidP="00956DC6">
            <w:pPr>
              <w:spacing w:line="240" w:lineRule="auto"/>
              <w:rPr>
                <w:rFonts w:eastAsia="Times New Roman"/>
                <w:color w:val="000000"/>
                <w:highlight w:val="yellow"/>
                <w:lang w:eastAsia="en-US"/>
              </w:rPr>
            </w:pPr>
          </w:p>
        </w:tc>
        <w:tc>
          <w:tcPr>
            <w:tcW w:w="615" w:type="pct"/>
            <w:vMerge/>
            <w:vAlign w:val="center"/>
            <w:hideMark/>
          </w:tcPr>
          <w:p w14:paraId="787D7117" w14:textId="77777777" w:rsidR="00956DC6" w:rsidRPr="00BA439C" w:rsidRDefault="00956DC6" w:rsidP="00956DC6">
            <w:pPr>
              <w:spacing w:line="240" w:lineRule="auto"/>
              <w:rPr>
                <w:rFonts w:eastAsia="Times New Roman"/>
                <w:color w:val="000000"/>
                <w:highlight w:val="yellow"/>
                <w:lang w:eastAsia="en-US"/>
              </w:rPr>
            </w:pPr>
          </w:p>
        </w:tc>
      </w:tr>
      <w:tr w:rsidR="00956DC6" w:rsidRPr="00956DC6" w14:paraId="42278F95" w14:textId="77777777" w:rsidTr="006F6565">
        <w:trPr>
          <w:trHeight w:val="1011"/>
        </w:trPr>
        <w:tc>
          <w:tcPr>
            <w:tcW w:w="1071" w:type="pct"/>
            <w:shd w:val="clear" w:color="auto" w:fill="FFFFFF" w:themeFill="background1"/>
            <w:vAlign w:val="center"/>
            <w:hideMark/>
          </w:tcPr>
          <w:p w14:paraId="65CD2FE3" w14:textId="77777777" w:rsidR="00956DC6" w:rsidRPr="00956DC6" w:rsidRDefault="7A3580D0" w:rsidP="06A0C929">
            <w:pPr>
              <w:spacing w:line="240" w:lineRule="auto"/>
              <w:rPr>
                <w:rFonts w:eastAsia="Times New Roman"/>
                <w:color w:val="000000"/>
                <w:lang w:eastAsia="en-US"/>
              </w:rPr>
            </w:pPr>
            <w:r w:rsidRPr="06A0C929">
              <w:rPr>
                <w:rFonts w:eastAsia="Times New Roman"/>
                <w:color w:val="000000" w:themeColor="text1"/>
                <w:lang w:eastAsia="en-US"/>
              </w:rPr>
              <w:t xml:space="preserve">Financement de la santé </w:t>
            </w:r>
          </w:p>
        </w:tc>
        <w:tc>
          <w:tcPr>
            <w:tcW w:w="2635" w:type="pct"/>
            <w:shd w:val="clear" w:color="auto" w:fill="FFFFFF" w:themeFill="background1"/>
            <w:vAlign w:val="center"/>
            <w:hideMark/>
          </w:tcPr>
          <w:p w14:paraId="0BB2F641" w14:textId="69342E27" w:rsidR="00956DC6" w:rsidRPr="00956DC6" w:rsidRDefault="04F6D237" w:rsidP="06A0C929">
            <w:pPr>
              <w:spacing w:line="240" w:lineRule="auto"/>
              <w:rPr>
                <w:rFonts w:eastAsia="Times New Roman"/>
                <w:color w:val="000000"/>
                <w:lang w:eastAsia="en-US"/>
              </w:rPr>
            </w:pPr>
            <w:r w:rsidRPr="06A0C929">
              <w:rPr>
                <w:rFonts w:eastAsia="Times New Roman"/>
                <w:color w:val="000000" w:themeColor="text1"/>
                <w:lang w:eastAsia="en-US"/>
              </w:rPr>
              <w:t xml:space="preserve">Appuyer l’élaboration du document </w:t>
            </w:r>
            <w:r w:rsidR="7577D060" w:rsidRPr="06A0C929">
              <w:rPr>
                <w:rFonts w:eastAsia="Times New Roman"/>
                <w:color w:val="000000" w:themeColor="text1"/>
                <w:lang w:eastAsia="en-US"/>
              </w:rPr>
              <w:t xml:space="preserve">d’adhésion à l’Initiative </w:t>
            </w:r>
            <w:r w:rsidRPr="06A0C929">
              <w:rPr>
                <w:rFonts w:eastAsia="Times New Roman"/>
                <w:color w:val="000000" w:themeColor="text1"/>
                <w:lang w:eastAsia="en-US"/>
              </w:rPr>
              <w:t>de l’indépendance vaccinale et le suivi de la mise en œuvre du plan de mobilisation des ressources endogènes.</w:t>
            </w:r>
          </w:p>
        </w:tc>
        <w:tc>
          <w:tcPr>
            <w:tcW w:w="680" w:type="pct"/>
            <w:shd w:val="clear" w:color="auto" w:fill="FFFFFF" w:themeFill="background1"/>
            <w:vAlign w:val="center"/>
            <w:hideMark/>
          </w:tcPr>
          <w:p w14:paraId="6B9DC678" w14:textId="1C90B9B8" w:rsidR="00956DC6" w:rsidRPr="000173DF" w:rsidRDefault="7A3580D0" w:rsidP="06A0C929">
            <w:pPr>
              <w:spacing w:line="240" w:lineRule="auto"/>
              <w:jc w:val="center"/>
              <w:rPr>
                <w:rFonts w:eastAsia="Times New Roman"/>
                <w:color w:val="000000"/>
                <w:lang w:eastAsia="en-US"/>
              </w:rPr>
            </w:pPr>
            <w:r w:rsidRPr="06A0C929">
              <w:rPr>
                <w:rFonts w:eastAsia="Times New Roman"/>
                <w:color w:val="000000" w:themeColor="text1"/>
                <w:lang w:eastAsia="en-US"/>
              </w:rPr>
              <w:t> </w:t>
            </w:r>
            <w:r w:rsidR="006A6A11">
              <w:rPr>
                <w:rFonts w:eastAsia="Times New Roman"/>
                <w:color w:val="000000" w:themeColor="text1"/>
                <w:lang w:eastAsia="en-US"/>
              </w:rPr>
              <w:t>0</w:t>
            </w:r>
          </w:p>
        </w:tc>
        <w:tc>
          <w:tcPr>
            <w:tcW w:w="615" w:type="pct"/>
            <w:shd w:val="clear" w:color="auto" w:fill="FFFFFF" w:themeFill="background1"/>
            <w:vAlign w:val="center"/>
            <w:hideMark/>
          </w:tcPr>
          <w:p w14:paraId="1ED3E5E7" w14:textId="75596A34" w:rsidR="00956DC6" w:rsidRPr="000173DF" w:rsidRDefault="006A6A11" w:rsidP="06A0C929">
            <w:pPr>
              <w:spacing w:line="240" w:lineRule="auto"/>
              <w:jc w:val="center"/>
              <w:rPr>
                <w:rFonts w:eastAsia="Times New Roman"/>
                <w:color w:val="000000"/>
                <w:lang w:eastAsia="en-US"/>
              </w:rPr>
            </w:pPr>
            <w:r>
              <w:rPr>
                <w:rFonts w:eastAsia="Times New Roman"/>
                <w:color w:val="000000" w:themeColor="text1"/>
                <w:lang w:eastAsia="en-US"/>
              </w:rPr>
              <w:t>0%</w:t>
            </w:r>
          </w:p>
        </w:tc>
      </w:tr>
    </w:tbl>
    <w:p w14:paraId="35A5D3AF" w14:textId="35B6C009" w:rsidR="00DF7E1E" w:rsidRDefault="00DF7E1E" w:rsidP="00372D1F">
      <w:pPr>
        <w:pStyle w:val="ListParagraph"/>
        <w:spacing w:line="300" w:lineRule="exact"/>
        <w:ind w:left="426"/>
        <w:rPr>
          <w:i/>
          <w:color w:val="808080" w:themeColor="background1" w:themeShade="8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372D1F" w14:paraId="42B6E5C8" w14:textId="77777777" w:rsidTr="00E97920">
        <w:tc>
          <w:tcPr>
            <w:tcW w:w="5000" w:type="pct"/>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i/>
                <w:sz w:val="20"/>
              </w:rPr>
              <w:t>2.1</w:t>
            </w:r>
            <w:r>
              <w:rPr>
                <w:b/>
                <w:i/>
                <w:sz w:val="20"/>
              </w:rPr>
              <w:tab/>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w:t>
            </w:r>
            <w:r>
              <w:rPr>
                <w:b/>
                <w:sz w:val="20"/>
              </w:rPr>
              <w:t xml:space="preserve"> </w:t>
            </w:r>
            <w:r>
              <w:rPr>
                <w:b/>
                <w:i/>
                <w:sz w:val="20"/>
              </w:rPr>
              <w:t>Veuillez noter explicitement la durée du soutien demandé</w:t>
            </w:r>
          </w:p>
        </w:tc>
      </w:tr>
      <w:tr w:rsidR="00372D1F" w14:paraId="19BE42B7" w14:textId="77777777" w:rsidTr="00E97920">
        <w:tc>
          <w:tcPr>
            <w:tcW w:w="5000" w:type="pct"/>
            <w:tcBorders>
              <w:top w:val="single" w:sz="4" w:space="0" w:color="auto"/>
              <w:left w:val="single" w:sz="4" w:space="0" w:color="auto"/>
              <w:bottom w:val="single" w:sz="4" w:space="0" w:color="auto"/>
              <w:right w:val="single" w:sz="4" w:space="0" w:color="auto"/>
            </w:tcBorders>
          </w:tcPr>
          <w:p w14:paraId="6B5F941A" w14:textId="3E71BC56" w:rsidR="001221C5" w:rsidRDefault="7219E8B5" w:rsidP="001221C5">
            <w:pPr>
              <w:spacing w:line="300" w:lineRule="exact"/>
              <w:jc w:val="both"/>
            </w:pPr>
            <w:r>
              <w:t xml:space="preserve">Le soutien demandé dans le cadre de </w:t>
            </w:r>
            <w:r w:rsidR="7F322ADA">
              <w:t xml:space="preserve">la </w:t>
            </w:r>
            <w:r>
              <w:t xml:space="preserve">présente soumission couvre la période de </w:t>
            </w:r>
            <w:r w:rsidR="64F53EBB">
              <w:t>janvier</w:t>
            </w:r>
            <w:r w:rsidR="3B51AB2D">
              <w:t xml:space="preserve"> </w:t>
            </w:r>
            <w:r w:rsidR="64F53EBB">
              <w:t xml:space="preserve"> </w:t>
            </w:r>
            <w:r>
              <w:t xml:space="preserve"> à </w:t>
            </w:r>
            <w:r w:rsidR="327EA940">
              <w:t>décembre 2022</w:t>
            </w:r>
            <w:r>
              <w:t xml:space="preserve">. </w:t>
            </w:r>
            <w:r w:rsidR="007245D6" w:rsidRPr="007C3683">
              <w:rPr>
                <w:highlight w:val="cyan"/>
              </w:rPr>
              <w:t xml:space="preserve">Elle est </w:t>
            </w:r>
            <w:r w:rsidR="007245D6" w:rsidRPr="007245D6">
              <w:rPr>
                <w:highlight w:val="cyan"/>
              </w:rPr>
              <w:t>complétée</w:t>
            </w:r>
            <w:r w:rsidR="007245D6" w:rsidRPr="007C3683">
              <w:rPr>
                <w:highlight w:val="cyan"/>
              </w:rPr>
              <w:t xml:space="preserve"> par deux activités couvrant la période de janvier à </w:t>
            </w:r>
            <w:r w:rsidR="007245D6" w:rsidRPr="007245D6">
              <w:rPr>
                <w:highlight w:val="cyan"/>
              </w:rPr>
              <w:t>décembre</w:t>
            </w:r>
            <w:r w:rsidR="007245D6" w:rsidRPr="007C3683">
              <w:rPr>
                <w:highlight w:val="cyan"/>
              </w:rPr>
              <w:t xml:space="preserve"> 2023.</w:t>
            </w:r>
          </w:p>
          <w:p w14:paraId="3F91EA5C" w14:textId="77777777" w:rsidR="00377149" w:rsidRPr="006A13F9" w:rsidRDefault="00377149" w:rsidP="00377149">
            <w:pPr>
              <w:pStyle w:val="ListParagraph"/>
              <w:numPr>
                <w:ilvl w:val="0"/>
                <w:numId w:val="34"/>
              </w:numPr>
              <w:spacing w:line="300" w:lineRule="exact"/>
            </w:pPr>
            <w:r w:rsidRPr="006A13F9">
              <w:t>Dans le domaine d</w:t>
            </w:r>
            <w:r>
              <w:t>e</w:t>
            </w:r>
            <w:r w:rsidRPr="006A13F9">
              <w:t xml:space="preserve"> </w:t>
            </w:r>
            <w:r w:rsidRPr="00DC3D91">
              <w:rPr>
                <w:i/>
                <w:iCs/>
              </w:rPr>
              <w:t>l’offre des services</w:t>
            </w:r>
            <w:r w:rsidRPr="006A13F9">
              <w:t>, l’assistance technique contribuera à :</w:t>
            </w:r>
          </w:p>
          <w:p w14:paraId="006FA04E" w14:textId="793E0A67" w:rsidR="00980790" w:rsidRDefault="6C378473" w:rsidP="00980790">
            <w:pPr>
              <w:pStyle w:val="ListParagraph"/>
              <w:numPr>
                <w:ilvl w:val="0"/>
                <w:numId w:val="20"/>
              </w:numPr>
              <w:spacing w:line="300" w:lineRule="exact"/>
              <w:jc w:val="both"/>
            </w:pPr>
            <w:r>
              <w:t>L’identification des enfants zéro dose et sous-vaccinés et les communautés difficiles d’accès</w:t>
            </w:r>
          </w:p>
          <w:p w14:paraId="55657174" w14:textId="68D617CC" w:rsidR="00980790" w:rsidRDefault="6C378473" w:rsidP="00980790">
            <w:pPr>
              <w:pStyle w:val="ListParagraph"/>
              <w:numPr>
                <w:ilvl w:val="0"/>
                <w:numId w:val="20"/>
              </w:numPr>
              <w:spacing w:line="300" w:lineRule="exact"/>
              <w:jc w:val="both"/>
            </w:pPr>
            <w:r>
              <w:t>L’identification et l’analyse continue des obstacles et déterminants des inégalités (liés à l’âge, à la situation géographique, aux facteurs sociaux et culturels et au genre) en matière d’offre de la vaccination et l’utilisation des services de santé ;</w:t>
            </w:r>
          </w:p>
          <w:p w14:paraId="4E49CDF9" w14:textId="3CF9FB98" w:rsidR="00980790" w:rsidRDefault="6C378473" w:rsidP="00980790">
            <w:pPr>
              <w:pStyle w:val="ListParagraph"/>
              <w:numPr>
                <w:ilvl w:val="0"/>
                <w:numId w:val="20"/>
              </w:numPr>
              <w:spacing w:line="300" w:lineRule="exact"/>
              <w:jc w:val="both"/>
            </w:pPr>
            <w:r>
              <w:t xml:space="preserve">Soutenir l’élaboration des plans de vaccination sub-nationaux comprenant des interventions sur mesure pour atteindre les enfants zéro dose et communautés sous desservies ; </w:t>
            </w:r>
          </w:p>
          <w:p w14:paraId="5BD8A110" w14:textId="3A46EEF4" w:rsidR="00377149" w:rsidRDefault="00377149" w:rsidP="00377149">
            <w:pPr>
              <w:pStyle w:val="ListParagraph"/>
              <w:numPr>
                <w:ilvl w:val="0"/>
                <w:numId w:val="20"/>
              </w:numPr>
              <w:spacing w:line="300" w:lineRule="exact"/>
              <w:jc w:val="both"/>
            </w:pPr>
            <w:r>
              <w:t>Etendre les services de vaccination pour atteindre les enfants zéro dose et sous-vaccinés et les communautés difficiles d’accès</w:t>
            </w:r>
          </w:p>
          <w:p w14:paraId="20A7D442" w14:textId="10BAA74B" w:rsidR="00377149" w:rsidRDefault="00377149" w:rsidP="00377149">
            <w:pPr>
              <w:pStyle w:val="ListParagraph"/>
              <w:numPr>
                <w:ilvl w:val="0"/>
                <w:numId w:val="20"/>
              </w:numPr>
              <w:spacing w:line="300" w:lineRule="exact"/>
              <w:jc w:val="both"/>
            </w:pPr>
            <w:r>
              <w:t>Intégrer la prestation de services pour améliorer l’efficacité, la régularité et/ou la fiabilité des activités de vaccination planifiées, en mettant l’accent sur les enfants zéro dose et sous-vaccinés et les communautés difficiles d’accès</w:t>
            </w:r>
          </w:p>
          <w:p w14:paraId="0813C83D" w14:textId="7BCA72DB" w:rsidR="006760F9" w:rsidRPr="006A13F9" w:rsidRDefault="54987020" w:rsidP="006760F9">
            <w:pPr>
              <w:pStyle w:val="ListParagraph"/>
              <w:numPr>
                <w:ilvl w:val="0"/>
                <w:numId w:val="20"/>
              </w:numPr>
              <w:spacing w:line="300" w:lineRule="exact"/>
              <w:jc w:val="both"/>
            </w:pPr>
            <w:r>
              <w:t>Appuyer la poursuite de la la mise en œuvre des micro plans axes sur l’équité vaccinale.</w:t>
            </w:r>
          </w:p>
          <w:p w14:paraId="63B09367" w14:textId="77777777" w:rsidR="006760F9" w:rsidRDefault="006760F9" w:rsidP="00DC3D91">
            <w:pPr>
              <w:spacing w:line="300" w:lineRule="exact"/>
              <w:jc w:val="both"/>
            </w:pPr>
          </w:p>
          <w:p w14:paraId="61869B9A" w14:textId="0E8C50B2" w:rsidR="00377149" w:rsidRDefault="3CB09E4E" w:rsidP="00377149">
            <w:pPr>
              <w:pStyle w:val="ListParagraph"/>
              <w:numPr>
                <w:ilvl w:val="0"/>
                <w:numId w:val="34"/>
              </w:numPr>
              <w:spacing w:line="300" w:lineRule="exact"/>
            </w:pPr>
            <w:r>
              <w:t xml:space="preserve">Dans le domaine des </w:t>
            </w:r>
            <w:r w:rsidRPr="00DC3D91">
              <w:rPr>
                <w:i/>
                <w:iCs/>
              </w:rPr>
              <w:t>ressources humaines</w:t>
            </w:r>
            <w:r>
              <w:t xml:space="preserve"> : </w:t>
            </w:r>
          </w:p>
          <w:p w14:paraId="6CFE1FC3" w14:textId="6F589D61" w:rsidR="00EA4451" w:rsidRDefault="562B1CB6" w:rsidP="00377149">
            <w:pPr>
              <w:pStyle w:val="ListParagraph"/>
              <w:numPr>
                <w:ilvl w:val="0"/>
                <w:numId w:val="20"/>
              </w:numPr>
              <w:spacing w:line="300" w:lineRule="exact"/>
              <w:jc w:val="both"/>
            </w:pPr>
            <w:r w:rsidRPr="06A0C929">
              <w:rPr>
                <w:rFonts w:eastAsia="Times New Roman"/>
                <w:color w:val="000000" w:themeColor="text1"/>
                <w:lang w:eastAsia="en-US"/>
              </w:rPr>
              <w:t>Soutenir le développement et la mise en œuvre du plan de renforcement des capacités des vaccinateurs et superviseurs de proximité sur la vaccination pratique et surveillance des évènements indésirables ;</w:t>
            </w:r>
          </w:p>
          <w:p w14:paraId="040C428F" w14:textId="00202A29" w:rsidR="00377149" w:rsidRDefault="00377149" w:rsidP="00377149">
            <w:pPr>
              <w:pStyle w:val="ListParagraph"/>
              <w:numPr>
                <w:ilvl w:val="0"/>
                <w:numId w:val="20"/>
              </w:numPr>
              <w:spacing w:line="300" w:lineRule="exact"/>
              <w:jc w:val="both"/>
            </w:pPr>
            <w:r>
              <w:t xml:space="preserve">Appuyer la mise en place </w:t>
            </w:r>
            <w:r w:rsidRPr="00377149">
              <w:t>au profit du personnel de santé chargé de la vaccination des systèmes de gestion régulière de la performance, y compris la supervision formative et le développement</w:t>
            </w:r>
          </w:p>
          <w:p w14:paraId="47993CA4" w14:textId="3694B1AD" w:rsidR="00C069CA" w:rsidRPr="006A13F9" w:rsidRDefault="001221C5" w:rsidP="00C91DE8">
            <w:pPr>
              <w:pStyle w:val="ListParagraph"/>
              <w:numPr>
                <w:ilvl w:val="0"/>
                <w:numId w:val="34"/>
              </w:numPr>
              <w:spacing w:line="300" w:lineRule="exact"/>
            </w:pPr>
            <w:r w:rsidRPr="006A13F9">
              <w:t xml:space="preserve">Dans le domaine de la </w:t>
            </w:r>
            <w:r w:rsidR="00C069CA" w:rsidRPr="00DC3D91">
              <w:rPr>
                <w:i/>
                <w:iCs/>
              </w:rPr>
              <w:t>Chaine d’approvisionnement</w:t>
            </w:r>
            <w:r w:rsidRPr="006A13F9">
              <w:t xml:space="preserve">, l’assistance </w:t>
            </w:r>
            <w:r w:rsidR="00882AFC" w:rsidRPr="006A13F9">
              <w:t xml:space="preserve">contribuera à </w:t>
            </w:r>
            <w:r w:rsidRPr="006A13F9">
              <w:t>:</w:t>
            </w:r>
          </w:p>
          <w:p w14:paraId="4D90C9C5" w14:textId="39514062" w:rsidR="00CD25DF" w:rsidRPr="006A13F9" w:rsidRDefault="1DE551D4" w:rsidP="00CB2790">
            <w:pPr>
              <w:pStyle w:val="ListParagraph"/>
              <w:numPr>
                <w:ilvl w:val="0"/>
                <w:numId w:val="20"/>
              </w:numPr>
              <w:spacing w:line="300" w:lineRule="exact"/>
              <w:jc w:val="both"/>
            </w:pPr>
            <w:r>
              <w:t>L’amélioration</w:t>
            </w:r>
            <w:r w:rsidR="495CA01F">
              <w:t xml:space="preserve"> </w:t>
            </w:r>
            <w:r w:rsidR="0A33A78B">
              <w:t>la gestion des stocks de vaccins et de dispositifs y compris la</w:t>
            </w:r>
            <w:r w:rsidR="63ECCF0F">
              <w:t xml:space="preserve"> quantification des besoins, </w:t>
            </w:r>
            <w:r w:rsidR="495CA01F">
              <w:t xml:space="preserve">l’élaboration </w:t>
            </w:r>
            <w:r w:rsidR="2688E7C3">
              <w:t>des</w:t>
            </w:r>
            <w:r w:rsidR="63ECCF0F">
              <w:t xml:space="preserve"> plan</w:t>
            </w:r>
            <w:r w:rsidR="2688E7C3">
              <w:t>s</w:t>
            </w:r>
            <w:r w:rsidR="63ECCF0F">
              <w:t xml:space="preserve"> d’approvisionnement</w:t>
            </w:r>
            <w:r w:rsidR="495CA01F">
              <w:t xml:space="preserve"> adéquat</w:t>
            </w:r>
            <w:r>
              <w:t xml:space="preserve">s et </w:t>
            </w:r>
            <w:r w:rsidR="63ECCF0F">
              <w:t xml:space="preserve">l’analyse des besoins </w:t>
            </w:r>
            <w:r w:rsidR="495CA01F">
              <w:t xml:space="preserve">en temps </w:t>
            </w:r>
            <w:r w:rsidR="63ECCF0F">
              <w:t>réel</w:t>
            </w:r>
            <w:r w:rsidR="2688E7C3">
              <w:t> ;</w:t>
            </w:r>
          </w:p>
          <w:p w14:paraId="5E100630" w14:textId="5978A15B" w:rsidR="00164603" w:rsidRPr="006A13F9" w:rsidRDefault="1DE551D4" w:rsidP="00CB2790">
            <w:pPr>
              <w:pStyle w:val="ListParagraph"/>
              <w:numPr>
                <w:ilvl w:val="0"/>
                <w:numId w:val="20"/>
              </w:numPr>
              <w:spacing w:line="300" w:lineRule="exact"/>
              <w:jc w:val="both"/>
            </w:pPr>
            <w:r>
              <w:t>L’accompagnement du</w:t>
            </w:r>
            <w:r w:rsidR="3A9EA4FB">
              <w:t xml:space="preserve"> pays dans le processus d</w:t>
            </w:r>
            <w:r w:rsidR="5F8832F9">
              <w:t>es approvisionnements</w:t>
            </w:r>
            <w:r w:rsidR="3A9EA4FB">
              <w:t> </w:t>
            </w:r>
            <w:r w:rsidR="0A33A78B">
              <w:t xml:space="preserve">et l’inventaire périodique des vaccins et matériels d’injection ; </w:t>
            </w:r>
          </w:p>
          <w:p w14:paraId="14E2F5CD" w14:textId="386EEFD7" w:rsidR="008C245D" w:rsidRDefault="0A33A78B" w:rsidP="008C245D">
            <w:pPr>
              <w:pStyle w:val="ListParagraph"/>
              <w:numPr>
                <w:ilvl w:val="0"/>
                <w:numId w:val="20"/>
              </w:numPr>
              <w:spacing w:line="300" w:lineRule="exact"/>
              <w:jc w:val="both"/>
            </w:pPr>
            <w:r>
              <w:t>Appuyer le suivi pour une m</w:t>
            </w:r>
            <w:r w:rsidR="2475D341">
              <w:t>e</w:t>
            </w:r>
            <w:r>
              <w:t>ill</w:t>
            </w:r>
            <w:r w:rsidR="2475D341">
              <w:t>e</w:t>
            </w:r>
            <w:r>
              <w:t>ur</w:t>
            </w:r>
            <w:r w:rsidR="2475D341">
              <w:t>e</w:t>
            </w:r>
            <w:r>
              <w:t xml:space="preserve"> appropriation des systèmes d’information sur la gestion électronique de la logistique en s’assurant de la meilleure appropriation des nouvelles technologies afin de suivre en temps réel et à tous les niveaux de la chaîne d’approvisionnement, les stocks des vaccins</w:t>
            </w:r>
          </w:p>
          <w:p w14:paraId="5F2C5AA4" w14:textId="633373D9" w:rsidR="008C245D" w:rsidRPr="006A13F9" w:rsidRDefault="0A33A78B" w:rsidP="00CB2790">
            <w:pPr>
              <w:pStyle w:val="ListParagraph"/>
              <w:numPr>
                <w:ilvl w:val="0"/>
                <w:numId w:val="20"/>
              </w:numPr>
              <w:spacing w:line="300" w:lineRule="exact"/>
              <w:jc w:val="both"/>
            </w:pPr>
            <w:r>
              <w:t xml:space="preserve">Assurer le suivi et la mise en œuvre du processus de modélisation de la chaine de chaine et de l’intégration de la chaine d’approvisionnement entre le PEV et la PCG ; </w:t>
            </w:r>
          </w:p>
          <w:p w14:paraId="3707055F" w14:textId="37B86059" w:rsidR="00442B8D" w:rsidRPr="006A13F9" w:rsidRDefault="2EA2550D" w:rsidP="00CB2790">
            <w:pPr>
              <w:numPr>
                <w:ilvl w:val="0"/>
                <w:numId w:val="20"/>
              </w:numPr>
              <w:spacing w:before="60" w:after="60"/>
              <w:ind w:right="95"/>
              <w:contextualSpacing/>
              <w:jc w:val="both"/>
            </w:pPr>
            <w:r>
              <w:t xml:space="preserve">Assurer le suivi de </w:t>
            </w:r>
            <w:r w:rsidR="1DE551D4">
              <w:t>la</w:t>
            </w:r>
            <w:r w:rsidR="495CA01F">
              <w:t xml:space="preserve"> gestion adéquate et rationnelle des équipements de la chaine de froid (maintenance, </w:t>
            </w:r>
            <w:r w:rsidR="4DA0299B">
              <w:t>cartographie de contrôle de température froides</w:t>
            </w:r>
            <w:r w:rsidR="495CA01F">
              <w:t xml:space="preserve">, inventaires, </w:t>
            </w:r>
            <w:r w:rsidR="4DA0299B">
              <w:t>s</w:t>
            </w:r>
            <w:r w:rsidR="495CA01F">
              <w:t>urveillance des températures)</w:t>
            </w:r>
            <w:r w:rsidR="4DA0299B">
              <w:t> ;</w:t>
            </w:r>
          </w:p>
          <w:p w14:paraId="0B54B21B" w14:textId="12430962" w:rsidR="00DE6D29" w:rsidRPr="002A01D3" w:rsidRDefault="2EA2550D" w:rsidP="00CB2790">
            <w:pPr>
              <w:pStyle w:val="ListParagraph"/>
              <w:numPr>
                <w:ilvl w:val="0"/>
                <w:numId w:val="20"/>
              </w:numPr>
              <w:spacing w:line="300" w:lineRule="exact"/>
              <w:jc w:val="both"/>
            </w:pPr>
            <w:r>
              <w:t xml:space="preserve">Appuyer </w:t>
            </w:r>
            <w:r w:rsidR="4DA0299B">
              <w:t xml:space="preserve">la </w:t>
            </w:r>
            <w:r w:rsidR="29CC7E39">
              <w:t xml:space="preserve">poursuite </w:t>
            </w:r>
            <w:r w:rsidR="4DA0299B">
              <w:t>d</w:t>
            </w:r>
            <w:r>
              <w:t xml:space="preserve">e la mise en œuvre du </w:t>
            </w:r>
            <w:r w:rsidR="4DA0299B">
              <w:t>CCEOP afin</w:t>
            </w:r>
            <w:r w:rsidR="29CC7E39">
              <w:t xml:space="preserve"> d’atteindre 100% de couverture des points de prestation y compris les cases de santé</w:t>
            </w:r>
            <w:r w:rsidR="3A9EA4FB">
              <w:t xml:space="preserve"> (élaboration du plan de déploiement, suivi du procurement et des installations) </w:t>
            </w:r>
            <w:r w:rsidR="1068A0BE">
              <w:t>Une évaluation des gaps sera conduite dans centres et postes de santé et autres points de prestations de services de vaccination (structures privées et confessionnelles)</w:t>
            </w:r>
            <w:r w:rsidR="014609D9">
              <w:t> ;</w:t>
            </w:r>
          </w:p>
          <w:p w14:paraId="297EEF87" w14:textId="7E758545" w:rsidR="00DE6D29" w:rsidRDefault="00882AFC" w:rsidP="00CB2790">
            <w:pPr>
              <w:pStyle w:val="ListParagraph"/>
              <w:numPr>
                <w:ilvl w:val="0"/>
                <w:numId w:val="20"/>
              </w:numPr>
              <w:spacing w:line="300" w:lineRule="exact"/>
              <w:jc w:val="both"/>
            </w:pPr>
            <w:r w:rsidRPr="006A13F9">
              <w:t>l</w:t>
            </w:r>
            <w:r w:rsidR="00164603" w:rsidRPr="006A13F9">
              <w:t xml:space="preserve">a réalisation </w:t>
            </w:r>
            <w:r w:rsidRPr="006A13F9">
              <w:t xml:space="preserve">de </w:t>
            </w:r>
            <w:r w:rsidR="00164603" w:rsidRPr="006A13F9">
              <w:t>l’</w:t>
            </w:r>
            <w:r w:rsidRPr="006A13F9">
              <w:t xml:space="preserve">Auto-Evaluation </w:t>
            </w:r>
            <w:r w:rsidR="00B41688">
              <w:t xml:space="preserve">de la </w:t>
            </w:r>
            <w:r w:rsidRPr="006A13F9">
              <w:t>Gestion Efficace de vaccins (GEV)</w:t>
            </w:r>
            <w:r w:rsidR="00B41688">
              <w:t xml:space="preserve"> et </w:t>
            </w:r>
            <w:r w:rsidR="00164603" w:rsidRPr="006A13F9">
              <w:t xml:space="preserve">le suivi </w:t>
            </w:r>
            <w:r w:rsidRPr="006A13F9">
              <w:t>du plan d’amélioration</w:t>
            </w:r>
            <w:r w:rsidR="00164603" w:rsidRPr="006A13F9">
              <w:t xml:space="preserve"> GEV</w:t>
            </w:r>
            <w:r w:rsidR="00DE6D29" w:rsidRPr="006A13F9">
              <w:t>.</w:t>
            </w:r>
          </w:p>
          <w:p w14:paraId="0914E531" w14:textId="07E5BAD5" w:rsidR="00A80789" w:rsidRPr="006A13F9" w:rsidRDefault="00A80789" w:rsidP="00A80789">
            <w:pPr>
              <w:spacing w:line="300" w:lineRule="exact"/>
              <w:jc w:val="both"/>
              <w:rPr>
                <w:sz w:val="20"/>
                <w:szCs w:val="20"/>
              </w:rPr>
            </w:pPr>
          </w:p>
          <w:p w14:paraId="3A55BD37" w14:textId="0DA55B6D" w:rsidR="00377149" w:rsidRDefault="008C245D" w:rsidP="00DC3D91">
            <w:pPr>
              <w:pStyle w:val="ListParagraph"/>
              <w:numPr>
                <w:ilvl w:val="0"/>
                <w:numId w:val="34"/>
              </w:numPr>
              <w:spacing w:line="300" w:lineRule="exact"/>
            </w:pPr>
            <w:r>
              <w:t xml:space="preserve">Dans le domaine du </w:t>
            </w:r>
            <w:r w:rsidRPr="00DC3D91">
              <w:rPr>
                <w:i/>
                <w:iCs/>
              </w:rPr>
              <w:t>Système d’information sanitaire</w:t>
            </w:r>
            <w:r>
              <w:t xml:space="preserve">, </w:t>
            </w:r>
            <w:r w:rsidRPr="008C245D">
              <w:t xml:space="preserve"> suivi et apprentissage</w:t>
            </w:r>
          </w:p>
          <w:p w14:paraId="6B840B48" w14:textId="06E39737" w:rsidR="00980790" w:rsidRDefault="6C378473" w:rsidP="006760F9">
            <w:pPr>
              <w:pStyle w:val="ListParagraph"/>
              <w:numPr>
                <w:ilvl w:val="0"/>
                <w:numId w:val="20"/>
              </w:numPr>
              <w:spacing w:line="300" w:lineRule="exact"/>
              <w:jc w:val="both"/>
            </w:pPr>
            <w:r>
              <w:t>Renforcer l’évaluation de la qualité des données et l’élaboration du plan d’amélioration y afférent notamment au niveau infranational </w:t>
            </w:r>
            <w:r w:rsidR="0B292207">
              <w:t>dans la région de Labé ;</w:t>
            </w:r>
          </w:p>
          <w:p w14:paraId="337F755B" w14:textId="3E91695E" w:rsidR="006760F9" w:rsidRPr="006A13F9" w:rsidRDefault="006760F9" w:rsidP="006760F9">
            <w:pPr>
              <w:pStyle w:val="ListParagraph"/>
              <w:numPr>
                <w:ilvl w:val="0"/>
                <w:numId w:val="20"/>
              </w:numPr>
              <w:spacing w:line="300" w:lineRule="exact"/>
              <w:jc w:val="both"/>
            </w:pPr>
            <w:r w:rsidRPr="008C245D">
              <w:t>Améliorer la capacité d’utilisation des données, les outils, la production de données factuelles et/ou mettre en place des systèmes de suivi et d’apprentissage liés, en particulier au niveau infranational</w:t>
            </w:r>
            <w:r>
              <w:t xml:space="preserve"> ; </w:t>
            </w:r>
          </w:p>
          <w:p w14:paraId="0E7D8D49" w14:textId="1BCD43BF" w:rsidR="002C386F" w:rsidRDefault="3DCB3966" w:rsidP="00CB2790">
            <w:pPr>
              <w:pStyle w:val="ListParagraph"/>
              <w:numPr>
                <w:ilvl w:val="0"/>
                <w:numId w:val="20"/>
              </w:numPr>
              <w:spacing w:line="300" w:lineRule="exact"/>
              <w:jc w:val="both"/>
            </w:pPr>
            <w:r>
              <w:t xml:space="preserve">Micro planifier et </w:t>
            </w:r>
            <w:r w:rsidR="1DE551D4">
              <w:t>c</w:t>
            </w:r>
            <w:r w:rsidR="36CD8E96">
              <w:t xml:space="preserve">artographier </w:t>
            </w:r>
            <w:r>
              <w:t xml:space="preserve">sur la base des technologies innovantes en l’occurrence le GIS, </w:t>
            </w:r>
            <w:r w:rsidR="36CD8E96">
              <w:t xml:space="preserve">les enfants </w:t>
            </w:r>
            <w:r w:rsidR="1F5B61E9">
              <w:t>Zéro</w:t>
            </w:r>
            <w:r>
              <w:t xml:space="preserve"> </w:t>
            </w:r>
            <w:r w:rsidR="1F5B61E9">
              <w:t>Doses et</w:t>
            </w:r>
            <w:r w:rsidR="36CD8E96">
              <w:t xml:space="preserve"> </w:t>
            </w:r>
            <w:r w:rsidR="1F5B61E9">
              <w:t>E</w:t>
            </w:r>
            <w:r>
              <w:t xml:space="preserve">nfants </w:t>
            </w:r>
            <w:r w:rsidR="1F5B61E9">
              <w:t>Insuffisamment</w:t>
            </w:r>
            <w:r>
              <w:t xml:space="preserve"> </w:t>
            </w:r>
            <w:r w:rsidR="1F5B61E9">
              <w:t>V</w:t>
            </w:r>
            <w:r>
              <w:t xml:space="preserve">accinés </w:t>
            </w:r>
            <w:r w:rsidR="36CD8E96">
              <w:t xml:space="preserve"> </w:t>
            </w:r>
          </w:p>
          <w:p w14:paraId="715D2247" w14:textId="4DF4E94B" w:rsidR="006B600B" w:rsidRDefault="5429C149" w:rsidP="00CB2790">
            <w:pPr>
              <w:pStyle w:val="ListParagraph"/>
              <w:numPr>
                <w:ilvl w:val="0"/>
                <w:numId w:val="20"/>
              </w:numPr>
              <w:spacing w:line="300" w:lineRule="exact"/>
              <w:jc w:val="both"/>
            </w:pPr>
            <w:r>
              <w:t xml:space="preserve">Un appui sera apporté pour l’opérationnalisation graduelle du tableau de bord de suivi des performances </w:t>
            </w:r>
            <w:r w:rsidR="29CF62F5">
              <w:t>;</w:t>
            </w:r>
            <w:r w:rsidR="36CD8E96">
              <w:t xml:space="preserve"> </w:t>
            </w:r>
          </w:p>
          <w:p w14:paraId="2C9A1CDF" w14:textId="6753479A" w:rsidR="006760F9" w:rsidRPr="006A13F9" w:rsidRDefault="54987020" w:rsidP="006760F9">
            <w:pPr>
              <w:pStyle w:val="ListParagraph"/>
              <w:numPr>
                <w:ilvl w:val="0"/>
                <w:numId w:val="20"/>
              </w:numPr>
              <w:spacing w:line="300" w:lineRule="exact"/>
              <w:jc w:val="both"/>
            </w:pPr>
            <w:r>
              <w:t xml:space="preserve">Veiller à ce que des informations opportunes et adaptées aux objectifs attendus du PEV soient disponibles à tous les niveaux du système et qu’elles soient utilisées régulièrement et systématiquement pour améliorer la portée et les performances du programme ; </w:t>
            </w:r>
          </w:p>
          <w:p w14:paraId="649693F6" w14:textId="009A0302" w:rsidR="006760F9" w:rsidRPr="006A13F9" w:rsidRDefault="54987020" w:rsidP="006760F9">
            <w:pPr>
              <w:pStyle w:val="ListParagraph"/>
              <w:numPr>
                <w:ilvl w:val="0"/>
                <w:numId w:val="20"/>
              </w:numPr>
              <w:spacing w:line="300" w:lineRule="exact"/>
              <w:jc w:val="both"/>
            </w:pPr>
            <w:r>
              <w:t>Développer des synergies entre les activités des campagnes, d’introduction de nouveaux vaccins et le rattrapage des enfants Zéros doses et Enfants Insuffisamment Vaccinées ;</w:t>
            </w:r>
          </w:p>
          <w:p w14:paraId="1C1B85BE" w14:textId="77777777" w:rsidR="006760F9" w:rsidRPr="006A13F9" w:rsidRDefault="006760F9" w:rsidP="006760F9">
            <w:pPr>
              <w:pStyle w:val="ListParagraph"/>
              <w:numPr>
                <w:ilvl w:val="0"/>
                <w:numId w:val="34"/>
              </w:numPr>
              <w:spacing w:line="300" w:lineRule="exact"/>
            </w:pPr>
            <w:r w:rsidRPr="006A13F9">
              <w:t xml:space="preserve">Dans le domaine de </w:t>
            </w:r>
            <w:r w:rsidRPr="00DC3D91">
              <w:rPr>
                <w:i/>
                <w:iCs/>
              </w:rPr>
              <w:t>génération de la demande et de l’engagement communautaire</w:t>
            </w:r>
            <w:r w:rsidRPr="006A13F9">
              <w:t xml:space="preserve">, l’assistance technique contribuera à :  </w:t>
            </w:r>
          </w:p>
          <w:p w14:paraId="66E68763" w14:textId="3AD375AD" w:rsidR="006760F9" w:rsidRPr="002A01D3" w:rsidRDefault="006760F9" w:rsidP="002A01D3">
            <w:pPr>
              <w:pStyle w:val="ListParagraph"/>
              <w:numPr>
                <w:ilvl w:val="0"/>
                <w:numId w:val="40"/>
              </w:numPr>
              <w:jc w:val="both"/>
            </w:pPr>
            <w:r w:rsidRPr="002A01D3">
              <w:t>Renforcer la capacité des prestataires (partenaires gouvernementaux et les organisations à base communautaires) sur les approches innovantes de communication changement social et comportemental au niveau national, régional et préfectoral ;</w:t>
            </w:r>
          </w:p>
          <w:p w14:paraId="34E4D81A" w14:textId="576DF3FE" w:rsidR="006760F9" w:rsidRPr="002A01D3" w:rsidRDefault="54987020" w:rsidP="006760F9">
            <w:pPr>
              <w:pStyle w:val="ListParagraph"/>
              <w:numPr>
                <w:ilvl w:val="0"/>
                <w:numId w:val="40"/>
              </w:numPr>
            </w:pPr>
            <w:r>
              <w:t>Mobiliser et mettre en place de partenariats avec le réseau communautaire (réseau des chefs de quartier, de secteur et de district/ association de jeunesse et des femmes, des leaders religieux) pour soutenir la promotion et l’engagement communautaire en faveur de la vaccination </w:t>
            </w:r>
          </w:p>
          <w:p w14:paraId="4A432FF1" w14:textId="579C1274" w:rsidR="006760F9" w:rsidRPr="002A01D3" w:rsidRDefault="54987020" w:rsidP="006760F9">
            <w:pPr>
              <w:pStyle w:val="ListParagraph"/>
              <w:numPr>
                <w:ilvl w:val="0"/>
                <w:numId w:val="40"/>
              </w:numPr>
              <w:spacing w:line="300" w:lineRule="atLeast"/>
            </w:pPr>
            <w:r>
              <w:t xml:space="preserve">Renforcer les capacités des mères, développer et mettre en œuvre la stratégie de promotion de la masculinité positive / modèles masculins positifs favorables à la vaccination ; </w:t>
            </w:r>
          </w:p>
          <w:p w14:paraId="0E9309DE" w14:textId="1131670C" w:rsidR="006760F9" w:rsidRPr="002A01D3" w:rsidRDefault="006760F9" w:rsidP="006760F9">
            <w:pPr>
              <w:pStyle w:val="ListParagraph"/>
              <w:numPr>
                <w:ilvl w:val="0"/>
                <w:numId w:val="40"/>
              </w:numPr>
            </w:pPr>
            <w:r>
              <w:t>C</w:t>
            </w:r>
            <w:r w:rsidRPr="002A01D3">
              <w:t>once</w:t>
            </w:r>
            <w:r>
              <w:t xml:space="preserve">voir </w:t>
            </w:r>
            <w:r w:rsidRPr="002A01D3">
              <w:t xml:space="preserve">et </w:t>
            </w:r>
            <w:r>
              <w:t xml:space="preserve">mettre </w:t>
            </w:r>
            <w:r w:rsidRPr="002A01D3">
              <w:t>en œuvre des innovations technologiques et sociales pour le renforcement de la demande et de l’engagement communautaire ;</w:t>
            </w:r>
          </w:p>
          <w:p w14:paraId="39EE50E8" w14:textId="29E72EA9" w:rsidR="006760F9" w:rsidRPr="002A01D3" w:rsidRDefault="54987020" w:rsidP="002A01D3">
            <w:pPr>
              <w:pStyle w:val="ListParagraph"/>
              <w:numPr>
                <w:ilvl w:val="0"/>
                <w:numId w:val="40"/>
              </w:numPr>
              <w:jc w:val="both"/>
            </w:pPr>
            <w:r>
              <w:t>Appuyer la production d’évidences et l’intégration des indicateurs de communication et engagement communautaire en faveur de la vaccination dans le système national d’information sanitaire</w:t>
            </w:r>
          </w:p>
          <w:p w14:paraId="401AC3D8" w14:textId="62B9056C" w:rsidR="006760F9" w:rsidRDefault="006760F9" w:rsidP="006760F9">
            <w:pPr>
              <w:spacing w:line="300" w:lineRule="exact"/>
              <w:jc w:val="both"/>
            </w:pPr>
          </w:p>
          <w:p w14:paraId="4A1811F0" w14:textId="77777777" w:rsidR="006760F9" w:rsidRPr="006A13F9" w:rsidRDefault="006760F9" w:rsidP="006760F9">
            <w:pPr>
              <w:pStyle w:val="ListParagraph"/>
              <w:numPr>
                <w:ilvl w:val="0"/>
                <w:numId w:val="34"/>
              </w:numPr>
              <w:spacing w:line="300" w:lineRule="exact"/>
            </w:pPr>
            <w:r w:rsidRPr="006A13F9">
              <w:t xml:space="preserve">Dans le domaine de la </w:t>
            </w:r>
            <w:r w:rsidRPr="00DC3D91">
              <w:rPr>
                <w:i/>
                <w:iCs/>
              </w:rPr>
              <w:t>surveillance des maladies évitables par la vaccination</w:t>
            </w:r>
            <w:r w:rsidRPr="006A13F9">
              <w:t>, l’assistance technique contribuera à :</w:t>
            </w:r>
          </w:p>
          <w:p w14:paraId="32D690AF" w14:textId="77777777" w:rsidR="00EA4451" w:rsidRDefault="00EA4451" w:rsidP="00EA4451">
            <w:pPr>
              <w:pStyle w:val="ListParagraph"/>
              <w:numPr>
                <w:ilvl w:val="0"/>
                <w:numId w:val="20"/>
              </w:numPr>
              <w:spacing w:line="300" w:lineRule="exact"/>
              <w:jc w:val="both"/>
            </w:pPr>
            <w:r w:rsidRPr="00EA4451">
              <w:t>Renforcer la capacité du pays à détecter, évaluer et répondre aux manifestations post-vaccinales indésirables graves notamment dans les districts à haut risque de la fièvre jaune et de la méningite)</w:t>
            </w:r>
          </w:p>
          <w:p w14:paraId="6C79576C" w14:textId="77777777" w:rsidR="00EA4451" w:rsidRDefault="00EA4451" w:rsidP="00EA4451">
            <w:pPr>
              <w:pStyle w:val="ListParagraph"/>
              <w:numPr>
                <w:ilvl w:val="0"/>
                <w:numId w:val="20"/>
              </w:numPr>
              <w:spacing w:line="300" w:lineRule="exact"/>
              <w:jc w:val="both"/>
            </w:pPr>
            <w:r w:rsidRPr="00EA4451">
              <w:t>Contribuer à la collecte, au colisage et au transport des échantillons du niveau opérationnel vers le PEV central</w:t>
            </w:r>
          </w:p>
          <w:p w14:paraId="1874F304" w14:textId="19E33F61" w:rsidR="006760F9" w:rsidRPr="006A13F9" w:rsidRDefault="54987020" w:rsidP="006760F9">
            <w:pPr>
              <w:pStyle w:val="ListParagraph"/>
              <w:numPr>
                <w:ilvl w:val="0"/>
                <w:numId w:val="20"/>
              </w:numPr>
              <w:spacing w:line="300" w:lineRule="exact"/>
              <w:jc w:val="both"/>
            </w:pPr>
            <w:r>
              <w:t>Renforcer les capacités des membres du comité technique national pour l’évaluation du lien de causalité pour les MAPI notifiés ;</w:t>
            </w:r>
          </w:p>
          <w:p w14:paraId="7564ADFD" w14:textId="2B6EE7D0" w:rsidR="00D176FC" w:rsidRDefault="54987020" w:rsidP="006760F9">
            <w:pPr>
              <w:pStyle w:val="ListParagraph"/>
              <w:numPr>
                <w:ilvl w:val="0"/>
                <w:numId w:val="20"/>
              </w:numPr>
              <w:spacing w:line="300" w:lineRule="exact"/>
              <w:jc w:val="both"/>
            </w:pPr>
            <w:r>
              <w:t>Renforcer les capacités des acteurs pour la notification, l’investigation, la classification et la prise en charge des cas de MAPI.</w:t>
            </w:r>
          </w:p>
          <w:p w14:paraId="599B9739" w14:textId="5A7C3640" w:rsidR="006760F9" w:rsidRPr="006A13F9" w:rsidRDefault="0C681017" w:rsidP="006760F9">
            <w:pPr>
              <w:pStyle w:val="ListParagraph"/>
              <w:numPr>
                <w:ilvl w:val="0"/>
                <w:numId w:val="20"/>
              </w:numPr>
              <w:spacing w:line="300" w:lineRule="exact"/>
              <w:jc w:val="both"/>
            </w:pPr>
            <w:r>
              <w:t xml:space="preserve">L’assistance technique sera déployée pour renforcer la surveillance des maladies évitables par la vaccination pour </w:t>
            </w:r>
            <w:r w:rsidR="03D947E2">
              <w:t>anticiper</w:t>
            </w:r>
            <w:r>
              <w:t xml:space="preserve"> l</w:t>
            </w:r>
            <w:r w:rsidR="2E25DF6D">
              <w:t>a survenue</w:t>
            </w:r>
            <w:r>
              <w:t xml:space="preserve"> d’éventuelles épidémies de polio, rougeole, fièvre jaune…</w:t>
            </w:r>
          </w:p>
          <w:p w14:paraId="6F11E217" w14:textId="77777777" w:rsidR="006760F9" w:rsidRDefault="006760F9" w:rsidP="002A01D3">
            <w:pPr>
              <w:spacing w:line="300" w:lineRule="exact"/>
              <w:jc w:val="both"/>
            </w:pPr>
          </w:p>
          <w:p w14:paraId="3D7FE020" w14:textId="01642E34" w:rsidR="006B600B" w:rsidRPr="00DC3D91" w:rsidRDefault="006B600B" w:rsidP="00C91DE8">
            <w:pPr>
              <w:pStyle w:val="ListParagraph"/>
              <w:numPr>
                <w:ilvl w:val="0"/>
                <w:numId w:val="34"/>
              </w:numPr>
              <w:spacing w:line="300" w:lineRule="exact"/>
              <w:rPr>
                <w:i/>
                <w:iCs/>
              </w:rPr>
            </w:pPr>
            <w:r w:rsidRPr="006A13F9">
              <w:t xml:space="preserve">Dans le domaine de la </w:t>
            </w:r>
            <w:r w:rsidRPr="00DC3D91">
              <w:rPr>
                <w:i/>
                <w:iCs/>
              </w:rPr>
              <w:t xml:space="preserve">gouvernance, politique, planification stratégique et gestion du </w:t>
            </w:r>
          </w:p>
          <w:p w14:paraId="6DC5F26E" w14:textId="77777777" w:rsidR="006B600B" w:rsidRPr="006A13F9" w:rsidRDefault="006B600B" w:rsidP="00CB2790">
            <w:pPr>
              <w:spacing w:line="300" w:lineRule="exact"/>
              <w:jc w:val="both"/>
            </w:pPr>
            <w:r w:rsidRPr="00DC3D91">
              <w:rPr>
                <w:i/>
                <w:iCs/>
              </w:rPr>
              <w:t>Programme</w:t>
            </w:r>
            <w:r w:rsidRPr="006A13F9">
              <w:t>, l’assistance technique contribuera à :</w:t>
            </w:r>
          </w:p>
          <w:p w14:paraId="3543A214" w14:textId="70B0BF8D" w:rsidR="006B600B" w:rsidRPr="006A13F9" w:rsidRDefault="00F67C93" w:rsidP="00CB2790">
            <w:pPr>
              <w:pStyle w:val="ListParagraph"/>
              <w:numPr>
                <w:ilvl w:val="0"/>
                <w:numId w:val="20"/>
              </w:numPr>
              <w:spacing w:line="300" w:lineRule="exact"/>
              <w:jc w:val="both"/>
            </w:pPr>
            <w:r>
              <w:t>S</w:t>
            </w:r>
            <w:r w:rsidR="006B600B" w:rsidRPr="006A13F9">
              <w:t>outenir les actions de planification pluriannuelle et la planification opérationnelle annuelle pour atteindre systématiquement les enfants ZD et EIV ;</w:t>
            </w:r>
          </w:p>
          <w:p w14:paraId="7EADBB6B" w14:textId="2B7CB340" w:rsidR="006B600B" w:rsidRPr="006A13F9" w:rsidRDefault="009522D6" w:rsidP="00CB2790">
            <w:pPr>
              <w:pStyle w:val="ListParagraph"/>
              <w:numPr>
                <w:ilvl w:val="0"/>
                <w:numId w:val="20"/>
              </w:numPr>
              <w:spacing w:line="300" w:lineRule="exact"/>
              <w:jc w:val="both"/>
            </w:pPr>
            <w:r>
              <w:t>r</w:t>
            </w:r>
            <w:r w:rsidR="006B600B" w:rsidRPr="006A13F9">
              <w:t>enforcer la gestion du PEV, y compris par l’utilisation de données numériques, afin d’identifier et de résoudre les goulots d’étranglement du programme ;</w:t>
            </w:r>
          </w:p>
          <w:p w14:paraId="69FBF61F" w14:textId="36717841" w:rsidR="006B600B" w:rsidRDefault="009522D6" w:rsidP="00CB2790">
            <w:pPr>
              <w:pStyle w:val="ListParagraph"/>
              <w:numPr>
                <w:ilvl w:val="0"/>
                <w:numId w:val="20"/>
              </w:numPr>
              <w:spacing w:line="300" w:lineRule="exact"/>
              <w:jc w:val="both"/>
            </w:pPr>
            <w:r>
              <w:t>i</w:t>
            </w:r>
            <w:r w:rsidR="006B600B" w:rsidRPr="006A13F9">
              <w:t>nstituer un suivi et des revues de la performance du programme à tous les niveaux afin de résoudre des goulots d’étranglement du programme et contribuer à ajuster la mise en œuvre.</w:t>
            </w:r>
          </w:p>
          <w:p w14:paraId="3A1F3227" w14:textId="5305A16D" w:rsidR="00FE5882" w:rsidRDefault="00FE5882" w:rsidP="00FE5882">
            <w:pPr>
              <w:spacing w:line="300" w:lineRule="exact"/>
              <w:jc w:val="both"/>
            </w:pPr>
          </w:p>
          <w:p w14:paraId="1A0EA4B9" w14:textId="024C41A2" w:rsidR="00FE5882" w:rsidRPr="007C3683" w:rsidRDefault="00FE5882" w:rsidP="00FE5882">
            <w:pPr>
              <w:spacing w:line="300" w:lineRule="exact"/>
              <w:jc w:val="both"/>
              <w:rPr>
                <w:highlight w:val="cyan"/>
              </w:rPr>
            </w:pPr>
            <w:r w:rsidRPr="007C3683">
              <w:rPr>
                <w:highlight w:val="cyan"/>
              </w:rPr>
              <w:t xml:space="preserve">En plus </w:t>
            </w:r>
            <w:r w:rsidR="007245D6" w:rsidRPr="007245D6">
              <w:rPr>
                <w:highlight w:val="cyan"/>
              </w:rPr>
              <w:t>des activités mentionnées</w:t>
            </w:r>
            <w:r w:rsidRPr="007C3683">
              <w:rPr>
                <w:highlight w:val="cyan"/>
              </w:rPr>
              <w:t xml:space="preserve"> ci-dessus, </w:t>
            </w:r>
            <w:r w:rsidR="00C92D49" w:rsidRPr="007C3683">
              <w:rPr>
                <w:highlight w:val="cyan"/>
              </w:rPr>
              <w:t>la demande de soutien e</w:t>
            </w:r>
            <w:r w:rsidR="007965F1">
              <w:rPr>
                <w:highlight w:val="cyan"/>
              </w:rPr>
              <w:t>s</w:t>
            </w:r>
            <w:r w:rsidR="00C92D49" w:rsidRPr="007C3683">
              <w:rPr>
                <w:highlight w:val="cyan"/>
              </w:rPr>
              <w:t>t complété</w:t>
            </w:r>
            <w:r w:rsidR="007965F1">
              <w:rPr>
                <w:highlight w:val="cyan"/>
              </w:rPr>
              <w:t>e</w:t>
            </w:r>
            <w:r w:rsidR="00C92D49" w:rsidRPr="007C3683">
              <w:rPr>
                <w:highlight w:val="cyan"/>
              </w:rPr>
              <w:t xml:space="preserve"> par deux</w:t>
            </w:r>
            <w:r w:rsidR="007245D6" w:rsidRPr="007C3683">
              <w:rPr>
                <w:highlight w:val="cyan"/>
              </w:rPr>
              <w:t xml:space="preserve"> activités exécuté</w:t>
            </w:r>
            <w:r w:rsidR="007965F1">
              <w:rPr>
                <w:highlight w:val="cyan"/>
              </w:rPr>
              <w:t>e</w:t>
            </w:r>
            <w:r w:rsidR="007245D6" w:rsidRPr="007C3683">
              <w:rPr>
                <w:highlight w:val="cyan"/>
              </w:rPr>
              <w:t>s entre janvier et décembre 2023</w:t>
            </w:r>
            <w:r w:rsidR="007245D6" w:rsidRPr="00ED2F97">
              <w:rPr>
                <w:highlight w:val="cyan"/>
              </w:rPr>
              <w:t xml:space="preserve">. </w:t>
            </w:r>
            <w:r w:rsidR="007245D6" w:rsidRPr="007C3683">
              <w:rPr>
                <w:highlight w:val="cyan"/>
              </w:rPr>
              <w:t xml:space="preserve">Ces activités s’inscrivent dans le plan d’action de relance du programme élargi de vaccination accordé lors de la mission de haut niveau </w:t>
            </w:r>
            <w:r w:rsidR="007965F1">
              <w:rPr>
                <w:highlight w:val="cyan"/>
              </w:rPr>
              <w:t xml:space="preserve">de </w:t>
            </w:r>
            <w:r w:rsidR="007245D6" w:rsidRPr="007C3683">
              <w:rPr>
                <w:highlight w:val="cyan"/>
              </w:rPr>
              <w:t>Gavi en Guinée en Octobre 2022 :</w:t>
            </w:r>
          </w:p>
          <w:p w14:paraId="2BDB270B" w14:textId="12509B6E" w:rsidR="007245D6" w:rsidRDefault="007245D6" w:rsidP="007245D6">
            <w:pPr>
              <w:pStyle w:val="ListParagraph"/>
              <w:numPr>
                <w:ilvl w:val="0"/>
                <w:numId w:val="43"/>
              </w:numPr>
              <w:spacing w:line="300" w:lineRule="exact"/>
              <w:jc w:val="both"/>
              <w:rPr>
                <w:highlight w:val="cyan"/>
              </w:rPr>
            </w:pPr>
            <w:r w:rsidRPr="007C3683">
              <w:rPr>
                <w:highlight w:val="cyan"/>
              </w:rPr>
              <w:t xml:space="preserve">Pour assurer le suivi et la mise en œuvre du plan d’action, la continuation de l’actuel </w:t>
            </w:r>
            <w:r w:rsidR="00C52826" w:rsidRPr="007C3683">
              <w:rPr>
                <w:highlight w:val="cyan"/>
              </w:rPr>
              <w:t xml:space="preserve">agent de liaison de Gavi en Guinée en 2023 est primordiale. Le rôle de l’agent de </w:t>
            </w:r>
            <w:r w:rsidR="00705721" w:rsidRPr="00705721">
              <w:rPr>
                <w:highlight w:val="cyan"/>
              </w:rPr>
              <w:t>liaison</w:t>
            </w:r>
            <w:r w:rsidR="00C52826" w:rsidRPr="007C3683">
              <w:rPr>
                <w:highlight w:val="cyan"/>
              </w:rPr>
              <w:t xml:space="preserve"> est d’assurer la </w:t>
            </w:r>
            <w:r w:rsidR="007965F1">
              <w:rPr>
                <w:highlight w:val="cyan"/>
              </w:rPr>
              <w:t xml:space="preserve">facilitation de la </w:t>
            </w:r>
            <w:r w:rsidR="00C52826" w:rsidRPr="007C3683">
              <w:rPr>
                <w:highlight w:val="cyan"/>
              </w:rPr>
              <w:t xml:space="preserve">mise en œuvre et la coordination efficace des activités financés par Gavi et les autres parties prenantes du programme élargi de vaccination (PEV). </w:t>
            </w:r>
            <w:r w:rsidR="00ED2F97" w:rsidRPr="007C3683">
              <w:rPr>
                <w:highlight w:val="cyan"/>
              </w:rPr>
              <w:t>Son contrat actuel arrive à échéance en fin de 2022 est doit être renouvelé dans les prochaines semaines.</w:t>
            </w:r>
            <w:r w:rsidR="00A56649">
              <w:rPr>
                <w:highlight w:val="cyan"/>
              </w:rPr>
              <w:t xml:space="preserve"> Plus précisément, l’agent de </w:t>
            </w:r>
            <w:r w:rsidR="007248F6">
              <w:rPr>
                <w:highlight w:val="cyan"/>
              </w:rPr>
              <w:t>liaison</w:t>
            </w:r>
            <w:r w:rsidR="006E74B8">
              <w:rPr>
                <w:highlight w:val="cyan"/>
              </w:rPr>
              <w:t xml:space="preserve"> sera responsable pour les </w:t>
            </w:r>
            <w:r w:rsidR="007E7384">
              <w:rPr>
                <w:highlight w:val="cyan"/>
              </w:rPr>
              <w:t>fonctions suivantes</w:t>
            </w:r>
            <w:r w:rsidR="006E74B8">
              <w:rPr>
                <w:highlight w:val="cyan"/>
              </w:rPr>
              <w:t> :</w:t>
            </w:r>
          </w:p>
          <w:p w14:paraId="775C9A7E" w14:textId="05E57E53" w:rsidR="0019269A" w:rsidRDefault="00D23EEC" w:rsidP="00D23EEC">
            <w:pPr>
              <w:pStyle w:val="ListParagraph"/>
              <w:numPr>
                <w:ilvl w:val="1"/>
                <w:numId w:val="43"/>
              </w:numPr>
              <w:spacing w:line="300" w:lineRule="exact"/>
              <w:jc w:val="both"/>
              <w:rPr>
                <w:highlight w:val="cyan"/>
              </w:rPr>
            </w:pPr>
            <w:r>
              <w:rPr>
                <w:highlight w:val="cyan"/>
              </w:rPr>
              <w:t>Assurer le pla</w:t>
            </w:r>
            <w:r w:rsidR="007248F6">
              <w:rPr>
                <w:highlight w:val="cyan"/>
              </w:rPr>
              <w:t xml:space="preserve">idoyer de haut niveau pour l’immunisation et le financement au Ministère de Santé et de l’Hygiène Publique </w:t>
            </w:r>
            <w:r w:rsidR="00B53426">
              <w:rPr>
                <w:highlight w:val="cyan"/>
              </w:rPr>
              <w:t>et d’autres ministères</w:t>
            </w:r>
          </w:p>
          <w:p w14:paraId="3DCD6CC9" w14:textId="0D804331" w:rsidR="00B53426" w:rsidRDefault="00121FF8" w:rsidP="00D23EEC">
            <w:pPr>
              <w:pStyle w:val="ListParagraph"/>
              <w:numPr>
                <w:ilvl w:val="1"/>
                <w:numId w:val="43"/>
              </w:numPr>
              <w:spacing w:line="300" w:lineRule="exact"/>
              <w:jc w:val="both"/>
              <w:rPr>
                <w:highlight w:val="cyan"/>
              </w:rPr>
            </w:pPr>
            <w:r>
              <w:rPr>
                <w:highlight w:val="cyan"/>
              </w:rPr>
              <w:t>Faire le suivi des actions priorit</w:t>
            </w:r>
            <w:r w:rsidR="00F17D81">
              <w:rPr>
                <w:highlight w:val="cyan"/>
              </w:rPr>
              <w:t>aires</w:t>
            </w:r>
            <w:r>
              <w:rPr>
                <w:highlight w:val="cyan"/>
              </w:rPr>
              <w:t xml:space="preserve"> </w:t>
            </w:r>
            <w:r w:rsidR="00F17D81">
              <w:rPr>
                <w:highlight w:val="cyan"/>
              </w:rPr>
              <w:t>convenues</w:t>
            </w:r>
            <w:r>
              <w:rPr>
                <w:highlight w:val="cyan"/>
              </w:rPr>
              <w:t xml:space="preserve"> entre </w:t>
            </w:r>
            <w:r w:rsidR="0037610D">
              <w:rPr>
                <w:highlight w:val="cyan"/>
              </w:rPr>
              <w:t xml:space="preserve">le </w:t>
            </w:r>
            <w:r w:rsidR="00D51B97">
              <w:rPr>
                <w:highlight w:val="cyan"/>
              </w:rPr>
              <w:t>gouvernement</w:t>
            </w:r>
            <w:r w:rsidR="0037610D">
              <w:rPr>
                <w:highlight w:val="cyan"/>
              </w:rPr>
              <w:t xml:space="preserve"> et les partenaires</w:t>
            </w:r>
          </w:p>
          <w:p w14:paraId="7703696E" w14:textId="629CCC0C" w:rsidR="0037610D" w:rsidRDefault="002A7D78" w:rsidP="007C3683">
            <w:pPr>
              <w:pStyle w:val="ListParagraph"/>
              <w:numPr>
                <w:ilvl w:val="1"/>
                <w:numId w:val="43"/>
              </w:numPr>
              <w:spacing w:line="300" w:lineRule="exact"/>
              <w:jc w:val="both"/>
              <w:rPr>
                <w:highlight w:val="cyan"/>
              </w:rPr>
            </w:pPr>
            <w:r>
              <w:rPr>
                <w:highlight w:val="cyan"/>
              </w:rPr>
              <w:t xml:space="preserve">Accompagner le entités clés, notamment le PEV, l’UAGCP et </w:t>
            </w:r>
            <w:r w:rsidR="007E7384">
              <w:rPr>
                <w:highlight w:val="cyan"/>
              </w:rPr>
              <w:t>les autorités décentralisées</w:t>
            </w:r>
            <w:r w:rsidR="00D427D8">
              <w:rPr>
                <w:highlight w:val="cyan"/>
              </w:rPr>
              <w:t xml:space="preserve"> dans la coordination </w:t>
            </w:r>
            <w:r w:rsidR="00D51B97">
              <w:rPr>
                <w:highlight w:val="cyan"/>
              </w:rPr>
              <w:t>et la coopération efficace</w:t>
            </w:r>
          </w:p>
          <w:p w14:paraId="6F9E9D00" w14:textId="0B81A2B7" w:rsidR="007245D6" w:rsidRPr="007C3683" w:rsidRDefault="00ED2F97">
            <w:pPr>
              <w:pStyle w:val="ListParagraph"/>
              <w:numPr>
                <w:ilvl w:val="0"/>
                <w:numId w:val="43"/>
              </w:numPr>
              <w:spacing w:line="300" w:lineRule="exact"/>
              <w:jc w:val="both"/>
              <w:rPr>
                <w:highlight w:val="cyan"/>
              </w:rPr>
            </w:pPr>
            <w:r w:rsidRPr="007C3683">
              <w:rPr>
                <w:highlight w:val="cyan"/>
              </w:rPr>
              <w:t>Une des priorités du plan d’action e</w:t>
            </w:r>
            <w:r w:rsidR="00DD5844">
              <w:rPr>
                <w:highlight w:val="cyan"/>
              </w:rPr>
              <w:t>s</w:t>
            </w:r>
            <w:r w:rsidRPr="007C3683">
              <w:rPr>
                <w:highlight w:val="cyan"/>
              </w:rPr>
              <w:t>t de renforcer les ressources humaines du PEV</w:t>
            </w:r>
            <w:r w:rsidR="00B100E4">
              <w:rPr>
                <w:highlight w:val="cyan"/>
              </w:rPr>
              <w:t>, qui actuellement sont très faible</w:t>
            </w:r>
            <w:r w:rsidR="00DD5844">
              <w:rPr>
                <w:highlight w:val="cyan"/>
              </w:rPr>
              <w:t>s</w:t>
            </w:r>
            <w:r w:rsidR="00B100E4">
              <w:rPr>
                <w:highlight w:val="cyan"/>
              </w:rPr>
              <w:t xml:space="preserve"> et constituent un goulot d’étranglement majeur pour la relance de la vaccination de routine en Guinée</w:t>
            </w:r>
            <w:r w:rsidRPr="007C3683">
              <w:rPr>
                <w:highlight w:val="cyan"/>
              </w:rPr>
              <w:t xml:space="preserve">. Pour cela, il a été convenu qu’un coach </w:t>
            </w:r>
            <w:r w:rsidR="00DD5844">
              <w:rPr>
                <w:highlight w:val="cyan"/>
              </w:rPr>
              <w:t>sera</w:t>
            </w:r>
            <w:r w:rsidRPr="007C3683">
              <w:rPr>
                <w:highlight w:val="cyan"/>
              </w:rPr>
              <w:t xml:space="preserve"> engagé pour une période d’un an afin d’accompagner et former le leadership du PEV dans la planification</w:t>
            </w:r>
            <w:r w:rsidR="00054813">
              <w:rPr>
                <w:highlight w:val="cyan"/>
              </w:rPr>
              <w:t>, coordination</w:t>
            </w:r>
            <w:r w:rsidR="00D03C5E">
              <w:rPr>
                <w:highlight w:val="cyan"/>
              </w:rPr>
              <w:t xml:space="preserve">, </w:t>
            </w:r>
            <w:r w:rsidRPr="007C3683">
              <w:rPr>
                <w:highlight w:val="cyan"/>
              </w:rPr>
              <w:t xml:space="preserve">gestion </w:t>
            </w:r>
            <w:r w:rsidR="00D03C5E">
              <w:rPr>
                <w:highlight w:val="cyan"/>
              </w:rPr>
              <w:t xml:space="preserve">et suivi </w:t>
            </w:r>
            <w:r w:rsidRPr="007C3683">
              <w:rPr>
                <w:highlight w:val="cyan"/>
              </w:rPr>
              <w:t>des activités du programm</w:t>
            </w:r>
            <w:r w:rsidR="007E7384">
              <w:t>e</w:t>
            </w:r>
            <w:r w:rsidR="00D03C5E">
              <w:t xml:space="preserve"> à travers un cadre de redevabilité bien défini</w:t>
            </w:r>
            <w:r w:rsidR="007E7384">
              <w:t xml:space="preserve">. Plus précisément, le coach serait </w:t>
            </w:r>
            <w:r w:rsidR="007E7384" w:rsidRPr="007C3683">
              <w:rPr>
                <w:highlight w:val="cyan"/>
              </w:rPr>
              <w:t>responsable pour les fonctions suivantes :</w:t>
            </w:r>
          </w:p>
          <w:p w14:paraId="1B4BE1B6" w14:textId="22B2B07E" w:rsidR="007E7384" w:rsidRPr="007C3683" w:rsidRDefault="00356E2D" w:rsidP="007E7384">
            <w:pPr>
              <w:pStyle w:val="ListParagraph"/>
              <w:numPr>
                <w:ilvl w:val="1"/>
                <w:numId w:val="43"/>
              </w:numPr>
              <w:spacing w:line="300" w:lineRule="exact"/>
              <w:jc w:val="both"/>
              <w:rPr>
                <w:highlight w:val="cyan"/>
              </w:rPr>
            </w:pPr>
            <w:r w:rsidRPr="007C3683">
              <w:rPr>
                <w:highlight w:val="cyan"/>
              </w:rPr>
              <w:t>Conseiller</w:t>
            </w:r>
            <w:r w:rsidR="007E7384" w:rsidRPr="007C3683">
              <w:rPr>
                <w:highlight w:val="cyan"/>
              </w:rPr>
              <w:t xml:space="preserve"> le coordonnateur du PEV et son adjoint dans la</w:t>
            </w:r>
            <w:r w:rsidR="009C2005" w:rsidRPr="007C3683">
              <w:rPr>
                <w:highlight w:val="cyan"/>
              </w:rPr>
              <w:t xml:space="preserve"> gestion efficace du programme, notamment sur les questions de planification stratégique et opérationnelle, </w:t>
            </w:r>
            <w:r w:rsidRPr="007C3683">
              <w:rPr>
                <w:highlight w:val="cyan"/>
              </w:rPr>
              <w:t>les aspects techniques et la gestion du personnel ainsi que des relations avec les autres entités du gouvernement et avec les partenaires</w:t>
            </w:r>
          </w:p>
          <w:p w14:paraId="53031E66" w14:textId="334D31A8" w:rsidR="00356E2D" w:rsidRPr="007C3683" w:rsidRDefault="005B5C49" w:rsidP="007E7384">
            <w:pPr>
              <w:pStyle w:val="ListParagraph"/>
              <w:numPr>
                <w:ilvl w:val="1"/>
                <w:numId w:val="43"/>
              </w:numPr>
              <w:spacing w:line="300" w:lineRule="exact"/>
              <w:jc w:val="both"/>
              <w:rPr>
                <w:highlight w:val="cyan"/>
              </w:rPr>
            </w:pPr>
            <w:r w:rsidRPr="007C3683">
              <w:rPr>
                <w:highlight w:val="cyan"/>
              </w:rPr>
              <w:t>Accompagner les réflexions stratégiques concernant la relance du PEV</w:t>
            </w:r>
            <w:r w:rsidR="00452ED7">
              <w:rPr>
                <w:highlight w:val="cyan"/>
              </w:rPr>
              <w:t xml:space="preserve"> y compris le développement et la mise en œuvre d’un</w:t>
            </w:r>
            <w:r w:rsidR="00602152">
              <w:rPr>
                <w:highlight w:val="cyan"/>
              </w:rPr>
              <w:t xml:space="preserve"> </w:t>
            </w:r>
            <w:r w:rsidR="00452ED7">
              <w:rPr>
                <w:highlight w:val="cyan"/>
              </w:rPr>
              <w:t>cadre de redevabilité</w:t>
            </w:r>
            <w:r w:rsidR="00602152">
              <w:rPr>
                <w:highlight w:val="cyan"/>
              </w:rPr>
              <w:t xml:space="preserve"> des différentes parties prenantes à tous les niveaux</w:t>
            </w:r>
            <w:r w:rsidR="00452ED7">
              <w:rPr>
                <w:highlight w:val="cyan"/>
              </w:rPr>
              <w:t xml:space="preserve"> </w:t>
            </w:r>
          </w:p>
          <w:p w14:paraId="5FC42E43" w14:textId="712D208C" w:rsidR="005B5C49" w:rsidRPr="007C3683" w:rsidRDefault="005B5C49" w:rsidP="007C3683">
            <w:pPr>
              <w:pStyle w:val="ListParagraph"/>
              <w:numPr>
                <w:ilvl w:val="1"/>
                <w:numId w:val="43"/>
              </w:numPr>
              <w:spacing w:line="300" w:lineRule="exact"/>
              <w:jc w:val="both"/>
              <w:rPr>
                <w:highlight w:val="cyan"/>
              </w:rPr>
            </w:pPr>
            <w:r w:rsidRPr="007C3683">
              <w:rPr>
                <w:highlight w:val="cyan"/>
              </w:rPr>
              <w:t xml:space="preserve">Proposer des </w:t>
            </w:r>
            <w:r w:rsidR="003476F4" w:rsidRPr="007C3683">
              <w:rPr>
                <w:highlight w:val="cyan"/>
              </w:rPr>
              <w:t xml:space="preserve">appuis </w:t>
            </w:r>
            <w:r w:rsidR="009C0FB9" w:rsidRPr="007C3683">
              <w:rPr>
                <w:highlight w:val="cyan"/>
              </w:rPr>
              <w:t xml:space="preserve">additionnels, par exemple des formations </w:t>
            </w:r>
            <w:r w:rsidR="004D2756" w:rsidRPr="007C3683">
              <w:rPr>
                <w:highlight w:val="cyan"/>
              </w:rPr>
              <w:t>ou d</w:t>
            </w:r>
            <w:r w:rsidR="006F1578" w:rsidRPr="007C3683">
              <w:rPr>
                <w:highlight w:val="cyan"/>
              </w:rPr>
              <w:t xml:space="preserve">u soutien en forme d’assistance technique </w:t>
            </w:r>
          </w:p>
          <w:p w14:paraId="7D9A0BA9" w14:textId="6AA7573F" w:rsidR="00506721" w:rsidRPr="00684DEC" w:rsidRDefault="00506721" w:rsidP="002A01D3">
            <w:pPr>
              <w:spacing w:line="300" w:lineRule="exact"/>
              <w:jc w:val="both"/>
            </w:pPr>
          </w:p>
        </w:tc>
      </w:tr>
      <w:tr w:rsidR="0071439C" w14:paraId="0D9AF231" w14:textId="77777777" w:rsidTr="00E97920">
        <w:tc>
          <w:tcPr>
            <w:tcW w:w="5000" w:type="pct"/>
            <w:tcBorders>
              <w:top w:val="single" w:sz="4" w:space="0" w:color="auto"/>
              <w:bottom w:val="single" w:sz="4" w:space="0" w:color="auto"/>
            </w:tcBorders>
            <w:shd w:val="clear" w:color="auto" w:fill="F2F2F2" w:themeFill="background1" w:themeFillShade="F2"/>
          </w:tcPr>
          <w:p w14:paraId="316E44D1" w14:textId="77777777" w:rsidR="00FE6EFC" w:rsidRPr="006D15FC" w:rsidRDefault="00FE6EFC" w:rsidP="006D15FC"/>
          <w:p w14:paraId="14533925" w14:textId="50C71BD7" w:rsidR="00E165B4" w:rsidRPr="00D277C6" w:rsidRDefault="0071439C" w:rsidP="00CE1F57">
            <w:pPr>
              <w:pStyle w:val="ListParagraph"/>
              <w:numPr>
                <w:ilvl w:val="1"/>
                <w:numId w:val="4"/>
              </w:numPr>
              <w:spacing w:line="300" w:lineRule="exact"/>
              <w:ind w:left="316" w:hanging="316"/>
              <w:rPr>
                <w:b/>
                <w:bCs/>
                <w:i/>
                <w:iCs/>
                <w:sz w:val="20"/>
                <w:szCs w:val="20"/>
              </w:rPr>
            </w:pPr>
            <w:r>
              <w:rPr>
                <w:b/>
                <w:i/>
                <w:sz w:val="20"/>
              </w:rPr>
              <w:t xml:space="preserve">Comment l'assistance pays ciblée requise promeut-elle la mission de Gavi 5.0 </w:t>
            </w:r>
            <w:r w:rsidRPr="00D277C6">
              <w:rPr>
                <w:b/>
                <w:i/>
                <w:sz w:val="20"/>
              </w:rPr>
              <w:t>par contexte national, en insistant sur:</w:t>
            </w:r>
          </w:p>
          <w:p w14:paraId="2112DA8C" w14:textId="6571BFA3" w:rsidR="00544D9B" w:rsidRPr="00BA439C" w:rsidRDefault="60008DC0" w:rsidP="06A0C929">
            <w:pPr>
              <w:pStyle w:val="ListParagraph"/>
              <w:numPr>
                <w:ilvl w:val="0"/>
                <w:numId w:val="5"/>
              </w:numPr>
              <w:spacing w:line="300" w:lineRule="exact"/>
              <w:ind w:left="741"/>
              <w:rPr>
                <w:sz w:val="20"/>
                <w:szCs w:val="20"/>
              </w:rPr>
            </w:pPr>
            <w:r w:rsidRPr="06A0C929">
              <w:rPr>
                <w:sz w:val="20"/>
                <w:szCs w:val="20"/>
              </w:rPr>
              <w:t>L'identification et l'atteinte des enfants et des communautés zéro dose et systématiquement oubliés ;</w:t>
            </w:r>
          </w:p>
          <w:p w14:paraId="6B56EB6C" w14:textId="52743C06" w:rsidR="00544D9B" w:rsidRPr="00BA439C" w:rsidRDefault="60008DC0" w:rsidP="06A0C929">
            <w:pPr>
              <w:pStyle w:val="ListParagraph"/>
              <w:numPr>
                <w:ilvl w:val="0"/>
                <w:numId w:val="5"/>
              </w:numPr>
              <w:spacing w:line="300" w:lineRule="exact"/>
              <w:ind w:left="741"/>
              <w:rPr>
                <w:sz w:val="20"/>
                <w:szCs w:val="20"/>
              </w:rPr>
            </w:pPr>
            <w:r w:rsidRPr="06A0C929">
              <w:rPr>
                <w:sz w:val="20"/>
                <w:szCs w:val="20"/>
              </w:rPr>
              <w:t>L'amélioration du compte-rendu des stocks et de la gestion des vaccins au niveau infranational ;</w:t>
            </w:r>
          </w:p>
          <w:p w14:paraId="009281C7" w14:textId="11C0A77E" w:rsidR="00544D9B" w:rsidRPr="00BA439C" w:rsidRDefault="00CC34D7" w:rsidP="00CE1F57">
            <w:pPr>
              <w:pStyle w:val="ListParagraph"/>
              <w:numPr>
                <w:ilvl w:val="0"/>
                <w:numId w:val="5"/>
              </w:numPr>
              <w:spacing w:line="300" w:lineRule="exact"/>
              <w:ind w:left="741"/>
              <w:rPr>
                <w:bCs/>
                <w:iCs/>
                <w:sz w:val="20"/>
                <w:szCs w:val="20"/>
              </w:rPr>
            </w:pPr>
            <w:r w:rsidRPr="00BA439C">
              <w:rPr>
                <w:bCs/>
                <w:iCs/>
                <w:sz w:val="20"/>
              </w:rPr>
              <w:t>l</w:t>
            </w:r>
            <w:r w:rsidR="00544D9B" w:rsidRPr="00BA439C">
              <w:rPr>
                <w:bCs/>
                <w:iCs/>
                <w:sz w:val="20"/>
              </w:rPr>
              <w:t>e renforcement du leadership, de la gestion et de la coordination, comprenant l'utilisation de données pour la prise de décision;</w:t>
            </w:r>
          </w:p>
          <w:p w14:paraId="35EE3F38" w14:textId="26D39046" w:rsidR="00532C23" w:rsidRPr="00BA439C" w:rsidRDefault="5B958FCB" w:rsidP="06A0C929">
            <w:pPr>
              <w:pStyle w:val="ListParagraph"/>
              <w:numPr>
                <w:ilvl w:val="0"/>
                <w:numId w:val="5"/>
              </w:numPr>
              <w:spacing w:line="300" w:lineRule="exact"/>
              <w:ind w:left="741"/>
              <w:rPr>
                <w:sz w:val="20"/>
                <w:szCs w:val="20"/>
              </w:rPr>
            </w:pPr>
            <w:r w:rsidRPr="06A0C929">
              <w:rPr>
                <w:sz w:val="20"/>
                <w:szCs w:val="20"/>
              </w:rPr>
              <w:t>L'introduction et le déploiement à large échelle des vaccins ;</w:t>
            </w:r>
          </w:p>
          <w:p w14:paraId="1DC79B3B" w14:textId="12E43179" w:rsidR="00FE6EFC" w:rsidRPr="006D15FC" w:rsidRDefault="00532C23">
            <w:pPr>
              <w:pStyle w:val="ListParagraph"/>
              <w:numPr>
                <w:ilvl w:val="0"/>
                <w:numId w:val="5"/>
              </w:numPr>
              <w:spacing w:line="300" w:lineRule="exact"/>
              <w:ind w:left="741"/>
              <w:rPr>
                <w:b/>
                <w:i/>
                <w:sz w:val="20"/>
                <w:szCs w:val="20"/>
              </w:rPr>
            </w:pPr>
            <w:r w:rsidRPr="00BA439C">
              <w:rPr>
                <w:bCs/>
                <w:iCs/>
                <w:sz w:val="20"/>
              </w:rPr>
              <w:t>la viabilité des programmes.</w:t>
            </w:r>
          </w:p>
        </w:tc>
      </w:tr>
      <w:tr w:rsidR="0071439C" w:rsidRPr="006A272B" w14:paraId="0A3FAE65" w14:textId="77777777" w:rsidTr="00E97920">
        <w:tc>
          <w:tcPr>
            <w:tcW w:w="5000" w:type="pct"/>
            <w:tcBorders>
              <w:top w:val="single" w:sz="4" w:space="0" w:color="auto"/>
              <w:left w:val="single" w:sz="4" w:space="0" w:color="auto"/>
              <w:bottom w:val="single" w:sz="4" w:space="0" w:color="auto"/>
              <w:right w:val="single" w:sz="4" w:space="0" w:color="auto"/>
            </w:tcBorders>
          </w:tcPr>
          <w:p w14:paraId="15A16394" w14:textId="77777777" w:rsidR="00BC0768" w:rsidRDefault="00C47277" w:rsidP="00BC0768">
            <w:pPr>
              <w:spacing w:line="300" w:lineRule="exact"/>
            </w:pPr>
            <w:r w:rsidRPr="006A13F9">
              <w:t>L’assistance technique travaillera avec les équipes du pays </w:t>
            </w:r>
            <w:r w:rsidR="00684DEC">
              <w:t xml:space="preserve">à </w:t>
            </w:r>
            <w:r w:rsidRPr="006A13F9">
              <w:t>:</w:t>
            </w:r>
          </w:p>
          <w:p w14:paraId="2744FF83" w14:textId="65313CEA" w:rsidR="00BC0768" w:rsidRDefault="44F321A2" w:rsidP="00BC0768">
            <w:pPr>
              <w:pStyle w:val="ListParagraph"/>
              <w:numPr>
                <w:ilvl w:val="0"/>
                <w:numId w:val="34"/>
              </w:numPr>
              <w:spacing w:line="300" w:lineRule="exact"/>
            </w:pPr>
            <w:r>
              <w:t>Préparer</w:t>
            </w:r>
            <w:r w:rsidR="4320D34F">
              <w:t xml:space="preserve"> le prochain Portefeuille de financement Complet de Gavi : </w:t>
            </w:r>
            <w:r w:rsidR="00DC3D91">
              <w:t>FPP (</w:t>
            </w:r>
            <w:r w:rsidR="4320D34F">
              <w:t>RSS3, FAE</w:t>
            </w:r>
            <w:r w:rsidR="00DC3D91">
              <w:t>(</w:t>
            </w:r>
            <w:r w:rsidR="4320D34F">
              <w:t xml:space="preserve"> (financement accélérateur d’équité)</w:t>
            </w:r>
            <w:r w:rsidR="00DC3D91">
              <w:t>)</w:t>
            </w:r>
            <w:r w:rsidR="4320D34F">
              <w:t>,</w:t>
            </w:r>
            <w:r w:rsidR="265915E5">
              <w:t xml:space="preserve"> </w:t>
            </w:r>
            <w:r w:rsidR="1E944A2F">
              <w:t xml:space="preserve">l’application du pays pour la campagne de suivi contre la rougeole, </w:t>
            </w:r>
            <w:r w:rsidR="4320D34F">
              <w:t xml:space="preserve">CCEOP. </w:t>
            </w:r>
          </w:p>
          <w:p w14:paraId="45326365" w14:textId="4A4AA804" w:rsidR="000441BE" w:rsidRDefault="78037D55" w:rsidP="00BC0768">
            <w:pPr>
              <w:pStyle w:val="ListParagraph"/>
              <w:numPr>
                <w:ilvl w:val="0"/>
                <w:numId w:val="34"/>
              </w:numPr>
              <w:spacing w:line="300" w:lineRule="exact"/>
            </w:pPr>
            <w:r>
              <w:t>Elabore</w:t>
            </w:r>
            <w:r w:rsidR="1BF1C096">
              <w:t>r</w:t>
            </w:r>
            <w:r>
              <w:t xml:space="preserve"> la stratégie zéro dose ;</w:t>
            </w:r>
          </w:p>
          <w:p w14:paraId="6CBA20B3" w14:textId="5F530828" w:rsidR="00BC0768" w:rsidRDefault="44F321A2" w:rsidP="00BC0768">
            <w:pPr>
              <w:pStyle w:val="ListParagraph"/>
              <w:numPr>
                <w:ilvl w:val="0"/>
                <w:numId w:val="34"/>
              </w:numPr>
              <w:spacing w:line="300" w:lineRule="exact"/>
            </w:pPr>
            <w:r>
              <w:t>Conduire</w:t>
            </w:r>
            <w:r w:rsidR="4320D34F">
              <w:t xml:space="preserve"> l’enquête post-campagne intégrée de rattrapage MenA/Rougeole </w:t>
            </w:r>
          </w:p>
          <w:p w14:paraId="7747F176" w14:textId="3EB29AFC" w:rsidR="00BC0768" w:rsidRDefault="44F321A2" w:rsidP="00BC0768">
            <w:pPr>
              <w:pStyle w:val="ListParagraph"/>
              <w:numPr>
                <w:ilvl w:val="0"/>
                <w:numId w:val="34"/>
              </w:numPr>
              <w:spacing w:line="300" w:lineRule="exact"/>
            </w:pPr>
            <w:r>
              <w:t>Conduire</w:t>
            </w:r>
            <w:r w:rsidR="4320D34F">
              <w:t xml:space="preserve"> la revue externe du PEV </w:t>
            </w:r>
          </w:p>
          <w:p w14:paraId="29B61BF8" w14:textId="034A142D" w:rsidR="0071439C" w:rsidRPr="006A13F9" w:rsidRDefault="44F321A2" w:rsidP="00344047">
            <w:pPr>
              <w:pStyle w:val="ListParagraph"/>
              <w:numPr>
                <w:ilvl w:val="0"/>
                <w:numId w:val="34"/>
              </w:numPr>
              <w:spacing w:line="300" w:lineRule="exact"/>
            </w:pPr>
            <w:r>
              <w:t>Élaborer</w:t>
            </w:r>
            <w:r w:rsidR="4320D34F">
              <w:t xml:space="preserve"> le plan stratégique national de vaccination (SN</w:t>
            </w:r>
            <w:r w:rsidR="265915E5">
              <w:t>V</w:t>
            </w:r>
            <w:r w:rsidR="4320D34F">
              <w:t>)</w:t>
            </w:r>
            <w:r w:rsidR="1E944A2F">
              <w:t> ;</w:t>
            </w:r>
            <w:r w:rsidR="4320D34F">
              <w:t> </w:t>
            </w:r>
          </w:p>
          <w:p w14:paraId="44B8F9A1" w14:textId="3EC86933" w:rsidR="00FE6EFC" w:rsidRDefault="58E4E2DA" w:rsidP="00BC0768">
            <w:pPr>
              <w:pStyle w:val="ListParagraph"/>
              <w:numPr>
                <w:ilvl w:val="0"/>
                <w:numId w:val="34"/>
              </w:numPr>
              <w:spacing w:line="300" w:lineRule="exact"/>
            </w:pPr>
            <w:r>
              <w:t xml:space="preserve">Cartographier </w:t>
            </w:r>
            <w:r w:rsidR="2EA2550D">
              <w:t xml:space="preserve">sur la base de GIS </w:t>
            </w:r>
            <w:r>
              <w:t xml:space="preserve">les zones abritant les enfants </w:t>
            </w:r>
            <w:r w:rsidR="167C3497">
              <w:t>Zéro</w:t>
            </w:r>
            <w:r w:rsidR="2EA2550D">
              <w:t xml:space="preserve"> </w:t>
            </w:r>
            <w:r w:rsidR="167C3497">
              <w:t>D</w:t>
            </w:r>
            <w:r w:rsidR="2EA2550D">
              <w:t xml:space="preserve">oses </w:t>
            </w:r>
            <w:r>
              <w:t>et insuffisamment couvertes</w:t>
            </w:r>
            <w:r w:rsidR="167C3497">
              <w:t> ;</w:t>
            </w:r>
          </w:p>
          <w:p w14:paraId="1CA30CEB" w14:textId="584851A1" w:rsidR="00493F19" w:rsidRPr="006A13F9" w:rsidRDefault="167C3497" w:rsidP="00BC0768">
            <w:pPr>
              <w:pStyle w:val="ListParagraph"/>
              <w:numPr>
                <w:ilvl w:val="0"/>
                <w:numId w:val="34"/>
              </w:numPr>
              <w:spacing w:line="300" w:lineRule="exact"/>
              <w:jc w:val="both"/>
            </w:pPr>
            <w:r>
              <w:t>Produire des données de qualité analysées à tous les niveaux </w:t>
            </w:r>
            <w:r w:rsidR="5BFB1EB1">
              <w:t>pour une utilisation optimale ;</w:t>
            </w:r>
            <w:r w:rsidR="58E4E2DA">
              <w:t xml:space="preserve"> </w:t>
            </w:r>
          </w:p>
          <w:p w14:paraId="1F39C25D" w14:textId="62711820" w:rsidR="00A04582" w:rsidRPr="006A13F9" w:rsidRDefault="58E4E2DA" w:rsidP="00BC0768">
            <w:pPr>
              <w:pStyle w:val="ListParagraph"/>
              <w:numPr>
                <w:ilvl w:val="0"/>
                <w:numId w:val="34"/>
              </w:numPr>
              <w:spacing w:line="300" w:lineRule="exact"/>
              <w:jc w:val="both"/>
            </w:pPr>
            <w:r>
              <w:t xml:space="preserve">Renforcer la dynamique communautaire en faveur de la vaccination, </w:t>
            </w:r>
            <w:r w:rsidR="5BFB1EB1">
              <w:t xml:space="preserve">et </w:t>
            </w:r>
            <w:r>
              <w:t xml:space="preserve">impliquer d'avantage </w:t>
            </w:r>
            <w:r w:rsidR="59215F53">
              <w:t>l</w:t>
            </w:r>
            <w:r>
              <w:t>es communautés</w:t>
            </w:r>
            <w:r w:rsidR="167C3497">
              <w:t> ;</w:t>
            </w:r>
          </w:p>
          <w:p w14:paraId="26D2471D" w14:textId="06AA55BC" w:rsidR="00493F19" w:rsidRPr="006A13F9" w:rsidRDefault="009F66BD" w:rsidP="00BA439C">
            <w:pPr>
              <w:pStyle w:val="ListParagraph"/>
              <w:numPr>
                <w:ilvl w:val="0"/>
                <w:numId w:val="34"/>
              </w:numPr>
              <w:spacing w:line="300" w:lineRule="exact"/>
              <w:jc w:val="both"/>
            </w:pPr>
            <w:r w:rsidRPr="006A13F9">
              <w:t>Améliorer</w:t>
            </w:r>
            <w:r w:rsidR="00684DEC">
              <w:t xml:space="preserve"> le </w:t>
            </w:r>
            <w:r w:rsidR="00493F19" w:rsidRPr="006A13F9">
              <w:t xml:space="preserve">mécanisme de coordination et de planification pour une bonne mise </w:t>
            </w:r>
            <w:r w:rsidR="00684DEC">
              <w:t>en</w:t>
            </w:r>
            <w:r w:rsidR="00493F19" w:rsidRPr="006A13F9">
              <w:t xml:space="preserve"> œuvre des interventions et un meilleur suivi ;</w:t>
            </w:r>
          </w:p>
          <w:p w14:paraId="0DD0DFC5" w14:textId="4FA7BF93" w:rsidR="00FE6EFC" w:rsidRDefault="39F45017" w:rsidP="00684DEC">
            <w:pPr>
              <w:pStyle w:val="ListParagraph"/>
              <w:numPr>
                <w:ilvl w:val="0"/>
                <w:numId w:val="34"/>
              </w:numPr>
              <w:spacing w:line="300" w:lineRule="exact"/>
            </w:pPr>
            <w:r>
              <w:t>Renforcer la gestion des vaccins au quotidien au niveau district</w:t>
            </w:r>
            <w:r w:rsidR="2EA2550D">
              <w:t xml:space="preserve">, centres de </w:t>
            </w:r>
            <w:r w:rsidR="009F66BD">
              <w:t>santé</w:t>
            </w:r>
            <w:r w:rsidR="2EA2550D">
              <w:t xml:space="preserve"> et poste de sante ; </w:t>
            </w:r>
          </w:p>
          <w:p w14:paraId="221CA8C3" w14:textId="6D5D6B32" w:rsidR="00F31F56" w:rsidRDefault="66C310F6" w:rsidP="00684DEC">
            <w:pPr>
              <w:pStyle w:val="ListParagraph"/>
              <w:numPr>
                <w:ilvl w:val="0"/>
                <w:numId w:val="34"/>
              </w:numPr>
              <w:spacing w:line="300" w:lineRule="exact"/>
            </w:pPr>
            <w:r>
              <w:t>Finaliser la condui</w:t>
            </w:r>
            <w:r w:rsidR="5B674E6E">
              <w:t>t</w:t>
            </w:r>
            <w:r>
              <w:t xml:space="preserve">e de l’évaluation de la </w:t>
            </w:r>
            <w:r w:rsidR="70507998">
              <w:t>GEV et l’élaboration du plan d’amélioration</w:t>
            </w:r>
            <w:r>
              <w:t xml:space="preserve"> avec le solde du TCA 2021 en complément au financement de 2022</w:t>
            </w:r>
            <w:r w:rsidR="14B75E8F">
              <w:t> </w:t>
            </w:r>
            <w:r>
              <w:t xml:space="preserve">; </w:t>
            </w:r>
          </w:p>
          <w:p w14:paraId="622AFDD7" w14:textId="67782B0C" w:rsidR="001B7604" w:rsidRDefault="14B75E8F" w:rsidP="001B7604">
            <w:pPr>
              <w:pStyle w:val="ListParagraph"/>
              <w:numPr>
                <w:ilvl w:val="0"/>
                <w:numId w:val="34"/>
              </w:numPr>
              <w:spacing w:line="300" w:lineRule="exact"/>
            </w:pPr>
            <w:r>
              <w:t> </w:t>
            </w:r>
            <w:r w:rsidR="7343743F">
              <w:t>Appuyer l’opérationnalisation du plan d’intégration des entrepôts PEV-PCG</w:t>
            </w:r>
            <w:r>
              <w:t xml:space="preserve"> au niveau national et au niveau régional </w:t>
            </w:r>
          </w:p>
          <w:p w14:paraId="27737F2C" w14:textId="77777777" w:rsidR="007546D4" w:rsidRDefault="7343743F" w:rsidP="007546D4">
            <w:pPr>
              <w:pStyle w:val="ListParagraph"/>
              <w:numPr>
                <w:ilvl w:val="0"/>
                <w:numId w:val="34"/>
              </w:numPr>
            </w:pPr>
            <w:r>
              <w:t xml:space="preserve"> </w:t>
            </w:r>
            <w:r w:rsidR="39F45017">
              <w:t xml:space="preserve">Améliorer le système d’information travers </w:t>
            </w:r>
            <w:r w:rsidR="19E761C4">
              <w:t>le eLMIS  pour le</w:t>
            </w:r>
            <w:r w:rsidR="39F45017">
              <w:t xml:space="preserve"> suivi à distance d</w:t>
            </w:r>
            <w:r w:rsidR="3936C4FB">
              <w:t>es vaccins,</w:t>
            </w:r>
            <w:r w:rsidR="39F45017">
              <w:t xml:space="preserve"> d’analyse</w:t>
            </w:r>
            <w:r w:rsidR="3936C4FB">
              <w:t xml:space="preserve"> et de</w:t>
            </w:r>
            <w:r w:rsidR="39F45017">
              <w:t xml:space="preserve"> triangulation des données logistiques et de vaccination</w:t>
            </w:r>
            <w:r w:rsidR="2EA2550D">
              <w:t> </w:t>
            </w:r>
          </w:p>
          <w:p w14:paraId="7468E456" w14:textId="716D3FAB" w:rsidR="007546D4" w:rsidRDefault="007546D4" w:rsidP="007546D4">
            <w:pPr>
              <w:pStyle w:val="ListParagraph"/>
              <w:numPr>
                <w:ilvl w:val="0"/>
                <w:numId w:val="34"/>
              </w:numPr>
            </w:pPr>
            <w:r w:rsidRPr="007C3683">
              <w:rPr>
                <w:highlight w:val="cyan"/>
              </w:rPr>
              <w:t>Renforcer le leadership, la gestion et la coordination du PEV</w:t>
            </w:r>
          </w:p>
          <w:p w14:paraId="5C528755" w14:textId="1AB2273E" w:rsidR="007546D4" w:rsidRPr="007C3683" w:rsidRDefault="007546D4" w:rsidP="007546D4">
            <w:pPr>
              <w:pStyle w:val="ListParagraph"/>
              <w:numPr>
                <w:ilvl w:val="0"/>
                <w:numId w:val="34"/>
              </w:numPr>
              <w:rPr>
                <w:highlight w:val="cyan"/>
              </w:rPr>
            </w:pPr>
            <w:r w:rsidRPr="007C3683">
              <w:rPr>
                <w:highlight w:val="cyan"/>
              </w:rPr>
              <w:t>Assurer la mise en œuvre et la coordination efficace des activités financés par Gavi</w:t>
            </w:r>
          </w:p>
          <w:p w14:paraId="0C49E76B" w14:textId="61D0848F" w:rsidR="007546D4" w:rsidRPr="007C3683" w:rsidRDefault="007546D4" w:rsidP="007C3683">
            <w:pPr>
              <w:spacing w:line="300" w:lineRule="exact"/>
              <w:ind w:left="360"/>
              <w:rPr>
                <w:rFonts w:asciiTheme="minorHAnsi" w:eastAsiaTheme="minorEastAsia" w:hAnsiTheme="minorHAnsi" w:cstheme="minorBidi"/>
                <w:color w:val="3333FF"/>
                <w:sz w:val="20"/>
                <w:szCs w:val="20"/>
              </w:rPr>
            </w:pPr>
          </w:p>
        </w:tc>
      </w:tr>
      <w:tr w:rsidR="002E0882" w14:paraId="733DCE72" w14:textId="77777777" w:rsidTr="00E97920">
        <w:tc>
          <w:tcPr>
            <w:tcW w:w="5000" w:type="pct"/>
            <w:tcBorders>
              <w:top w:val="single" w:sz="4" w:space="0" w:color="auto"/>
              <w:bottom w:val="single" w:sz="4" w:space="0" w:color="auto"/>
            </w:tcBorders>
            <w:shd w:val="clear" w:color="auto" w:fill="F2F2F2" w:themeFill="background1" w:themeFillShade="F2"/>
          </w:tcPr>
          <w:p w14:paraId="574AA49B" w14:textId="77777777" w:rsidR="0016420C" w:rsidRDefault="0016420C" w:rsidP="007B53D1">
            <w:pPr>
              <w:pStyle w:val="ListParagraph"/>
              <w:spacing w:line="300" w:lineRule="exact"/>
              <w:ind w:left="0"/>
              <w:rPr>
                <w:b/>
                <w:i/>
                <w:sz w:val="20"/>
              </w:rPr>
            </w:pPr>
          </w:p>
          <w:p w14:paraId="39970F96" w14:textId="2DF6B1C3" w:rsidR="002E0882" w:rsidRPr="00CF3BC4" w:rsidRDefault="002E0882" w:rsidP="007B53D1">
            <w:pPr>
              <w:pStyle w:val="ListParagraph"/>
              <w:spacing w:line="300" w:lineRule="exact"/>
              <w:ind w:left="0"/>
              <w:rPr>
                <w:b/>
                <w:bCs/>
                <w:i/>
                <w:iCs/>
                <w:color w:val="000000" w:themeColor="text1"/>
                <w:sz w:val="20"/>
                <w:szCs w:val="20"/>
              </w:rPr>
            </w:pPr>
            <w:r>
              <w:rPr>
                <w:b/>
                <w:i/>
                <w:sz w:val="20"/>
              </w:rPr>
              <w:t>2.3</w:t>
            </w:r>
            <w:r>
              <w:rPr>
                <w:b/>
                <w:i/>
                <w:sz w:val="20"/>
              </w:rPr>
              <w:tab/>
              <w:t>Comment utiliserez-vous les</w:t>
            </w:r>
            <w:r w:rsidR="005B010D">
              <w:rPr>
                <w:b/>
                <w:i/>
                <w:sz w:val="20"/>
              </w:rPr>
              <w:t xml:space="preserve"> nouvelles</w:t>
            </w:r>
            <w:r>
              <w:rPr>
                <w:b/>
                <w:i/>
                <w:sz w:val="20"/>
              </w:rPr>
              <w:t xml:space="preserve"> introductions de vaccins et les campagnes prévues pendant cette période pour renforcer encore les domaines indiqués à la question 2.2? </w:t>
            </w:r>
          </w:p>
        </w:tc>
      </w:tr>
      <w:tr w:rsidR="002E0882" w:rsidRPr="006A272B" w14:paraId="3B0C1B4D" w14:textId="77777777" w:rsidTr="00E97920">
        <w:tc>
          <w:tcPr>
            <w:tcW w:w="5000" w:type="pct"/>
            <w:tcBorders>
              <w:top w:val="single" w:sz="4" w:space="0" w:color="auto"/>
              <w:left w:val="single" w:sz="4" w:space="0" w:color="auto"/>
              <w:bottom w:val="single" w:sz="4" w:space="0" w:color="auto"/>
              <w:right w:val="single" w:sz="4" w:space="0" w:color="auto"/>
            </w:tcBorders>
          </w:tcPr>
          <w:p w14:paraId="63631643" w14:textId="146B1D74" w:rsidR="00AA1788" w:rsidRPr="006A13F9" w:rsidRDefault="0007134B" w:rsidP="00684DEC">
            <w:pPr>
              <w:spacing w:line="300" w:lineRule="exact"/>
              <w:jc w:val="both"/>
            </w:pPr>
            <w:r w:rsidRPr="006A13F9">
              <w:t>Les campagnes de vaccination et les nouvelles introduction</w:t>
            </w:r>
            <w:r w:rsidR="00AA1788" w:rsidRPr="006A13F9">
              <w:t>s</w:t>
            </w:r>
            <w:r w:rsidRPr="006A13F9">
              <w:t xml:space="preserve"> </w:t>
            </w:r>
            <w:r w:rsidR="002A01D3">
              <w:t xml:space="preserve">des vaccins </w:t>
            </w:r>
            <w:r w:rsidR="00057ECB">
              <w:t xml:space="preserve">(VAR2, VPI 2, PCV3…) </w:t>
            </w:r>
            <w:r w:rsidR="002A01D3">
              <w:t>dans le programme de vaccin</w:t>
            </w:r>
            <w:r w:rsidR="00BD7BE9">
              <w:t>a</w:t>
            </w:r>
            <w:r w:rsidR="002A01D3">
              <w:t xml:space="preserve">tion de routine </w:t>
            </w:r>
            <w:r w:rsidRPr="006A13F9">
              <w:t xml:space="preserve">serviront d’opportunités pour renforcer la vaccination de routine </w:t>
            </w:r>
            <w:r w:rsidR="00AA1788" w:rsidRPr="006A13F9">
              <w:t>à travers :</w:t>
            </w:r>
          </w:p>
          <w:p w14:paraId="6BDB2EEF" w14:textId="2CD92272" w:rsidR="00AA1788" w:rsidRPr="006A13F9" w:rsidRDefault="00AA1788" w:rsidP="00684DEC">
            <w:pPr>
              <w:pStyle w:val="ListParagraph"/>
              <w:numPr>
                <w:ilvl w:val="0"/>
                <w:numId w:val="34"/>
              </w:numPr>
              <w:spacing w:line="300" w:lineRule="exact"/>
            </w:pPr>
            <w:r w:rsidRPr="006A13F9">
              <w:t>le renforcement des capacités des acteurs</w:t>
            </w:r>
            <w:r w:rsidR="002A01D3">
              <w:t xml:space="preserve"> ; </w:t>
            </w:r>
          </w:p>
          <w:p w14:paraId="0D7CBD77" w14:textId="08FF0331" w:rsidR="00AA1788" w:rsidRPr="006A13F9" w:rsidRDefault="00AA1788" w:rsidP="00684DEC">
            <w:pPr>
              <w:pStyle w:val="ListParagraph"/>
              <w:numPr>
                <w:ilvl w:val="0"/>
                <w:numId w:val="34"/>
              </w:numPr>
              <w:spacing w:line="300" w:lineRule="exact"/>
            </w:pPr>
            <w:r w:rsidRPr="006A13F9">
              <w:t>le renforcement des capacités logistiques</w:t>
            </w:r>
            <w:r w:rsidR="002A01D3">
              <w:t xml:space="preserve"> ; </w:t>
            </w:r>
            <w:r w:rsidR="00684DEC">
              <w:t>,</w:t>
            </w:r>
          </w:p>
          <w:p w14:paraId="1426D839" w14:textId="34F941E7" w:rsidR="00A04582" w:rsidRPr="006A13F9" w:rsidRDefault="00A04582" w:rsidP="00684DEC">
            <w:pPr>
              <w:pStyle w:val="ListParagraph"/>
              <w:numPr>
                <w:ilvl w:val="0"/>
                <w:numId w:val="34"/>
              </w:numPr>
              <w:spacing w:line="300" w:lineRule="exact"/>
            </w:pPr>
            <w:r w:rsidRPr="006A13F9">
              <w:t>la révision et l’amélioration des supports et outils (planification, collecte, compilation, suivi, …)</w:t>
            </w:r>
            <w:r w:rsidR="006A13F9" w:rsidRPr="006A13F9">
              <w:t>.</w:t>
            </w:r>
          </w:p>
          <w:p w14:paraId="4C21B823" w14:textId="77777777" w:rsidR="002E0882" w:rsidRPr="006A13F9" w:rsidRDefault="0007134B" w:rsidP="00684DEC">
            <w:pPr>
              <w:spacing w:line="300" w:lineRule="exact"/>
              <w:jc w:val="both"/>
            </w:pPr>
            <w:r w:rsidRPr="006A13F9">
              <w:t>Ces campagnes se</w:t>
            </w:r>
            <w:r w:rsidR="00AA1788" w:rsidRPr="006A13F9">
              <w:t xml:space="preserve">ront l’occasion de rechercher les </w:t>
            </w:r>
            <w:r w:rsidRPr="006A13F9">
              <w:t xml:space="preserve">enfants </w:t>
            </w:r>
            <w:r w:rsidR="00AA1788" w:rsidRPr="006A13F9">
              <w:t>zéro dose et/</w:t>
            </w:r>
            <w:r w:rsidRPr="006A13F9">
              <w:t>ou insuffisamment vaccinés dans toutes les aires de santé.</w:t>
            </w:r>
          </w:p>
          <w:p w14:paraId="2525ED44" w14:textId="44A1E77D" w:rsidR="00A04582" w:rsidRPr="006615A7" w:rsidRDefault="00A04582" w:rsidP="00684DEC">
            <w:pPr>
              <w:spacing w:line="300" w:lineRule="exact"/>
              <w:jc w:val="both"/>
            </w:pPr>
            <w:r w:rsidRPr="006A13F9">
              <w:t>Par ailleurs, les nouvelles introductions de vaccins et les campagnes constituent des occasions pour davantage renforcer la mise en œuvre de la communication de risque et susciter l’engagement communautaire.</w:t>
            </w:r>
          </w:p>
        </w:tc>
      </w:tr>
      <w:tr w:rsidR="00D353AF" w14:paraId="124CC764" w14:textId="77777777" w:rsidTr="00E97920">
        <w:tc>
          <w:tcPr>
            <w:tcW w:w="5000" w:type="pct"/>
            <w:tcBorders>
              <w:top w:val="single" w:sz="4" w:space="0" w:color="auto"/>
              <w:bottom w:val="single" w:sz="4" w:space="0" w:color="auto"/>
            </w:tcBorders>
            <w:shd w:val="clear" w:color="auto" w:fill="F2F2F2" w:themeFill="background1" w:themeFillShade="F2"/>
          </w:tcPr>
          <w:p w14:paraId="141DE16E" w14:textId="77777777" w:rsidR="00FE6EFC" w:rsidRDefault="00FE6EFC" w:rsidP="007B53D1">
            <w:pPr>
              <w:spacing w:line="300" w:lineRule="exact"/>
              <w:rPr>
                <w:b/>
                <w:i/>
                <w:color w:val="000000" w:themeColor="text1"/>
                <w:sz w:val="20"/>
              </w:rPr>
            </w:pPr>
          </w:p>
          <w:p w14:paraId="374B434F" w14:textId="250428AC" w:rsidR="00D353AF" w:rsidRDefault="00D353AF" w:rsidP="007B53D1">
            <w:pPr>
              <w:spacing w:line="300" w:lineRule="exact"/>
              <w:rPr>
                <w:b/>
                <w:i/>
                <w:iCs/>
                <w:color w:val="000000" w:themeColor="text1"/>
                <w:sz w:val="20"/>
                <w:szCs w:val="20"/>
              </w:rPr>
            </w:pPr>
            <w:r>
              <w:rPr>
                <w:b/>
                <w:i/>
                <w:color w:val="000000" w:themeColor="text1"/>
                <w:sz w:val="20"/>
              </w:rPr>
              <w:t>2.4</w:t>
            </w:r>
            <w:r w:rsidR="00FE6EFC">
              <w:rPr>
                <w:b/>
                <w:i/>
                <w:color w:val="000000" w:themeColor="text1"/>
                <w:sz w:val="20"/>
              </w:rPr>
              <w:t xml:space="preserve"> </w:t>
            </w:r>
            <w:r>
              <w:rPr>
                <w:b/>
                <w:i/>
                <w:color w:val="000000" w:themeColor="text1"/>
                <w:sz w:val="20"/>
              </w:rPr>
              <w:t xml:space="preserve">Décrivez comment l'assistance pays ciblée aidera à rétablir les services de vaccination systématique et toutes les autres activités de redressement liées à la Covid-19. </w:t>
            </w:r>
          </w:p>
          <w:p w14:paraId="5D61F6FA" w14:textId="122232DB" w:rsidR="00FE6EFC" w:rsidRPr="006D15FC" w:rsidRDefault="00D353AF" w:rsidP="007B53D1">
            <w:pPr>
              <w:spacing w:line="300" w:lineRule="exact"/>
              <w:rPr>
                <w:i/>
                <w:sz w:val="20"/>
              </w:rPr>
            </w:pPr>
            <w:r>
              <w:rPr>
                <w:i/>
                <w:sz w:val="20"/>
              </w:rPr>
              <w:t xml:space="preserve">Veuillez indiquer toute réallocation liée à la Covid-19 qui pourrait avoir eu lieu pour les fonds d'assistance pays ciblée précédents (le cas échéant); cette réallocation reste-t-elle pertinente pour cette proposition? </w:t>
            </w:r>
          </w:p>
        </w:tc>
      </w:tr>
      <w:tr w:rsidR="00D353AF" w14:paraId="14D7F47D" w14:textId="77777777" w:rsidTr="00E97920">
        <w:tc>
          <w:tcPr>
            <w:tcW w:w="5000" w:type="pct"/>
            <w:tcBorders>
              <w:top w:val="single" w:sz="4" w:space="0" w:color="auto"/>
              <w:left w:val="single" w:sz="4" w:space="0" w:color="auto"/>
              <w:bottom w:val="single" w:sz="4" w:space="0" w:color="auto"/>
              <w:right w:val="single" w:sz="4" w:space="0" w:color="auto"/>
            </w:tcBorders>
          </w:tcPr>
          <w:p w14:paraId="1A8C5262" w14:textId="6EAB2818" w:rsidR="00ED157F" w:rsidRPr="006A13F9" w:rsidRDefault="00ED157F" w:rsidP="00684DEC">
            <w:pPr>
              <w:spacing w:line="300" w:lineRule="exact"/>
              <w:jc w:val="both"/>
            </w:pPr>
            <w:r w:rsidRPr="006A13F9">
              <w:t>L’assistance technique ciblée ne se limitera pas seulement à la mise en œuvre des activités liées à la COVID 19 mais apportera un appui technique intégrée aux activités de vaccination systématique.</w:t>
            </w:r>
          </w:p>
          <w:p w14:paraId="4FEB327E" w14:textId="2837C8AE" w:rsidR="00ED157F" w:rsidRPr="006A13F9" w:rsidRDefault="00ED157F" w:rsidP="00684DEC">
            <w:pPr>
              <w:spacing w:line="300" w:lineRule="exact"/>
              <w:jc w:val="both"/>
            </w:pPr>
            <w:r w:rsidRPr="006A13F9">
              <w:t xml:space="preserve">La mise en œuvre du plan </w:t>
            </w:r>
            <w:r w:rsidR="00FE6EFC">
              <w:t xml:space="preserve">national </w:t>
            </w:r>
            <w:r w:rsidRPr="006A13F9">
              <w:t xml:space="preserve">de déploiement </w:t>
            </w:r>
            <w:r w:rsidR="00FE6EFC">
              <w:t>et de</w:t>
            </w:r>
            <w:r w:rsidR="00FE6EFC" w:rsidRPr="006A13F9">
              <w:t xml:space="preserve"> </w:t>
            </w:r>
            <w:r w:rsidRPr="006A13F9">
              <w:t>vaccination</w:t>
            </w:r>
            <w:r w:rsidR="00FE6EFC">
              <w:t xml:space="preserve"> (PNDV)</w:t>
            </w:r>
            <w:r w:rsidRPr="006A13F9">
              <w:t xml:space="preserve"> contre la COVID 19 contribuera également à renforcer la vaccination systématique en routine et en campagne. </w:t>
            </w:r>
          </w:p>
          <w:p w14:paraId="2689F064" w14:textId="7F1A762D" w:rsidR="00D353AF" w:rsidRPr="006615A7" w:rsidRDefault="00ED157F" w:rsidP="00684DEC">
            <w:pPr>
              <w:spacing w:line="300" w:lineRule="exact"/>
              <w:jc w:val="both"/>
              <w:rPr>
                <w:color w:val="92D050"/>
              </w:rPr>
            </w:pPr>
            <w:r w:rsidRPr="006A13F9">
              <w:t xml:space="preserve">Il n’y a pas </w:t>
            </w:r>
            <w:r w:rsidR="00A04582" w:rsidRPr="006A13F9">
              <w:t xml:space="preserve">eu </w:t>
            </w:r>
            <w:r w:rsidRPr="006A13F9">
              <w:t>de réallocation liée à la COVID 19</w:t>
            </w:r>
            <w:r w:rsidR="00FE6EFC">
              <w:t xml:space="preserve"> en faveur de la vaccination de routine.</w:t>
            </w:r>
          </w:p>
        </w:tc>
      </w:tr>
      <w:tr w:rsidR="00D353AF" w14:paraId="7CB90E66" w14:textId="77777777" w:rsidTr="00E97920">
        <w:tc>
          <w:tcPr>
            <w:tcW w:w="5000" w:type="pct"/>
            <w:tcBorders>
              <w:top w:val="single" w:sz="4" w:space="0" w:color="auto"/>
              <w:bottom w:val="single" w:sz="4" w:space="0" w:color="auto"/>
            </w:tcBorders>
            <w:shd w:val="clear" w:color="auto" w:fill="F2F2F2" w:themeFill="background1" w:themeFillShade="F2"/>
          </w:tcPr>
          <w:p w14:paraId="16F0D23E" w14:textId="77777777" w:rsidR="00FE6EFC" w:rsidRDefault="00FE6EFC" w:rsidP="007B53D1">
            <w:pPr>
              <w:spacing w:line="300" w:lineRule="exact"/>
              <w:rPr>
                <w:b/>
                <w:i/>
                <w:color w:val="000000" w:themeColor="text1"/>
                <w:sz w:val="20"/>
              </w:rPr>
            </w:pPr>
          </w:p>
          <w:p w14:paraId="341DF7D2" w14:textId="4505BEEB" w:rsidR="00FE6EFC" w:rsidRPr="006D15FC" w:rsidRDefault="00D353AF" w:rsidP="007B53D1">
            <w:pPr>
              <w:spacing w:line="300" w:lineRule="exact"/>
              <w:rPr>
                <w:b/>
                <w:i/>
                <w:color w:val="000000" w:themeColor="text1"/>
                <w:sz w:val="20"/>
              </w:rPr>
            </w:pPr>
            <w:r>
              <w:rPr>
                <w:b/>
                <w:i/>
                <w:color w:val="000000" w:themeColor="text1"/>
                <w:sz w:val="20"/>
              </w:rPr>
              <w:t>2.5</w:t>
            </w:r>
            <w:r>
              <w:rPr>
                <w:b/>
                <w:i/>
                <w:color w:val="000000" w:themeColor="text1"/>
                <w:sz w:val="20"/>
              </w:rPr>
              <w:tab/>
            </w:r>
            <w:r w:rsidR="004C140F" w:rsidRPr="004C140F">
              <w:rPr>
                <w:b/>
                <w:i/>
                <w:color w:val="000000" w:themeColor="text1"/>
                <w:sz w:val="20"/>
              </w:rPr>
              <w:t>Décrivez</w:t>
            </w:r>
            <w:r>
              <w:rPr>
                <w:b/>
                <w:i/>
                <w:color w:val="000000" w:themeColor="text1"/>
                <w:sz w:val="20"/>
              </w:rPr>
              <w:t xml:space="preserve"> comment l'assistance pays ciblée identifiera ou surmontera les obstacles </w:t>
            </w:r>
            <w:r w:rsidR="003D06ED" w:rsidRPr="003D06ED">
              <w:rPr>
                <w:b/>
                <w:i/>
                <w:color w:val="000000" w:themeColor="text1"/>
                <w:sz w:val="20"/>
              </w:rPr>
              <w:t xml:space="preserve">liés au genre </w:t>
            </w:r>
            <w:r>
              <w:rPr>
                <w:b/>
                <w:i/>
                <w:color w:val="000000" w:themeColor="text1"/>
                <w:sz w:val="20"/>
              </w:rPr>
              <w:t>déjà connus ou d'autres obstacles pour les activités de vaccination. Veuillez indiquer comment chaque partenaire peut aider à y faire face.</w:t>
            </w:r>
          </w:p>
        </w:tc>
      </w:tr>
      <w:tr w:rsidR="00D353AF" w14:paraId="251D4101" w14:textId="77777777" w:rsidTr="00E97920">
        <w:trPr>
          <w:trHeight w:val="10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DD741A7" w14:textId="69B8479B" w:rsidR="006C7F70" w:rsidRPr="006A13F9" w:rsidRDefault="69F01780" w:rsidP="00684DEC">
            <w:pPr>
              <w:spacing w:line="300" w:lineRule="exact"/>
              <w:jc w:val="both"/>
            </w:pPr>
            <w:r>
              <w:t>Selon l’</w:t>
            </w:r>
            <w:r w:rsidR="2B2EDB74">
              <w:t xml:space="preserve">EDS </w:t>
            </w:r>
            <w:r>
              <w:t>201</w:t>
            </w:r>
            <w:r w:rsidR="2B2EDB74">
              <w:t>8, les statistiques vaccinales en Guinée ne relève pas de</w:t>
            </w:r>
            <w:r>
              <w:t xml:space="preserve"> différence significative selon le sexe. </w:t>
            </w:r>
          </w:p>
          <w:p w14:paraId="3FABA33F" w14:textId="1B0E0380" w:rsidR="006C7F70" w:rsidRPr="006A13F9" w:rsidRDefault="66F1F43E" w:rsidP="00684DEC">
            <w:pPr>
              <w:spacing w:line="300" w:lineRule="exact"/>
              <w:jc w:val="both"/>
            </w:pPr>
            <w:r>
              <w:t xml:space="preserve">Cependant, l'analyse des données sociales de l'enquête </w:t>
            </w:r>
            <w:r w:rsidR="2B2EDB74">
              <w:t>socio anthropologique conduite par Lasag en 2021 met en exergue une</w:t>
            </w:r>
            <w:r>
              <w:t xml:space="preserve"> diversité de raisons de non-vaccination des enfants dont le refus du mari/père. Les initiatives de communication et d’engagement communa</w:t>
            </w:r>
            <w:r w:rsidR="167C3497">
              <w:t>u</w:t>
            </w:r>
            <w:r>
              <w:t xml:space="preserve">taire seront développés en mettant l’accent sur des approches transformatrices des normes de genre soutenues par la capacitation des communautés et la promotion de la masculinité positive en faveur de la vaccination. </w:t>
            </w:r>
          </w:p>
          <w:p w14:paraId="626A5A76" w14:textId="6A5386B1" w:rsidR="00D353AF" w:rsidRPr="00CF3BC4" w:rsidRDefault="006C7F70" w:rsidP="00684DEC">
            <w:pPr>
              <w:spacing w:line="300" w:lineRule="exact"/>
              <w:jc w:val="both"/>
              <w:rPr>
                <w:b/>
                <w:bCs/>
                <w:i/>
                <w:iCs/>
                <w:sz w:val="20"/>
                <w:szCs w:val="20"/>
              </w:rPr>
            </w:pPr>
            <w:r w:rsidRPr="006A13F9">
              <w:t>L</w:t>
            </w:r>
            <w:r w:rsidR="00DF6110" w:rsidRPr="006A13F9">
              <w:t>’</w:t>
            </w:r>
            <w:r w:rsidRPr="006A13F9">
              <w:t xml:space="preserve">assistance technique </w:t>
            </w:r>
            <w:r w:rsidR="00DF6110" w:rsidRPr="006A13F9">
              <w:t>veillera à ce que le genre soit respecté dans les interventions de vaccination</w:t>
            </w:r>
            <w:r w:rsidRPr="006A13F9">
              <w:t xml:space="preserve"> grâce à un engagement communautaire renforcé et un partenariat fort avec les ONG locales</w:t>
            </w:r>
            <w:r w:rsidR="00DF6110" w:rsidRPr="006A13F9">
              <w:t>.</w:t>
            </w:r>
          </w:p>
        </w:tc>
      </w:tr>
      <w:tr w:rsidR="00D353AF" w14:paraId="2605CFC3" w14:textId="77777777" w:rsidTr="00E97920">
        <w:tc>
          <w:tcPr>
            <w:tcW w:w="5000" w:type="pct"/>
            <w:tcBorders>
              <w:top w:val="single" w:sz="4" w:space="0" w:color="auto"/>
              <w:bottom w:val="single" w:sz="4" w:space="0" w:color="auto"/>
            </w:tcBorders>
            <w:shd w:val="clear" w:color="auto" w:fill="F2F2F2" w:themeFill="background1" w:themeFillShade="F2"/>
          </w:tcPr>
          <w:p w14:paraId="5E3B0665" w14:textId="77777777" w:rsidR="00A1203C" w:rsidRDefault="00A1203C" w:rsidP="007B53D1">
            <w:pPr>
              <w:spacing w:line="300" w:lineRule="exact"/>
              <w:rPr>
                <w:b/>
                <w:i/>
                <w:sz w:val="20"/>
              </w:rPr>
            </w:pPr>
          </w:p>
          <w:p w14:paraId="71D225EC" w14:textId="087A2287" w:rsidR="00A1203C" w:rsidRPr="006D15FC" w:rsidRDefault="00D353AF" w:rsidP="007B53D1">
            <w:pPr>
              <w:spacing w:line="300" w:lineRule="exact"/>
              <w:rPr>
                <w:b/>
                <w:i/>
                <w:sz w:val="20"/>
              </w:rPr>
            </w:pPr>
            <w:r>
              <w:rPr>
                <w:b/>
                <w:i/>
                <w:sz w:val="20"/>
              </w:rPr>
              <w:t>2.6</w:t>
            </w:r>
            <w:r>
              <w:rPr>
                <w:b/>
                <w:i/>
                <w:sz w:val="20"/>
              </w:rPr>
              <w:tab/>
              <w:t>Veuillez décrire comment vous avez hiérarchisé les interventions à soutenir par Gavi dans le cadre de l'assistance pays ciblée requise.</w:t>
            </w:r>
          </w:p>
        </w:tc>
      </w:tr>
      <w:tr w:rsidR="00D353AF" w14:paraId="4C4783D9" w14:textId="77777777" w:rsidTr="00E97920">
        <w:tc>
          <w:tcPr>
            <w:tcW w:w="5000" w:type="pct"/>
            <w:tcBorders>
              <w:top w:val="single" w:sz="4" w:space="0" w:color="auto"/>
              <w:left w:val="single" w:sz="4" w:space="0" w:color="auto"/>
              <w:bottom w:val="single" w:sz="4" w:space="0" w:color="auto"/>
              <w:right w:val="single" w:sz="4" w:space="0" w:color="auto"/>
            </w:tcBorders>
          </w:tcPr>
          <w:p w14:paraId="74124FC4" w14:textId="136B8857" w:rsidR="006A13F9" w:rsidRPr="006A13F9" w:rsidRDefault="4A48F44F" w:rsidP="00684DEC">
            <w:pPr>
              <w:spacing w:line="300" w:lineRule="exact"/>
              <w:jc w:val="both"/>
            </w:pPr>
            <w:r>
              <w:t xml:space="preserve">Les interventions à soutenir par Gavi dans le cadre de l'assistance pays ciblée découlent d’une analyse de la situation, qui a permis d’identifier les principaux défis du programme de vaccination </w:t>
            </w:r>
            <w:r w:rsidR="034B4416">
              <w:t>en Guinée</w:t>
            </w:r>
            <w:r>
              <w:t xml:space="preserve">. Ces derniers ont fait l’objet d’une priorisation selon leur degré d’importance et leur caractère d’urgence en vue d’atteindre les enfants ZD et communautés </w:t>
            </w:r>
            <w:r w:rsidR="62E8EEC9">
              <w:t>difficiles d’accès</w:t>
            </w:r>
            <w:r>
              <w:t>, avec des vaccins de qualité et avec la pleine participation communautaire.</w:t>
            </w:r>
          </w:p>
          <w:p w14:paraId="01EB66D1" w14:textId="77777777" w:rsidR="008B4C21" w:rsidRDefault="006A13F9" w:rsidP="00684DEC">
            <w:pPr>
              <w:spacing w:line="300" w:lineRule="exact"/>
              <w:jc w:val="both"/>
            </w:pPr>
            <w:r w:rsidRPr="006A13F9">
              <w:t>Les volets d’assistance technique retenus découlent de l’identification des domaines d’appui, mais aussi des besoins exprimés par le pays.</w:t>
            </w:r>
          </w:p>
          <w:p w14:paraId="55333173" w14:textId="77777777" w:rsidR="002F6DC9" w:rsidRDefault="002F6DC9" w:rsidP="00684DEC">
            <w:pPr>
              <w:spacing w:line="300" w:lineRule="exact"/>
              <w:jc w:val="both"/>
            </w:pPr>
          </w:p>
          <w:p w14:paraId="48003D96" w14:textId="3EF6C4A8" w:rsidR="002F6DC9" w:rsidRPr="006A13F9" w:rsidRDefault="002F6DC9" w:rsidP="00684DEC">
            <w:pPr>
              <w:spacing w:line="300" w:lineRule="exact"/>
              <w:jc w:val="both"/>
            </w:pPr>
            <w:r w:rsidRPr="007C3683">
              <w:rPr>
                <w:highlight w:val="cyan"/>
              </w:rPr>
              <w:t xml:space="preserve">Les </w:t>
            </w:r>
            <w:r w:rsidR="006A4E43" w:rsidRPr="007C3683">
              <w:rPr>
                <w:highlight w:val="cyan"/>
              </w:rPr>
              <w:t xml:space="preserve">activités dans le plan d’assistance technique final ont été alignées avec le plan d’action du PEV. Les deux activités supplémentaires </w:t>
            </w:r>
            <w:r w:rsidR="001A0BB3" w:rsidRPr="007C3683">
              <w:rPr>
                <w:highlight w:val="cyan"/>
              </w:rPr>
              <w:t>ont également été priorisé</w:t>
            </w:r>
            <w:r w:rsidR="00A77F0F">
              <w:rPr>
                <w:highlight w:val="cyan"/>
              </w:rPr>
              <w:t>es</w:t>
            </w:r>
            <w:r w:rsidR="001A0BB3" w:rsidRPr="007C3683">
              <w:rPr>
                <w:highlight w:val="cyan"/>
              </w:rPr>
              <w:t xml:space="preserve"> en fonction des priorités programmatiques des prochains 6-9 mois.</w:t>
            </w:r>
            <w:r w:rsidR="006A4E43">
              <w:t xml:space="preserve"> </w:t>
            </w:r>
          </w:p>
        </w:tc>
      </w:tr>
    </w:tbl>
    <w:p w14:paraId="4DAF51E8" w14:textId="0B86255A" w:rsidR="007172E8" w:rsidRDefault="007172E8"/>
    <w:p w14:paraId="0D150B37" w14:textId="77777777" w:rsidR="003542E9" w:rsidRDefault="003542E9"/>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rPr>
      </w:pPr>
      <w:r>
        <w:rPr>
          <w:b/>
          <w:color w:val="70AD47" w:themeColor="accent6"/>
          <w:sz w:val="26"/>
        </w:rPr>
        <w:t>Diversification des partenaires (0,5 page)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80A44" w14:paraId="3D086D68" w14:textId="77777777" w:rsidTr="06A0C929">
        <w:trPr>
          <w:trHeight w:val="846"/>
        </w:trPr>
        <w:tc>
          <w:tcPr>
            <w:tcW w:w="9498" w:type="dxa"/>
            <w:shd w:val="clear" w:color="auto" w:fill="F2F2F2" w:themeFill="background1" w:themeFillShade="F2"/>
          </w:tcPr>
          <w:p w14:paraId="48DB8172" w14:textId="77777777" w:rsidR="0029673D" w:rsidRDefault="0029673D" w:rsidP="00E80A44">
            <w:pPr>
              <w:spacing w:line="300" w:lineRule="exact"/>
              <w:rPr>
                <w:b/>
                <w:i/>
                <w:color w:val="000000" w:themeColor="text1"/>
                <w:sz w:val="20"/>
              </w:rPr>
            </w:pPr>
          </w:p>
          <w:p w14:paraId="642D6855" w14:textId="4DC15C86" w:rsidR="0029673D" w:rsidRPr="006D15FC" w:rsidRDefault="5747B6D4" w:rsidP="06A0C929">
            <w:pPr>
              <w:spacing w:line="300" w:lineRule="exact"/>
              <w:rPr>
                <w:b/>
                <w:bCs/>
                <w:i/>
                <w:iCs/>
                <w:sz w:val="20"/>
                <w:szCs w:val="20"/>
              </w:rPr>
            </w:pPr>
            <w:r w:rsidRPr="06A0C929">
              <w:rPr>
                <w:b/>
                <w:bCs/>
                <w:i/>
                <w:iCs/>
                <w:color w:val="000000" w:themeColor="text1"/>
                <w:sz w:val="20"/>
                <w:szCs w:val="20"/>
              </w:rPr>
              <w:t>3.1</w:t>
            </w:r>
            <w:r w:rsidR="006D3657">
              <w:tab/>
            </w:r>
            <w:r w:rsidRPr="06A0C929">
              <w:rPr>
                <w:b/>
                <w:bCs/>
                <w:i/>
                <w:iCs/>
                <w:color w:val="000000" w:themeColor="text1"/>
                <w:sz w:val="20"/>
                <w:szCs w:val="20"/>
              </w:rPr>
              <w:t xml:space="preserve">Décrivez quels partenaires vous avez déjà </w:t>
            </w:r>
            <w:r w:rsidR="58986925" w:rsidRPr="06A0C929">
              <w:rPr>
                <w:b/>
                <w:bCs/>
                <w:i/>
                <w:iCs/>
                <w:color w:val="000000" w:themeColor="text1"/>
                <w:sz w:val="20"/>
                <w:szCs w:val="20"/>
              </w:rPr>
              <w:t>recensés</w:t>
            </w:r>
            <w:r w:rsidRPr="06A0C929">
              <w:rPr>
                <w:b/>
                <w:bCs/>
                <w:i/>
                <w:iCs/>
                <w:color w:val="000000" w:themeColor="text1"/>
                <w:sz w:val="20"/>
                <w:szCs w:val="20"/>
              </w:rPr>
              <w:t>, y compris les partenaires de l'Alliance et les partenaires élargis (dont les partenaires mondiaux, les partenaires locaux et les OSC), afin de soutenir la mise en œuvre des activités?</w:t>
            </w:r>
            <w:r w:rsidRPr="06A0C929">
              <w:rPr>
                <w:b/>
                <w:bCs/>
                <w:i/>
                <w:iCs/>
                <w:sz w:val="20"/>
                <w:szCs w:val="20"/>
              </w:rPr>
              <w:t xml:space="preserve"> (Référez-vous aux </w:t>
            </w:r>
            <w:hyperlink r:id="rId14">
              <w:r w:rsidRPr="06A0C929">
                <w:rPr>
                  <w:rStyle w:val="Hyperlink"/>
                  <w:b/>
                  <w:bCs/>
                  <w:i/>
                  <w:iCs/>
                  <w:sz w:val="20"/>
                  <w:szCs w:val="20"/>
                </w:rPr>
                <w:t>Directives sur l'assistance pays ciblée du Cadre d'engagement des partenaires pour la planification pluriannuelle 2022-2025</w:t>
              </w:r>
            </w:hyperlink>
            <w:r w:rsidRPr="06A0C929">
              <w:rPr>
                <w:b/>
                <w:bCs/>
                <w:i/>
                <w:iCs/>
                <w:sz w:val="20"/>
                <w:szCs w:val="20"/>
              </w:rPr>
              <w:t xml:space="preserve">, pour </w:t>
            </w:r>
            <w:r w:rsidR="1CC341C2" w:rsidRPr="06A0C929">
              <w:rPr>
                <w:b/>
                <w:bCs/>
                <w:i/>
                <w:iCs/>
                <w:sz w:val="20"/>
                <w:szCs w:val="20"/>
              </w:rPr>
              <w:t>connaître</w:t>
            </w:r>
            <w:r w:rsidR="3CFF85B6" w:rsidRPr="06A0C929">
              <w:rPr>
                <w:b/>
                <w:bCs/>
                <w:i/>
                <w:iCs/>
                <w:sz w:val="20"/>
                <w:szCs w:val="20"/>
              </w:rPr>
              <w:t xml:space="preserve"> </w:t>
            </w:r>
            <w:r w:rsidR="1CC341C2" w:rsidRPr="06A0C929">
              <w:rPr>
                <w:b/>
                <w:bCs/>
                <w:i/>
                <w:iCs/>
                <w:sz w:val="20"/>
                <w:szCs w:val="20"/>
              </w:rPr>
              <w:t xml:space="preserve">le </w:t>
            </w:r>
            <w:r w:rsidRPr="06A0C929">
              <w:rPr>
                <w:b/>
                <w:bCs/>
                <w:i/>
                <w:iCs/>
                <w:sz w:val="20"/>
                <w:szCs w:val="20"/>
              </w:rPr>
              <w:t>type d'institutions considérées comme des partenaires mondiaux ou locaux et des OSC)</w:t>
            </w:r>
          </w:p>
        </w:tc>
      </w:tr>
      <w:tr w:rsidR="00520598" w14:paraId="62BDF2A5" w14:textId="77777777" w:rsidTr="06A0C929">
        <w:tc>
          <w:tcPr>
            <w:tcW w:w="9498" w:type="dxa"/>
            <w:tcBorders>
              <w:top w:val="single" w:sz="4" w:space="0" w:color="auto"/>
              <w:left w:val="single" w:sz="4" w:space="0" w:color="auto"/>
              <w:bottom w:val="single" w:sz="4" w:space="0" w:color="auto"/>
              <w:right w:val="single" w:sz="4" w:space="0" w:color="auto"/>
            </w:tcBorders>
          </w:tcPr>
          <w:p w14:paraId="6A1D203E" w14:textId="7B5707AD" w:rsidR="008B4C21" w:rsidRPr="006A13F9" w:rsidRDefault="629DB6AE" w:rsidP="00684DEC">
            <w:pPr>
              <w:spacing w:line="300" w:lineRule="exact"/>
              <w:jc w:val="both"/>
            </w:pPr>
            <w:r>
              <w:t>Les partenaires recensés pour soutenir la mise en œuvre des activités sont :</w:t>
            </w:r>
          </w:p>
          <w:p w14:paraId="7A6AE733" w14:textId="13D1265A" w:rsidR="008B4C21" w:rsidRPr="006A13F9" w:rsidRDefault="008B4C21" w:rsidP="00684DEC">
            <w:pPr>
              <w:pStyle w:val="ListParagraph"/>
              <w:numPr>
                <w:ilvl w:val="0"/>
                <w:numId w:val="36"/>
              </w:numPr>
              <w:spacing w:line="300" w:lineRule="exact"/>
              <w:jc w:val="both"/>
            </w:pPr>
            <w:r w:rsidRPr="006A13F9">
              <w:t>Partenaires de l'Alliance : OMS,</w:t>
            </w:r>
            <w:r w:rsidR="006A13F9">
              <w:t xml:space="preserve"> </w:t>
            </w:r>
            <w:r w:rsidRPr="006A13F9">
              <w:t xml:space="preserve">UNICEF, </w:t>
            </w:r>
            <w:r w:rsidR="006D5A28">
              <w:t xml:space="preserve">BMGF, </w:t>
            </w:r>
            <w:r w:rsidRPr="006A13F9">
              <w:t>CDC Foundation et la Banque Mondiale</w:t>
            </w:r>
          </w:p>
          <w:p w14:paraId="30829C29" w14:textId="77777777" w:rsidR="008C526E" w:rsidRPr="007C3683" w:rsidRDefault="008B4C21">
            <w:pPr>
              <w:pStyle w:val="ListParagraph"/>
              <w:numPr>
                <w:ilvl w:val="0"/>
                <w:numId w:val="36"/>
              </w:numPr>
              <w:spacing w:line="300" w:lineRule="exact"/>
              <w:jc w:val="both"/>
              <w:rPr>
                <w:color w:val="92D050"/>
              </w:rPr>
            </w:pPr>
            <w:r w:rsidRPr="006A13F9">
              <w:t xml:space="preserve">Partenaires élargis : </w:t>
            </w:r>
            <w:r w:rsidR="006D5A28">
              <w:t xml:space="preserve">USAID, </w:t>
            </w:r>
            <w:r w:rsidRPr="006A13F9">
              <w:t>JSI, Expertise France, OAFRES, ROASSN</w:t>
            </w:r>
            <w:r w:rsidR="006D5A28">
              <w:t>, Dalberg</w:t>
            </w:r>
            <w:r w:rsidR="008C526E">
              <w:t xml:space="preserve"> et autres OSC à identifier.</w:t>
            </w:r>
          </w:p>
          <w:p w14:paraId="18AA925F" w14:textId="160E79CF" w:rsidR="00B72529" w:rsidRPr="006D15FC" w:rsidRDefault="00B72529">
            <w:pPr>
              <w:pStyle w:val="ListParagraph"/>
              <w:numPr>
                <w:ilvl w:val="0"/>
                <w:numId w:val="36"/>
              </w:numPr>
              <w:spacing w:line="300" w:lineRule="exact"/>
              <w:jc w:val="both"/>
              <w:rPr>
                <w:color w:val="92D050"/>
              </w:rPr>
            </w:pPr>
            <w:r w:rsidRPr="007C3683">
              <w:rPr>
                <w:color w:val="000000" w:themeColor="text1"/>
                <w:highlight w:val="cyan"/>
              </w:rPr>
              <w:t>Il est aussi prévu d’engager deux consultants indépendants en tant qu’agent de liaison de Gavi en Guinée et en tant que coach pour le leadership du PEV</w:t>
            </w:r>
          </w:p>
        </w:tc>
      </w:tr>
      <w:tr w:rsidR="00520598" w14:paraId="72481A8B" w14:textId="77777777" w:rsidTr="06A0C929">
        <w:trPr>
          <w:trHeight w:val="620"/>
        </w:trPr>
        <w:tc>
          <w:tcPr>
            <w:tcW w:w="9498" w:type="dxa"/>
            <w:shd w:val="clear" w:color="auto" w:fill="F2F2F2" w:themeFill="background1" w:themeFillShade="F2"/>
          </w:tcPr>
          <w:p w14:paraId="2801CF07" w14:textId="77777777" w:rsidR="0029673D" w:rsidRDefault="0029673D" w:rsidP="699BBF71">
            <w:pPr>
              <w:spacing w:line="300" w:lineRule="exact"/>
              <w:rPr>
                <w:b/>
                <w:bCs/>
                <w:i/>
                <w:iCs/>
                <w:sz w:val="20"/>
                <w:szCs w:val="20"/>
              </w:rPr>
            </w:pPr>
          </w:p>
          <w:p w14:paraId="29991F07" w14:textId="0BA619C4" w:rsidR="0029673D" w:rsidRPr="006D15FC" w:rsidRDefault="6D8ED9D2" w:rsidP="699BBF71">
            <w:pPr>
              <w:spacing w:line="300" w:lineRule="exact"/>
              <w:rPr>
                <w:b/>
                <w:bCs/>
                <w:i/>
                <w:iCs/>
                <w:sz w:val="20"/>
                <w:szCs w:val="20"/>
              </w:rPr>
            </w:pPr>
            <w:r w:rsidRPr="699BBF71">
              <w:rPr>
                <w:b/>
                <w:bCs/>
                <w:i/>
                <w:iCs/>
                <w:sz w:val="20"/>
                <w:szCs w:val="20"/>
              </w:rPr>
              <w:t>3.2</w:t>
            </w:r>
            <w:r w:rsidR="00520598">
              <w:tab/>
            </w:r>
            <w:r w:rsidRPr="699BBF71">
              <w:rPr>
                <w:b/>
                <w:bCs/>
                <w:i/>
                <w:iCs/>
                <w:sz w:val="20"/>
                <w:szCs w:val="20"/>
              </w:rPr>
              <w:t>Veuillez indiquer exactement comment vous envisagez de collaborer avec des partenaires locaux.</w:t>
            </w:r>
          </w:p>
        </w:tc>
      </w:tr>
      <w:tr w:rsidR="00E80A44" w14:paraId="5B4D7083" w14:textId="77777777" w:rsidTr="007C3683">
        <w:trPr>
          <w:trHeight w:val="3720"/>
        </w:trPr>
        <w:tc>
          <w:tcPr>
            <w:tcW w:w="9498" w:type="dxa"/>
            <w:tcBorders>
              <w:top w:val="single" w:sz="4" w:space="0" w:color="auto"/>
              <w:left w:val="single" w:sz="4" w:space="0" w:color="auto"/>
              <w:bottom w:val="single" w:sz="4" w:space="0" w:color="auto"/>
              <w:right w:val="single" w:sz="4" w:space="0" w:color="auto"/>
            </w:tcBorders>
          </w:tcPr>
          <w:p w14:paraId="2A947F2A" w14:textId="0A93A322" w:rsidR="00E80A44" w:rsidRPr="00627A62" w:rsidRDefault="008B4C21" w:rsidP="00684DEC">
            <w:pPr>
              <w:spacing w:line="300" w:lineRule="exact"/>
              <w:jc w:val="both"/>
            </w:pPr>
            <w:r w:rsidRPr="00627A62">
              <w:t xml:space="preserve">Pour une meilleure collaboration avec les partenaires locaux, un cadre de coordination </w:t>
            </w:r>
            <w:r w:rsidR="00627A62">
              <w:t xml:space="preserve">sera mis en place </w:t>
            </w:r>
            <w:r w:rsidRPr="00627A62">
              <w:t>avec des réunions périodiques assorties de rapport de réunion.</w:t>
            </w:r>
          </w:p>
          <w:p w14:paraId="0599E913" w14:textId="77777777" w:rsidR="008B4C21" w:rsidRPr="00627A62" w:rsidRDefault="008B4C21" w:rsidP="00684DEC">
            <w:pPr>
              <w:spacing w:line="300" w:lineRule="exact"/>
              <w:jc w:val="both"/>
            </w:pPr>
            <w:r w:rsidRPr="00627A62">
              <w:t>Ces réunions se tiendront une fois par trimestre au cours desquelles une évaluation de la mise en œuvre sera faite, le niveau de performance du pays à travers les indicateurs du cadre de performance</w:t>
            </w:r>
            <w:r w:rsidR="002B6AE1" w:rsidRPr="00627A62">
              <w:t xml:space="preserve"> sera évalué</w:t>
            </w:r>
            <w:r w:rsidRPr="00627A62">
              <w:t>. Des points d’actions sanctionneront ces rencontres de coordination avec les autres partenaires.</w:t>
            </w:r>
          </w:p>
          <w:p w14:paraId="1358A9B0" w14:textId="275CBE16" w:rsidR="00862FE9" w:rsidRPr="00627A62" w:rsidRDefault="00862FE9" w:rsidP="00684DEC">
            <w:pPr>
              <w:spacing w:line="300" w:lineRule="exact"/>
              <w:jc w:val="both"/>
            </w:pPr>
            <w:r w:rsidRPr="00627A62">
              <w:t xml:space="preserve">Aussi, les réunions de CCIA, de partenaires techniques et financiers, et </w:t>
            </w:r>
            <w:r w:rsidR="00627A62" w:rsidRPr="00627A62">
              <w:t>PEV</w:t>
            </w:r>
            <w:r w:rsidRPr="00627A62">
              <w:t>-Partenaires serviront également de cadre d’échange.</w:t>
            </w:r>
          </w:p>
          <w:p w14:paraId="59CE1809" w14:textId="77777777" w:rsidR="00627A62" w:rsidRDefault="256BCFC1" w:rsidP="00684DEC">
            <w:pPr>
              <w:spacing w:line="300" w:lineRule="exact"/>
              <w:jc w:val="both"/>
            </w:pPr>
            <w:r>
              <w:t>Les partenaires locaux seront mis à contribution pour faciliter la mise en œuvre et le suivi des interventions dans les zones d’accès difficile selon leur domaine d’expertise et leur avantage comparatif.</w:t>
            </w:r>
          </w:p>
          <w:p w14:paraId="6420D9B9" w14:textId="5F9B82EF" w:rsidR="00E13066" w:rsidRPr="006615A7" w:rsidRDefault="00E13066" w:rsidP="00684DEC">
            <w:pPr>
              <w:spacing w:line="300" w:lineRule="exact"/>
              <w:jc w:val="both"/>
              <w:rPr>
                <w:color w:val="92D050"/>
              </w:rPr>
            </w:pPr>
            <w:r w:rsidRPr="007C3683">
              <w:rPr>
                <w:color w:val="000000" w:themeColor="text1"/>
                <w:highlight w:val="cyan"/>
              </w:rPr>
              <w:t xml:space="preserve">Les deux positions supplémentaires pour 2023 seront </w:t>
            </w:r>
            <w:r w:rsidR="008873FB" w:rsidRPr="008873FB">
              <w:rPr>
                <w:color w:val="000000" w:themeColor="text1"/>
                <w:highlight w:val="cyan"/>
              </w:rPr>
              <w:t>couvertes</w:t>
            </w:r>
            <w:r w:rsidR="00E5357D" w:rsidRPr="007C3683">
              <w:rPr>
                <w:color w:val="000000" w:themeColor="text1"/>
                <w:highlight w:val="cyan"/>
              </w:rPr>
              <w:t xml:space="preserve"> par des consultants individuels qui seront des experts locaux ou régionaux.</w:t>
            </w:r>
          </w:p>
        </w:tc>
      </w:tr>
      <w:tr w:rsidR="38F5364C" w14:paraId="5D1DCA18" w14:textId="77777777" w:rsidTr="06A0C929">
        <w:tc>
          <w:tcPr>
            <w:tcW w:w="9498" w:type="dxa"/>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1D354F05" w14:textId="77777777" w:rsidR="008C526E" w:rsidRDefault="008C526E" w:rsidP="704B32F1">
            <w:pPr>
              <w:spacing w:line="300" w:lineRule="exact"/>
              <w:rPr>
                <w:b/>
                <w:i/>
                <w:color w:val="000000" w:themeColor="text1"/>
                <w:sz w:val="20"/>
              </w:rPr>
            </w:pPr>
          </w:p>
          <w:p w14:paraId="59D43D0B" w14:textId="07D56812" w:rsidR="008C526E" w:rsidRPr="006D15FC" w:rsidRDefault="527F5907" w:rsidP="06A0C929">
            <w:pPr>
              <w:spacing w:line="300" w:lineRule="exact"/>
              <w:rPr>
                <w:i/>
                <w:iCs/>
                <w:sz w:val="20"/>
                <w:szCs w:val="20"/>
              </w:rPr>
            </w:pPr>
            <w:r w:rsidRPr="06A0C929">
              <w:rPr>
                <w:b/>
                <w:bCs/>
                <w:i/>
                <w:iCs/>
                <w:color w:val="000000" w:themeColor="text1"/>
                <w:sz w:val="20"/>
                <w:szCs w:val="20"/>
              </w:rPr>
              <w:t>3.3</w:t>
            </w:r>
            <w:r w:rsidR="3D5C2947">
              <w:tab/>
            </w:r>
            <w:r w:rsidRPr="06A0C929">
              <w:rPr>
                <w:b/>
                <w:bCs/>
                <w:i/>
                <w:iCs/>
                <w:color w:val="000000" w:themeColor="text1"/>
                <w:sz w:val="20"/>
                <w:szCs w:val="20"/>
              </w:rPr>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sidRPr="06A0C929">
              <w:rPr>
                <w:i/>
                <w:iCs/>
                <w:sz w:val="20"/>
                <w:szCs w:val="20"/>
              </w:rPr>
              <w:t xml:space="preserve">Prière de vous reporter à la Section 2.3 (3. </w:t>
            </w:r>
            <w:r w:rsidR="58986925" w:rsidRPr="06A0C929">
              <w:rPr>
                <w:i/>
                <w:iCs/>
                <w:sz w:val="20"/>
                <w:szCs w:val="20"/>
              </w:rPr>
              <w:t xml:space="preserve">Recensement </w:t>
            </w:r>
            <w:r w:rsidRPr="06A0C929">
              <w:rPr>
                <w:i/>
                <w:iCs/>
                <w:sz w:val="20"/>
                <w:szCs w:val="20"/>
              </w:rPr>
              <w:t>des partenaires) des Directives de planification de l'assistance pays ciblée du Cadre d'engagement des partenaires pour de plus amples informations.</w:t>
            </w:r>
          </w:p>
        </w:tc>
      </w:tr>
      <w:tr w:rsidR="38F5364C" w14:paraId="094E7639" w14:textId="77777777" w:rsidTr="06A0C929">
        <w:tc>
          <w:tcPr>
            <w:tcW w:w="9498" w:type="dxa"/>
            <w:tcBorders>
              <w:top w:val="single" w:sz="4" w:space="0" w:color="auto"/>
              <w:left w:val="single" w:sz="4" w:space="0" w:color="auto"/>
              <w:bottom w:val="single" w:sz="4" w:space="0" w:color="auto"/>
              <w:right w:val="single" w:sz="4" w:space="0" w:color="auto"/>
            </w:tcBorders>
          </w:tcPr>
          <w:p w14:paraId="7F3CECE7" w14:textId="162A6F27" w:rsidR="005671B2" w:rsidRPr="005671B2" w:rsidRDefault="002B6AE1" w:rsidP="00684DEC">
            <w:pPr>
              <w:spacing w:line="300" w:lineRule="exact"/>
              <w:jc w:val="both"/>
            </w:pPr>
            <w:r w:rsidRPr="005671B2">
              <w:t xml:space="preserve">Un recensement de tous les partenaires locaux répondant aux critères sera </w:t>
            </w:r>
            <w:r w:rsidR="005671B2" w:rsidRPr="005671B2">
              <w:t>réalisé et ces derniers seront</w:t>
            </w:r>
            <w:r w:rsidR="00862FE9" w:rsidRPr="005671B2">
              <w:t xml:space="preserve"> répertorié</w:t>
            </w:r>
            <w:r w:rsidR="005671B2" w:rsidRPr="005671B2">
              <w:t>s</w:t>
            </w:r>
            <w:r w:rsidR="00862FE9" w:rsidRPr="005671B2">
              <w:t xml:space="preserve"> se</w:t>
            </w:r>
            <w:r w:rsidR="005671B2" w:rsidRPr="005671B2">
              <w:t>lon leurs zones d’intervention.</w:t>
            </w:r>
          </w:p>
          <w:p w14:paraId="13B52322" w14:textId="07307817" w:rsidR="38F5364C" w:rsidRDefault="2C686519" w:rsidP="00684DEC">
            <w:pPr>
              <w:spacing w:line="300" w:lineRule="exact"/>
              <w:jc w:val="both"/>
            </w:pPr>
            <w:r>
              <w:t>L</w:t>
            </w:r>
            <w:r w:rsidR="63BC88A2">
              <w:t>a partie nationale veillera à</w:t>
            </w:r>
            <w:r>
              <w:t xml:space="preserve"> </w:t>
            </w:r>
            <w:r w:rsidR="0725C495">
              <w:t xml:space="preserve">la sélection des partenaires locaux capables d’accompagner le programme selon leur avantage comparatif, et au respect de l’allocation des </w:t>
            </w:r>
            <w:r>
              <w:t xml:space="preserve">30% </w:t>
            </w:r>
            <w:r w:rsidR="0725C495">
              <w:t>de la subvention</w:t>
            </w:r>
            <w:r w:rsidR="63BC88A2">
              <w:t xml:space="preserve">, conformément aux procédures du Ministère de la </w:t>
            </w:r>
            <w:r w:rsidR="009F66BD">
              <w:t>S</w:t>
            </w:r>
            <w:r w:rsidR="63BC88A2">
              <w:t>anté et de l’hygiène publique</w:t>
            </w:r>
            <w:r w:rsidR="0725C495">
              <w:t>.</w:t>
            </w:r>
            <w:r w:rsidR="63BC88A2">
              <w:t xml:space="preserve"> Des accords de partenariat seront formalisés entre le MSHP et les partenaires locaux y compris les acteurs de la soci</w:t>
            </w:r>
            <w:r w:rsidR="79BE88A9">
              <w:t>été civile</w:t>
            </w:r>
            <w:r w:rsidR="2842DF2B">
              <w:t>.</w:t>
            </w:r>
          </w:p>
          <w:p w14:paraId="64958F87" w14:textId="056774C7" w:rsidR="008873FB" w:rsidRPr="006615A7" w:rsidRDefault="008873FB" w:rsidP="00684DEC">
            <w:pPr>
              <w:spacing w:line="300" w:lineRule="exact"/>
              <w:jc w:val="both"/>
            </w:pPr>
            <w:r w:rsidRPr="00764FCD">
              <w:rPr>
                <w:color w:val="000000" w:themeColor="text1"/>
                <w:highlight w:val="cyan"/>
              </w:rPr>
              <w:t xml:space="preserve">Les deux positions supplémentaires pour 2023 seront </w:t>
            </w:r>
            <w:r w:rsidRPr="008873FB">
              <w:rPr>
                <w:color w:val="000000" w:themeColor="text1"/>
                <w:highlight w:val="cyan"/>
              </w:rPr>
              <w:t>couvertes</w:t>
            </w:r>
            <w:r w:rsidRPr="00764FCD">
              <w:rPr>
                <w:color w:val="000000" w:themeColor="text1"/>
                <w:highlight w:val="cyan"/>
              </w:rPr>
              <w:t xml:space="preserve"> par des consultants individuels qui seront des experts locaux ou régionaux.</w:t>
            </w:r>
          </w:p>
        </w:tc>
      </w:tr>
      <w:tr w:rsidR="009F19F8" w14:paraId="3821C077" w14:textId="77777777" w:rsidTr="06A0C929">
        <w:tc>
          <w:tcPr>
            <w:tcW w:w="9498" w:type="dxa"/>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C11C16" w14:textId="77777777" w:rsidR="008C526E" w:rsidRDefault="008C526E" w:rsidP="00752CEA">
            <w:pPr>
              <w:spacing w:line="300" w:lineRule="exact"/>
              <w:rPr>
                <w:b/>
                <w:i/>
                <w:color w:val="000000" w:themeColor="text1"/>
                <w:sz w:val="20"/>
              </w:rPr>
            </w:pPr>
          </w:p>
          <w:p w14:paraId="7F609ADB" w14:textId="05AB88D3" w:rsidR="008C526E" w:rsidRPr="006D15FC" w:rsidRDefault="3EB36FAE" w:rsidP="06A0C929">
            <w:pPr>
              <w:spacing w:line="300" w:lineRule="exact"/>
              <w:rPr>
                <w:i/>
                <w:iCs/>
                <w:sz w:val="20"/>
                <w:szCs w:val="20"/>
              </w:rPr>
            </w:pPr>
            <w:r w:rsidRPr="06A0C929">
              <w:rPr>
                <w:b/>
                <w:bCs/>
                <w:i/>
                <w:iCs/>
                <w:color w:val="000000" w:themeColor="text1"/>
                <w:sz w:val="20"/>
                <w:szCs w:val="20"/>
              </w:rPr>
              <w:t>3.4</w:t>
            </w:r>
            <w:r w:rsidR="009F19F8">
              <w:tab/>
            </w:r>
            <w:r w:rsidRPr="06A0C929">
              <w:rPr>
                <w:b/>
                <w:bCs/>
                <w:i/>
                <w:iCs/>
                <w:color w:val="000000" w:themeColor="text1"/>
                <w:sz w:val="20"/>
                <w:szCs w:val="20"/>
              </w:rPr>
              <w:t xml:space="preserve">Veuillez noter l'allocation d'assistance pays ciblée aux OSC uniquement (qu'il s'agisse de partenaires </w:t>
            </w:r>
            <w:r w:rsidR="179F5CE9" w:rsidRPr="06A0C929">
              <w:rPr>
                <w:b/>
                <w:bCs/>
                <w:i/>
                <w:iCs/>
                <w:color w:val="000000" w:themeColor="text1"/>
                <w:sz w:val="20"/>
                <w:szCs w:val="20"/>
              </w:rPr>
              <w:t xml:space="preserve">mondiaux </w:t>
            </w:r>
            <w:r w:rsidRPr="06A0C929">
              <w:rPr>
                <w:b/>
                <w:bCs/>
                <w:i/>
                <w:iCs/>
                <w:color w:val="000000" w:themeColor="text1"/>
                <w:sz w:val="20"/>
                <w:szCs w:val="20"/>
              </w:rPr>
              <w:t xml:space="preserve">ou de partenaires </w:t>
            </w:r>
            <w:r w:rsidR="5B9F16F6" w:rsidRPr="06A0C929">
              <w:rPr>
                <w:b/>
                <w:bCs/>
                <w:i/>
                <w:iCs/>
                <w:color w:val="000000" w:themeColor="text1"/>
                <w:sz w:val="20"/>
                <w:szCs w:val="20"/>
              </w:rPr>
              <w:t xml:space="preserve">locaux </w:t>
            </w:r>
            <w:r w:rsidRPr="06A0C929">
              <w:rPr>
                <w:b/>
                <w:bCs/>
                <w:i/>
                <w:iCs/>
                <w:color w:val="000000" w:themeColor="text1"/>
                <w:sz w:val="20"/>
                <w:szCs w:val="20"/>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sidRPr="06A0C929">
              <w:rPr>
                <w:i/>
                <w:iCs/>
                <w:sz w:val="20"/>
                <w:szCs w:val="20"/>
              </w:rPr>
              <w:t xml:space="preserve">Prière de vous reporter à la Section 2.3 (3. </w:t>
            </w:r>
            <w:r w:rsidR="58986925" w:rsidRPr="06A0C929">
              <w:rPr>
                <w:i/>
                <w:iCs/>
                <w:sz w:val="20"/>
                <w:szCs w:val="20"/>
              </w:rPr>
              <w:t xml:space="preserve">Recensement </w:t>
            </w:r>
            <w:r w:rsidRPr="06A0C929">
              <w:rPr>
                <w:i/>
                <w:iCs/>
                <w:sz w:val="20"/>
                <w:szCs w:val="20"/>
              </w:rPr>
              <w:t>des partenaires) des Directives de planification de l'assistance pays ciblée du Cadre d'engagement des partenaires pour de plus amples informations.</w:t>
            </w:r>
          </w:p>
        </w:tc>
      </w:tr>
      <w:tr w:rsidR="009F19F8" w14:paraId="3F43E4A9" w14:textId="77777777" w:rsidTr="06A0C929">
        <w:tc>
          <w:tcPr>
            <w:tcW w:w="9498" w:type="dxa"/>
            <w:tcBorders>
              <w:top w:val="single" w:sz="4" w:space="0" w:color="auto"/>
              <w:left w:val="single" w:sz="4" w:space="0" w:color="auto"/>
              <w:bottom w:val="single" w:sz="4" w:space="0" w:color="auto"/>
              <w:right w:val="single" w:sz="4" w:space="0" w:color="auto"/>
            </w:tcBorders>
          </w:tcPr>
          <w:p w14:paraId="457D6F4D" w14:textId="77777777" w:rsidR="005671B2" w:rsidRPr="005671B2" w:rsidRDefault="005671B2" w:rsidP="00684DEC">
            <w:pPr>
              <w:spacing w:line="300" w:lineRule="exact"/>
              <w:jc w:val="both"/>
            </w:pPr>
            <w:r w:rsidRPr="005671B2">
              <w:t xml:space="preserve">Pour respecter l'exigence d'allouer 10% des plafonds d'assistance pays ciblée, de financement accélérateur de l'équité et de RSS à la mise en œuvre, l’approche qui sera utilisée est de s’appuyer sur le réseau des ONG et Associations pour identifier les partenaires locaux de mise en œuvre selon leur avantage comparatif et leur milieu d’implantation. </w:t>
            </w:r>
          </w:p>
          <w:p w14:paraId="01E16748" w14:textId="23468E48" w:rsidR="009F19F8" w:rsidRPr="006615A7" w:rsidRDefault="0725C495" w:rsidP="00684DEC">
            <w:pPr>
              <w:spacing w:line="300" w:lineRule="exact"/>
              <w:jc w:val="both"/>
            </w:pPr>
            <w:r>
              <w:t>Le recrutement de</w:t>
            </w:r>
            <w:r w:rsidR="03F3152E">
              <w:t>s OSC sera fait en prenant en compte leur expertise</w:t>
            </w:r>
            <w:r>
              <w:t xml:space="preserve"> </w:t>
            </w:r>
            <w:r w:rsidR="49201E74">
              <w:t xml:space="preserve">et expérience </w:t>
            </w:r>
            <w:r>
              <w:t>Des activités à haut impact seront mises en œuvre avec la participation active des communautés pour soutenir la complémentarité des financements RSS et du financement accélérateur de l'équité.</w:t>
            </w:r>
          </w:p>
        </w:tc>
      </w:tr>
    </w:tbl>
    <w:p w14:paraId="0FF1AB89" w14:textId="696527F3" w:rsidR="001B5003" w:rsidRDefault="001B5003" w:rsidP="00372D1F">
      <w:pPr>
        <w:pStyle w:val="ListParagraph"/>
        <w:spacing w:line="300" w:lineRule="exact"/>
        <w:ind w:left="0"/>
        <w:jc w:val="right"/>
        <w:rPr>
          <w:b/>
          <w:color w:val="70AD47" w:themeColor="accent6"/>
          <w:sz w:val="26"/>
          <w:szCs w:val="26"/>
        </w:rPr>
      </w:pPr>
    </w:p>
    <w:p w14:paraId="79848434" w14:textId="2932C226" w:rsidR="009F0292" w:rsidRPr="006D15FC" w:rsidRDefault="009F0292" w:rsidP="00CE1F57">
      <w:pPr>
        <w:pStyle w:val="ListParagraph"/>
        <w:numPr>
          <w:ilvl w:val="0"/>
          <w:numId w:val="4"/>
        </w:numPr>
        <w:spacing w:line="300" w:lineRule="exact"/>
        <w:rPr>
          <w:b/>
          <w:color w:val="84C650"/>
          <w:sz w:val="26"/>
          <w:szCs w:val="26"/>
        </w:rPr>
      </w:pPr>
      <w:r>
        <w:rPr>
          <w:b/>
          <w:color w:val="70AD47" w:themeColor="accent6"/>
          <w:sz w:val="26"/>
        </w:rPr>
        <w:t xml:space="preserve">Enseignements tirés </w:t>
      </w:r>
      <w:r w:rsidR="00880860" w:rsidRPr="00880860">
        <w:rPr>
          <w:b/>
          <w:color w:val="70AD47" w:themeColor="accent6"/>
          <w:sz w:val="26"/>
        </w:rPr>
        <w:t xml:space="preserve">de l'expérience passée en matière d'assistance technique </w:t>
      </w:r>
      <w:r>
        <w:rPr>
          <w:b/>
          <w:color w:val="70AD47" w:themeColor="accent6"/>
          <w:sz w:val="26"/>
        </w:rPr>
        <w:t>(0,5 page)</w:t>
      </w:r>
    </w:p>
    <w:p w14:paraId="7E372E45" w14:textId="77777777" w:rsidR="0016420C" w:rsidRPr="0033192A" w:rsidRDefault="0016420C" w:rsidP="006D15FC">
      <w:pPr>
        <w:pStyle w:val="ListParagraph"/>
        <w:spacing w:line="300" w:lineRule="exact"/>
        <w:ind w:left="502"/>
        <w:rPr>
          <w:b/>
          <w:color w:val="84C65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F0292" w14:paraId="3F8B0CB5" w14:textId="77777777" w:rsidTr="06A0C929">
        <w:tc>
          <w:tcPr>
            <w:tcW w:w="9498"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rPr>
            </w:pPr>
            <w:r>
              <w:rPr>
                <w:b/>
                <w:i/>
                <w:color w:val="000000" w:themeColor="text1"/>
                <w:sz w:val="20"/>
              </w:rPr>
              <w:t>4.1</w:t>
            </w:r>
            <w:r>
              <w:rPr>
                <w:b/>
                <w:i/>
                <w:color w:val="000000" w:themeColor="text1"/>
                <w:sz w:val="20"/>
              </w:rPr>
              <w:tab/>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r>
              <w:rPr>
                <w:b/>
                <w:i/>
                <w:sz w:val="20"/>
              </w:rPr>
              <w:t xml:space="preserve"> </w:t>
            </w:r>
          </w:p>
        </w:tc>
      </w:tr>
      <w:tr w:rsidR="009F0292" w14:paraId="690BE9DA" w14:textId="77777777" w:rsidTr="06A0C929">
        <w:tc>
          <w:tcPr>
            <w:tcW w:w="9498" w:type="dxa"/>
            <w:tcBorders>
              <w:top w:val="single" w:sz="4" w:space="0" w:color="auto"/>
              <w:left w:val="single" w:sz="4" w:space="0" w:color="auto"/>
              <w:bottom w:val="single" w:sz="4" w:space="0" w:color="auto"/>
              <w:right w:val="single" w:sz="4" w:space="0" w:color="auto"/>
            </w:tcBorders>
          </w:tcPr>
          <w:p w14:paraId="77B37E13" w14:textId="77777777" w:rsidR="005671B2" w:rsidRPr="00C91DE8" w:rsidRDefault="005671B2" w:rsidP="00684DEC">
            <w:pPr>
              <w:spacing w:line="300" w:lineRule="exact"/>
              <w:jc w:val="both"/>
            </w:pPr>
            <w:r w:rsidRPr="00C91DE8">
              <w:t>Tenant compte de la performance passée, les enseignements tirés et les meilleures pratiques des activités d'assistance pays de notre précédent plan, le nouveau plan se focalisera sur les piliers suivants :</w:t>
            </w:r>
          </w:p>
          <w:p w14:paraId="3BF8A6AD" w14:textId="01B10FB3" w:rsidR="005671B2" w:rsidRPr="007C3683" w:rsidRDefault="00C91DE8" w:rsidP="00684DEC">
            <w:pPr>
              <w:pStyle w:val="ListParagraph"/>
              <w:numPr>
                <w:ilvl w:val="0"/>
                <w:numId w:val="37"/>
              </w:numPr>
              <w:spacing w:line="300" w:lineRule="exact"/>
              <w:jc w:val="both"/>
              <w:rPr>
                <w:highlight w:val="cyan"/>
              </w:rPr>
            </w:pPr>
            <w:r>
              <w:t>Planification du TCA</w:t>
            </w:r>
            <w:r w:rsidRPr="00C91DE8">
              <w:t xml:space="preserve"> plus adaptée et harmonieuse</w:t>
            </w:r>
            <w:r w:rsidR="000F1BD7">
              <w:t xml:space="preserve">, en phase avec la stratégie nationale d’immunisation (NIS) </w:t>
            </w:r>
            <w:r w:rsidR="000C5740" w:rsidRPr="007C3683">
              <w:rPr>
                <w:highlight w:val="cyan"/>
              </w:rPr>
              <w:t xml:space="preserve">et les priorités </w:t>
            </w:r>
            <w:r w:rsidR="00976E82" w:rsidRPr="007C3683">
              <w:rPr>
                <w:highlight w:val="cyan"/>
              </w:rPr>
              <w:t xml:space="preserve">nationales </w:t>
            </w:r>
            <w:r w:rsidR="009E532D">
              <w:rPr>
                <w:highlight w:val="cyan"/>
              </w:rPr>
              <w:t xml:space="preserve">convenues </w:t>
            </w:r>
            <w:r w:rsidR="00456623" w:rsidRPr="007C3683">
              <w:rPr>
                <w:highlight w:val="cyan"/>
              </w:rPr>
              <w:t xml:space="preserve">entre </w:t>
            </w:r>
            <w:r w:rsidR="008122EA" w:rsidRPr="007C3683">
              <w:rPr>
                <w:highlight w:val="cyan"/>
              </w:rPr>
              <w:t xml:space="preserve">le gouvernement et les </w:t>
            </w:r>
            <w:r w:rsidR="009F66BD" w:rsidRPr="009F66BD">
              <w:rPr>
                <w:highlight w:val="cyan"/>
              </w:rPr>
              <w:t>partenaires ;</w:t>
            </w:r>
          </w:p>
          <w:p w14:paraId="4D1F01CE" w14:textId="77777777" w:rsidR="005671B2" w:rsidRPr="00C91DE8" w:rsidRDefault="005671B2" w:rsidP="00684DEC">
            <w:pPr>
              <w:pStyle w:val="ListParagraph"/>
              <w:numPr>
                <w:ilvl w:val="0"/>
                <w:numId w:val="37"/>
              </w:numPr>
              <w:spacing w:line="300" w:lineRule="exact"/>
              <w:jc w:val="both"/>
            </w:pPr>
            <w:r w:rsidRPr="00C91DE8">
              <w:t>Renforcement de la coordination, du suivi et de la mise en œuvre des interventions ;</w:t>
            </w:r>
          </w:p>
          <w:p w14:paraId="7327765D" w14:textId="3D4E6C26" w:rsidR="00C91DE8" w:rsidRPr="00C91DE8" w:rsidRDefault="5C2C0340" w:rsidP="00684DEC">
            <w:pPr>
              <w:pStyle w:val="ListParagraph"/>
              <w:numPr>
                <w:ilvl w:val="0"/>
                <w:numId w:val="37"/>
              </w:numPr>
              <w:spacing w:line="300" w:lineRule="exact"/>
              <w:jc w:val="both"/>
            </w:pPr>
            <w:r>
              <w:t xml:space="preserve">L’appui à l’identification des enfants ZD par district, par centre et poste de santé </w:t>
            </w:r>
            <w:r w:rsidR="483F76A1">
              <w:t>par approche de dénombrement</w:t>
            </w:r>
            <w:r w:rsidR="4018390C">
              <w:t xml:space="preserve"> utilisant le GIS </w:t>
            </w:r>
            <w:r w:rsidR="483F76A1">
              <w:t>dans le cadre de la stratégie</w:t>
            </w:r>
            <w:r w:rsidR="53B402DB">
              <w:t xml:space="preserve"> urbaine </w:t>
            </w:r>
            <w:r w:rsidR="6581495B">
              <w:t>;</w:t>
            </w:r>
          </w:p>
          <w:p w14:paraId="39951633" w14:textId="6472AE49" w:rsidR="005671B2" w:rsidRPr="00C91DE8" w:rsidRDefault="00C91DE8" w:rsidP="00684DEC">
            <w:pPr>
              <w:pStyle w:val="ListParagraph"/>
              <w:numPr>
                <w:ilvl w:val="0"/>
                <w:numId w:val="37"/>
              </w:numPr>
              <w:spacing w:line="300" w:lineRule="exact"/>
              <w:jc w:val="both"/>
            </w:pPr>
            <w:r w:rsidRPr="00C91DE8">
              <w:t xml:space="preserve">Amélioration du processus de planification </w:t>
            </w:r>
            <w:r w:rsidR="005671B2" w:rsidRPr="00C91DE8">
              <w:t>pour faciliter</w:t>
            </w:r>
            <w:r w:rsidRPr="00C91DE8">
              <w:t xml:space="preserve"> la mise en œuvre des activités (validation à temps des PAA, élaboration des microplans) ;</w:t>
            </w:r>
          </w:p>
          <w:p w14:paraId="1E951B56" w14:textId="7DBEA9BE" w:rsidR="00C91DE8" w:rsidRPr="00C91DE8" w:rsidRDefault="00C91DE8" w:rsidP="00684DEC">
            <w:pPr>
              <w:pStyle w:val="ListParagraph"/>
              <w:numPr>
                <w:ilvl w:val="0"/>
                <w:numId w:val="37"/>
              </w:numPr>
              <w:spacing w:line="300" w:lineRule="exact"/>
              <w:jc w:val="both"/>
            </w:pPr>
            <w:r w:rsidRPr="00C91DE8">
              <w:t>Amélioration de la gestion des vaccins ;</w:t>
            </w:r>
          </w:p>
          <w:p w14:paraId="27817E9E" w14:textId="08B56648" w:rsidR="005671B2" w:rsidRPr="00C91DE8" w:rsidRDefault="0725C495" w:rsidP="00684DEC">
            <w:pPr>
              <w:pStyle w:val="ListParagraph"/>
              <w:numPr>
                <w:ilvl w:val="0"/>
                <w:numId w:val="37"/>
              </w:numPr>
              <w:spacing w:line="300" w:lineRule="exact"/>
              <w:jc w:val="both"/>
            </w:pPr>
            <w:r>
              <w:t>Introduction de tout nouveau vaccin</w:t>
            </w:r>
            <w:r w:rsidR="22B29870">
              <w:t xml:space="preserve">, prenant en compte les leçons apprises </w:t>
            </w:r>
            <w:r w:rsidR="059AE2A9">
              <w:t>des au cours des introductions antérieures (VPI, MenA, vaccins anti-covid)</w:t>
            </w:r>
            <w:r>
              <w:t> ;</w:t>
            </w:r>
          </w:p>
          <w:p w14:paraId="2DE32FF1" w14:textId="4721ACBF" w:rsidR="005671B2" w:rsidRPr="00C91DE8" w:rsidRDefault="005671B2" w:rsidP="00684DEC">
            <w:pPr>
              <w:pStyle w:val="ListParagraph"/>
              <w:numPr>
                <w:ilvl w:val="0"/>
                <w:numId w:val="37"/>
              </w:numPr>
              <w:spacing w:line="300" w:lineRule="exact"/>
              <w:jc w:val="both"/>
            </w:pPr>
            <w:r w:rsidRPr="00C91DE8">
              <w:t xml:space="preserve">Mobilisation des ressources </w:t>
            </w:r>
            <w:r w:rsidR="00C91DE8" w:rsidRPr="00C91DE8">
              <w:t>internes pour l’achat des vaccins ;</w:t>
            </w:r>
          </w:p>
          <w:p w14:paraId="6E0ABCB3" w14:textId="28D27111" w:rsidR="008C526E" w:rsidRPr="006D15FC" w:rsidRDefault="005671B2" w:rsidP="006D15FC">
            <w:pPr>
              <w:pStyle w:val="ListParagraph"/>
              <w:numPr>
                <w:ilvl w:val="0"/>
                <w:numId w:val="37"/>
              </w:numPr>
              <w:spacing w:line="300" w:lineRule="exact"/>
              <w:jc w:val="both"/>
              <w:rPr>
                <w:color w:val="92D050"/>
              </w:rPr>
            </w:pPr>
            <w:r w:rsidRPr="00C91DE8">
              <w:t>Durabilité du programme de vaccination</w:t>
            </w:r>
            <w:r w:rsidR="00684DEC">
              <w:t>.</w:t>
            </w:r>
          </w:p>
          <w:p w14:paraId="54735EE2" w14:textId="79B70524" w:rsidR="009F0292" w:rsidRPr="008C526E" w:rsidRDefault="008C526E" w:rsidP="006D15FC">
            <w:pPr>
              <w:pStyle w:val="ListParagraph"/>
              <w:numPr>
                <w:ilvl w:val="0"/>
                <w:numId w:val="37"/>
              </w:numPr>
              <w:spacing w:line="300" w:lineRule="exact"/>
              <w:jc w:val="both"/>
              <w:rPr>
                <w:color w:val="92D050"/>
              </w:rPr>
            </w:pPr>
            <w:r>
              <w:t>E</w:t>
            </w:r>
            <w:r w:rsidR="005671B2" w:rsidRPr="00C91DE8">
              <w:t>largissement du partenariat à travers la sous-traitance avec les partenaires locaux pour la mise en œuvre et le suivi des interventions</w:t>
            </w:r>
            <w:r w:rsidR="00684DEC">
              <w:t>.</w:t>
            </w:r>
          </w:p>
        </w:tc>
      </w:tr>
    </w:tbl>
    <w:p w14:paraId="4B96F6BD" w14:textId="77777777" w:rsidR="009F0292" w:rsidRPr="006615A7" w:rsidRDefault="009F0292" w:rsidP="00372D1F">
      <w:pPr>
        <w:pStyle w:val="ListParagraph"/>
        <w:spacing w:line="300" w:lineRule="exact"/>
        <w:ind w:left="0"/>
        <w:jc w:val="right"/>
        <w:rPr>
          <w:b/>
          <w:color w:val="70AD47" w:themeColor="accent6"/>
          <w:sz w:val="26"/>
          <w:szCs w:val="26"/>
        </w:rPr>
      </w:pPr>
    </w:p>
    <w:p w14:paraId="11BFC6A9" w14:textId="753345FA" w:rsidR="00610D71" w:rsidRPr="006D15FC" w:rsidRDefault="003F0221" w:rsidP="00CE1F57">
      <w:pPr>
        <w:pStyle w:val="ListParagraph"/>
        <w:numPr>
          <w:ilvl w:val="0"/>
          <w:numId w:val="4"/>
        </w:numPr>
        <w:spacing w:line="300" w:lineRule="exact"/>
        <w:rPr>
          <w:b/>
          <w:bCs/>
          <w:color w:val="84C650"/>
          <w:sz w:val="26"/>
          <w:szCs w:val="26"/>
        </w:rPr>
      </w:pPr>
      <w:r>
        <w:rPr>
          <w:b/>
          <w:color w:val="70AD47" w:themeColor="accent6"/>
          <w:sz w:val="26"/>
        </w:rPr>
        <w:t>Harmonisation du plan One TCA avec les investissements de Gavi planifiés pour le futur (0,5 page)</w:t>
      </w:r>
    </w:p>
    <w:p w14:paraId="25F70481" w14:textId="77777777" w:rsidR="0016420C" w:rsidRPr="00A957C9" w:rsidRDefault="0016420C" w:rsidP="006D15FC">
      <w:pPr>
        <w:pStyle w:val="ListParagraph"/>
        <w:spacing w:line="300" w:lineRule="exact"/>
        <w:ind w:left="502"/>
        <w:rPr>
          <w:b/>
          <w:bCs/>
          <w:color w:val="84C65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957C9" w14:paraId="3F6BA8B3" w14:textId="77777777" w:rsidTr="06A0C929">
        <w:tc>
          <w:tcPr>
            <w:tcW w:w="9498" w:type="dxa"/>
            <w:tcBorders>
              <w:bottom w:val="single" w:sz="4" w:space="0" w:color="auto"/>
            </w:tcBorders>
            <w:shd w:val="clear" w:color="auto" w:fill="F2F2F2" w:themeFill="background1" w:themeFillShade="F2"/>
          </w:tcPr>
          <w:p w14:paraId="518A3DA4" w14:textId="374D3D3B" w:rsidR="00A957C9" w:rsidRPr="00CF3BC4" w:rsidRDefault="007476F9" w:rsidP="00FC4A11">
            <w:pPr>
              <w:pStyle w:val="ListParagraph"/>
              <w:spacing w:line="300" w:lineRule="exact"/>
              <w:ind w:left="0"/>
              <w:rPr>
                <w:b/>
                <w:bCs/>
                <w:i/>
                <w:iCs/>
                <w:color w:val="84C650"/>
                <w:sz w:val="26"/>
                <w:szCs w:val="26"/>
              </w:rPr>
            </w:pPr>
            <w:r>
              <w:rPr>
                <w:b/>
                <w:i/>
                <w:sz w:val="20"/>
              </w:rPr>
              <w:t>5.1</w:t>
            </w:r>
            <w:r>
              <w:rPr>
                <w:b/>
                <w:i/>
                <w:sz w:val="20"/>
              </w:rPr>
              <w:tab/>
              <w:t>Veuillez dresser la liste de tous les futurs investissements de Gavi déjà prévus (p. ex. soutien aux</w:t>
            </w:r>
            <w:r w:rsidR="00824777">
              <w:rPr>
                <w:b/>
                <w:i/>
                <w:sz w:val="20"/>
              </w:rPr>
              <w:t xml:space="preserve"> </w:t>
            </w:r>
            <w:r w:rsidR="004927B0" w:rsidRPr="004927B0">
              <w:rPr>
                <w:b/>
                <w:i/>
                <w:sz w:val="20"/>
              </w:rPr>
              <w:t>nouveaux</w:t>
            </w:r>
            <w:r>
              <w:rPr>
                <w:b/>
                <w:i/>
                <w:sz w:val="20"/>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00A957C9" w:rsidRPr="006A272B" w14:paraId="7B4C9334" w14:textId="77777777" w:rsidTr="06A0C929">
        <w:trPr>
          <w:trHeight w:val="50"/>
        </w:trPr>
        <w:tc>
          <w:tcPr>
            <w:tcW w:w="9498" w:type="dxa"/>
            <w:tcBorders>
              <w:top w:val="single" w:sz="4" w:space="0" w:color="auto"/>
              <w:left w:val="single" w:sz="4" w:space="0" w:color="auto"/>
              <w:bottom w:val="single" w:sz="4" w:space="0" w:color="auto"/>
              <w:right w:val="single" w:sz="4" w:space="0" w:color="auto"/>
            </w:tcBorders>
          </w:tcPr>
          <w:p w14:paraId="465CCCAA" w14:textId="7D39D8C1" w:rsidR="00C91DE8" w:rsidRPr="000F1BD7" w:rsidRDefault="6581495B" w:rsidP="00684DEC">
            <w:pPr>
              <w:spacing w:line="300" w:lineRule="exact"/>
              <w:jc w:val="both"/>
            </w:pPr>
            <w:r>
              <w:t>L</w:t>
            </w:r>
            <w:r w:rsidR="3936C4FB">
              <w:t xml:space="preserve">es </w:t>
            </w:r>
            <w:r>
              <w:t xml:space="preserve">futurs investissements de Gavi </w:t>
            </w:r>
            <w:r w:rsidR="034B4416">
              <w:t xml:space="preserve">en Guinée </w:t>
            </w:r>
            <w:r w:rsidR="3936C4FB">
              <w:t>sont</w:t>
            </w:r>
            <w:r>
              <w:t> :</w:t>
            </w:r>
          </w:p>
          <w:p w14:paraId="71245EA9" w14:textId="0A0E660F" w:rsidR="00C91DE8" w:rsidRPr="000F1BD7" w:rsidRDefault="00C91DE8" w:rsidP="00684DEC">
            <w:pPr>
              <w:pStyle w:val="ListParagraph"/>
              <w:numPr>
                <w:ilvl w:val="0"/>
                <w:numId w:val="38"/>
              </w:numPr>
              <w:spacing w:line="300" w:lineRule="exact"/>
              <w:jc w:val="both"/>
            </w:pPr>
            <w:r w:rsidRPr="000F1BD7">
              <w:t xml:space="preserve">RSS </w:t>
            </w:r>
            <w:r w:rsidR="000A7A5A">
              <w:t>3</w:t>
            </w:r>
          </w:p>
          <w:p w14:paraId="1B506F7C" w14:textId="388F6678" w:rsidR="00C91DE8" w:rsidRPr="000F1BD7" w:rsidRDefault="00C91DE8" w:rsidP="00684DEC">
            <w:pPr>
              <w:pStyle w:val="ListParagraph"/>
              <w:numPr>
                <w:ilvl w:val="0"/>
                <w:numId w:val="38"/>
              </w:numPr>
              <w:spacing w:line="300" w:lineRule="exact"/>
              <w:jc w:val="both"/>
            </w:pPr>
            <w:r w:rsidRPr="000F1BD7">
              <w:t>Introduction de nouveaux vaccins (</w:t>
            </w:r>
            <w:r w:rsidR="00684DEC">
              <w:t>p</w:t>
            </w:r>
            <w:r w:rsidRPr="000F1BD7">
              <w:t>aludisme et autres)</w:t>
            </w:r>
            <w:r w:rsidR="00684DEC">
              <w:t>,</w:t>
            </w:r>
          </w:p>
          <w:p w14:paraId="0689E371" w14:textId="0ED6C83C" w:rsidR="00B54AA0" w:rsidRDefault="00C91DE8" w:rsidP="00B54AA0">
            <w:pPr>
              <w:pStyle w:val="ListParagraph"/>
              <w:numPr>
                <w:ilvl w:val="0"/>
                <w:numId w:val="38"/>
              </w:numPr>
              <w:spacing w:line="300" w:lineRule="exact"/>
              <w:jc w:val="both"/>
            </w:pPr>
            <w:r w:rsidRPr="000F1BD7">
              <w:t>Financement accélérateur de l'équité</w:t>
            </w:r>
            <w:r w:rsidR="00684DEC">
              <w:t>,</w:t>
            </w:r>
          </w:p>
          <w:p w14:paraId="60CC5F31" w14:textId="698039C0" w:rsidR="00D867BD" w:rsidRPr="000F1BD7" w:rsidRDefault="76494804" w:rsidP="00B54AA0">
            <w:pPr>
              <w:pStyle w:val="ListParagraph"/>
              <w:numPr>
                <w:ilvl w:val="0"/>
                <w:numId w:val="38"/>
              </w:numPr>
              <w:spacing w:line="300" w:lineRule="exact"/>
              <w:jc w:val="both"/>
            </w:pPr>
            <w:r>
              <w:t>Poursuivre l’appui pour l’introduction effective de VAR2 à l’échelle nationale ;</w:t>
            </w:r>
          </w:p>
          <w:p w14:paraId="40CF23C3" w14:textId="0740ACD5" w:rsidR="00C91DE8" w:rsidRPr="000202B3" w:rsidRDefault="00C91DE8" w:rsidP="00684DEC">
            <w:pPr>
              <w:pStyle w:val="ListParagraph"/>
              <w:numPr>
                <w:ilvl w:val="0"/>
                <w:numId w:val="38"/>
              </w:numPr>
              <w:spacing w:line="300" w:lineRule="exact"/>
              <w:jc w:val="both"/>
            </w:pPr>
            <w:r w:rsidRPr="000202B3">
              <w:t>Campagnes de suivi contre la rougeole</w:t>
            </w:r>
          </w:p>
          <w:p w14:paraId="26C85089" w14:textId="5BE13062" w:rsidR="00C91DE8" w:rsidRPr="000F1BD7" w:rsidRDefault="00C91DE8" w:rsidP="00684DEC">
            <w:pPr>
              <w:pStyle w:val="ListParagraph"/>
              <w:numPr>
                <w:ilvl w:val="0"/>
                <w:numId w:val="38"/>
              </w:numPr>
              <w:spacing w:line="300" w:lineRule="exact"/>
              <w:jc w:val="both"/>
            </w:pPr>
            <w:r w:rsidRPr="000F1BD7">
              <w:t>CCEOP</w:t>
            </w:r>
            <w:r w:rsidR="00684DEC">
              <w:t>.</w:t>
            </w:r>
          </w:p>
          <w:p w14:paraId="2033B8FD" w14:textId="46B4B454" w:rsidR="00A957C9" w:rsidRPr="00C91DE8" w:rsidRDefault="00C91DE8" w:rsidP="00684DEC">
            <w:pPr>
              <w:spacing w:line="300" w:lineRule="exact"/>
              <w:jc w:val="both"/>
              <w:rPr>
                <w:color w:val="0000CC"/>
              </w:rPr>
            </w:pPr>
            <w:r w:rsidRPr="000F1BD7">
              <w:t>La planification de l’assistance technique qui se fait de façon inclusive tiendra compte de l’ensemble des investissements présents et futurs. Aussi lors de la rédaction du RSS</w:t>
            </w:r>
            <w:r w:rsidR="00D867BD">
              <w:t>3</w:t>
            </w:r>
            <w:r w:rsidRPr="000F1BD7">
              <w:t xml:space="preserve"> le pays intégrera dans le plan de suivi la mobilisation et l’utilisation de ces différentes ressources pour assurer l’efficacité et l’efficience.</w:t>
            </w:r>
            <w:r>
              <w:rPr>
                <w:color w:val="0000CC"/>
              </w:rPr>
              <w:t xml:space="preserve"> </w:t>
            </w:r>
          </w:p>
        </w:tc>
      </w:tr>
    </w:tbl>
    <w:p w14:paraId="658606AB" w14:textId="77777777" w:rsidR="0090123D" w:rsidRPr="006615A7" w:rsidRDefault="0090123D" w:rsidP="00FC4A11">
      <w:pPr>
        <w:spacing w:line="300" w:lineRule="exact"/>
        <w:rPr>
          <w:b/>
          <w:color w:val="70AD47" w:themeColor="accent6"/>
          <w:sz w:val="26"/>
          <w:szCs w:val="26"/>
        </w:rPr>
      </w:pPr>
    </w:p>
    <w:p w14:paraId="603C9386" w14:textId="12619D78" w:rsidR="00AB4B2D" w:rsidRPr="006D15FC" w:rsidRDefault="00672E21" w:rsidP="00DE4BB0">
      <w:pPr>
        <w:pStyle w:val="ListParagraph"/>
        <w:numPr>
          <w:ilvl w:val="0"/>
          <w:numId w:val="4"/>
        </w:numPr>
        <w:spacing w:line="300" w:lineRule="exact"/>
        <w:ind w:left="426"/>
      </w:pPr>
      <w:r>
        <w:rPr>
          <w:b/>
          <w:color w:val="70AD47" w:themeColor="accent6"/>
          <w:sz w:val="26"/>
        </w:rPr>
        <w:t>Suivi de l'assistance pays ciblée (1 page)</w:t>
      </w:r>
    </w:p>
    <w:p w14:paraId="10749106" w14:textId="77777777" w:rsidR="0016420C" w:rsidRPr="006615A7" w:rsidRDefault="0016420C" w:rsidP="006D15FC">
      <w:pPr>
        <w:pStyle w:val="ListParagraph"/>
        <w:spacing w:line="300" w:lineRule="exact"/>
        <w:ind w:left="426"/>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957C9" w:rsidRPr="00A957C9" w14:paraId="4BFA7B74" w14:textId="77777777" w:rsidTr="06A0C929">
        <w:tc>
          <w:tcPr>
            <w:tcW w:w="9498"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i/>
                <w:sz w:val="20"/>
              </w:rPr>
              <w:t>6.1</w:t>
            </w:r>
            <w:r>
              <w:rPr>
                <w:b/>
                <w:i/>
                <w:sz w:val="20"/>
              </w:rPr>
              <w:tab/>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Pr>
                <w:b/>
                <w:bCs/>
                <w:i/>
                <w:sz w:val="20"/>
              </w:rPr>
              <w:t>utilisées</w:t>
            </w:r>
            <w:r>
              <w:rPr>
                <w:b/>
                <w:i/>
                <w:sz w:val="20"/>
              </w:rPr>
              <w:t xml:space="preserve"> pour ajuster et améliorer la mise en œuvre du programme ? A quelle fréquence les données sont-elles revues et utilisées et qui sera responsable de garantir que cette revue et cet apprentissage ont lieu?</w:t>
            </w:r>
          </w:p>
        </w:tc>
      </w:tr>
      <w:tr w:rsidR="00A957C9" w:rsidRPr="006A272B" w14:paraId="4CAB625F" w14:textId="77777777" w:rsidTr="06A0C929">
        <w:tc>
          <w:tcPr>
            <w:tcW w:w="9498" w:type="dxa"/>
            <w:tcBorders>
              <w:top w:val="single" w:sz="4" w:space="0" w:color="auto"/>
              <w:left w:val="single" w:sz="4" w:space="0" w:color="auto"/>
              <w:bottom w:val="single" w:sz="4" w:space="0" w:color="auto"/>
              <w:right w:val="single" w:sz="4" w:space="0" w:color="auto"/>
            </w:tcBorders>
          </w:tcPr>
          <w:p w14:paraId="4172F8A6" w14:textId="2C4870FE" w:rsidR="000F1BD7" w:rsidRPr="00550658" w:rsidRDefault="00550658" w:rsidP="000F1BD7">
            <w:pPr>
              <w:spacing w:line="300" w:lineRule="exact"/>
              <w:jc w:val="both"/>
            </w:pPr>
            <w:r w:rsidRPr="00550658">
              <w:t>Les m</w:t>
            </w:r>
            <w:r w:rsidR="000F1BD7" w:rsidRPr="00550658">
              <w:t>écanisme</w:t>
            </w:r>
            <w:r w:rsidRPr="00550658">
              <w:t>s suivants</w:t>
            </w:r>
            <w:r>
              <w:t xml:space="preserve"> </w:t>
            </w:r>
            <w:r w:rsidRPr="00550658">
              <w:t xml:space="preserve">seront mis </w:t>
            </w:r>
            <w:r w:rsidR="00893ED2">
              <w:t>à contribution</w:t>
            </w:r>
            <w:r w:rsidRPr="00550658">
              <w:t xml:space="preserve"> </w:t>
            </w:r>
            <w:r w:rsidR="000F1BD7" w:rsidRPr="00550658">
              <w:t>pour suivre et retracer les progrès de la mise en œuvre et générer les résultats du plan d'assistance pays :</w:t>
            </w:r>
          </w:p>
          <w:p w14:paraId="77A98A5A" w14:textId="00B40951" w:rsidR="006E7B9F" w:rsidRDefault="61FAAFE3" w:rsidP="006E7B9F">
            <w:pPr>
              <w:pStyle w:val="ListParagraph"/>
              <w:numPr>
                <w:ilvl w:val="0"/>
                <w:numId w:val="38"/>
              </w:numPr>
              <w:spacing w:line="300" w:lineRule="exact"/>
              <w:jc w:val="both"/>
            </w:pPr>
            <w:r>
              <w:t xml:space="preserve">La partie nationale </w:t>
            </w:r>
            <w:r w:rsidR="6BCAA6F5">
              <w:t xml:space="preserve">poursuivra l’évaluation de l’AT </w:t>
            </w:r>
            <w:r w:rsidR="641C7DD2">
              <w:t>à travers les</w:t>
            </w:r>
            <w:r>
              <w:t xml:space="preserve"> </w:t>
            </w:r>
            <w:r w:rsidR="306CC560">
              <w:t>mécanismes</w:t>
            </w:r>
            <w:r w:rsidR="641C7DD2">
              <w:t xml:space="preserve"> existants</w:t>
            </w:r>
            <w:r w:rsidR="00D30D67">
              <w:t xml:space="preserve"> et la mise en place d’un cadre de redevabilité</w:t>
            </w:r>
            <w:r w:rsidR="009A6B3F">
              <w:t xml:space="preserve"> des parties prenantes aux différents niveaux</w:t>
            </w:r>
            <w:r w:rsidR="641C7DD2">
              <w:t>. En outre, l’évaluation conjointe sera mise à profit pour faire le suivi, l’évaluation et la priorisation de l’AT ;</w:t>
            </w:r>
            <w:r w:rsidR="00766525">
              <w:t xml:space="preserve"> </w:t>
            </w:r>
            <w:r w:rsidR="00493D3F" w:rsidRPr="007C3683">
              <w:rPr>
                <w:highlight w:val="cyan"/>
              </w:rPr>
              <w:t xml:space="preserve">dans le cadre du suivi </w:t>
            </w:r>
            <w:r w:rsidR="004C142D" w:rsidRPr="007C3683">
              <w:rPr>
                <w:highlight w:val="cyan"/>
              </w:rPr>
              <w:t xml:space="preserve">mensuel </w:t>
            </w:r>
            <w:r w:rsidR="00493D3F" w:rsidRPr="007C3683">
              <w:rPr>
                <w:highlight w:val="cyan"/>
              </w:rPr>
              <w:t xml:space="preserve">du plan d’action pour la relance du PEV </w:t>
            </w:r>
            <w:r w:rsidR="00A66FED">
              <w:rPr>
                <w:highlight w:val="cyan"/>
              </w:rPr>
              <w:t xml:space="preserve">convenu </w:t>
            </w:r>
            <w:r w:rsidR="00493D3F" w:rsidRPr="007C3683">
              <w:rPr>
                <w:highlight w:val="cyan"/>
              </w:rPr>
              <w:t xml:space="preserve">entre </w:t>
            </w:r>
            <w:r w:rsidR="00A66FED">
              <w:rPr>
                <w:highlight w:val="cyan"/>
              </w:rPr>
              <w:t xml:space="preserve">le </w:t>
            </w:r>
            <w:r w:rsidR="00493D3F" w:rsidRPr="007C3683">
              <w:rPr>
                <w:highlight w:val="cyan"/>
              </w:rPr>
              <w:t xml:space="preserve">gouvernement et partenaires, </w:t>
            </w:r>
            <w:r w:rsidR="007B4A44" w:rsidRPr="007C3683">
              <w:rPr>
                <w:highlight w:val="cyan"/>
              </w:rPr>
              <w:t>les activités d’assistance technique pertinentes seront également adressées</w:t>
            </w:r>
          </w:p>
          <w:p w14:paraId="22F8254E" w14:textId="1BE81EAC" w:rsidR="001A5EAE" w:rsidRPr="00550658" w:rsidRDefault="000F1BD7" w:rsidP="00550658">
            <w:pPr>
              <w:pStyle w:val="ListParagraph"/>
              <w:numPr>
                <w:ilvl w:val="0"/>
                <w:numId w:val="38"/>
              </w:numPr>
              <w:spacing w:line="300" w:lineRule="exact"/>
              <w:jc w:val="both"/>
            </w:pPr>
            <w:r w:rsidRPr="00550658">
              <w:t xml:space="preserve">Le niveau de mise en œuvre sera discuté </w:t>
            </w:r>
            <w:r w:rsidR="005C0C50" w:rsidRPr="00550658">
              <w:t>mensuellement entre les partenaires principaux et élargis</w:t>
            </w:r>
            <w:r w:rsidR="00C40EF8">
              <w:t xml:space="preserve">, et les goulots seront adressés </w:t>
            </w:r>
            <w:r w:rsidR="005C0C50" w:rsidRPr="00550658">
              <w:t xml:space="preserve">avec </w:t>
            </w:r>
            <w:r w:rsidR="00C40EF8">
              <w:t xml:space="preserve">un </w:t>
            </w:r>
            <w:r w:rsidR="005C0C50" w:rsidRPr="00550658">
              <w:t>feed-back à la partie nationale</w:t>
            </w:r>
            <w:r w:rsidR="00C40EF8">
              <w:t>.</w:t>
            </w:r>
          </w:p>
          <w:p w14:paraId="754C43AD" w14:textId="76B0700A" w:rsidR="005C0C50" w:rsidRDefault="001A5EAE" w:rsidP="00550658">
            <w:pPr>
              <w:pStyle w:val="ListParagraph"/>
              <w:numPr>
                <w:ilvl w:val="0"/>
                <w:numId w:val="38"/>
              </w:numPr>
              <w:spacing w:line="300" w:lineRule="exact"/>
              <w:jc w:val="both"/>
            </w:pPr>
            <w:r w:rsidRPr="00550658">
              <w:t>Des réunions trimestrielles assorties de rapports seront organisées avec la partie nationale pour évaluer le niveau d’avancement du TCA au moyen de jalons définis dans le plan d’assistance.</w:t>
            </w:r>
            <w:r w:rsidR="00550658" w:rsidRPr="00550658">
              <w:t xml:space="preserve"> Une note technique d’assistance sera partagée avec toutes les parties prenantes au terme de ces réunions trimestrielles.</w:t>
            </w:r>
          </w:p>
          <w:p w14:paraId="15B79416" w14:textId="7223959D" w:rsidR="00CB2461" w:rsidRPr="00550658" w:rsidRDefault="00CB2461" w:rsidP="00550658">
            <w:pPr>
              <w:pStyle w:val="ListParagraph"/>
              <w:numPr>
                <w:ilvl w:val="0"/>
                <w:numId w:val="38"/>
              </w:numPr>
              <w:spacing w:line="300" w:lineRule="exact"/>
              <w:jc w:val="both"/>
            </w:pPr>
            <w:r>
              <w:t xml:space="preserve">Les supervisions </w:t>
            </w:r>
            <w:r w:rsidR="008C526E">
              <w:t>se</w:t>
            </w:r>
            <w:r>
              <w:t>mestrielles conjointes avec la participation des différentes parties prenantes seront organisées pour le suivi de la mise en œuvre du plan d’assistance au pays.</w:t>
            </w:r>
          </w:p>
          <w:p w14:paraId="143D7E2A" w14:textId="5A2FA3F7" w:rsidR="000F1BD7" w:rsidRDefault="00550658" w:rsidP="000F1BD7">
            <w:pPr>
              <w:spacing w:line="300" w:lineRule="exact"/>
              <w:jc w:val="both"/>
              <w:rPr>
                <w:color w:val="0000CC"/>
              </w:rPr>
            </w:pPr>
            <w:r w:rsidRPr="00C40EF8">
              <w:t xml:space="preserve">Les </w:t>
            </w:r>
            <w:r w:rsidR="00C40EF8">
              <w:t>progrès</w:t>
            </w:r>
            <w:r w:rsidRPr="00550658">
              <w:t xml:space="preserve"> de la mise en œuvre du plan d'assistance pays</w:t>
            </w:r>
            <w:r w:rsidRPr="00C40EF8">
              <w:t xml:space="preserve"> seront aussi partagés </w:t>
            </w:r>
            <w:r w:rsidR="00C40EF8" w:rsidRPr="00C40EF8">
              <w:t>lors des revues à mi-parcours et annuelle</w:t>
            </w:r>
            <w:r w:rsidR="008C526E">
              <w:t xml:space="preserve"> et au cours du</w:t>
            </w:r>
            <w:r w:rsidR="00C40EF8" w:rsidRPr="00C40EF8">
              <w:t xml:space="preserve"> dialogue multipartite (évaluation conjointe).</w:t>
            </w:r>
          </w:p>
          <w:p w14:paraId="635EF35F" w14:textId="6909F4DE" w:rsidR="00AB4B2D" w:rsidRPr="006615A7" w:rsidRDefault="00C40EF8" w:rsidP="00C40EF8">
            <w:pPr>
              <w:spacing w:line="300" w:lineRule="exact"/>
              <w:jc w:val="both"/>
            </w:pPr>
            <w:r w:rsidRPr="00C40EF8">
              <w:t>Le rapportage des jalons sera fai</w:t>
            </w:r>
            <w:r w:rsidR="008C526E">
              <w:t>t</w:t>
            </w:r>
            <w:r w:rsidRPr="00C40EF8">
              <w:t xml:space="preserve"> selon une </w:t>
            </w:r>
            <w:r w:rsidR="000F1BD7" w:rsidRPr="00C40EF8">
              <w:t xml:space="preserve">fréquence </w:t>
            </w:r>
            <w:r w:rsidRPr="00C40EF8">
              <w:t>retenue (à la fin des mois de juin et novembre de chaque année) par le biais du Portail en ligne, sous la responsabilité des partenaires.</w:t>
            </w:r>
          </w:p>
        </w:tc>
      </w:tr>
    </w:tbl>
    <w:p w14:paraId="146AE6CC" w14:textId="77777777" w:rsidR="007612C6" w:rsidRPr="006615A7" w:rsidRDefault="007612C6" w:rsidP="00FC4A11">
      <w:pPr>
        <w:spacing w:line="300" w:lineRule="exact"/>
      </w:pPr>
    </w:p>
    <w:sectPr w:rsidR="007612C6" w:rsidRPr="006615A7" w:rsidSect="006D15FC">
      <w:headerReference w:type="even" r:id="rId15"/>
      <w:headerReference w:type="default" r:id="rId16"/>
      <w:footerReference w:type="even" r:id="rId17"/>
      <w:footerReference w:type="default" r:id="rId18"/>
      <w:headerReference w:type="first" r:id="rId19"/>
      <w:footerReference w:type="first" r:id="rId20"/>
      <w:pgSz w:w="12240" w:h="15840"/>
      <w:pgMar w:top="1418" w:right="1041"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D4EC" w14:textId="77777777" w:rsidR="00227CE2" w:rsidRDefault="00227CE2" w:rsidP="00431CA9">
      <w:pPr>
        <w:spacing w:line="240" w:lineRule="auto"/>
      </w:pPr>
      <w:r>
        <w:separator/>
      </w:r>
    </w:p>
  </w:endnote>
  <w:endnote w:type="continuationSeparator" w:id="0">
    <w:p w14:paraId="03E1CEB1" w14:textId="77777777" w:rsidR="00227CE2" w:rsidRDefault="00227CE2" w:rsidP="00431CA9">
      <w:pPr>
        <w:spacing w:line="240" w:lineRule="auto"/>
      </w:pPr>
      <w:r>
        <w:continuationSeparator/>
      </w:r>
    </w:p>
  </w:endnote>
  <w:endnote w:type="continuationNotice" w:id="1">
    <w:p w14:paraId="3C302EC3" w14:textId="77777777" w:rsidR="00227CE2" w:rsidRDefault="00227C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40B9" w14:textId="77777777" w:rsidR="000A7A5A" w:rsidRDefault="000A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51603567"/>
      <w:docPartObj>
        <w:docPartGallery w:val="Page Numbers (Bottom of Page)"/>
        <w:docPartUnique/>
      </w:docPartObj>
    </w:sdtPr>
    <w:sdtEndPr>
      <w:rPr>
        <w:noProof/>
      </w:rPr>
    </w:sdtEndPr>
    <w:sdtContent>
      <w:p w14:paraId="25F050AA" w14:textId="59C85FE8" w:rsidR="000A7A5A" w:rsidRDefault="000A7A5A">
        <w:pPr>
          <w:pStyle w:val="Footer"/>
        </w:pPr>
        <w:r w:rsidRPr="00DA777C">
          <w:rPr>
            <w:sz w:val="20"/>
          </w:rPr>
          <w:fldChar w:fldCharType="begin"/>
        </w:r>
        <w:r w:rsidRPr="00DA777C">
          <w:rPr>
            <w:sz w:val="20"/>
          </w:rPr>
          <w:instrText xml:space="preserve"> PAGE   \* MERGEFORMAT </w:instrText>
        </w:r>
        <w:r w:rsidRPr="00DA777C">
          <w:rPr>
            <w:sz w:val="20"/>
          </w:rPr>
          <w:fldChar w:fldCharType="separate"/>
        </w:r>
        <w:r>
          <w:rPr>
            <w:noProof/>
            <w:sz w:val="20"/>
          </w:rPr>
          <w:t>11</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0BCA" w14:textId="77777777" w:rsidR="000A7A5A" w:rsidRDefault="000A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9BAD" w14:textId="77777777" w:rsidR="00227CE2" w:rsidRDefault="00227CE2" w:rsidP="00431CA9">
      <w:pPr>
        <w:spacing w:line="240" w:lineRule="auto"/>
      </w:pPr>
      <w:r>
        <w:separator/>
      </w:r>
    </w:p>
  </w:footnote>
  <w:footnote w:type="continuationSeparator" w:id="0">
    <w:p w14:paraId="3739E32A" w14:textId="77777777" w:rsidR="00227CE2" w:rsidRDefault="00227CE2" w:rsidP="00431CA9">
      <w:pPr>
        <w:spacing w:line="240" w:lineRule="auto"/>
      </w:pPr>
      <w:r>
        <w:continuationSeparator/>
      </w:r>
    </w:p>
  </w:footnote>
  <w:footnote w:type="continuationNotice" w:id="1">
    <w:p w14:paraId="3D0C0E16" w14:textId="77777777" w:rsidR="00227CE2" w:rsidRDefault="00227C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6615" w14:textId="77777777" w:rsidR="000A7A5A" w:rsidRDefault="000A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0A7A5A" w:rsidRDefault="000A7A5A">
    <w:pPr>
      <w:pStyle w:val="Header"/>
    </w:pPr>
    <w:r>
      <w:rPr>
        <w:noProof/>
        <w:lang w:eastAsia="fr-FR"/>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0A7A5A" w:rsidRDefault="000A7A5A"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0A7A5A" w:rsidRPr="00C4436D" w:rsidRDefault="000A7A5A" w:rsidP="00055BF9">
                          <w:pPr>
                            <w:rPr>
                              <w:color w:val="0070C0"/>
                            </w:rPr>
                          </w:pPr>
                          <w:r>
                            <w:rPr>
                              <w:color w:val="0070C0"/>
                            </w:rPr>
                            <w:t>Avril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0A7A5A" w:rsidRDefault="000A7A5A"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0A7A5A" w:rsidRPr="00C4436D" w:rsidRDefault="000A7A5A" w:rsidP="00055BF9">
                    <w:pPr>
                      <w:rPr>
                        <w:color w:val="0070C0"/>
                      </w:rPr>
                    </w:pPr>
                    <w:r>
                      <w:rPr>
                        <w:color w:val="0070C0"/>
                      </w:rPr>
                      <w:t>Avril 2022</w:t>
                    </w:r>
                  </w:p>
                </w:txbxContent>
              </v:textbox>
              <w10:wrap anchorx="page" anchory="margin"/>
            </v:shape>
          </w:pict>
        </mc:Fallback>
      </mc:AlternateContent>
    </w:r>
    <w:r>
      <w:rPr>
        <w:noProof/>
        <w:lang w:eastAsia="fr-FR"/>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B8EB9C"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strokecolor="#5b9bd5 [3208]">
              <v:stroke joinstyle="miter"/>
              <o:lock v:ext="edit" shapetype="f"/>
              <w10:wrap anchory="page"/>
            </v:line>
          </w:pict>
        </mc:Fallback>
      </mc:AlternateContent>
    </w:r>
    <w:r>
      <w:rPr>
        <w:noProof/>
        <w:lang w:eastAsia="fr-FR"/>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0A7A5A" w:rsidRDefault="000A7A5A"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0A7A5A" w:rsidRDefault="000A7A5A" w:rsidP="00892432">
                    <w:pPr>
                      <w:jc w:val="center"/>
                    </w:pPr>
                  </w:p>
                </w:txbxContent>
              </v:textbox>
              <w10:wrap anchorx="page" anchory="page"/>
            </v:rect>
          </w:pict>
        </mc:Fallback>
      </mc:AlternateContent>
    </w:r>
    <w:r>
      <w:rPr>
        <w:noProof/>
        <w:lang w:eastAsia="fr-FR"/>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630A" w14:textId="77777777" w:rsidR="000A7A5A" w:rsidRDefault="000A7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5D1"/>
    <w:multiLevelType w:val="hybridMultilevel"/>
    <w:tmpl w:val="EE5A9B86"/>
    <w:lvl w:ilvl="0" w:tplc="DF124B6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1D64"/>
    <w:multiLevelType w:val="hybridMultilevel"/>
    <w:tmpl w:val="573296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06FC4"/>
    <w:multiLevelType w:val="hybridMultilevel"/>
    <w:tmpl w:val="E3E6A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0B05"/>
    <w:multiLevelType w:val="hybridMultilevel"/>
    <w:tmpl w:val="EE50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324D4"/>
    <w:multiLevelType w:val="hybridMultilevel"/>
    <w:tmpl w:val="283CF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128BF"/>
    <w:multiLevelType w:val="hybridMultilevel"/>
    <w:tmpl w:val="A87885EA"/>
    <w:lvl w:ilvl="0" w:tplc="02A2694A">
      <w:start w:val="1"/>
      <w:numFmt w:val="bullet"/>
      <w:lvlText w:val=""/>
      <w:lvlJc w:val="left"/>
      <w:pPr>
        <w:tabs>
          <w:tab w:val="num" w:pos="720"/>
        </w:tabs>
        <w:ind w:left="720" w:hanging="360"/>
      </w:pPr>
      <w:rPr>
        <w:rFonts w:ascii="Wingdings" w:hAnsi="Wingdings" w:hint="default"/>
      </w:rPr>
    </w:lvl>
    <w:lvl w:ilvl="1" w:tplc="DE18EF06" w:tentative="1">
      <w:start w:val="1"/>
      <w:numFmt w:val="bullet"/>
      <w:lvlText w:val=""/>
      <w:lvlJc w:val="left"/>
      <w:pPr>
        <w:tabs>
          <w:tab w:val="num" w:pos="1440"/>
        </w:tabs>
        <w:ind w:left="1440" w:hanging="360"/>
      </w:pPr>
      <w:rPr>
        <w:rFonts w:ascii="Wingdings" w:hAnsi="Wingdings" w:hint="default"/>
      </w:rPr>
    </w:lvl>
    <w:lvl w:ilvl="2" w:tplc="4C26AF78" w:tentative="1">
      <w:start w:val="1"/>
      <w:numFmt w:val="bullet"/>
      <w:lvlText w:val=""/>
      <w:lvlJc w:val="left"/>
      <w:pPr>
        <w:tabs>
          <w:tab w:val="num" w:pos="2160"/>
        </w:tabs>
        <w:ind w:left="2160" w:hanging="360"/>
      </w:pPr>
      <w:rPr>
        <w:rFonts w:ascii="Wingdings" w:hAnsi="Wingdings" w:hint="default"/>
      </w:rPr>
    </w:lvl>
    <w:lvl w:ilvl="3" w:tplc="35FC93FA" w:tentative="1">
      <w:start w:val="1"/>
      <w:numFmt w:val="bullet"/>
      <w:lvlText w:val=""/>
      <w:lvlJc w:val="left"/>
      <w:pPr>
        <w:tabs>
          <w:tab w:val="num" w:pos="2880"/>
        </w:tabs>
        <w:ind w:left="2880" w:hanging="360"/>
      </w:pPr>
      <w:rPr>
        <w:rFonts w:ascii="Wingdings" w:hAnsi="Wingdings" w:hint="default"/>
      </w:rPr>
    </w:lvl>
    <w:lvl w:ilvl="4" w:tplc="52D8B816" w:tentative="1">
      <w:start w:val="1"/>
      <w:numFmt w:val="bullet"/>
      <w:lvlText w:val=""/>
      <w:lvlJc w:val="left"/>
      <w:pPr>
        <w:tabs>
          <w:tab w:val="num" w:pos="3600"/>
        </w:tabs>
        <w:ind w:left="3600" w:hanging="360"/>
      </w:pPr>
      <w:rPr>
        <w:rFonts w:ascii="Wingdings" w:hAnsi="Wingdings" w:hint="default"/>
      </w:rPr>
    </w:lvl>
    <w:lvl w:ilvl="5" w:tplc="AB3EF2B4" w:tentative="1">
      <w:start w:val="1"/>
      <w:numFmt w:val="bullet"/>
      <w:lvlText w:val=""/>
      <w:lvlJc w:val="left"/>
      <w:pPr>
        <w:tabs>
          <w:tab w:val="num" w:pos="4320"/>
        </w:tabs>
        <w:ind w:left="4320" w:hanging="360"/>
      </w:pPr>
      <w:rPr>
        <w:rFonts w:ascii="Wingdings" w:hAnsi="Wingdings" w:hint="default"/>
      </w:rPr>
    </w:lvl>
    <w:lvl w:ilvl="6" w:tplc="75FA6B26" w:tentative="1">
      <w:start w:val="1"/>
      <w:numFmt w:val="bullet"/>
      <w:lvlText w:val=""/>
      <w:lvlJc w:val="left"/>
      <w:pPr>
        <w:tabs>
          <w:tab w:val="num" w:pos="5040"/>
        </w:tabs>
        <w:ind w:left="5040" w:hanging="360"/>
      </w:pPr>
      <w:rPr>
        <w:rFonts w:ascii="Wingdings" w:hAnsi="Wingdings" w:hint="default"/>
      </w:rPr>
    </w:lvl>
    <w:lvl w:ilvl="7" w:tplc="15D012F8" w:tentative="1">
      <w:start w:val="1"/>
      <w:numFmt w:val="bullet"/>
      <w:lvlText w:val=""/>
      <w:lvlJc w:val="left"/>
      <w:pPr>
        <w:tabs>
          <w:tab w:val="num" w:pos="5760"/>
        </w:tabs>
        <w:ind w:left="5760" w:hanging="360"/>
      </w:pPr>
      <w:rPr>
        <w:rFonts w:ascii="Wingdings" w:hAnsi="Wingdings" w:hint="default"/>
      </w:rPr>
    </w:lvl>
    <w:lvl w:ilvl="8" w:tplc="029ED0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A76E3"/>
    <w:multiLevelType w:val="hybridMultilevel"/>
    <w:tmpl w:val="55DEBCE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6DE7965"/>
    <w:multiLevelType w:val="hybridMultilevel"/>
    <w:tmpl w:val="B448BD20"/>
    <w:lvl w:ilvl="0" w:tplc="F58A30A8">
      <w:start w:val="1"/>
      <w:numFmt w:val="bullet"/>
      <w:lvlText w:val="•"/>
      <w:lvlJc w:val="left"/>
      <w:pPr>
        <w:tabs>
          <w:tab w:val="num" w:pos="720"/>
        </w:tabs>
        <w:ind w:left="720" w:hanging="360"/>
      </w:pPr>
      <w:rPr>
        <w:rFonts w:ascii="Arial" w:hAnsi="Arial" w:hint="default"/>
      </w:rPr>
    </w:lvl>
    <w:lvl w:ilvl="1" w:tplc="05C49D2E" w:tentative="1">
      <w:start w:val="1"/>
      <w:numFmt w:val="bullet"/>
      <w:lvlText w:val="•"/>
      <w:lvlJc w:val="left"/>
      <w:pPr>
        <w:tabs>
          <w:tab w:val="num" w:pos="1440"/>
        </w:tabs>
        <w:ind w:left="1440" w:hanging="360"/>
      </w:pPr>
      <w:rPr>
        <w:rFonts w:ascii="Arial" w:hAnsi="Arial" w:hint="default"/>
      </w:rPr>
    </w:lvl>
    <w:lvl w:ilvl="2" w:tplc="59B874F2" w:tentative="1">
      <w:start w:val="1"/>
      <w:numFmt w:val="bullet"/>
      <w:lvlText w:val="•"/>
      <w:lvlJc w:val="left"/>
      <w:pPr>
        <w:tabs>
          <w:tab w:val="num" w:pos="2160"/>
        </w:tabs>
        <w:ind w:left="2160" w:hanging="360"/>
      </w:pPr>
      <w:rPr>
        <w:rFonts w:ascii="Arial" w:hAnsi="Arial" w:hint="default"/>
      </w:rPr>
    </w:lvl>
    <w:lvl w:ilvl="3" w:tplc="CE2E5808" w:tentative="1">
      <w:start w:val="1"/>
      <w:numFmt w:val="bullet"/>
      <w:lvlText w:val="•"/>
      <w:lvlJc w:val="left"/>
      <w:pPr>
        <w:tabs>
          <w:tab w:val="num" w:pos="2880"/>
        </w:tabs>
        <w:ind w:left="2880" w:hanging="360"/>
      </w:pPr>
      <w:rPr>
        <w:rFonts w:ascii="Arial" w:hAnsi="Arial" w:hint="default"/>
      </w:rPr>
    </w:lvl>
    <w:lvl w:ilvl="4" w:tplc="933CDE9E" w:tentative="1">
      <w:start w:val="1"/>
      <w:numFmt w:val="bullet"/>
      <w:lvlText w:val="•"/>
      <w:lvlJc w:val="left"/>
      <w:pPr>
        <w:tabs>
          <w:tab w:val="num" w:pos="3600"/>
        </w:tabs>
        <w:ind w:left="3600" w:hanging="360"/>
      </w:pPr>
      <w:rPr>
        <w:rFonts w:ascii="Arial" w:hAnsi="Arial" w:hint="default"/>
      </w:rPr>
    </w:lvl>
    <w:lvl w:ilvl="5" w:tplc="FFAE3B18" w:tentative="1">
      <w:start w:val="1"/>
      <w:numFmt w:val="bullet"/>
      <w:lvlText w:val="•"/>
      <w:lvlJc w:val="left"/>
      <w:pPr>
        <w:tabs>
          <w:tab w:val="num" w:pos="4320"/>
        </w:tabs>
        <w:ind w:left="4320" w:hanging="360"/>
      </w:pPr>
      <w:rPr>
        <w:rFonts w:ascii="Arial" w:hAnsi="Arial" w:hint="default"/>
      </w:rPr>
    </w:lvl>
    <w:lvl w:ilvl="6" w:tplc="578613AA" w:tentative="1">
      <w:start w:val="1"/>
      <w:numFmt w:val="bullet"/>
      <w:lvlText w:val="•"/>
      <w:lvlJc w:val="left"/>
      <w:pPr>
        <w:tabs>
          <w:tab w:val="num" w:pos="5040"/>
        </w:tabs>
        <w:ind w:left="5040" w:hanging="360"/>
      </w:pPr>
      <w:rPr>
        <w:rFonts w:ascii="Arial" w:hAnsi="Arial" w:hint="default"/>
      </w:rPr>
    </w:lvl>
    <w:lvl w:ilvl="7" w:tplc="E7DEE3F0" w:tentative="1">
      <w:start w:val="1"/>
      <w:numFmt w:val="bullet"/>
      <w:lvlText w:val="•"/>
      <w:lvlJc w:val="left"/>
      <w:pPr>
        <w:tabs>
          <w:tab w:val="num" w:pos="5760"/>
        </w:tabs>
        <w:ind w:left="5760" w:hanging="360"/>
      </w:pPr>
      <w:rPr>
        <w:rFonts w:ascii="Arial" w:hAnsi="Arial" w:hint="default"/>
      </w:rPr>
    </w:lvl>
    <w:lvl w:ilvl="8" w:tplc="251298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235AC8"/>
    <w:multiLevelType w:val="hybridMultilevel"/>
    <w:tmpl w:val="00808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FD3C87"/>
    <w:multiLevelType w:val="hybridMultilevel"/>
    <w:tmpl w:val="D7AEE12E"/>
    <w:lvl w:ilvl="0" w:tplc="141E4BA8">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B1D28"/>
    <w:multiLevelType w:val="hybridMultilevel"/>
    <w:tmpl w:val="84D68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5E3D7D"/>
    <w:multiLevelType w:val="hybridMultilevel"/>
    <w:tmpl w:val="B7EC4874"/>
    <w:lvl w:ilvl="0" w:tplc="EBC6D42C">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21719"/>
    <w:multiLevelType w:val="hybridMultilevel"/>
    <w:tmpl w:val="1F7ADB46"/>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7C6D7E"/>
    <w:multiLevelType w:val="hybridMultilevel"/>
    <w:tmpl w:val="7A14AE9C"/>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415373"/>
    <w:multiLevelType w:val="hybridMultilevel"/>
    <w:tmpl w:val="2EC6D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CC12130"/>
    <w:multiLevelType w:val="hybridMultilevel"/>
    <w:tmpl w:val="D55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F76AE2"/>
    <w:multiLevelType w:val="hybridMultilevel"/>
    <w:tmpl w:val="FB14DD6E"/>
    <w:lvl w:ilvl="0" w:tplc="149E681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A04CD8"/>
    <w:multiLevelType w:val="hybridMultilevel"/>
    <w:tmpl w:val="8B34D0AC"/>
    <w:lvl w:ilvl="0" w:tplc="5840E8A0">
      <w:start w:val="6"/>
      <w:numFmt w:val="bullet"/>
      <w:lvlText w:val="-"/>
      <w:lvlJc w:val="left"/>
      <w:pPr>
        <w:ind w:left="360" w:hanging="360"/>
      </w:pPr>
      <w:rPr>
        <w:rFonts w:ascii="Calibri" w:eastAsiaTheme="minorHAnsi" w:hAnsi="Calibri" w:cs="Calibri"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3E551581"/>
    <w:multiLevelType w:val="hybridMultilevel"/>
    <w:tmpl w:val="31EA4540"/>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3071A3"/>
    <w:multiLevelType w:val="hybridMultilevel"/>
    <w:tmpl w:val="AD004D80"/>
    <w:lvl w:ilvl="0" w:tplc="804EB790">
      <w:start w:val="1"/>
      <w:numFmt w:val="bullet"/>
      <w:lvlText w:val="•"/>
      <w:lvlJc w:val="left"/>
      <w:pPr>
        <w:tabs>
          <w:tab w:val="num" w:pos="720"/>
        </w:tabs>
        <w:ind w:left="720" w:hanging="360"/>
      </w:pPr>
      <w:rPr>
        <w:rFonts w:ascii="Arial" w:hAnsi="Arial" w:hint="default"/>
        <w:color w:val="auto"/>
      </w:rPr>
    </w:lvl>
    <w:lvl w:ilvl="1" w:tplc="255EE370" w:tentative="1">
      <w:start w:val="1"/>
      <w:numFmt w:val="bullet"/>
      <w:lvlText w:val="•"/>
      <w:lvlJc w:val="left"/>
      <w:pPr>
        <w:tabs>
          <w:tab w:val="num" w:pos="1440"/>
        </w:tabs>
        <w:ind w:left="1440" w:hanging="360"/>
      </w:pPr>
      <w:rPr>
        <w:rFonts w:ascii="Arial" w:hAnsi="Arial" w:hint="default"/>
      </w:rPr>
    </w:lvl>
    <w:lvl w:ilvl="2" w:tplc="EF46F6E6" w:tentative="1">
      <w:start w:val="1"/>
      <w:numFmt w:val="bullet"/>
      <w:lvlText w:val="•"/>
      <w:lvlJc w:val="left"/>
      <w:pPr>
        <w:tabs>
          <w:tab w:val="num" w:pos="2160"/>
        </w:tabs>
        <w:ind w:left="2160" w:hanging="360"/>
      </w:pPr>
      <w:rPr>
        <w:rFonts w:ascii="Arial" w:hAnsi="Arial" w:hint="default"/>
      </w:rPr>
    </w:lvl>
    <w:lvl w:ilvl="3" w:tplc="90987DCC" w:tentative="1">
      <w:start w:val="1"/>
      <w:numFmt w:val="bullet"/>
      <w:lvlText w:val="•"/>
      <w:lvlJc w:val="left"/>
      <w:pPr>
        <w:tabs>
          <w:tab w:val="num" w:pos="2880"/>
        </w:tabs>
        <w:ind w:left="2880" w:hanging="360"/>
      </w:pPr>
      <w:rPr>
        <w:rFonts w:ascii="Arial" w:hAnsi="Arial" w:hint="default"/>
      </w:rPr>
    </w:lvl>
    <w:lvl w:ilvl="4" w:tplc="A33A7DD6" w:tentative="1">
      <w:start w:val="1"/>
      <w:numFmt w:val="bullet"/>
      <w:lvlText w:val="•"/>
      <w:lvlJc w:val="left"/>
      <w:pPr>
        <w:tabs>
          <w:tab w:val="num" w:pos="3600"/>
        </w:tabs>
        <w:ind w:left="3600" w:hanging="360"/>
      </w:pPr>
      <w:rPr>
        <w:rFonts w:ascii="Arial" w:hAnsi="Arial" w:hint="default"/>
      </w:rPr>
    </w:lvl>
    <w:lvl w:ilvl="5" w:tplc="F6AA5900" w:tentative="1">
      <w:start w:val="1"/>
      <w:numFmt w:val="bullet"/>
      <w:lvlText w:val="•"/>
      <w:lvlJc w:val="left"/>
      <w:pPr>
        <w:tabs>
          <w:tab w:val="num" w:pos="4320"/>
        </w:tabs>
        <w:ind w:left="4320" w:hanging="360"/>
      </w:pPr>
      <w:rPr>
        <w:rFonts w:ascii="Arial" w:hAnsi="Arial" w:hint="default"/>
      </w:rPr>
    </w:lvl>
    <w:lvl w:ilvl="6" w:tplc="DDBE7540" w:tentative="1">
      <w:start w:val="1"/>
      <w:numFmt w:val="bullet"/>
      <w:lvlText w:val="•"/>
      <w:lvlJc w:val="left"/>
      <w:pPr>
        <w:tabs>
          <w:tab w:val="num" w:pos="5040"/>
        </w:tabs>
        <w:ind w:left="5040" w:hanging="360"/>
      </w:pPr>
      <w:rPr>
        <w:rFonts w:ascii="Arial" w:hAnsi="Arial" w:hint="default"/>
      </w:rPr>
    </w:lvl>
    <w:lvl w:ilvl="7" w:tplc="ABE89392" w:tentative="1">
      <w:start w:val="1"/>
      <w:numFmt w:val="bullet"/>
      <w:lvlText w:val="•"/>
      <w:lvlJc w:val="left"/>
      <w:pPr>
        <w:tabs>
          <w:tab w:val="num" w:pos="5760"/>
        </w:tabs>
        <w:ind w:left="5760" w:hanging="360"/>
      </w:pPr>
      <w:rPr>
        <w:rFonts w:ascii="Arial" w:hAnsi="Arial" w:hint="default"/>
      </w:rPr>
    </w:lvl>
    <w:lvl w:ilvl="8" w:tplc="F698CB6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4" w15:restartNumberingAfterBreak="0">
    <w:nsid w:val="45F20533"/>
    <w:multiLevelType w:val="hybridMultilevel"/>
    <w:tmpl w:val="471096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6321FFC"/>
    <w:multiLevelType w:val="hybridMultilevel"/>
    <w:tmpl w:val="7FF08530"/>
    <w:lvl w:ilvl="0" w:tplc="FE361C5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1592D"/>
    <w:multiLevelType w:val="hybridMultilevel"/>
    <w:tmpl w:val="DB1EC7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735FD"/>
    <w:multiLevelType w:val="hybridMultilevel"/>
    <w:tmpl w:val="0622A3FE"/>
    <w:lvl w:ilvl="0" w:tplc="EBB2D264">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EB36BD"/>
    <w:multiLevelType w:val="hybridMultilevel"/>
    <w:tmpl w:val="79842056"/>
    <w:lvl w:ilvl="0" w:tplc="05D4FDDA">
      <w:start w:val="1"/>
      <w:numFmt w:val="bullet"/>
      <w:lvlText w:val="•"/>
      <w:lvlJc w:val="left"/>
      <w:pPr>
        <w:tabs>
          <w:tab w:val="num" w:pos="720"/>
        </w:tabs>
        <w:ind w:left="720" w:hanging="360"/>
      </w:pPr>
      <w:rPr>
        <w:rFonts w:ascii="Arial" w:hAnsi="Arial" w:hint="default"/>
      </w:rPr>
    </w:lvl>
    <w:lvl w:ilvl="1" w:tplc="508809DA" w:tentative="1">
      <w:start w:val="1"/>
      <w:numFmt w:val="bullet"/>
      <w:lvlText w:val="•"/>
      <w:lvlJc w:val="left"/>
      <w:pPr>
        <w:tabs>
          <w:tab w:val="num" w:pos="1440"/>
        </w:tabs>
        <w:ind w:left="1440" w:hanging="360"/>
      </w:pPr>
      <w:rPr>
        <w:rFonts w:ascii="Arial" w:hAnsi="Arial" w:hint="default"/>
      </w:rPr>
    </w:lvl>
    <w:lvl w:ilvl="2" w:tplc="6E52BBF8" w:tentative="1">
      <w:start w:val="1"/>
      <w:numFmt w:val="bullet"/>
      <w:lvlText w:val="•"/>
      <w:lvlJc w:val="left"/>
      <w:pPr>
        <w:tabs>
          <w:tab w:val="num" w:pos="2160"/>
        </w:tabs>
        <w:ind w:left="2160" w:hanging="360"/>
      </w:pPr>
      <w:rPr>
        <w:rFonts w:ascii="Arial" w:hAnsi="Arial" w:hint="default"/>
      </w:rPr>
    </w:lvl>
    <w:lvl w:ilvl="3" w:tplc="BF3C0368" w:tentative="1">
      <w:start w:val="1"/>
      <w:numFmt w:val="bullet"/>
      <w:lvlText w:val="•"/>
      <w:lvlJc w:val="left"/>
      <w:pPr>
        <w:tabs>
          <w:tab w:val="num" w:pos="2880"/>
        </w:tabs>
        <w:ind w:left="2880" w:hanging="360"/>
      </w:pPr>
      <w:rPr>
        <w:rFonts w:ascii="Arial" w:hAnsi="Arial" w:hint="default"/>
      </w:rPr>
    </w:lvl>
    <w:lvl w:ilvl="4" w:tplc="201C12C0" w:tentative="1">
      <w:start w:val="1"/>
      <w:numFmt w:val="bullet"/>
      <w:lvlText w:val="•"/>
      <w:lvlJc w:val="left"/>
      <w:pPr>
        <w:tabs>
          <w:tab w:val="num" w:pos="3600"/>
        </w:tabs>
        <w:ind w:left="3600" w:hanging="360"/>
      </w:pPr>
      <w:rPr>
        <w:rFonts w:ascii="Arial" w:hAnsi="Arial" w:hint="default"/>
      </w:rPr>
    </w:lvl>
    <w:lvl w:ilvl="5" w:tplc="B5F03FB4" w:tentative="1">
      <w:start w:val="1"/>
      <w:numFmt w:val="bullet"/>
      <w:lvlText w:val="•"/>
      <w:lvlJc w:val="left"/>
      <w:pPr>
        <w:tabs>
          <w:tab w:val="num" w:pos="4320"/>
        </w:tabs>
        <w:ind w:left="4320" w:hanging="360"/>
      </w:pPr>
      <w:rPr>
        <w:rFonts w:ascii="Arial" w:hAnsi="Arial" w:hint="default"/>
      </w:rPr>
    </w:lvl>
    <w:lvl w:ilvl="6" w:tplc="3B2A3B36" w:tentative="1">
      <w:start w:val="1"/>
      <w:numFmt w:val="bullet"/>
      <w:lvlText w:val="•"/>
      <w:lvlJc w:val="left"/>
      <w:pPr>
        <w:tabs>
          <w:tab w:val="num" w:pos="5040"/>
        </w:tabs>
        <w:ind w:left="5040" w:hanging="360"/>
      </w:pPr>
      <w:rPr>
        <w:rFonts w:ascii="Arial" w:hAnsi="Arial" w:hint="default"/>
      </w:rPr>
    </w:lvl>
    <w:lvl w:ilvl="7" w:tplc="DB32CCAA" w:tentative="1">
      <w:start w:val="1"/>
      <w:numFmt w:val="bullet"/>
      <w:lvlText w:val="•"/>
      <w:lvlJc w:val="left"/>
      <w:pPr>
        <w:tabs>
          <w:tab w:val="num" w:pos="5760"/>
        </w:tabs>
        <w:ind w:left="5760" w:hanging="360"/>
      </w:pPr>
      <w:rPr>
        <w:rFonts w:ascii="Arial" w:hAnsi="Arial" w:hint="default"/>
      </w:rPr>
    </w:lvl>
    <w:lvl w:ilvl="8" w:tplc="252C840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9E64B9"/>
    <w:multiLevelType w:val="hybridMultilevel"/>
    <w:tmpl w:val="B65A49C0"/>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F21254"/>
    <w:multiLevelType w:val="hybridMultilevel"/>
    <w:tmpl w:val="C9929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5D44DF"/>
    <w:multiLevelType w:val="hybridMultilevel"/>
    <w:tmpl w:val="ABA6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961FC"/>
    <w:multiLevelType w:val="hybridMultilevel"/>
    <w:tmpl w:val="AA52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84EC4"/>
    <w:multiLevelType w:val="hybridMultilevel"/>
    <w:tmpl w:val="E102837C"/>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D70EF"/>
    <w:multiLevelType w:val="hybridMultilevel"/>
    <w:tmpl w:val="AFE8F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1D3D41"/>
    <w:multiLevelType w:val="hybridMultilevel"/>
    <w:tmpl w:val="BFB2C6E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C8389E"/>
    <w:multiLevelType w:val="hybridMultilevel"/>
    <w:tmpl w:val="66D6B69C"/>
    <w:lvl w:ilvl="0" w:tplc="5840E8A0">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6190953"/>
    <w:multiLevelType w:val="hybridMultilevel"/>
    <w:tmpl w:val="DC6A596E"/>
    <w:lvl w:ilvl="0" w:tplc="5A46B114">
      <w:start w:val="1"/>
      <w:numFmt w:val="bullet"/>
      <w:lvlText w:val="•"/>
      <w:lvlJc w:val="left"/>
      <w:pPr>
        <w:tabs>
          <w:tab w:val="num" w:pos="720"/>
        </w:tabs>
        <w:ind w:left="720" w:hanging="360"/>
      </w:pPr>
      <w:rPr>
        <w:rFonts w:ascii="Arial" w:hAnsi="Arial" w:hint="default"/>
      </w:rPr>
    </w:lvl>
    <w:lvl w:ilvl="1" w:tplc="C298BDC4" w:tentative="1">
      <w:start w:val="1"/>
      <w:numFmt w:val="bullet"/>
      <w:lvlText w:val="•"/>
      <w:lvlJc w:val="left"/>
      <w:pPr>
        <w:tabs>
          <w:tab w:val="num" w:pos="1440"/>
        </w:tabs>
        <w:ind w:left="1440" w:hanging="360"/>
      </w:pPr>
      <w:rPr>
        <w:rFonts w:ascii="Arial" w:hAnsi="Arial" w:hint="default"/>
      </w:rPr>
    </w:lvl>
    <w:lvl w:ilvl="2" w:tplc="8118E06A" w:tentative="1">
      <w:start w:val="1"/>
      <w:numFmt w:val="bullet"/>
      <w:lvlText w:val="•"/>
      <w:lvlJc w:val="left"/>
      <w:pPr>
        <w:tabs>
          <w:tab w:val="num" w:pos="2160"/>
        </w:tabs>
        <w:ind w:left="2160" w:hanging="360"/>
      </w:pPr>
      <w:rPr>
        <w:rFonts w:ascii="Arial" w:hAnsi="Arial" w:hint="default"/>
      </w:rPr>
    </w:lvl>
    <w:lvl w:ilvl="3" w:tplc="BD528BFA" w:tentative="1">
      <w:start w:val="1"/>
      <w:numFmt w:val="bullet"/>
      <w:lvlText w:val="•"/>
      <w:lvlJc w:val="left"/>
      <w:pPr>
        <w:tabs>
          <w:tab w:val="num" w:pos="2880"/>
        </w:tabs>
        <w:ind w:left="2880" w:hanging="360"/>
      </w:pPr>
      <w:rPr>
        <w:rFonts w:ascii="Arial" w:hAnsi="Arial" w:hint="default"/>
      </w:rPr>
    </w:lvl>
    <w:lvl w:ilvl="4" w:tplc="790A10B8" w:tentative="1">
      <w:start w:val="1"/>
      <w:numFmt w:val="bullet"/>
      <w:lvlText w:val="•"/>
      <w:lvlJc w:val="left"/>
      <w:pPr>
        <w:tabs>
          <w:tab w:val="num" w:pos="3600"/>
        </w:tabs>
        <w:ind w:left="3600" w:hanging="360"/>
      </w:pPr>
      <w:rPr>
        <w:rFonts w:ascii="Arial" w:hAnsi="Arial" w:hint="default"/>
      </w:rPr>
    </w:lvl>
    <w:lvl w:ilvl="5" w:tplc="DD848E34" w:tentative="1">
      <w:start w:val="1"/>
      <w:numFmt w:val="bullet"/>
      <w:lvlText w:val="•"/>
      <w:lvlJc w:val="left"/>
      <w:pPr>
        <w:tabs>
          <w:tab w:val="num" w:pos="4320"/>
        </w:tabs>
        <w:ind w:left="4320" w:hanging="360"/>
      </w:pPr>
      <w:rPr>
        <w:rFonts w:ascii="Arial" w:hAnsi="Arial" w:hint="default"/>
      </w:rPr>
    </w:lvl>
    <w:lvl w:ilvl="6" w:tplc="C3345CA6" w:tentative="1">
      <w:start w:val="1"/>
      <w:numFmt w:val="bullet"/>
      <w:lvlText w:val="•"/>
      <w:lvlJc w:val="left"/>
      <w:pPr>
        <w:tabs>
          <w:tab w:val="num" w:pos="5040"/>
        </w:tabs>
        <w:ind w:left="5040" w:hanging="360"/>
      </w:pPr>
      <w:rPr>
        <w:rFonts w:ascii="Arial" w:hAnsi="Arial" w:hint="default"/>
      </w:rPr>
    </w:lvl>
    <w:lvl w:ilvl="7" w:tplc="A68CE0B8" w:tentative="1">
      <w:start w:val="1"/>
      <w:numFmt w:val="bullet"/>
      <w:lvlText w:val="•"/>
      <w:lvlJc w:val="left"/>
      <w:pPr>
        <w:tabs>
          <w:tab w:val="num" w:pos="5760"/>
        </w:tabs>
        <w:ind w:left="5760" w:hanging="360"/>
      </w:pPr>
      <w:rPr>
        <w:rFonts w:ascii="Arial" w:hAnsi="Arial" w:hint="default"/>
      </w:rPr>
    </w:lvl>
    <w:lvl w:ilvl="8" w:tplc="728AAA8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EC2990"/>
    <w:multiLevelType w:val="hybridMultilevel"/>
    <w:tmpl w:val="8D14D51A"/>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710741"/>
    <w:multiLevelType w:val="hybridMultilevel"/>
    <w:tmpl w:val="06123B5C"/>
    <w:lvl w:ilvl="0" w:tplc="75E4366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4082585"/>
    <w:multiLevelType w:val="hybridMultilevel"/>
    <w:tmpl w:val="0F744E48"/>
    <w:lvl w:ilvl="0" w:tplc="F3686048">
      <w:numFmt w:val="bullet"/>
      <w:lvlText w:val="-"/>
      <w:lvlJc w:val="left"/>
      <w:pPr>
        <w:ind w:left="501" w:hanging="360"/>
      </w:pPr>
      <w:rPr>
        <w:rFonts w:ascii="Arial" w:eastAsia="Calibri" w:hAnsi="Arial" w:cs="Arial" w:hint="default"/>
      </w:rPr>
    </w:lvl>
    <w:lvl w:ilvl="1" w:tplc="AD762828" w:tentative="1">
      <w:start w:val="1"/>
      <w:numFmt w:val="bullet"/>
      <w:lvlText w:val="o"/>
      <w:lvlJc w:val="left"/>
      <w:pPr>
        <w:ind w:left="1221" w:hanging="360"/>
      </w:pPr>
      <w:rPr>
        <w:rFonts w:ascii="Courier New" w:hAnsi="Courier New" w:cs="Courier New" w:hint="default"/>
      </w:rPr>
    </w:lvl>
    <w:lvl w:ilvl="2" w:tplc="095C63DC" w:tentative="1">
      <w:start w:val="1"/>
      <w:numFmt w:val="bullet"/>
      <w:lvlText w:val=""/>
      <w:lvlJc w:val="left"/>
      <w:pPr>
        <w:ind w:left="1941" w:hanging="360"/>
      </w:pPr>
      <w:rPr>
        <w:rFonts w:ascii="Wingdings" w:hAnsi="Wingdings" w:hint="default"/>
      </w:rPr>
    </w:lvl>
    <w:lvl w:ilvl="3" w:tplc="6114D5AE" w:tentative="1">
      <w:start w:val="1"/>
      <w:numFmt w:val="bullet"/>
      <w:lvlText w:val=""/>
      <w:lvlJc w:val="left"/>
      <w:pPr>
        <w:ind w:left="2661" w:hanging="360"/>
      </w:pPr>
      <w:rPr>
        <w:rFonts w:ascii="Symbol" w:hAnsi="Symbol" w:hint="default"/>
      </w:rPr>
    </w:lvl>
    <w:lvl w:ilvl="4" w:tplc="0C568CC2" w:tentative="1">
      <w:start w:val="1"/>
      <w:numFmt w:val="bullet"/>
      <w:lvlText w:val="o"/>
      <w:lvlJc w:val="left"/>
      <w:pPr>
        <w:ind w:left="3381" w:hanging="360"/>
      </w:pPr>
      <w:rPr>
        <w:rFonts w:ascii="Courier New" w:hAnsi="Courier New" w:cs="Courier New" w:hint="default"/>
      </w:rPr>
    </w:lvl>
    <w:lvl w:ilvl="5" w:tplc="8FD09922" w:tentative="1">
      <w:start w:val="1"/>
      <w:numFmt w:val="bullet"/>
      <w:lvlText w:val=""/>
      <w:lvlJc w:val="left"/>
      <w:pPr>
        <w:ind w:left="4101" w:hanging="360"/>
      </w:pPr>
      <w:rPr>
        <w:rFonts w:ascii="Wingdings" w:hAnsi="Wingdings" w:hint="default"/>
      </w:rPr>
    </w:lvl>
    <w:lvl w:ilvl="6" w:tplc="3E6C46E4" w:tentative="1">
      <w:start w:val="1"/>
      <w:numFmt w:val="bullet"/>
      <w:lvlText w:val=""/>
      <w:lvlJc w:val="left"/>
      <w:pPr>
        <w:ind w:left="4821" w:hanging="360"/>
      </w:pPr>
      <w:rPr>
        <w:rFonts w:ascii="Symbol" w:hAnsi="Symbol" w:hint="default"/>
      </w:rPr>
    </w:lvl>
    <w:lvl w:ilvl="7" w:tplc="16F2C8D8" w:tentative="1">
      <w:start w:val="1"/>
      <w:numFmt w:val="bullet"/>
      <w:lvlText w:val="o"/>
      <w:lvlJc w:val="left"/>
      <w:pPr>
        <w:ind w:left="5541" w:hanging="360"/>
      </w:pPr>
      <w:rPr>
        <w:rFonts w:ascii="Courier New" w:hAnsi="Courier New" w:cs="Courier New" w:hint="default"/>
      </w:rPr>
    </w:lvl>
    <w:lvl w:ilvl="8" w:tplc="98382AF2" w:tentative="1">
      <w:start w:val="1"/>
      <w:numFmt w:val="bullet"/>
      <w:lvlText w:val=""/>
      <w:lvlJc w:val="left"/>
      <w:pPr>
        <w:ind w:left="6261" w:hanging="360"/>
      </w:pPr>
      <w:rPr>
        <w:rFonts w:ascii="Wingdings" w:hAnsi="Wingdings" w:hint="default"/>
      </w:rPr>
    </w:lvl>
  </w:abstractNum>
  <w:abstractNum w:abstractNumId="41"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F92D32"/>
    <w:multiLevelType w:val="hybridMultilevel"/>
    <w:tmpl w:val="644AF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B7F54"/>
    <w:multiLevelType w:val="hybridMultilevel"/>
    <w:tmpl w:val="03566706"/>
    <w:lvl w:ilvl="0" w:tplc="839097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217450">
    <w:abstractNumId w:val="41"/>
  </w:num>
  <w:num w:numId="2" w16cid:durableId="663124332">
    <w:abstractNumId w:val="18"/>
  </w:num>
  <w:num w:numId="3" w16cid:durableId="2119831500">
    <w:abstractNumId w:val="16"/>
  </w:num>
  <w:num w:numId="4" w16cid:durableId="215314740">
    <w:abstractNumId w:val="20"/>
  </w:num>
  <w:num w:numId="5" w16cid:durableId="1849368582">
    <w:abstractNumId w:val="23"/>
  </w:num>
  <w:num w:numId="6" w16cid:durableId="226963279">
    <w:abstractNumId w:val="5"/>
  </w:num>
  <w:num w:numId="7" w16cid:durableId="171576067">
    <w:abstractNumId w:val="28"/>
  </w:num>
  <w:num w:numId="8" w16cid:durableId="1949121962">
    <w:abstractNumId w:val="22"/>
  </w:num>
  <w:num w:numId="9" w16cid:durableId="908005941">
    <w:abstractNumId w:val="7"/>
  </w:num>
  <w:num w:numId="10" w16cid:durableId="1364941840">
    <w:abstractNumId w:val="31"/>
  </w:num>
  <w:num w:numId="11" w16cid:durableId="70783525">
    <w:abstractNumId w:val="15"/>
  </w:num>
  <w:num w:numId="12" w16cid:durableId="1854874449">
    <w:abstractNumId w:val="3"/>
  </w:num>
  <w:num w:numId="13" w16cid:durableId="1637684620">
    <w:abstractNumId w:val="37"/>
  </w:num>
  <w:num w:numId="14" w16cid:durableId="1213423849">
    <w:abstractNumId w:val="24"/>
  </w:num>
  <w:num w:numId="15" w16cid:durableId="1005934097">
    <w:abstractNumId w:val="19"/>
  </w:num>
  <w:num w:numId="16" w16cid:durableId="156726788">
    <w:abstractNumId w:val="32"/>
  </w:num>
  <w:num w:numId="17" w16cid:durableId="1279527985">
    <w:abstractNumId w:val="25"/>
  </w:num>
  <w:num w:numId="18" w16cid:durableId="1558466645">
    <w:abstractNumId w:val="17"/>
  </w:num>
  <w:num w:numId="19" w16cid:durableId="1932739488">
    <w:abstractNumId w:val="11"/>
  </w:num>
  <w:num w:numId="20" w16cid:durableId="1606839783">
    <w:abstractNumId w:val="27"/>
  </w:num>
  <w:num w:numId="21" w16cid:durableId="1391272953">
    <w:abstractNumId w:val="40"/>
  </w:num>
  <w:num w:numId="22" w16cid:durableId="1102263975">
    <w:abstractNumId w:val="6"/>
  </w:num>
  <w:num w:numId="23" w16cid:durableId="545459075">
    <w:abstractNumId w:val="39"/>
  </w:num>
  <w:num w:numId="24" w16cid:durableId="1563372917">
    <w:abstractNumId w:val="14"/>
  </w:num>
  <w:num w:numId="25" w16cid:durableId="606692860">
    <w:abstractNumId w:val="1"/>
  </w:num>
  <w:num w:numId="26" w16cid:durableId="354422447">
    <w:abstractNumId w:val="34"/>
  </w:num>
  <w:num w:numId="27" w16cid:durableId="300506526">
    <w:abstractNumId w:val="10"/>
  </w:num>
  <w:num w:numId="28" w16cid:durableId="347371547">
    <w:abstractNumId w:val="9"/>
  </w:num>
  <w:num w:numId="29" w16cid:durableId="1463966239">
    <w:abstractNumId w:val="35"/>
  </w:num>
  <w:num w:numId="30" w16cid:durableId="606892648">
    <w:abstractNumId w:val="8"/>
  </w:num>
  <w:num w:numId="31" w16cid:durableId="765610506">
    <w:abstractNumId w:val="30"/>
  </w:num>
  <w:num w:numId="32" w16cid:durableId="97221499">
    <w:abstractNumId w:val="12"/>
  </w:num>
  <w:num w:numId="33" w16cid:durableId="1483691505">
    <w:abstractNumId w:val="43"/>
  </w:num>
  <w:num w:numId="34" w16cid:durableId="1048146198">
    <w:abstractNumId w:val="38"/>
  </w:num>
  <w:num w:numId="35" w16cid:durableId="491067355">
    <w:abstractNumId w:val="0"/>
  </w:num>
  <w:num w:numId="36" w16cid:durableId="305934173">
    <w:abstractNumId w:val="21"/>
  </w:num>
  <w:num w:numId="37" w16cid:durableId="2137723176">
    <w:abstractNumId w:val="29"/>
  </w:num>
  <w:num w:numId="38" w16cid:durableId="1862548434">
    <w:abstractNumId w:val="33"/>
  </w:num>
  <w:num w:numId="39" w16cid:durableId="997803844">
    <w:abstractNumId w:val="13"/>
  </w:num>
  <w:num w:numId="40" w16cid:durableId="35858280">
    <w:abstractNumId w:val="36"/>
  </w:num>
  <w:num w:numId="41" w16cid:durableId="1078478251">
    <w:abstractNumId w:val="22"/>
  </w:num>
  <w:num w:numId="42" w16cid:durableId="284047431">
    <w:abstractNumId w:val="26"/>
  </w:num>
  <w:num w:numId="43" w16cid:durableId="1993898840">
    <w:abstractNumId w:val="42"/>
  </w:num>
  <w:num w:numId="44" w16cid:durableId="2146309331">
    <w:abstractNumId w:val="2"/>
  </w:num>
  <w:num w:numId="45" w16cid:durableId="33353627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zAwNQGSlqamlko6SsGpxcWZ+XkgBUaGtQDoKWOiLQAAAA=="/>
  </w:docVars>
  <w:rsids>
    <w:rsidRoot w:val="00BD4BCE"/>
    <w:rsid w:val="0000278E"/>
    <w:rsid w:val="00002CAE"/>
    <w:rsid w:val="00002D07"/>
    <w:rsid w:val="00003862"/>
    <w:rsid w:val="0000542A"/>
    <w:rsid w:val="0000599F"/>
    <w:rsid w:val="00005F0A"/>
    <w:rsid w:val="0000717A"/>
    <w:rsid w:val="000071B0"/>
    <w:rsid w:val="00007EAE"/>
    <w:rsid w:val="0001063F"/>
    <w:rsid w:val="00011B02"/>
    <w:rsid w:val="00011B86"/>
    <w:rsid w:val="0001244B"/>
    <w:rsid w:val="00012FFC"/>
    <w:rsid w:val="00014AFF"/>
    <w:rsid w:val="00014F67"/>
    <w:rsid w:val="00015203"/>
    <w:rsid w:val="000152D5"/>
    <w:rsid w:val="00015D31"/>
    <w:rsid w:val="00016A9B"/>
    <w:rsid w:val="00016C3F"/>
    <w:rsid w:val="000173DF"/>
    <w:rsid w:val="000174E9"/>
    <w:rsid w:val="00017DD0"/>
    <w:rsid w:val="00017FBF"/>
    <w:rsid w:val="00020272"/>
    <w:rsid w:val="000202B3"/>
    <w:rsid w:val="00023D98"/>
    <w:rsid w:val="00024F57"/>
    <w:rsid w:val="000251A6"/>
    <w:rsid w:val="00025589"/>
    <w:rsid w:val="00025BBE"/>
    <w:rsid w:val="00025C70"/>
    <w:rsid w:val="00027322"/>
    <w:rsid w:val="00027D74"/>
    <w:rsid w:val="000301CD"/>
    <w:rsid w:val="00030751"/>
    <w:rsid w:val="000313E1"/>
    <w:rsid w:val="00031A36"/>
    <w:rsid w:val="0003251B"/>
    <w:rsid w:val="00033E0E"/>
    <w:rsid w:val="00034931"/>
    <w:rsid w:val="000357F6"/>
    <w:rsid w:val="000369C9"/>
    <w:rsid w:val="00037694"/>
    <w:rsid w:val="000378BB"/>
    <w:rsid w:val="000400A6"/>
    <w:rsid w:val="00040A2E"/>
    <w:rsid w:val="00041E9B"/>
    <w:rsid w:val="00042592"/>
    <w:rsid w:val="0004304D"/>
    <w:rsid w:val="000439C4"/>
    <w:rsid w:val="00043A07"/>
    <w:rsid w:val="000441BE"/>
    <w:rsid w:val="00044437"/>
    <w:rsid w:val="000449D1"/>
    <w:rsid w:val="000449DE"/>
    <w:rsid w:val="00051114"/>
    <w:rsid w:val="000511DA"/>
    <w:rsid w:val="0005181B"/>
    <w:rsid w:val="00052031"/>
    <w:rsid w:val="0005232A"/>
    <w:rsid w:val="00052358"/>
    <w:rsid w:val="000529E3"/>
    <w:rsid w:val="000538E2"/>
    <w:rsid w:val="00053C8E"/>
    <w:rsid w:val="00054813"/>
    <w:rsid w:val="00054939"/>
    <w:rsid w:val="00054E05"/>
    <w:rsid w:val="00055A30"/>
    <w:rsid w:val="00055BF9"/>
    <w:rsid w:val="00056DDF"/>
    <w:rsid w:val="00057ECB"/>
    <w:rsid w:val="00060071"/>
    <w:rsid w:val="00060794"/>
    <w:rsid w:val="00061950"/>
    <w:rsid w:val="0006207D"/>
    <w:rsid w:val="000629D3"/>
    <w:rsid w:val="00063358"/>
    <w:rsid w:val="000660A3"/>
    <w:rsid w:val="0006633A"/>
    <w:rsid w:val="0006639D"/>
    <w:rsid w:val="000663B9"/>
    <w:rsid w:val="00066A17"/>
    <w:rsid w:val="00066E42"/>
    <w:rsid w:val="00067D86"/>
    <w:rsid w:val="00070BBD"/>
    <w:rsid w:val="0007134B"/>
    <w:rsid w:val="00071836"/>
    <w:rsid w:val="00071E35"/>
    <w:rsid w:val="000728A2"/>
    <w:rsid w:val="000728B2"/>
    <w:rsid w:val="00072D93"/>
    <w:rsid w:val="000731C0"/>
    <w:rsid w:val="000759BE"/>
    <w:rsid w:val="00076373"/>
    <w:rsid w:val="000779B1"/>
    <w:rsid w:val="00077FE0"/>
    <w:rsid w:val="0008165C"/>
    <w:rsid w:val="0008192A"/>
    <w:rsid w:val="000820EE"/>
    <w:rsid w:val="000840D7"/>
    <w:rsid w:val="0008474E"/>
    <w:rsid w:val="00084999"/>
    <w:rsid w:val="00085506"/>
    <w:rsid w:val="00085C9D"/>
    <w:rsid w:val="0008622F"/>
    <w:rsid w:val="0008793A"/>
    <w:rsid w:val="00090755"/>
    <w:rsid w:val="00091225"/>
    <w:rsid w:val="000915AC"/>
    <w:rsid w:val="0009314C"/>
    <w:rsid w:val="000941D9"/>
    <w:rsid w:val="00094439"/>
    <w:rsid w:val="000A22D4"/>
    <w:rsid w:val="000A2B1A"/>
    <w:rsid w:val="000A2FAE"/>
    <w:rsid w:val="000A3E9E"/>
    <w:rsid w:val="000A3F37"/>
    <w:rsid w:val="000A4B39"/>
    <w:rsid w:val="000A4E6C"/>
    <w:rsid w:val="000A5C09"/>
    <w:rsid w:val="000A6141"/>
    <w:rsid w:val="000A6514"/>
    <w:rsid w:val="000A6AC3"/>
    <w:rsid w:val="000A7941"/>
    <w:rsid w:val="000A7A5A"/>
    <w:rsid w:val="000A7C47"/>
    <w:rsid w:val="000B01A2"/>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50FC"/>
    <w:rsid w:val="000C5740"/>
    <w:rsid w:val="000C5A6A"/>
    <w:rsid w:val="000C7FB1"/>
    <w:rsid w:val="000D0267"/>
    <w:rsid w:val="000D048D"/>
    <w:rsid w:val="000D3849"/>
    <w:rsid w:val="000D46C5"/>
    <w:rsid w:val="000D4A27"/>
    <w:rsid w:val="000D4C95"/>
    <w:rsid w:val="000D4D48"/>
    <w:rsid w:val="000D5860"/>
    <w:rsid w:val="000D5DEA"/>
    <w:rsid w:val="000D5E7B"/>
    <w:rsid w:val="000D5EA9"/>
    <w:rsid w:val="000D652B"/>
    <w:rsid w:val="000D7667"/>
    <w:rsid w:val="000D77FF"/>
    <w:rsid w:val="000E08AF"/>
    <w:rsid w:val="000E092B"/>
    <w:rsid w:val="000E0FA6"/>
    <w:rsid w:val="000E16B2"/>
    <w:rsid w:val="000E28EF"/>
    <w:rsid w:val="000E2A0C"/>
    <w:rsid w:val="000E387E"/>
    <w:rsid w:val="000E3BE4"/>
    <w:rsid w:val="000E45DD"/>
    <w:rsid w:val="000E5047"/>
    <w:rsid w:val="000E5E39"/>
    <w:rsid w:val="000E6346"/>
    <w:rsid w:val="000E68BF"/>
    <w:rsid w:val="000E69CF"/>
    <w:rsid w:val="000E6BC0"/>
    <w:rsid w:val="000E716E"/>
    <w:rsid w:val="000F1AA4"/>
    <w:rsid w:val="000F1BD7"/>
    <w:rsid w:val="000F309B"/>
    <w:rsid w:val="000F34D2"/>
    <w:rsid w:val="000F494D"/>
    <w:rsid w:val="000F4B25"/>
    <w:rsid w:val="000F51E0"/>
    <w:rsid w:val="000F62B5"/>
    <w:rsid w:val="000F7405"/>
    <w:rsid w:val="000F74FF"/>
    <w:rsid w:val="000F7CEA"/>
    <w:rsid w:val="001000AB"/>
    <w:rsid w:val="0010031A"/>
    <w:rsid w:val="0010039E"/>
    <w:rsid w:val="00100A48"/>
    <w:rsid w:val="0010231B"/>
    <w:rsid w:val="00102BA3"/>
    <w:rsid w:val="00102D7C"/>
    <w:rsid w:val="001052BA"/>
    <w:rsid w:val="0010613E"/>
    <w:rsid w:val="00106608"/>
    <w:rsid w:val="00106CE4"/>
    <w:rsid w:val="001072A0"/>
    <w:rsid w:val="00107D9F"/>
    <w:rsid w:val="00110228"/>
    <w:rsid w:val="001107EA"/>
    <w:rsid w:val="00112041"/>
    <w:rsid w:val="00112228"/>
    <w:rsid w:val="00112852"/>
    <w:rsid w:val="0011324C"/>
    <w:rsid w:val="0011340A"/>
    <w:rsid w:val="001135FC"/>
    <w:rsid w:val="001151FB"/>
    <w:rsid w:val="00115DB0"/>
    <w:rsid w:val="00116509"/>
    <w:rsid w:val="00120084"/>
    <w:rsid w:val="00120220"/>
    <w:rsid w:val="00120AAE"/>
    <w:rsid w:val="00121FF8"/>
    <w:rsid w:val="001221C5"/>
    <w:rsid w:val="0012478F"/>
    <w:rsid w:val="00125728"/>
    <w:rsid w:val="00125F79"/>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56E79"/>
    <w:rsid w:val="00160C34"/>
    <w:rsid w:val="00161593"/>
    <w:rsid w:val="00161E2A"/>
    <w:rsid w:val="00162C55"/>
    <w:rsid w:val="00162F02"/>
    <w:rsid w:val="001634CF"/>
    <w:rsid w:val="00163B04"/>
    <w:rsid w:val="00163F8E"/>
    <w:rsid w:val="0016420C"/>
    <w:rsid w:val="0016435C"/>
    <w:rsid w:val="00164603"/>
    <w:rsid w:val="001651AF"/>
    <w:rsid w:val="0016569A"/>
    <w:rsid w:val="001665A3"/>
    <w:rsid w:val="00166D25"/>
    <w:rsid w:val="001708D2"/>
    <w:rsid w:val="001711B8"/>
    <w:rsid w:val="0017125B"/>
    <w:rsid w:val="00171C81"/>
    <w:rsid w:val="00171FC5"/>
    <w:rsid w:val="0017292E"/>
    <w:rsid w:val="00173991"/>
    <w:rsid w:val="00174D23"/>
    <w:rsid w:val="00175B5E"/>
    <w:rsid w:val="0018019D"/>
    <w:rsid w:val="00180F6B"/>
    <w:rsid w:val="00181B12"/>
    <w:rsid w:val="001821EA"/>
    <w:rsid w:val="001822DB"/>
    <w:rsid w:val="00182CC5"/>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69A"/>
    <w:rsid w:val="00192FE8"/>
    <w:rsid w:val="001930A7"/>
    <w:rsid w:val="00193633"/>
    <w:rsid w:val="00194067"/>
    <w:rsid w:val="00194786"/>
    <w:rsid w:val="0019681F"/>
    <w:rsid w:val="0019737F"/>
    <w:rsid w:val="00197BA9"/>
    <w:rsid w:val="001A0BB3"/>
    <w:rsid w:val="001A1634"/>
    <w:rsid w:val="001A2B4F"/>
    <w:rsid w:val="001A2BBC"/>
    <w:rsid w:val="001A2C5C"/>
    <w:rsid w:val="001A378C"/>
    <w:rsid w:val="001A4060"/>
    <w:rsid w:val="001A42A3"/>
    <w:rsid w:val="001A5C97"/>
    <w:rsid w:val="001A5EAE"/>
    <w:rsid w:val="001A6804"/>
    <w:rsid w:val="001A69D7"/>
    <w:rsid w:val="001A701E"/>
    <w:rsid w:val="001B0284"/>
    <w:rsid w:val="001B032E"/>
    <w:rsid w:val="001B0487"/>
    <w:rsid w:val="001B0F6A"/>
    <w:rsid w:val="001B12D7"/>
    <w:rsid w:val="001B197D"/>
    <w:rsid w:val="001B19F2"/>
    <w:rsid w:val="001B2DC5"/>
    <w:rsid w:val="001B31AC"/>
    <w:rsid w:val="001B5003"/>
    <w:rsid w:val="001B604C"/>
    <w:rsid w:val="001B6E82"/>
    <w:rsid w:val="001B7196"/>
    <w:rsid w:val="001B7604"/>
    <w:rsid w:val="001B790D"/>
    <w:rsid w:val="001C1018"/>
    <w:rsid w:val="001C1877"/>
    <w:rsid w:val="001C1D82"/>
    <w:rsid w:val="001C2586"/>
    <w:rsid w:val="001C259F"/>
    <w:rsid w:val="001C2745"/>
    <w:rsid w:val="001C3904"/>
    <w:rsid w:val="001C3A94"/>
    <w:rsid w:val="001C3D34"/>
    <w:rsid w:val="001C3EC1"/>
    <w:rsid w:val="001C406E"/>
    <w:rsid w:val="001C467D"/>
    <w:rsid w:val="001C4DB8"/>
    <w:rsid w:val="001C77D7"/>
    <w:rsid w:val="001D0FB2"/>
    <w:rsid w:val="001D1572"/>
    <w:rsid w:val="001D18B0"/>
    <w:rsid w:val="001D2125"/>
    <w:rsid w:val="001D3CC6"/>
    <w:rsid w:val="001D4CBA"/>
    <w:rsid w:val="001D540C"/>
    <w:rsid w:val="001D591E"/>
    <w:rsid w:val="001D5ACA"/>
    <w:rsid w:val="001D5C6A"/>
    <w:rsid w:val="001D6E9E"/>
    <w:rsid w:val="001D7AA1"/>
    <w:rsid w:val="001D7C38"/>
    <w:rsid w:val="001E1AB1"/>
    <w:rsid w:val="001E1B7F"/>
    <w:rsid w:val="001E1C11"/>
    <w:rsid w:val="001E1E64"/>
    <w:rsid w:val="001E3FED"/>
    <w:rsid w:val="001E6363"/>
    <w:rsid w:val="001E7090"/>
    <w:rsid w:val="001E7F8D"/>
    <w:rsid w:val="001F1286"/>
    <w:rsid w:val="001F3298"/>
    <w:rsid w:val="001F56B2"/>
    <w:rsid w:val="001F5945"/>
    <w:rsid w:val="001F7004"/>
    <w:rsid w:val="001F7E34"/>
    <w:rsid w:val="0020034E"/>
    <w:rsid w:val="00201247"/>
    <w:rsid w:val="002023EA"/>
    <w:rsid w:val="00203B04"/>
    <w:rsid w:val="00204900"/>
    <w:rsid w:val="00206145"/>
    <w:rsid w:val="00206C09"/>
    <w:rsid w:val="002074A9"/>
    <w:rsid w:val="00207BBE"/>
    <w:rsid w:val="002101DE"/>
    <w:rsid w:val="00211221"/>
    <w:rsid w:val="002117C8"/>
    <w:rsid w:val="00212F37"/>
    <w:rsid w:val="00213B7F"/>
    <w:rsid w:val="00213F13"/>
    <w:rsid w:val="00214406"/>
    <w:rsid w:val="00214B69"/>
    <w:rsid w:val="00214CAA"/>
    <w:rsid w:val="002157CF"/>
    <w:rsid w:val="0021646F"/>
    <w:rsid w:val="00217C23"/>
    <w:rsid w:val="002205D1"/>
    <w:rsid w:val="002214F0"/>
    <w:rsid w:val="0022163D"/>
    <w:rsid w:val="00222318"/>
    <w:rsid w:val="00222FD0"/>
    <w:rsid w:val="00223B7C"/>
    <w:rsid w:val="00224526"/>
    <w:rsid w:val="00224ED3"/>
    <w:rsid w:val="0022530F"/>
    <w:rsid w:val="00225EDA"/>
    <w:rsid w:val="002274E0"/>
    <w:rsid w:val="002279A5"/>
    <w:rsid w:val="00227BBB"/>
    <w:rsid w:val="00227CE2"/>
    <w:rsid w:val="0023057A"/>
    <w:rsid w:val="0023071D"/>
    <w:rsid w:val="0023170B"/>
    <w:rsid w:val="00232758"/>
    <w:rsid w:val="0023299A"/>
    <w:rsid w:val="0023395F"/>
    <w:rsid w:val="00235256"/>
    <w:rsid w:val="00235947"/>
    <w:rsid w:val="0023766B"/>
    <w:rsid w:val="002413F4"/>
    <w:rsid w:val="002430BB"/>
    <w:rsid w:val="00244787"/>
    <w:rsid w:val="002451D2"/>
    <w:rsid w:val="00245D84"/>
    <w:rsid w:val="00245E87"/>
    <w:rsid w:val="00246A98"/>
    <w:rsid w:val="00247B2A"/>
    <w:rsid w:val="002510AA"/>
    <w:rsid w:val="002518B4"/>
    <w:rsid w:val="00253B51"/>
    <w:rsid w:val="00253DFD"/>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665E"/>
    <w:rsid w:val="00267ABF"/>
    <w:rsid w:val="00267D2E"/>
    <w:rsid w:val="002703E1"/>
    <w:rsid w:val="00270AE6"/>
    <w:rsid w:val="00270FC9"/>
    <w:rsid w:val="002733FB"/>
    <w:rsid w:val="00273A4E"/>
    <w:rsid w:val="00273B72"/>
    <w:rsid w:val="00273DC7"/>
    <w:rsid w:val="00274298"/>
    <w:rsid w:val="00274F89"/>
    <w:rsid w:val="0027606E"/>
    <w:rsid w:val="002768B0"/>
    <w:rsid w:val="00276FD7"/>
    <w:rsid w:val="0028001A"/>
    <w:rsid w:val="00280B5B"/>
    <w:rsid w:val="00282C24"/>
    <w:rsid w:val="00282E76"/>
    <w:rsid w:val="002840C8"/>
    <w:rsid w:val="00284412"/>
    <w:rsid w:val="00284859"/>
    <w:rsid w:val="00284A22"/>
    <w:rsid w:val="002857C1"/>
    <w:rsid w:val="002859B6"/>
    <w:rsid w:val="00285A19"/>
    <w:rsid w:val="00285B59"/>
    <w:rsid w:val="00285B73"/>
    <w:rsid w:val="002901E0"/>
    <w:rsid w:val="00291921"/>
    <w:rsid w:val="00291AD2"/>
    <w:rsid w:val="00291E7D"/>
    <w:rsid w:val="00292233"/>
    <w:rsid w:val="00293BA5"/>
    <w:rsid w:val="00294171"/>
    <w:rsid w:val="00294306"/>
    <w:rsid w:val="00294C50"/>
    <w:rsid w:val="0029673D"/>
    <w:rsid w:val="00296E78"/>
    <w:rsid w:val="00297346"/>
    <w:rsid w:val="002977CA"/>
    <w:rsid w:val="00297D0F"/>
    <w:rsid w:val="00297F38"/>
    <w:rsid w:val="002A01D3"/>
    <w:rsid w:val="002A0F02"/>
    <w:rsid w:val="002A1CA8"/>
    <w:rsid w:val="002A23B7"/>
    <w:rsid w:val="002A2C17"/>
    <w:rsid w:val="002A364D"/>
    <w:rsid w:val="002A44A9"/>
    <w:rsid w:val="002A46AE"/>
    <w:rsid w:val="002A4F84"/>
    <w:rsid w:val="002A5CBE"/>
    <w:rsid w:val="002A5CE7"/>
    <w:rsid w:val="002A6AF5"/>
    <w:rsid w:val="002A791F"/>
    <w:rsid w:val="002A7D78"/>
    <w:rsid w:val="002B04AA"/>
    <w:rsid w:val="002B0630"/>
    <w:rsid w:val="002B0C61"/>
    <w:rsid w:val="002B1AC5"/>
    <w:rsid w:val="002B1B80"/>
    <w:rsid w:val="002B3ECA"/>
    <w:rsid w:val="002B6243"/>
    <w:rsid w:val="002B6288"/>
    <w:rsid w:val="002B63B0"/>
    <w:rsid w:val="002B6AE1"/>
    <w:rsid w:val="002B6D64"/>
    <w:rsid w:val="002B6DCF"/>
    <w:rsid w:val="002C00AC"/>
    <w:rsid w:val="002C0185"/>
    <w:rsid w:val="002C0581"/>
    <w:rsid w:val="002C0F5F"/>
    <w:rsid w:val="002C1CAC"/>
    <w:rsid w:val="002C2EF7"/>
    <w:rsid w:val="002C386F"/>
    <w:rsid w:val="002C3C49"/>
    <w:rsid w:val="002C3CE1"/>
    <w:rsid w:val="002C42E8"/>
    <w:rsid w:val="002C6AD3"/>
    <w:rsid w:val="002C6F61"/>
    <w:rsid w:val="002C728E"/>
    <w:rsid w:val="002C73F5"/>
    <w:rsid w:val="002D31D5"/>
    <w:rsid w:val="002D5862"/>
    <w:rsid w:val="002D6BED"/>
    <w:rsid w:val="002D7B91"/>
    <w:rsid w:val="002E03AD"/>
    <w:rsid w:val="002E0882"/>
    <w:rsid w:val="002E0983"/>
    <w:rsid w:val="002E0A55"/>
    <w:rsid w:val="002E3451"/>
    <w:rsid w:val="002E38C1"/>
    <w:rsid w:val="002E5FF8"/>
    <w:rsid w:val="002E652B"/>
    <w:rsid w:val="002E71FA"/>
    <w:rsid w:val="002F4932"/>
    <w:rsid w:val="002F5CD9"/>
    <w:rsid w:val="002F61AD"/>
    <w:rsid w:val="002F62C0"/>
    <w:rsid w:val="002F6DC9"/>
    <w:rsid w:val="002F6E43"/>
    <w:rsid w:val="002F736A"/>
    <w:rsid w:val="002F7947"/>
    <w:rsid w:val="002F799C"/>
    <w:rsid w:val="00301307"/>
    <w:rsid w:val="0030149C"/>
    <w:rsid w:val="003036DC"/>
    <w:rsid w:val="003043B2"/>
    <w:rsid w:val="00304ACD"/>
    <w:rsid w:val="003060DE"/>
    <w:rsid w:val="00306D02"/>
    <w:rsid w:val="00306F64"/>
    <w:rsid w:val="00306F8D"/>
    <w:rsid w:val="00307D24"/>
    <w:rsid w:val="0031007B"/>
    <w:rsid w:val="0031009F"/>
    <w:rsid w:val="0031153A"/>
    <w:rsid w:val="003118C3"/>
    <w:rsid w:val="003124F7"/>
    <w:rsid w:val="00314A20"/>
    <w:rsid w:val="00315E25"/>
    <w:rsid w:val="003161B5"/>
    <w:rsid w:val="00316220"/>
    <w:rsid w:val="00316DE0"/>
    <w:rsid w:val="00317A88"/>
    <w:rsid w:val="00317ECE"/>
    <w:rsid w:val="0032033D"/>
    <w:rsid w:val="00320689"/>
    <w:rsid w:val="00321652"/>
    <w:rsid w:val="00322A79"/>
    <w:rsid w:val="00322EE3"/>
    <w:rsid w:val="00322FAC"/>
    <w:rsid w:val="003239B9"/>
    <w:rsid w:val="0032454D"/>
    <w:rsid w:val="00325B21"/>
    <w:rsid w:val="003268D0"/>
    <w:rsid w:val="00327B51"/>
    <w:rsid w:val="00330401"/>
    <w:rsid w:val="0033136F"/>
    <w:rsid w:val="00331590"/>
    <w:rsid w:val="0033192A"/>
    <w:rsid w:val="003325BE"/>
    <w:rsid w:val="0033266B"/>
    <w:rsid w:val="00332ACA"/>
    <w:rsid w:val="00332E3F"/>
    <w:rsid w:val="003333A3"/>
    <w:rsid w:val="00334629"/>
    <w:rsid w:val="00334887"/>
    <w:rsid w:val="00334BDE"/>
    <w:rsid w:val="00336291"/>
    <w:rsid w:val="00337C8A"/>
    <w:rsid w:val="003404C3"/>
    <w:rsid w:val="0034188F"/>
    <w:rsid w:val="003427FA"/>
    <w:rsid w:val="00342EB5"/>
    <w:rsid w:val="00343A42"/>
    <w:rsid w:val="00344047"/>
    <w:rsid w:val="003449D6"/>
    <w:rsid w:val="00344B16"/>
    <w:rsid w:val="00344FEB"/>
    <w:rsid w:val="003452F4"/>
    <w:rsid w:val="00346234"/>
    <w:rsid w:val="00346802"/>
    <w:rsid w:val="003476F4"/>
    <w:rsid w:val="0034776E"/>
    <w:rsid w:val="003503D1"/>
    <w:rsid w:val="00352AE9"/>
    <w:rsid w:val="00352FA5"/>
    <w:rsid w:val="003536EC"/>
    <w:rsid w:val="00353728"/>
    <w:rsid w:val="003542E9"/>
    <w:rsid w:val="0035504E"/>
    <w:rsid w:val="00356B27"/>
    <w:rsid w:val="00356C0F"/>
    <w:rsid w:val="00356CDE"/>
    <w:rsid w:val="00356E2D"/>
    <w:rsid w:val="00357A29"/>
    <w:rsid w:val="00357A96"/>
    <w:rsid w:val="00360703"/>
    <w:rsid w:val="00360B97"/>
    <w:rsid w:val="00364218"/>
    <w:rsid w:val="003649C6"/>
    <w:rsid w:val="00364C4B"/>
    <w:rsid w:val="003658FC"/>
    <w:rsid w:val="00367AE5"/>
    <w:rsid w:val="00367BF6"/>
    <w:rsid w:val="003707B5"/>
    <w:rsid w:val="00372C37"/>
    <w:rsid w:val="00372D1F"/>
    <w:rsid w:val="003741E6"/>
    <w:rsid w:val="0037484A"/>
    <w:rsid w:val="003753AB"/>
    <w:rsid w:val="0037595F"/>
    <w:rsid w:val="0037610D"/>
    <w:rsid w:val="0037615E"/>
    <w:rsid w:val="00377149"/>
    <w:rsid w:val="003814E6"/>
    <w:rsid w:val="003816F7"/>
    <w:rsid w:val="00381F32"/>
    <w:rsid w:val="003822DF"/>
    <w:rsid w:val="00382DB2"/>
    <w:rsid w:val="00383F2B"/>
    <w:rsid w:val="00385206"/>
    <w:rsid w:val="00385FED"/>
    <w:rsid w:val="003873AF"/>
    <w:rsid w:val="00387639"/>
    <w:rsid w:val="003901C3"/>
    <w:rsid w:val="003905D3"/>
    <w:rsid w:val="00390EC4"/>
    <w:rsid w:val="0039120B"/>
    <w:rsid w:val="003914E6"/>
    <w:rsid w:val="003922DE"/>
    <w:rsid w:val="00392496"/>
    <w:rsid w:val="003924CF"/>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5E20"/>
    <w:rsid w:val="003C66EE"/>
    <w:rsid w:val="003C6773"/>
    <w:rsid w:val="003C77E0"/>
    <w:rsid w:val="003D0156"/>
    <w:rsid w:val="003D0473"/>
    <w:rsid w:val="003D06ED"/>
    <w:rsid w:val="003D0D8C"/>
    <w:rsid w:val="003D16BF"/>
    <w:rsid w:val="003D2384"/>
    <w:rsid w:val="003D2828"/>
    <w:rsid w:val="003D28F5"/>
    <w:rsid w:val="003D4323"/>
    <w:rsid w:val="003D544F"/>
    <w:rsid w:val="003D545D"/>
    <w:rsid w:val="003E184C"/>
    <w:rsid w:val="003E289A"/>
    <w:rsid w:val="003E28A0"/>
    <w:rsid w:val="003E3C72"/>
    <w:rsid w:val="003E52F0"/>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06AA"/>
    <w:rsid w:val="0043173A"/>
    <w:rsid w:val="0043175C"/>
    <w:rsid w:val="00431CA9"/>
    <w:rsid w:val="004327BC"/>
    <w:rsid w:val="004333D4"/>
    <w:rsid w:val="00433D48"/>
    <w:rsid w:val="00434C26"/>
    <w:rsid w:val="004400C8"/>
    <w:rsid w:val="00440884"/>
    <w:rsid w:val="00442B8D"/>
    <w:rsid w:val="004435AF"/>
    <w:rsid w:val="00444495"/>
    <w:rsid w:val="00444F75"/>
    <w:rsid w:val="0044714D"/>
    <w:rsid w:val="00451FC2"/>
    <w:rsid w:val="00452C3B"/>
    <w:rsid w:val="00452ED7"/>
    <w:rsid w:val="00453430"/>
    <w:rsid w:val="004534BC"/>
    <w:rsid w:val="00453CB5"/>
    <w:rsid w:val="00454285"/>
    <w:rsid w:val="0045525C"/>
    <w:rsid w:val="0045580D"/>
    <w:rsid w:val="00455E02"/>
    <w:rsid w:val="0045621C"/>
    <w:rsid w:val="00456623"/>
    <w:rsid w:val="004571E5"/>
    <w:rsid w:val="004574D6"/>
    <w:rsid w:val="0046030E"/>
    <w:rsid w:val="0046062C"/>
    <w:rsid w:val="00460674"/>
    <w:rsid w:val="00460A66"/>
    <w:rsid w:val="00463C66"/>
    <w:rsid w:val="00464113"/>
    <w:rsid w:val="00465598"/>
    <w:rsid w:val="00466DBC"/>
    <w:rsid w:val="00467632"/>
    <w:rsid w:val="00470005"/>
    <w:rsid w:val="004718A7"/>
    <w:rsid w:val="00471A7D"/>
    <w:rsid w:val="00471B91"/>
    <w:rsid w:val="00472199"/>
    <w:rsid w:val="00472329"/>
    <w:rsid w:val="00472667"/>
    <w:rsid w:val="00472FB1"/>
    <w:rsid w:val="004745FD"/>
    <w:rsid w:val="0047570D"/>
    <w:rsid w:val="00477627"/>
    <w:rsid w:val="00480B35"/>
    <w:rsid w:val="00480D8C"/>
    <w:rsid w:val="0048253E"/>
    <w:rsid w:val="00482A9D"/>
    <w:rsid w:val="00482E7C"/>
    <w:rsid w:val="0048306F"/>
    <w:rsid w:val="00483273"/>
    <w:rsid w:val="0048350E"/>
    <w:rsid w:val="004843BC"/>
    <w:rsid w:val="004849BD"/>
    <w:rsid w:val="00485F2C"/>
    <w:rsid w:val="00486519"/>
    <w:rsid w:val="0048676E"/>
    <w:rsid w:val="00486A4E"/>
    <w:rsid w:val="00486FE9"/>
    <w:rsid w:val="004875F4"/>
    <w:rsid w:val="0048790C"/>
    <w:rsid w:val="00487E95"/>
    <w:rsid w:val="004905F8"/>
    <w:rsid w:val="00491CE6"/>
    <w:rsid w:val="004927B0"/>
    <w:rsid w:val="00493B22"/>
    <w:rsid w:val="00493D3F"/>
    <w:rsid w:val="00493F19"/>
    <w:rsid w:val="00493FAD"/>
    <w:rsid w:val="00494980"/>
    <w:rsid w:val="00495278"/>
    <w:rsid w:val="00495355"/>
    <w:rsid w:val="004954E9"/>
    <w:rsid w:val="004968C8"/>
    <w:rsid w:val="00496961"/>
    <w:rsid w:val="00497815"/>
    <w:rsid w:val="004979CC"/>
    <w:rsid w:val="004A0005"/>
    <w:rsid w:val="004A0816"/>
    <w:rsid w:val="004A2F87"/>
    <w:rsid w:val="004A4825"/>
    <w:rsid w:val="004A4D76"/>
    <w:rsid w:val="004A6165"/>
    <w:rsid w:val="004B2AA5"/>
    <w:rsid w:val="004B47C0"/>
    <w:rsid w:val="004B4BBC"/>
    <w:rsid w:val="004B62DE"/>
    <w:rsid w:val="004B632A"/>
    <w:rsid w:val="004B6EE4"/>
    <w:rsid w:val="004B7F95"/>
    <w:rsid w:val="004C0594"/>
    <w:rsid w:val="004C0A98"/>
    <w:rsid w:val="004C140F"/>
    <w:rsid w:val="004C142D"/>
    <w:rsid w:val="004C158F"/>
    <w:rsid w:val="004C15D1"/>
    <w:rsid w:val="004C1640"/>
    <w:rsid w:val="004C1E1C"/>
    <w:rsid w:val="004C211F"/>
    <w:rsid w:val="004C23E6"/>
    <w:rsid w:val="004C5448"/>
    <w:rsid w:val="004C5FEA"/>
    <w:rsid w:val="004C6B53"/>
    <w:rsid w:val="004C70DA"/>
    <w:rsid w:val="004C7286"/>
    <w:rsid w:val="004C728C"/>
    <w:rsid w:val="004D044B"/>
    <w:rsid w:val="004D0C16"/>
    <w:rsid w:val="004D1017"/>
    <w:rsid w:val="004D14AB"/>
    <w:rsid w:val="004D2756"/>
    <w:rsid w:val="004D2D29"/>
    <w:rsid w:val="004D3289"/>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3CEB"/>
    <w:rsid w:val="004E4361"/>
    <w:rsid w:val="004E467F"/>
    <w:rsid w:val="004E4DD0"/>
    <w:rsid w:val="004E5A90"/>
    <w:rsid w:val="004E6249"/>
    <w:rsid w:val="004E6CFE"/>
    <w:rsid w:val="004E6E54"/>
    <w:rsid w:val="004F0591"/>
    <w:rsid w:val="004F0A8F"/>
    <w:rsid w:val="004F1203"/>
    <w:rsid w:val="004F3B7A"/>
    <w:rsid w:val="004F3C18"/>
    <w:rsid w:val="004F42B6"/>
    <w:rsid w:val="004F450A"/>
    <w:rsid w:val="004F4B1C"/>
    <w:rsid w:val="004F5915"/>
    <w:rsid w:val="004F65ED"/>
    <w:rsid w:val="004F6829"/>
    <w:rsid w:val="00500509"/>
    <w:rsid w:val="00500E2A"/>
    <w:rsid w:val="0050279C"/>
    <w:rsid w:val="00503BC7"/>
    <w:rsid w:val="00504F79"/>
    <w:rsid w:val="00505896"/>
    <w:rsid w:val="005062C6"/>
    <w:rsid w:val="00506684"/>
    <w:rsid w:val="00506721"/>
    <w:rsid w:val="005067E6"/>
    <w:rsid w:val="00507313"/>
    <w:rsid w:val="005077A3"/>
    <w:rsid w:val="005101DC"/>
    <w:rsid w:val="005113A3"/>
    <w:rsid w:val="00511402"/>
    <w:rsid w:val="0051199B"/>
    <w:rsid w:val="005134D4"/>
    <w:rsid w:val="00513C55"/>
    <w:rsid w:val="0051452F"/>
    <w:rsid w:val="0051581E"/>
    <w:rsid w:val="00516796"/>
    <w:rsid w:val="00516B63"/>
    <w:rsid w:val="0051704F"/>
    <w:rsid w:val="00520598"/>
    <w:rsid w:val="00520D45"/>
    <w:rsid w:val="00522400"/>
    <w:rsid w:val="005224B0"/>
    <w:rsid w:val="005232B1"/>
    <w:rsid w:val="005243A8"/>
    <w:rsid w:val="005244E2"/>
    <w:rsid w:val="005248FE"/>
    <w:rsid w:val="00525F66"/>
    <w:rsid w:val="0053127B"/>
    <w:rsid w:val="005314B0"/>
    <w:rsid w:val="00531545"/>
    <w:rsid w:val="0053193A"/>
    <w:rsid w:val="00531AA2"/>
    <w:rsid w:val="00532C21"/>
    <w:rsid w:val="00532C23"/>
    <w:rsid w:val="0053378F"/>
    <w:rsid w:val="00534259"/>
    <w:rsid w:val="0053439E"/>
    <w:rsid w:val="00534F85"/>
    <w:rsid w:val="00535915"/>
    <w:rsid w:val="00535E76"/>
    <w:rsid w:val="005363BD"/>
    <w:rsid w:val="0053695B"/>
    <w:rsid w:val="005369FC"/>
    <w:rsid w:val="00536C3A"/>
    <w:rsid w:val="005374BC"/>
    <w:rsid w:val="0053755B"/>
    <w:rsid w:val="00540197"/>
    <w:rsid w:val="00540A06"/>
    <w:rsid w:val="00543846"/>
    <w:rsid w:val="00544D9B"/>
    <w:rsid w:val="00544DBF"/>
    <w:rsid w:val="00545688"/>
    <w:rsid w:val="005472AB"/>
    <w:rsid w:val="00547752"/>
    <w:rsid w:val="0054784D"/>
    <w:rsid w:val="00550658"/>
    <w:rsid w:val="00550B90"/>
    <w:rsid w:val="005516FE"/>
    <w:rsid w:val="00551D5F"/>
    <w:rsid w:val="00553C62"/>
    <w:rsid w:val="0055427F"/>
    <w:rsid w:val="00554377"/>
    <w:rsid w:val="00554633"/>
    <w:rsid w:val="0055491C"/>
    <w:rsid w:val="00554C81"/>
    <w:rsid w:val="00555A71"/>
    <w:rsid w:val="0055632E"/>
    <w:rsid w:val="0056073B"/>
    <w:rsid w:val="00561317"/>
    <w:rsid w:val="005640D8"/>
    <w:rsid w:val="00564856"/>
    <w:rsid w:val="005654A4"/>
    <w:rsid w:val="005656E2"/>
    <w:rsid w:val="00565B2C"/>
    <w:rsid w:val="00565DD4"/>
    <w:rsid w:val="00565E37"/>
    <w:rsid w:val="005663CD"/>
    <w:rsid w:val="005671B2"/>
    <w:rsid w:val="005672DA"/>
    <w:rsid w:val="0056779A"/>
    <w:rsid w:val="00571E26"/>
    <w:rsid w:val="00573627"/>
    <w:rsid w:val="00573C30"/>
    <w:rsid w:val="0057409D"/>
    <w:rsid w:val="005747C1"/>
    <w:rsid w:val="005747F6"/>
    <w:rsid w:val="005757FA"/>
    <w:rsid w:val="0057630C"/>
    <w:rsid w:val="00577B41"/>
    <w:rsid w:val="00580063"/>
    <w:rsid w:val="00580F57"/>
    <w:rsid w:val="00581E16"/>
    <w:rsid w:val="00581F8D"/>
    <w:rsid w:val="0058345B"/>
    <w:rsid w:val="005838AC"/>
    <w:rsid w:val="00584810"/>
    <w:rsid w:val="00584CFB"/>
    <w:rsid w:val="00584D15"/>
    <w:rsid w:val="00584D47"/>
    <w:rsid w:val="005857FE"/>
    <w:rsid w:val="00585AE8"/>
    <w:rsid w:val="00585D4A"/>
    <w:rsid w:val="00585E34"/>
    <w:rsid w:val="0058636E"/>
    <w:rsid w:val="0058661C"/>
    <w:rsid w:val="00587396"/>
    <w:rsid w:val="005876B5"/>
    <w:rsid w:val="0059098F"/>
    <w:rsid w:val="00591A01"/>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10D"/>
    <w:rsid w:val="005B054F"/>
    <w:rsid w:val="005B0899"/>
    <w:rsid w:val="005B0C22"/>
    <w:rsid w:val="005B154B"/>
    <w:rsid w:val="005B274B"/>
    <w:rsid w:val="005B2B1A"/>
    <w:rsid w:val="005B340A"/>
    <w:rsid w:val="005B3633"/>
    <w:rsid w:val="005B4481"/>
    <w:rsid w:val="005B46BB"/>
    <w:rsid w:val="005B5997"/>
    <w:rsid w:val="005B5C49"/>
    <w:rsid w:val="005C0121"/>
    <w:rsid w:val="005C0C50"/>
    <w:rsid w:val="005C0DFC"/>
    <w:rsid w:val="005C0EB2"/>
    <w:rsid w:val="005C15CE"/>
    <w:rsid w:val="005C22EA"/>
    <w:rsid w:val="005C25AF"/>
    <w:rsid w:val="005C2A9E"/>
    <w:rsid w:val="005C3EFD"/>
    <w:rsid w:val="005C4118"/>
    <w:rsid w:val="005C4ADC"/>
    <w:rsid w:val="005C6289"/>
    <w:rsid w:val="005C6BF3"/>
    <w:rsid w:val="005D02A2"/>
    <w:rsid w:val="005D0F9E"/>
    <w:rsid w:val="005D1314"/>
    <w:rsid w:val="005D20D8"/>
    <w:rsid w:val="005D23B7"/>
    <w:rsid w:val="005D2ED0"/>
    <w:rsid w:val="005D3CD6"/>
    <w:rsid w:val="005D43D7"/>
    <w:rsid w:val="005D520B"/>
    <w:rsid w:val="005D6304"/>
    <w:rsid w:val="005D694A"/>
    <w:rsid w:val="005D752C"/>
    <w:rsid w:val="005E0072"/>
    <w:rsid w:val="005E0593"/>
    <w:rsid w:val="005E0C17"/>
    <w:rsid w:val="005E1B90"/>
    <w:rsid w:val="005E2A50"/>
    <w:rsid w:val="005E2B5E"/>
    <w:rsid w:val="005E4B32"/>
    <w:rsid w:val="005E54E1"/>
    <w:rsid w:val="005E55F4"/>
    <w:rsid w:val="005E5647"/>
    <w:rsid w:val="005E564C"/>
    <w:rsid w:val="005E639D"/>
    <w:rsid w:val="005E728F"/>
    <w:rsid w:val="005E77C8"/>
    <w:rsid w:val="005F0001"/>
    <w:rsid w:val="005F0401"/>
    <w:rsid w:val="005F0DDE"/>
    <w:rsid w:val="005F0F57"/>
    <w:rsid w:val="005F1B86"/>
    <w:rsid w:val="005F1D82"/>
    <w:rsid w:val="005F1E73"/>
    <w:rsid w:val="005F2060"/>
    <w:rsid w:val="005F26FC"/>
    <w:rsid w:val="005F46FE"/>
    <w:rsid w:val="005F478A"/>
    <w:rsid w:val="005F59D5"/>
    <w:rsid w:val="005F644C"/>
    <w:rsid w:val="005F6AD5"/>
    <w:rsid w:val="005F77C5"/>
    <w:rsid w:val="005F793E"/>
    <w:rsid w:val="00600378"/>
    <w:rsid w:val="00602152"/>
    <w:rsid w:val="0060363A"/>
    <w:rsid w:val="00603CB9"/>
    <w:rsid w:val="006071F2"/>
    <w:rsid w:val="00607CB7"/>
    <w:rsid w:val="00610D71"/>
    <w:rsid w:val="00610E21"/>
    <w:rsid w:val="00610E68"/>
    <w:rsid w:val="00611995"/>
    <w:rsid w:val="00611D39"/>
    <w:rsid w:val="00611F92"/>
    <w:rsid w:val="00613368"/>
    <w:rsid w:val="00614F7D"/>
    <w:rsid w:val="0061573A"/>
    <w:rsid w:val="006157D9"/>
    <w:rsid w:val="00615B5C"/>
    <w:rsid w:val="00617429"/>
    <w:rsid w:val="006200F8"/>
    <w:rsid w:val="00620417"/>
    <w:rsid w:val="0062156F"/>
    <w:rsid w:val="00621D99"/>
    <w:rsid w:val="00623B11"/>
    <w:rsid w:val="006251FE"/>
    <w:rsid w:val="006258BD"/>
    <w:rsid w:val="00625987"/>
    <w:rsid w:val="00625E52"/>
    <w:rsid w:val="0062744B"/>
    <w:rsid w:val="00627650"/>
    <w:rsid w:val="00627A62"/>
    <w:rsid w:val="00627F55"/>
    <w:rsid w:val="006303D1"/>
    <w:rsid w:val="00630859"/>
    <w:rsid w:val="00630A26"/>
    <w:rsid w:val="00632F5E"/>
    <w:rsid w:val="00634874"/>
    <w:rsid w:val="00634CBD"/>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47778"/>
    <w:rsid w:val="00650576"/>
    <w:rsid w:val="00650EB6"/>
    <w:rsid w:val="00652197"/>
    <w:rsid w:val="00652297"/>
    <w:rsid w:val="00652E87"/>
    <w:rsid w:val="0065351E"/>
    <w:rsid w:val="00653DFD"/>
    <w:rsid w:val="00654BBD"/>
    <w:rsid w:val="006559EA"/>
    <w:rsid w:val="00655D56"/>
    <w:rsid w:val="0065655B"/>
    <w:rsid w:val="00656ECA"/>
    <w:rsid w:val="006615A7"/>
    <w:rsid w:val="006615C2"/>
    <w:rsid w:val="00661FAD"/>
    <w:rsid w:val="00662ACF"/>
    <w:rsid w:val="0066462E"/>
    <w:rsid w:val="00664DD8"/>
    <w:rsid w:val="006659DB"/>
    <w:rsid w:val="00665CC3"/>
    <w:rsid w:val="00667C35"/>
    <w:rsid w:val="00670384"/>
    <w:rsid w:val="00670738"/>
    <w:rsid w:val="00671D7C"/>
    <w:rsid w:val="00672E21"/>
    <w:rsid w:val="00672E58"/>
    <w:rsid w:val="0067359C"/>
    <w:rsid w:val="00673D74"/>
    <w:rsid w:val="00673E18"/>
    <w:rsid w:val="006753F3"/>
    <w:rsid w:val="006760F9"/>
    <w:rsid w:val="00676509"/>
    <w:rsid w:val="006771AB"/>
    <w:rsid w:val="00680245"/>
    <w:rsid w:val="00680F5A"/>
    <w:rsid w:val="00682F34"/>
    <w:rsid w:val="00682FE0"/>
    <w:rsid w:val="006837CE"/>
    <w:rsid w:val="006838D5"/>
    <w:rsid w:val="00684504"/>
    <w:rsid w:val="00684DEC"/>
    <w:rsid w:val="00685B65"/>
    <w:rsid w:val="0068649A"/>
    <w:rsid w:val="006868B9"/>
    <w:rsid w:val="00687CD8"/>
    <w:rsid w:val="006904AE"/>
    <w:rsid w:val="00691302"/>
    <w:rsid w:val="00691486"/>
    <w:rsid w:val="00691A7C"/>
    <w:rsid w:val="00692022"/>
    <w:rsid w:val="00692D14"/>
    <w:rsid w:val="00694DE8"/>
    <w:rsid w:val="00695034"/>
    <w:rsid w:val="006972FB"/>
    <w:rsid w:val="0069736A"/>
    <w:rsid w:val="00697AD0"/>
    <w:rsid w:val="00697D39"/>
    <w:rsid w:val="00697EED"/>
    <w:rsid w:val="006A0128"/>
    <w:rsid w:val="006A0DD8"/>
    <w:rsid w:val="006A1097"/>
    <w:rsid w:val="006A11FB"/>
    <w:rsid w:val="006A13F9"/>
    <w:rsid w:val="006A256E"/>
    <w:rsid w:val="006A272B"/>
    <w:rsid w:val="006A403F"/>
    <w:rsid w:val="006A458E"/>
    <w:rsid w:val="006A4B26"/>
    <w:rsid w:val="006A4C71"/>
    <w:rsid w:val="006A4E43"/>
    <w:rsid w:val="006A5757"/>
    <w:rsid w:val="006A5966"/>
    <w:rsid w:val="006A5CF1"/>
    <w:rsid w:val="006A659D"/>
    <w:rsid w:val="006A6A11"/>
    <w:rsid w:val="006A7453"/>
    <w:rsid w:val="006A79C5"/>
    <w:rsid w:val="006B090C"/>
    <w:rsid w:val="006B0F9B"/>
    <w:rsid w:val="006B1FBD"/>
    <w:rsid w:val="006B2130"/>
    <w:rsid w:val="006B4EDC"/>
    <w:rsid w:val="006B4F8F"/>
    <w:rsid w:val="006B600B"/>
    <w:rsid w:val="006B6F01"/>
    <w:rsid w:val="006B7C73"/>
    <w:rsid w:val="006C01EA"/>
    <w:rsid w:val="006C10B8"/>
    <w:rsid w:val="006C1146"/>
    <w:rsid w:val="006C1ABF"/>
    <w:rsid w:val="006C1E0D"/>
    <w:rsid w:val="006C2E7C"/>
    <w:rsid w:val="006C39BF"/>
    <w:rsid w:val="006C41D0"/>
    <w:rsid w:val="006C47A8"/>
    <w:rsid w:val="006C566A"/>
    <w:rsid w:val="006C63B1"/>
    <w:rsid w:val="006C67C1"/>
    <w:rsid w:val="006C6B4C"/>
    <w:rsid w:val="006C700E"/>
    <w:rsid w:val="006C7F70"/>
    <w:rsid w:val="006D01E1"/>
    <w:rsid w:val="006D15FC"/>
    <w:rsid w:val="006D1AB5"/>
    <w:rsid w:val="006D1F74"/>
    <w:rsid w:val="006D2AFB"/>
    <w:rsid w:val="006D2BDF"/>
    <w:rsid w:val="006D3657"/>
    <w:rsid w:val="006D37EB"/>
    <w:rsid w:val="006D3F33"/>
    <w:rsid w:val="006D4530"/>
    <w:rsid w:val="006D49D3"/>
    <w:rsid w:val="006D4F0A"/>
    <w:rsid w:val="006D5892"/>
    <w:rsid w:val="006D5A28"/>
    <w:rsid w:val="006D647D"/>
    <w:rsid w:val="006D76FF"/>
    <w:rsid w:val="006E0314"/>
    <w:rsid w:val="006E0F0D"/>
    <w:rsid w:val="006E2714"/>
    <w:rsid w:val="006E3A34"/>
    <w:rsid w:val="006E3CBA"/>
    <w:rsid w:val="006E44BE"/>
    <w:rsid w:val="006E4E1B"/>
    <w:rsid w:val="006E52F6"/>
    <w:rsid w:val="006E74B8"/>
    <w:rsid w:val="006E7767"/>
    <w:rsid w:val="006E788B"/>
    <w:rsid w:val="006E7B9F"/>
    <w:rsid w:val="006F1578"/>
    <w:rsid w:val="006F39D8"/>
    <w:rsid w:val="006F3C12"/>
    <w:rsid w:val="006F58DA"/>
    <w:rsid w:val="006F5DC9"/>
    <w:rsid w:val="006F61B1"/>
    <w:rsid w:val="006F6339"/>
    <w:rsid w:val="006F6565"/>
    <w:rsid w:val="00700CC3"/>
    <w:rsid w:val="0070125B"/>
    <w:rsid w:val="00701A83"/>
    <w:rsid w:val="00702895"/>
    <w:rsid w:val="00704813"/>
    <w:rsid w:val="00704F1B"/>
    <w:rsid w:val="0070520E"/>
    <w:rsid w:val="007054E6"/>
    <w:rsid w:val="00705721"/>
    <w:rsid w:val="00706DEC"/>
    <w:rsid w:val="007114C3"/>
    <w:rsid w:val="00711BDA"/>
    <w:rsid w:val="007122E8"/>
    <w:rsid w:val="007125AF"/>
    <w:rsid w:val="007132AB"/>
    <w:rsid w:val="007134F7"/>
    <w:rsid w:val="0071439C"/>
    <w:rsid w:val="007145A9"/>
    <w:rsid w:val="007172E8"/>
    <w:rsid w:val="007177FD"/>
    <w:rsid w:val="00717EEB"/>
    <w:rsid w:val="007200DF"/>
    <w:rsid w:val="007203BA"/>
    <w:rsid w:val="00722948"/>
    <w:rsid w:val="00722F56"/>
    <w:rsid w:val="00723123"/>
    <w:rsid w:val="007235EB"/>
    <w:rsid w:val="00723F80"/>
    <w:rsid w:val="007245D6"/>
    <w:rsid w:val="007248F6"/>
    <w:rsid w:val="00725AA6"/>
    <w:rsid w:val="00727B9A"/>
    <w:rsid w:val="00727D92"/>
    <w:rsid w:val="007319F9"/>
    <w:rsid w:val="00731B29"/>
    <w:rsid w:val="007327EA"/>
    <w:rsid w:val="0073302E"/>
    <w:rsid w:val="007330BC"/>
    <w:rsid w:val="00734900"/>
    <w:rsid w:val="00734C99"/>
    <w:rsid w:val="007353BF"/>
    <w:rsid w:val="00735A84"/>
    <w:rsid w:val="00735D79"/>
    <w:rsid w:val="00736B6D"/>
    <w:rsid w:val="0074043C"/>
    <w:rsid w:val="00740C77"/>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6D4"/>
    <w:rsid w:val="00754731"/>
    <w:rsid w:val="00754812"/>
    <w:rsid w:val="00755728"/>
    <w:rsid w:val="007557B1"/>
    <w:rsid w:val="00755F05"/>
    <w:rsid w:val="00756954"/>
    <w:rsid w:val="00756B11"/>
    <w:rsid w:val="00756C4E"/>
    <w:rsid w:val="00756F59"/>
    <w:rsid w:val="0075753A"/>
    <w:rsid w:val="00760AA6"/>
    <w:rsid w:val="00760F2E"/>
    <w:rsid w:val="00760FCB"/>
    <w:rsid w:val="00761232"/>
    <w:rsid w:val="007612C6"/>
    <w:rsid w:val="007612EC"/>
    <w:rsid w:val="00761962"/>
    <w:rsid w:val="0076309A"/>
    <w:rsid w:val="00764768"/>
    <w:rsid w:val="00765903"/>
    <w:rsid w:val="007663ED"/>
    <w:rsid w:val="00766525"/>
    <w:rsid w:val="00766585"/>
    <w:rsid w:val="007665AF"/>
    <w:rsid w:val="007711D9"/>
    <w:rsid w:val="00771DA0"/>
    <w:rsid w:val="00771FC9"/>
    <w:rsid w:val="00773AA4"/>
    <w:rsid w:val="00773F49"/>
    <w:rsid w:val="00773F9D"/>
    <w:rsid w:val="007746C8"/>
    <w:rsid w:val="007751A7"/>
    <w:rsid w:val="00775AC8"/>
    <w:rsid w:val="00775C08"/>
    <w:rsid w:val="00775FA2"/>
    <w:rsid w:val="00776B79"/>
    <w:rsid w:val="007770F8"/>
    <w:rsid w:val="007771F1"/>
    <w:rsid w:val="00777596"/>
    <w:rsid w:val="00777960"/>
    <w:rsid w:val="00780382"/>
    <w:rsid w:val="00780650"/>
    <w:rsid w:val="007823C3"/>
    <w:rsid w:val="007828C0"/>
    <w:rsid w:val="00785EC4"/>
    <w:rsid w:val="007860B6"/>
    <w:rsid w:val="00787014"/>
    <w:rsid w:val="007906EB"/>
    <w:rsid w:val="00791188"/>
    <w:rsid w:val="007920FE"/>
    <w:rsid w:val="0079380F"/>
    <w:rsid w:val="0079410B"/>
    <w:rsid w:val="00794438"/>
    <w:rsid w:val="0079518B"/>
    <w:rsid w:val="0079577C"/>
    <w:rsid w:val="007965F1"/>
    <w:rsid w:val="00797CEE"/>
    <w:rsid w:val="007A01FE"/>
    <w:rsid w:val="007A03B7"/>
    <w:rsid w:val="007A0BE8"/>
    <w:rsid w:val="007A140D"/>
    <w:rsid w:val="007A1703"/>
    <w:rsid w:val="007A286E"/>
    <w:rsid w:val="007A2907"/>
    <w:rsid w:val="007A3140"/>
    <w:rsid w:val="007A3D9B"/>
    <w:rsid w:val="007A3FC1"/>
    <w:rsid w:val="007A5A29"/>
    <w:rsid w:val="007A68ED"/>
    <w:rsid w:val="007A7B07"/>
    <w:rsid w:val="007B008C"/>
    <w:rsid w:val="007B0489"/>
    <w:rsid w:val="007B0839"/>
    <w:rsid w:val="007B0B7F"/>
    <w:rsid w:val="007B138C"/>
    <w:rsid w:val="007B2DAD"/>
    <w:rsid w:val="007B3D50"/>
    <w:rsid w:val="007B42BF"/>
    <w:rsid w:val="007B4A44"/>
    <w:rsid w:val="007B4D35"/>
    <w:rsid w:val="007B53D1"/>
    <w:rsid w:val="007B57CE"/>
    <w:rsid w:val="007B6820"/>
    <w:rsid w:val="007B693C"/>
    <w:rsid w:val="007B6CDD"/>
    <w:rsid w:val="007C037E"/>
    <w:rsid w:val="007C0B45"/>
    <w:rsid w:val="007C1739"/>
    <w:rsid w:val="007C1FA0"/>
    <w:rsid w:val="007C242F"/>
    <w:rsid w:val="007C3683"/>
    <w:rsid w:val="007C4006"/>
    <w:rsid w:val="007C4268"/>
    <w:rsid w:val="007C5BD8"/>
    <w:rsid w:val="007C635F"/>
    <w:rsid w:val="007D092D"/>
    <w:rsid w:val="007D0930"/>
    <w:rsid w:val="007D192B"/>
    <w:rsid w:val="007D22B4"/>
    <w:rsid w:val="007D28B7"/>
    <w:rsid w:val="007D3491"/>
    <w:rsid w:val="007D354C"/>
    <w:rsid w:val="007D3D6D"/>
    <w:rsid w:val="007D48DC"/>
    <w:rsid w:val="007D5474"/>
    <w:rsid w:val="007D5C59"/>
    <w:rsid w:val="007E04D4"/>
    <w:rsid w:val="007E2A2A"/>
    <w:rsid w:val="007E38FB"/>
    <w:rsid w:val="007E45E5"/>
    <w:rsid w:val="007E5321"/>
    <w:rsid w:val="007E7384"/>
    <w:rsid w:val="007E7455"/>
    <w:rsid w:val="007F0C16"/>
    <w:rsid w:val="007F0EE6"/>
    <w:rsid w:val="007F1297"/>
    <w:rsid w:val="007F129C"/>
    <w:rsid w:val="007F2F8B"/>
    <w:rsid w:val="007F5746"/>
    <w:rsid w:val="007F67C7"/>
    <w:rsid w:val="007F6CEF"/>
    <w:rsid w:val="007F6E37"/>
    <w:rsid w:val="007F7AAC"/>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22EA"/>
    <w:rsid w:val="00813D1E"/>
    <w:rsid w:val="00813F4B"/>
    <w:rsid w:val="00814B4D"/>
    <w:rsid w:val="0081613E"/>
    <w:rsid w:val="00817047"/>
    <w:rsid w:val="008177A2"/>
    <w:rsid w:val="0082176F"/>
    <w:rsid w:val="0082199C"/>
    <w:rsid w:val="008226E1"/>
    <w:rsid w:val="008237C2"/>
    <w:rsid w:val="00824777"/>
    <w:rsid w:val="00825A5E"/>
    <w:rsid w:val="00826985"/>
    <w:rsid w:val="008269E9"/>
    <w:rsid w:val="00826D88"/>
    <w:rsid w:val="00830620"/>
    <w:rsid w:val="008307C1"/>
    <w:rsid w:val="00830DDC"/>
    <w:rsid w:val="00831282"/>
    <w:rsid w:val="0083230A"/>
    <w:rsid w:val="008323B2"/>
    <w:rsid w:val="008341B6"/>
    <w:rsid w:val="00834E25"/>
    <w:rsid w:val="00834F37"/>
    <w:rsid w:val="008361E1"/>
    <w:rsid w:val="00836211"/>
    <w:rsid w:val="00836389"/>
    <w:rsid w:val="0084111C"/>
    <w:rsid w:val="0084226D"/>
    <w:rsid w:val="00843074"/>
    <w:rsid w:val="008436D3"/>
    <w:rsid w:val="00844137"/>
    <w:rsid w:val="008447E6"/>
    <w:rsid w:val="00845548"/>
    <w:rsid w:val="00845CF8"/>
    <w:rsid w:val="0084686E"/>
    <w:rsid w:val="00846A75"/>
    <w:rsid w:val="00847933"/>
    <w:rsid w:val="0085019F"/>
    <w:rsid w:val="008502A9"/>
    <w:rsid w:val="0085070C"/>
    <w:rsid w:val="00850CA7"/>
    <w:rsid w:val="0085207D"/>
    <w:rsid w:val="00852796"/>
    <w:rsid w:val="0085341F"/>
    <w:rsid w:val="00853875"/>
    <w:rsid w:val="0085389A"/>
    <w:rsid w:val="00854111"/>
    <w:rsid w:val="008543DC"/>
    <w:rsid w:val="00854489"/>
    <w:rsid w:val="008551A7"/>
    <w:rsid w:val="0085570B"/>
    <w:rsid w:val="00855992"/>
    <w:rsid w:val="0085754C"/>
    <w:rsid w:val="00860039"/>
    <w:rsid w:val="008606B9"/>
    <w:rsid w:val="00861752"/>
    <w:rsid w:val="00861B69"/>
    <w:rsid w:val="00861D56"/>
    <w:rsid w:val="00862143"/>
    <w:rsid w:val="008627A3"/>
    <w:rsid w:val="008628AB"/>
    <w:rsid w:val="00862FE9"/>
    <w:rsid w:val="00863767"/>
    <w:rsid w:val="00863A24"/>
    <w:rsid w:val="00863A71"/>
    <w:rsid w:val="00865136"/>
    <w:rsid w:val="00865910"/>
    <w:rsid w:val="00865EE9"/>
    <w:rsid w:val="008660D4"/>
    <w:rsid w:val="00870E1D"/>
    <w:rsid w:val="00871DA2"/>
    <w:rsid w:val="00871FCF"/>
    <w:rsid w:val="008721B8"/>
    <w:rsid w:val="008750A5"/>
    <w:rsid w:val="00876030"/>
    <w:rsid w:val="008779D5"/>
    <w:rsid w:val="008779E5"/>
    <w:rsid w:val="0088037D"/>
    <w:rsid w:val="00880860"/>
    <w:rsid w:val="00881023"/>
    <w:rsid w:val="008810FA"/>
    <w:rsid w:val="00881396"/>
    <w:rsid w:val="00881459"/>
    <w:rsid w:val="0088199F"/>
    <w:rsid w:val="00882AFC"/>
    <w:rsid w:val="00883710"/>
    <w:rsid w:val="00883783"/>
    <w:rsid w:val="008837F3"/>
    <w:rsid w:val="008839F8"/>
    <w:rsid w:val="00884153"/>
    <w:rsid w:val="00884A05"/>
    <w:rsid w:val="008860C0"/>
    <w:rsid w:val="008873FB"/>
    <w:rsid w:val="008902E6"/>
    <w:rsid w:val="00890C73"/>
    <w:rsid w:val="00891051"/>
    <w:rsid w:val="00892432"/>
    <w:rsid w:val="00892829"/>
    <w:rsid w:val="008930DB"/>
    <w:rsid w:val="00893ED2"/>
    <w:rsid w:val="008940AB"/>
    <w:rsid w:val="00894285"/>
    <w:rsid w:val="0089522A"/>
    <w:rsid w:val="008966DB"/>
    <w:rsid w:val="008975C2"/>
    <w:rsid w:val="008A13A1"/>
    <w:rsid w:val="008A1CA0"/>
    <w:rsid w:val="008A5244"/>
    <w:rsid w:val="008A79C9"/>
    <w:rsid w:val="008B2F8A"/>
    <w:rsid w:val="008B3B43"/>
    <w:rsid w:val="008B3BA6"/>
    <w:rsid w:val="008B3F7B"/>
    <w:rsid w:val="008B4C21"/>
    <w:rsid w:val="008B5064"/>
    <w:rsid w:val="008B5523"/>
    <w:rsid w:val="008C0A95"/>
    <w:rsid w:val="008C245D"/>
    <w:rsid w:val="008C2F6D"/>
    <w:rsid w:val="008C343B"/>
    <w:rsid w:val="008C3A3B"/>
    <w:rsid w:val="008C4702"/>
    <w:rsid w:val="008C50F9"/>
    <w:rsid w:val="008C526E"/>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E67F1"/>
    <w:rsid w:val="008E7731"/>
    <w:rsid w:val="008F3180"/>
    <w:rsid w:val="008F35C0"/>
    <w:rsid w:val="008F3634"/>
    <w:rsid w:val="008F421E"/>
    <w:rsid w:val="008F422C"/>
    <w:rsid w:val="008F50F8"/>
    <w:rsid w:val="008F51FC"/>
    <w:rsid w:val="008F56BC"/>
    <w:rsid w:val="008F6B3C"/>
    <w:rsid w:val="0090123D"/>
    <w:rsid w:val="009017D7"/>
    <w:rsid w:val="00902A01"/>
    <w:rsid w:val="00903D2C"/>
    <w:rsid w:val="00905BB2"/>
    <w:rsid w:val="00906672"/>
    <w:rsid w:val="00906989"/>
    <w:rsid w:val="00907DB1"/>
    <w:rsid w:val="009102E2"/>
    <w:rsid w:val="00911E33"/>
    <w:rsid w:val="009133D1"/>
    <w:rsid w:val="009134F7"/>
    <w:rsid w:val="00914FFD"/>
    <w:rsid w:val="00915114"/>
    <w:rsid w:val="009151C0"/>
    <w:rsid w:val="0091522E"/>
    <w:rsid w:val="009213AB"/>
    <w:rsid w:val="00922254"/>
    <w:rsid w:val="0092449D"/>
    <w:rsid w:val="0092482D"/>
    <w:rsid w:val="0092551E"/>
    <w:rsid w:val="00925949"/>
    <w:rsid w:val="00925F5B"/>
    <w:rsid w:val="00925F94"/>
    <w:rsid w:val="0092713F"/>
    <w:rsid w:val="009304BF"/>
    <w:rsid w:val="009307D7"/>
    <w:rsid w:val="00930E42"/>
    <w:rsid w:val="00930E5E"/>
    <w:rsid w:val="009311BA"/>
    <w:rsid w:val="00931409"/>
    <w:rsid w:val="00931DE6"/>
    <w:rsid w:val="009330ED"/>
    <w:rsid w:val="009342E6"/>
    <w:rsid w:val="00934393"/>
    <w:rsid w:val="00934ACE"/>
    <w:rsid w:val="00935177"/>
    <w:rsid w:val="00936CAE"/>
    <w:rsid w:val="0094128B"/>
    <w:rsid w:val="009433FD"/>
    <w:rsid w:val="00943C34"/>
    <w:rsid w:val="00945993"/>
    <w:rsid w:val="0094628D"/>
    <w:rsid w:val="00946312"/>
    <w:rsid w:val="009463C0"/>
    <w:rsid w:val="009469F4"/>
    <w:rsid w:val="00946C49"/>
    <w:rsid w:val="0095142E"/>
    <w:rsid w:val="00951E18"/>
    <w:rsid w:val="009522D6"/>
    <w:rsid w:val="0095370A"/>
    <w:rsid w:val="0095439F"/>
    <w:rsid w:val="0095469D"/>
    <w:rsid w:val="00955158"/>
    <w:rsid w:val="009552CA"/>
    <w:rsid w:val="00955361"/>
    <w:rsid w:val="009569EF"/>
    <w:rsid w:val="00956DC6"/>
    <w:rsid w:val="00957085"/>
    <w:rsid w:val="00957633"/>
    <w:rsid w:val="00963AC6"/>
    <w:rsid w:val="009647A2"/>
    <w:rsid w:val="0096492D"/>
    <w:rsid w:val="00964BBB"/>
    <w:rsid w:val="00964C87"/>
    <w:rsid w:val="00965030"/>
    <w:rsid w:val="0096631A"/>
    <w:rsid w:val="009667C4"/>
    <w:rsid w:val="00966ADA"/>
    <w:rsid w:val="00966BB1"/>
    <w:rsid w:val="00967CFF"/>
    <w:rsid w:val="009714C8"/>
    <w:rsid w:val="00971806"/>
    <w:rsid w:val="00971B8A"/>
    <w:rsid w:val="00972AF4"/>
    <w:rsid w:val="009731D8"/>
    <w:rsid w:val="00974727"/>
    <w:rsid w:val="0097530B"/>
    <w:rsid w:val="009756EF"/>
    <w:rsid w:val="00976E82"/>
    <w:rsid w:val="00977070"/>
    <w:rsid w:val="009771ED"/>
    <w:rsid w:val="009772C9"/>
    <w:rsid w:val="009802A0"/>
    <w:rsid w:val="00980790"/>
    <w:rsid w:val="00981A39"/>
    <w:rsid w:val="0098207C"/>
    <w:rsid w:val="0098245F"/>
    <w:rsid w:val="009829EE"/>
    <w:rsid w:val="00982A5E"/>
    <w:rsid w:val="009834B5"/>
    <w:rsid w:val="0098415C"/>
    <w:rsid w:val="00984606"/>
    <w:rsid w:val="00984A76"/>
    <w:rsid w:val="00985BDE"/>
    <w:rsid w:val="00985D25"/>
    <w:rsid w:val="009912B7"/>
    <w:rsid w:val="009924CF"/>
    <w:rsid w:val="00992659"/>
    <w:rsid w:val="009928DD"/>
    <w:rsid w:val="00993015"/>
    <w:rsid w:val="009933D1"/>
    <w:rsid w:val="0099431C"/>
    <w:rsid w:val="00994470"/>
    <w:rsid w:val="009948E5"/>
    <w:rsid w:val="00994D6A"/>
    <w:rsid w:val="00994E9B"/>
    <w:rsid w:val="00997ED3"/>
    <w:rsid w:val="009A0033"/>
    <w:rsid w:val="009A13B4"/>
    <w:rsid w:val="009A19DB"/>
    <w:rsid w:val="009A1E47"/>
    <w:rsid w:val="009A2150"/>
    <w:rsid w:val="009A2934"/>
    <w:rsid w:val="009A2D50"/>
    <w:rsid w:val="009A3C28"/>
    <w:rsid w:val="009A49B5"/>
    <w:rsid w:val="009A5EFC"/>
    <w:rsid w:val="009A5F3B"/>
    <w:rsid w:val="009A6B3F"/>
    <w:rsid w:val="009B07F0"/>
    <w:rsid w:val="009B1228"/>
    <w:rsid w:val="009B1F25"/>
    <w:rsid w:val="009B1FAA"/>
    <w:rsid w:val="009B21B5"/>
    <w:rsid w:val="009B25EC"/>
    <w:rsid w:val="009B3DBB"/>
    <w:rsid w:val="009B42CA"/>
    <w:rsid w:val="009B5438"/>
    <w:rsid w:val="009B5502"/>
    <w:rsid w:val="009B5AC0"/>
    <w:rsid w:val="009B7A42"/>
    <w:rsid w:val="009B7CDD"/>
    <w:rsid w:val="009C08E7"/>
    <w:rsid w:val="009C0B87"/>
    <w:rsid w:val="009C0FB9"/>
    <w:rsid w:val="009C179D"/>
    <w:rsid w:val="009C1BB4"/>
    <w:rsid w:val="009C2005"/>
    <w:rsid w:val="009C20B6"/>
    <w:rsid w:val="009C22EC"/>
    <w:rsid w:val="009C292C"/>
    <w:rsid w:val="009C2DB2"/>
    <w:rsid w:val="009C3BCE"/>
    <w:rsid w:val="009C4A4F"/>
    <w:rsid w:val="009C62B6"/>
    <w:rsid w:val="009C7A68"/>
    <w:rsid w:val="009C7BFC"/>
    <w:rsid w:val="009D01A4"/>
    <w:rsid w:val="009D07BA"/>
    <w:rsid w:val="009D0A48"/>
    <w:rsid w:val="009D1051"/>
    <w:rsid w:val="009D1E3E"/>
    <w:rsid w:val="009D2454"/>
    <w:rsid w:val="009D263A"/>
    <w:rsid w:val="009D2DA8"/>
    <w:rsid w:val="009D2DBE"/>
    <w:rsid w:val="009D46F1"/>
    <w:rsid w:val="009D4A7C"/>
    <w:rsid w:val="009D4A88"/>
    <w:rsid w:val="009D68F5"/>
    <w:rsid w:val="009D6E90"/>
    <w:rsid w:val="009D7988"/>
    <w:rsid w:val="009D7AE5"/>
    <w:rsid w:val="009E04F1"/>
    <w:rsid w:val="009E0EA2"/>
    <w:rsid w:val="009E1391"/>
    <w:rsid w:val="009E1A7E"/>
    <w:rsid w:val="009E251F"/>
    <w:rsid w:val="009E385D"/>
    <w:rsid w:val="009E532D"/>
    <w:rsid w:val="009E57DA"/>
    <w:rsid w:val="009E5993"/>
    <w:rsid w:val="009E671B"/>
    <w:rsid w:val="009E67A7"/>
    <w:rsid w:val="009E7463"/>
    <w:rsid w:val="009E78AA"/>
    <w:rsid w:val="009F0292"/>
    <w:rsid w:val="009F1795"/>
    <w:rsid w:val="009F19F8"/>
    <w:rsid w:val="009F1B83"/>
    <w:rsid w:val="009F2AA5"/>
    <w:rsid w:val="009F34CE"/>
    <w:rsid w:val="009F3923"/>
    <w:rsid w:val="009F4488"/>
    <w:rsid w:val="009F4958"/>
    <w:rsid w:val="009F5DF2"/>
    <w:rsid w:val="009F66BD"/>
    <w:rsid w:val="009F678A"/>
    <w:rsid w:val="009F6873"/>
    <w:rsid w:val="009F7930"/>
    <w:rsid w:val="00A00119"/>
    <w:rsid w:val="00A0114C"/>
    <w:rsid w:val="00A01571"/>
    <w:rsid w:val="00A03A9E"/>
    <w:rsid w:val="00A03D2C"/>
    <w:rsid w:val="00A03E8B"/>
    <w:rsid w:val="00A04582"/>
    <w:rsid w:val="00A04AAF"/>
    <w:rsid w:val="00A0555C"/>
    <w:rsid w:val="00A05A7D"/>
    <w:rsid w:val="00A06E5B"/>
    <w:rsid w:val="00A07150"/>
    <w:rsid w:val="00A0721C"/>
    <w:rsid w:val="00A107FA"/>
    <w:rsid w:val="00A1203C"/>
    <w:rsid w:val="00A1289D"/>
    <w:rsid w:val="00A13F0F"/>
    <w:rsid w:val="00A14542"/>
    <w:rsid w:val="00A1573C"/>
    <w:rsid w:val="00A20257"/>
    <w:rsid w:val="00A204F4"/>
    <w:rsid w:val="00A213CA"/>
    <w:rsid w:val="00A22BA9"/>
    <w:rsid w:val="00A23E9F"/>
    <w:rsid w:val="00A266E6"/>
    <w:rsid w:val="00A26F75"/>
    <w:rsid w:val="00A27B13"/>
    <w:rsid w:val="00A3055C"/>
    <w:rsid w:val="00A30624"/>
    <w:rsid w:val="00A30BFD"/>
    <w:rsid w:val="00A31BCE"/>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7FCF"/>
    <w:rsid w:val="00A50132"/>
    <w:rsid w:val="00A5400A"/>
    <w:rsid w:val="00A5480B"/>
    <w:rsid w:val="00A56649"/>
    <w:rsid w:val="00A5791E"/>
    <w:rsid w:val="00A61551"/>
    <w:rsid w:val="00A61D95"/>
    <w:rsid w:val="00A63AA7"/>
    <w:rsid w:val="00A641D3"/>
    <w:rsid w:val="00A64E34"/>
    <w:rsid w:val="00A66FED"/>
    <w:rsid w:val="00A67A71"/>
    <w:rsid w:val="00A7018F"/>
    <w:rsid w:val="00A70C81"/>
    <w:rsid w:val="00A7282C"/>
    <w:rsid w:val="00A73334"/>
    <w:rsid w:val="00A733BF"/>
    <w:rsid w:val="00A77372"/>
    <w:rsid w:val="00A77F0F"/>
    <w:rsid w:val="00A80397"/>
    <w:rsid w:val="00A80789"/>
    <w:rsid w:val="00A81F6C"/>
    <w:rsid w:val="00A82597"/>
    <w:rsid w:val="00A82901"/>
    <w:rsid w:val="00A82F50"/>
    <w:rsid w:val="00A8339B"/>
    <w:rsid w:val="00A83A41"/>
    <w:rsid w:val="00A83F9D"/>
    <w:rsid w:val="00A8620B"/>
    <w:rsid w:val="00A90E6D"/>
    <w:rsid w:val="00A9157A"/>
    <w:rsid w:val="00A919E9"/>
    <w:rsid w:val="00A925DF"/>
    <w:rsid w:val="00A93EDB"/>
    <w:rsid w:val="00A94C10"/>
    <w:rsid w:val="00A95102"/>
    <w:rsid w:val="00A95515"/>
    <w:rsid w:val="00A957C9"/>
    <w:rsid w:val="00A95F01"/>
    <w:rsid w:val="00A971D1"/>
    <w:rsid w:val="00A97226"/>
    <w:rsid w:val="00A9737C"/>
    <w:rsid w:val="00AA12AB"/>
    <w:rsid w:val="00AA1505"/>
    <w:rsid w:val="00AA1788"/>
    <w:rsid w:val="00AA212C"/>
    <w:rsid w:val="00AA22E2"/>
    <w:rsid w:val="00AA32F8"/>
    <w:rsid w:val="00AA39CC"/>
    <w:rsid w:val="00AA41A0"/>
    <w:rsid w:val="00AA543E"/>
    <w:rsid w:val="00AA5E54"/>
    <w:rsid w:val="00AA6EB5"/>
    <w:rsid w:val="00AB1044"/>
    <w:rsid w:val="00AB21D0"/>
    <w:rsid w:val="00AB3458"/>
    <w:rsid w:val="00AB3C20"/>
    <w:rsid w:val="00AB4AEE"/>
    <w:rsid w:val="00AB4B2D"/>
    <w:rsid w:val="00AB4CB7"/>
    <w:rsid w:val="00AB5B93"/>
    <w:rsid w:val="00AB60BE"/>
    <w:rsid w:val="00AB6961"/>
    <w:rsid w:val="00AB6B19"/>
    <w:rsid w:val="00AB7056"/>
    <w:rsid w:val="00AB7F9F"/>
    <w:rsid w:val="00AC09A2"/>
    <w:rsid w:val="00AC1805"/>
    <w:rsid w:val="00AC1D96"/>
    <w:rsid w:val="00AC1F31"/>
    <w:rsid w:val="00AC3BD9"/>
    <w:rsid w:val="00AC55EB"/>
    <w:rsid w:val="00AC6267"/>
    <w:rsid w:val="00AC7583"/>
    <w:rsid w:val="00AC783B"/>
    <w:rsid w:val="00AD0A42"/>
    <w:rsid w:val="00AD10CE"/>
    <w:rsid w:val="00AD17F8"/>
    <w:rsid w:val="00AD2EDF"/>
    <w:rsid w:val="00AD4720"/>
    <w:rsid w:val="00AD5447"/>
    <w:rsid w:val="00AD656C"/>
    <w:rsid w:val="00AD6CEE"/>
    <w:rsid w:val="00AD72E2"/>
    <w:rsid w:val="00AE02EB"/>
    <w:rsid w:val="00AE07B9"/>
    <w:rsid w:val="00AE2304"/>
    <w:rsid w:val="00AE241B"/>
    <w:rsid w:val="00AE2D4D"/>
    <w:rsid w:val="00AE43EB"/>
    <w:rsid w:val="00AE57C2"/>
    <w:rsid w:val="00AE671E"/>
    <w:rsid w:val="00AE6DF2"/>
    <w:rsid w:val="00AF0472"/>
    <w:rsid w:val="00AF0863"/>
    <w:rsid w:val="00AF0E8F"/>
    <w:rsid w:val="00AF103C"/>
    <w:rsid w:val="00AF226A"/>
    <w:rsid w:val="00AF25FB"/>
    <w:rsid w:val="00AF4A97"/>
    <w:rsid w:val="00AF4BE7"/>
    <w:rsid w:val="00AF78DB"/>
    <w:rsid w:val="00AF7B52"/>
    <w:rsid w:val="00B00A2A"/>
    <w:rsid w:val="00B00E22"/>
    <w:rsid w:val="00B00F4C"/>
    <w:rsid w:val="00B015EE"/>
    <w:rsid w:val="00B01B27"/>
    <w:rsid w:val="00B0235E"/>
    <w:rsid w:val="00B037E3"/>
    <w:rsid w:val="00B040AC"/>
    <w:rsid w:val="00B04424"/>
    <w:rsid w:val="00B05758"/>
    <w:rsid w:val="00B0585F"/>
    <w:rsid w:val="00B05E8E"/>
    <w:rsid w:val="00B06122"/>
    <w:rsid w:val="00B07323"/>
    <w:rsid w:val="00B07701"/>
    <w:rsid w:val="00B07B94"/>
    <w:rsid w:val="00B100E4"/>
    <w:rsid w:val="00B10AB6"/>
    <w:rsid w:val="00B10FF1"/>
    <w:rsid w:val="00B127C8"/>
    <w:rsid w:val="00B13769"/>
    <w:rsid w:val="00B1393A"/>
    <w:rsid w:val="00B14AB0"/>
    <w:rsid w:val="00B153E5"/>
    <w:rsid w:val="00B15634"/>
    <w:rsid w:val="00B16600"/>
    <w:rsid w:val="00B177EC"/>
    <w:rsid w:val="00B22337"/>
    <w:rsid w:val="00B224F9"/>
    <w:rsid w:val="00B22F29"/>
    <w:rsid w:val="00B247AA"/>
    <w:rsid w:val="00B276DA"/>
    <w:rsid w:val="00B27A76"/>
    <w:rsid w:val="00B27DEC"/>
    <w:rsid w:val="00B29BBB"/>
    <w:rsid w:val="00B30348"/>
    <w:rsid w:val="00B304CA"/>
    <w:rsid w:val="00B315AD"/>
    <w:rsid w:val="00B330AE"/>
    <w:rsid w:val="00B3364C"/>
    <w:rsid w:val="00B33C79"/>
    <w:rsid w:val="00B34599"/>
    <w:rsid w:val="00B3518E"/>
    <w:rsid w:val="00B36B73"/>
    <w:rsid w:val="00B4070C"/>
    <w:rsid w:val="00B412A1"/>
    <w:rsid w:val="00B41415"/>
    <w:rsid w:val="00B41597"/>
    <w:rsid w:val="00B41688"/>
    <w:rsid w:val="00B42E72"/>
    <w:rsid w:val="00B43CE1"/>
    <w:rsid w:val="00B43DEC"/>
    <w:rsid w:val="00B43F39"/>
    <w:rsid w:val="00B4463E"/>
    <w:rsid w:val="00B45BEE"/>
    <w:rsid w:val="00B47A21"/>
    <w:rsid w:val="00B519E1"/>
    <w:rsid w:val="00B5279A"/>
    <w:rsid w:val="00B5323A"/>
    <w:rsid w:val="00B53426"/>
    <w:rsid w:val="00B53AA3"/>
    <w:rsid w:val="00B54AA0"/>
    <w:rsid w:val="00B56B46"/>
    <w:rsid w:val="00B56D41"/>
    <w:rsid w:val="00B57375"/>
    <w:rsid w:val="00B57E22"/>
    <w:rsid w:val="00B60765"/>
    <w:rsid w:val="00B614D7"/>
    <w:rsid w:val="00B61754"/>
    <w:rsid w:val="00B61DBC"/>
    <w:rsid w:val="00B628BF"/>
    <w:rsid w:val="00B629E6"/>
    <w:rsid w:val="00B631B0"/>
    <w:rsid w:val="00B64236"/>
    <w:rsid w:val="00B64A9D"/>
    <w:rsid w:val="00B664EF"/>
    <w:rsid w:val="00B70E7E"/>
    <w:rsid w:val="00B71A5B"/>
    <w:rsid w:val="00B72529"/>
    <w:rsid w:val="00B735BA"/>
    <w:rsid w:val="00B7388D"/>
    <w:rsid w:val="00B738B0"/>
    <w:rsid w:val="00B741D0"/>
    <w:rsid w:val="00B74B55"/>
    <w:rsid w:val="00B74F8E"/>
    <w:rsid w:val="00B7503B"/>
    <w:rsid w:val="00B76951"/>
    <w:rsid w:val="00B80406"/>
    <w:rsid w:val="00B80521"/>
    <w:rsid w:val="00B80F5B"/>
    <w:rsid w:val="00B81CA4"/>
    <w:rsid w:val="00B8308C"/>
    <w:rsid w:val="00B8351A"/>
    <w:rsid w:val="00B83554"/>
    <w:rsid w:val="00B83EB5"/>
    <w:rsid w:val="00B85287"/>
    <w:rsid w:val="00B87772"/>
    <w:rsid w:val="00B87DEF"/>
    <w:rsid w:val="00B90616"/>
    <w:rsid w:val="00B91314"/>
    <w:rsid w:val="00B91F37"/>
    <w:rsid w:val="00B920A1"/>
    <w:rsid w:val="00B92D45"/>
    <w:rsid w:val="00B9327B"/>
    <w:rsid w:val="00B9516E"/>
    <w:rsid w:val="00B954F8"/>
    <w:rsid w:val="00B95590"/>
    <w:rsid w:val="00B962BB"/>
    <w:rsid w:val="00B96E0F"/>
    <w:rsid w:val="00BA0726"/>
    <w:rsid w:val="00BA0EF3"/>
    <w:rsid w:val="00BA2185"/>
    <w:rsid w:val="00BA2282"/>
    <w:rsid w:val="00BA2633"/>
    <w:rsid w:val="00BA374D"/>
    <w:rsid w:val="00BA38C9"/>
    <w:rsid w:val="00BA439C"/>
    <w:rsid w:val="00BA47C3"/>
    <w:rsid w:val="00BA5529"/>
    <w:rsid w:val="00BA5928"/>
    <w:rsid w:val="00BA5D62"/>
    <w:rsid w:val="00BA6719"/>
    <w:rsid w:val="00BA72E0"/>
    <w:rsid w:val="00BB3C52"/>
    <w:rsid w:val="00BB4436"/>
    <w:rsid w:val="00BB449E"/>
    <w:rsid w:val="00BB46C4"/>
    <w:rsid w:val="00BB4710"/>
    <w:rsid w:val="00BB4D47"/>
    <w:rsid w:val="00BB5968"/>
    <w:rsid w:val="00BB59CD"/>
    <w:rsid w:val="00BB5A9F"/>
    <w:rsid w:val="00BB600C"/>
    <w:rsid w:val="00BB6BB7"/>
    <w:rsid w:val="00BB7DFC"/>
    <w:rsid w:val="00BB7F65"/>
    <w:rsid w:val="00BC022A"/>
    <w:rsid w:val="00BC054B"/>
    <w:rsid w:val="00BC0768"/>
    <w:rsid w:val="00BC1195"/>
    <w:rsid w:val="00BC14BC"/>
    <w:rsid w:val="00BC1F75"/>
    <w:rsid w:val="00BC2CE6"/>
    <w:rsid w:val="00BC3D1C"/>
    <w:rsid w:val="00BC43FB"/>
    <w:rsid w:val="00BC5CF9"/>
    <w:rsid w:val="00BC6114"/>
    <w:rsid w:val="00BD0046"/>
    <w:rsid w:val="00BD0839"/>
    <w:rsid w:val="00BD0DBA"/>
    <w:rsid w:val="00BD1539"/>
    <w:rsid w:val="00BD172E"/>
    <w:rsid w:val="00BD1DE9"/>
    <w:rsid w:val="00BD1FEE"/>
    <w:rsid w:val="00BD237D"/>
    <w:rsid w:val="00BD2DB7"/>
    <w:rsid w:val="00BD2F19"/>
    <w:rsid w:val="00BD3894"/>
    <w:rsid w:val="00BD3BE4"/>
    <w:rsid w:val="00BD4BCE"/>
    <w:rsid w:val="00BD4E5D"/>
    <w:rsid w:val="00BD4EFD"/>
    <w:rsid w:val="00BD5EF9"/>
    <w:rsid w:val="00BD62EA"/>
    <w:rsid w:val="00BD6671"/>
    <w:rsid w:val="00BD7134"/>
    <w:rsid w:val="00BD7BE9"/>
    <w:rsid w:val="00BE01DD"/>
    <w:rsid w:val="00BE06E1"/>
    <w:rsid w:val="00BE0DA0"/>
    <w:rsid w:val="00BE2AB1"/>
    <w:rsid w:val="00BE3CE8"/>
    <w:rsid w:val="00BE411F"/>
    <w:rsid w:val="00BE4270"/>
    <w:rsid w:val="00BE5426"/>
    <w:rsid w:val="00BE5C69"/>
    <w:rsid w:val="00BE66F8"/>
    <w:rsid w:val="00BE715D"/>
    <w:rsid w:val="00BE7CDD"/>
    <w:rsid w:val="00BF03A1"/>
    <w:rsid w:val="00BF04C1"/>
    <w:rsid w:val="00BF2033"/>
    <w:rsid w:val="00BF26E3"/>
    <w:rsid w:val="00BF2ABC"/>
    <w:rsid w:val="00BF431C"/>
    <w:rsid w:val="00BF442C"/>
    <w:rsid w:val="00BF4A4B"/>
    <w:rsid w:val="00BF4D04"/>
    <w:rsid w:val="00BF63BF"/>
    <w:rsid w:val="00BF6818"/>
    <w:rsid w:val="00BF6855"/>
    <w:rsid w:val="00BF6BFF"/>
    <w:rsid w:val="00C007F4"/>
    <w:rsid w:val="00C01C22"/>
    <w:rsid w:val="00C058BA"/>
    <w:rsid w:val="00C069CA"/>
    <w:rsid w:val="00C06BE6"/>
    <w:rsid w:val="00C078E2"/>
    <w:rsid w:val="00C07B99"/>
    <w:rsid w:val="00C11049"/>
    <w:rsid w:val="00C1185B"/>
    <w:rsid w:val="00C12C54"/>
    <w:rsid w:val="00C14E8F"/>
    <w:rsid w:val="00C1617F"/>
    <w:rsid w:val="00C21E0A"/>
    <w:rsid w:val="00C21F4F"/>
    <w:rsid w:val="00C2241D"/>
    <w:rsid w:val="00C22B50"/>
    <w:rsid w:val="00C235A7"/>
    <w:rsid w:val="00C24068"/>
    <w:rsid w:val="00C24424"/>
    <w:rsid w:val="00C24592"/>
    <w:rsid w:val="00C245E7"/>
    <w:rsid w:val="00C25AE2"/>
    <w:rsid w:val="00C26435"/>
    <w:rsid w:val="00C26B13"/>
    <w:rsid w:val="00C30E22"/>
    <w:rsid w:val="00C30EA5"/>
    <w:rsid w:val="00C31E67"/>
    <w:rsid w:val="00C31EA7"/>
    <w:rsid w:val="00C327B6"/>
    <w:rsid w:val="00C32FE5"/>
    <w:rsid w:val="00C33B48"/>
    <w:rsid w:val="00C33EE7"/>
    <w:rsid w:val="00C3495D"/>
    <w:rsid w:val="00C34D1D"/>
    <w:rsid w:val="00C34D52"/>
    <w:rsid w:val="00C36406"/>
    <w:rsid w:val="00C36C18"/>
    <w:rsid w:val="00C372DD"/>
    <w:rsid w:val="00C3792E"/>
    <w:rsid w:val="00C40EF8"/>
    <w:rsid w:val="00C418D0"/>
    <w:rsid w:val="00C42CE1"/>
    <w:rsid w:val="00C43795"/>
    <w:rsid w:val="00C44092"/>
    <w:rsid w:val="00C4436D"/>
    <w:rsid w:val="00C44513"/>
    <w:rsid w:val="00C44856"/>
    <w:rsid w:val="00C465CF"/>
    <w:rsid w:val="00C47277"/>
    <w:rsid w:val="00C47384"/>
    <w:rsid w:val="00C4790D"/>
    <w:rsid w:val="00C47E15"/>
    <w:rsid w:val="00C503CA"/>
    <w:rsid w:val="00C509D9"/>
    <w:rsid w:val="00C517A1"/>
    <w:rsid w:val="00C52826"/>
    <w:rsid w:val="00C5322D"/>
    <w:rsid w:val="00C544F6"/>
    <w:rsid w:val="00C5465C"/>
    <w:rsid w:val="00C55C42"/>
    <w:rsid w:val="00C567EC"/>
    <w:rsid w:val="00C567F1"/>
    <w:rsid w:val="00C56F79"/>
    <w:rsid w:val="00C577A1"/>
    <w:rsid w:val="00C577EF"/>
    <w:rsid w:val="00C600CF"/>
    <w:rsid w:val="00C60296"/>
    <w:rsid w:val="00C60546"/>
    <w:rsid w:val="00C6375C"/>
    <w:rsid w:val="00C637F3"/>
    <w:rsid w:val="00C64508"/>
    <w:rsid w:val="00C6514E"/>
    <w:rsid w:val="00C705BD"/>
    <w:rsid w:val="00C70BE6"/>
    <w:rsid w:val="00C722AA"/>
    <w:rsid w:val="00C7272D"/>
    <w:rsid w:val="00C73E70"/>
    <w:rsid w:val="00C74683"/>
    <w:rsid w:val="00C75F46"/>
    <w:rsid w:val="00C77EAA"/>
    <w:rsid w:val="00C77F2A"/>
    <w:rsid w:val="00C824AD"/>
    <w:rsid w:val="00C8328F"/>
    <w:rsid w:val="00C8352F"/>
    <w:rsid w:val="00C8399B"/>
    <w:rsid w:val="00C86A98"/>
    <w:rsid w:val="00C905CF"/>
    <w:rsid w:val="00C90697"/>
    <w:rsid w:val="00C90AA3"/>
    <w:rsid w:val="00C91DE8"/>
    <w:rsid w:val="00C92D49"/>
    <w:rsid w:val="00C932C9"/>
    <w:rsid w:val="00C934B5"/>
    <w:rsid w:val="00C93788"/>
    <w:rsid w:val="00C9453B"/>
    <w:rsid w:val="00C95FE6"/>
    <w:rsid w:val="00C96033"/>
    <w:rsid w:val="00C97F61"/>
    <w:rsid w:val="00CA07E1"/>
    <w:rsid w:val="00CA07EB"/>
    <w:rsid w:val="00CA1528"/>
    <w:rsid w:val="00CA2075"/>
    <w:rsid w:val="00CA2465"/>
    <w:rsid w:val="00CA3612"/>
    <w:rsid w:val="00CA3E7A"/>
    <w:rsid w:val="00CA4D5E"/>
    <w:rsid w:val="00CA5031"/>
    <w:rsid w:val="00CA6B8C"/>
    <w:rsid w:val="00CB111D"/>
    <w:rsid w:val="00CB11EB"/>
    <w:rsid w:val="00CB1544"/>
    <w:rsid w:val="00CB1764"/>
    <w:rsid w:val="00CB1BE3"/>
    <w:rsid w:val="00CB1F78"/>
    <w:rsid w:val="00CB2461"/>
    <w:rsid w:val="00CB2790"/>
    <w:rsid w:val="00CB2E8F"/>
    <w:rsid w:val="00CB38A5"/>
    <w:rsid w:val="00CB4531"/>
    <w:rsid w:val="00CB4A35"/>
    <w:rsid w:val="00CB5C26"/>
    <w:rsid w:val="00CB6930"/>
    <w:rsid w:val="00CB6D26"/>
    <w:rsid w:val="00CB72C7"/>
    <w:rsid w:val="00CB7C93"/>
    <w:rsid w:val="00CC05EA"/>
    <w:rsid w:val="00CC2B39"/>
    <w:rsid w:val="00CC33F7"/>
    <w:rsid w:val="00CC34D7"/>
    <w:rsid w:val="00CC4071"/>
    <w:rsid w:val="00CC569F"/>
    <w:rsid w:val="00CC6703"/>
    <w:rsid w:val="00CC6960"/>
    <w:rsid w:val="00CC726B"/>
    <w:rsid w:val="00CD0801"/>
    <w:rsid w:val="00CD099E"/>
    <w:rsid w:val="00CD0F90"/>
    <w:rsid w:val="00CD166C"/>
    <w:rsid w:val="00CD1A34"/>
    <w:rsid w:val="00CD1C0A"/>
    <w:rsid w:val="00CD1F99"/>
    <w:rsid w:val="00CD25DF"/>
    <w:rsid w:val="00CD323D"/>
    <w:rsid w:val="00CD364B"/>
    <w:rsid w:val="00CD3E63"/>
    <w:rsid w:val="00CD4C26"/>
    <w:rsid w:val="00CD54EB"/>
    <w:rsid w:val="00CD598D"/>
    <w:rsid w:val="00CE0D54"/>
    <w:rsid w:val="00CE180C"/>
    <w:rsid w:val="00CE1F57"/>
    <w:rsid w:val="00CE2E2F"/>
    <w:rsid w:val="00CE3BD9"/>
    <w:rsid w:val="00CE3BF7"/>
    <w:rsid w:val="00CE41F6"/>
    <w:rsid w:val="00CE4793"/>
    <w:rsid w:val="00CE5E0B"/>
    <w:rsid w:val="00CE610A"/>
    <w:rsid w:val="00CE643F"/>
    <w:rsid w:val="00CE6445"/>
    <w:rsid w:val="00CE6886"/>
    <w:rsid w:val="00CE7301"/>
    <w:rsid w:val="00CF3BC4"/>
    <w:rsid w:val="00CF47BD"/>
    <w:rsid w:val="00CF4988"/>
    <w:rsid w:val="00CF5598"/>
    <w:rsid w:val="00CF60FF"/>
    <w:rsid w:val="00D0247C"/>
    <w:rsid w:val="00D02684"/>
    <w:rsid w:val="00D02A57"/>
    <w:rsid w:val="00D03C5E"/>
    <w:rsid w:val="00D04EFA"/>
    <w:rsid w:val="00D05B3C"/>
    <w:rsid w:val="00D06096"/>
    <w:rsid w:val="00D110D7"/>
    <w:rsid w:val="00D117EE"/>
    <w:rsid w:val="00D11C6B"/>
    <w:rsid w:val="00D124FC"/>
    <w:rsid w:val="00D13E22"/>
    <w:rsid w:val="00D146BA"/>
    <w:rsid w:val="00D14702"/>
    <w:rsid w:val="00D15CB4"/>
    <w:rsid w:val="00D15F06"/>
    <w:rsid w:val="00D176FC"/>
    <w:rsid w:val="00D17E32"/>
    <w:rsid w:val="00D20DCB"/>
    <w:rsid w:val="00D20DF4"/>
    <w:rsid w:val="00D2109B"/>
    <w:rsid w:val="00D21A5D"/>
    <w:rsid w:val="00D229FB"/>
    <w:rsid w:val="00D22E59"/>
    <w:rsid w:val="00D23EB7"/>
    <w:rsid w:val="00D23EEC"/>
    <w:rsid w:val="00D248D8"/>
    <w:rsid w:val="00D26F3F"/>
    <w:rsid w:val="00D277C6"/>
    <w:rsid w:val="00D30D67"/>
    <w:rsid w:val="00D30F66"/>
    <w:rsid w:val="00D312C1"/>
    <w:rsid w:val="00D31784"/>
    <w:rsid w:val="00D33290"/>
    <w:rsid w:val="00D335C1"/>
    <w:rsid w:val="00D338B0"/>
    <w:rsid w:val="00D344CB"/>
    <w:rsid w:val="00D34605"/>
    <w:rsid w:val="00D3460D"/>
    <w:rsid w:val="00D353AF"/>
    <w:rsid w:val="00D359F1"/>
    <w:rsid w:val="00D35D47"/>
    <w:rsid w:val="00D369A3"/>
    <w:rsid w:val="00D37417"/>
    <w:rsid w:val="00D374B6"/>
    <w:rsid w:val="00D407BD"/>
    <w:rsid w:val="00D41264"/>
    <w:rsid w:val="00D41E9E"/>
    <w:rsid w:val="00D427D8"/>
    <w:rsid w:val="00D430A2"/>
    <w:rsid w:val="00D44D03"/>
    <w:rsid w:val="00D44FBD"/>
    <w:rsid w:val="00D45AF2"/>
    <w:rsid w:val="00D4639E"/>
    <w:rsid w:val="00D47702"/>
    <w:rsid w:val="00D501E0"/>
    <w:rsid w:val="00D503CB"/>
    <w:rsid w:val="00D5046D"/>
    <w:rsid w:val="00D5081F"/>
    <w:rsid w:val="00D51B97"/>
    <w:rsid w:val="00D533B6"/>
    <w:rsid w:val="00D53E62"/>
    <w:rsid w:val="00D542F2"/>
    <w:rsid w:val="00D54625"/>
    <w:rsid w:val="00D5485E"/>
    <w:rsid w:val="00D54AE9"/>
    <w:rsid w:val="00D5697F"/>
    <w:rsid w:val="00D57494"/>
    <w:rsid w:val="00D57AF5"/>
    <w:rsid w:val="00D57F9D"/>
    <w:rsid w:val="00D5C6D6"/>
    <w:rsid w:val="00D60262"/>
    <w:rsid w:val="00D603BC"/>
    <w:rsid w:val="00D60E8C"/>
    <w:rsid w:val="00D634C1"/>
    <w:rsid w:val="00D67985"/>
    <w:rsid w:val="00D706E5"/>
    <w:rsid w:val="00D71A84"/>
    <w:rsid w:val="00D71E33"/>
    <w:rsid w:val="00D72665"/>
    <w:rsid w:val="00D739D5"/>
    <w:rsid w:val="00D73A79"/>
    <w:rsid w:val="00D73A99"/>
    <w:rsid w:val="00D740FF"/>
    <w:rsid w:val="00D77BD9"/>
    <w:rsid w:val="00D810A9"/>
    <w:rsid w:val="00D812A2"/>
    <w:rsid w:val="00D81EE2"/>
    <w:rsid w:val="00D8344B"/>
    <w:rsid w:val="00D8419A"/>
    <w:rsid w:val="00D86723"/>
    <w:rsid w:val="00D867BD"/>
    <w:rsid w:val="00D8693B"/>
    <w:rsid w:val="00D86950"/>
    <w:rsid w:val="00D86FD6"/>
    <w:rsid w:val="00D8775C"/>
    <w:rsid w:val="00D87A24"/>
    <w:rsid w:val="00D87E53"/>
    <w:rsid w:val="00D90799"/>
    <w:rsid w:val="00D93986"/>
    <w:rsid w:val="00D95683"/>
    <w:rsid w:val="00D9703F"/>
    <w:rsid w:val="00D9723A"/>
    <w:rsid w:val="00DA0D20"/>
    <w:rsid w:val="00DA1078"/>
    <w:rsid w:val="00DA3172"/>
    <w:rsid w:val="00DA339C"/>
    <w:rsid w:val="00DA43B8"/>
    <w:rsid w:val="00DA488C"/>
    <w:rsid w:val="00DA4C59"/>
    <w:rsid w:val="00DA6323"/>
    <w:rsid w:val="00DA650B"/>
    <w:rsid w:val="00DA777C"/>
    <w:rsid w:val="00DA7E56"/>
    <w:rsid w:val="00DB14B3"/>
    <w:rsid w:val="00DB2D75"/>
    <w:rsid w:val="00DB3EDA"/>
    <w:rsid w:val="00DB41DD"/>
    <w:rsid w:val="00DB594A"/>
    <w:rsid w:val="00DB6CFE"/>
    <w:rsid w:val="00DB7620"/>
    <w:rsid w:val="00DB7D8F"/>
    <w:rsid w:val="00DC0C9D"/>
    <w:rsid w:val="00DC1A8D"/>
    <w:rsid w:val="00DC1FD3"/>
    <w:rsid w:val="00DC215A"/>
    <w:rsid w:val="00DC26D7"/>
    <w:rsid w:val="00DC271B"/>
    <w:rsid w:val="00DC2D5A"/>
    <w:rsid w:val="00DC3133"/>
    <w:rsid w:val="00DC3D91"/>
    <w:rsid w:val="00DC403E"/>
    <w:rsid w:val="00DC4D30"/>
    <w:rsid w:val="00DC7614"/>
    <w:rsid w:val="00DC791F"/>
    <w:rsid w:val="00DD1A2A"/>
    <w:rsid w:val="00DD1FC0"/>
    <w:rsid w:val="00DD2766"/>
    <w:rsid w:val="00DD2899"/>
    <w:rsid w:val="00DD35BD"/>
    <w:rsid w:val="00DD391A"/>
    <w:rsid w:val="00DD55D2"/>
    <w:rsid w:val="00DD56F7"/>
    <w:rsid w:val="00DD5844"/>
    <w:rsid w:val="00DD5888"/>
    <w:rsid w:val="00DD6140"/>
    <w:rsid w:val="00DD6A66"/>
    <w:rsid w:val="00DD7030"/>
    <w:rsid w:val="00DE0688"/>
    <w:rsid w:val="00DE0955"/>
    <w:rsid w:val="00DE166A"/>
    <w:rsid w:val="00DE24F0"/>
    <w:rsid w:val="00DE3352"/>
    <w:rsid w:val="00DE3474"/>
    <w:rsid w:val="00DE38EC"/>
    <w:rsid w:val="00DE3C32"/>
    <w:rsid w:val="00DE4592"/>
    <w:rsid w:val="00DE4627"/>
    <w:rsid w:val="00DE4BB0"/>
    <w:rsid w:val="00DE4D0F"/>
    <w:rsid w:val="00DE4D1D"/>
    <w:rsid w:val="00DE5AFD"/>
    <w:rsid w:val="00DE5E3E"/>
    <w:rsid w:val="00DE6D29"/>
    <w:rsid w:val="00DE6F78"/>
    <w:rsid w:val="00DF07D4"/>
    <w:rsid w:val="00DF12FC"/>
    <w:rsid w:val="00DF134C"/>
    <w:rsid w:val="00DF310C"/>
    <w:rsid w:val="00DF4574"/>
    <w:rsid w:val="00DF5364"/>
    <w:rsid w:val="00DF5556"/>
    <w:rsid w:val="00DF5786"/>
    <w:rsid w:val="00DF6110"/>
    <w:rsid w:val="00DF620C"/>
    <w:rsid w:val="00DF666C"/>
    <w:rsid w:val="00DF6745"/>
    <w:rsid w:val="00DF6BD8"/>
    <w:rsid w:val="00DF76B5"/>
    <w:rsid w:val="00DF7E1E"/>
    <w:rsid w:val="00E00C2F"/>
    <w:rsid w:val="00E019BA"/>
    <w:rsid w:val="00E02B9C"/>
    <w:rsid w:val="00E03DAD"/>
    <w:rsid w:val="00E040FC"/>
    <w:rsid w:val="00E047E9"/>
    <w:rsid w:val="00E04E95"/>
    <w:rsid w:val="00E0590A"/>
    <w:rsid w:val="00E064BD"/>
    <w:rsid w:val="00E065D7"/>
    <w:rsid w:val="00E06C83"/>
    <w:rsid w:val="00E10AB9"/>
    <w:rsid w:val="00E1116B"/>
    <w:rsid w:val="00E118C7"/>
    <w:rsid w:val="00E11E27"/>
    <w:rsid w:val="00E125AC"/>
    <w:rsid w:val="00E13066"/>
    <w:rsid w:val="00E13397"/>
    <w:rsid w:val="00E14236"/>
    <w:rsid w:val="00E14E31"/>
    <w:rsid w:val="00E14ED2"/>
    <w:rsid w:val="00E152B4"/>
    <w:rsid w:val="00E165B4"/>
    <w:rsid w:val="00E1689A"/>
    <w:rsid w:val="00E1708D"/>
    <w:rsid w:val="00E20111"/>
    <w:rsid w:val="00E207C1"/>
    <w:rsid w:val="00E21200"/>
    <w:rsid w:val="00E2368E"/>
    <w:rsid w:val="00E236C4"/>
    <w:rsid w:val="00E239F0"/>
    <w:rsid w:val="00E27DDF"/>
    <w:rsid w:val="00E301B9"/>
    <w:rsid w:val="00E30D0F"/>
    <w:rsid w:val="00E31CCA"/>
    <w:rsid w:val="00E320FA"/>
    <w:rsid w:val="00E334DD"/>
    <w:rsid w:val="00E3372F"/>
    <w:rsid w:val="00E350B1"/>
    <w:rsid w:val="00E35401"/>
    <w:rsid w:val="00E36C1A"/>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357D"/>
    <w:rsid w:val="00E5405A"/>
    <w:rsid w:val="00E54974"/>
    <w:rsid w:val="00E54F0E"/>
    <w:rsid w:val="00E55926"/>
    <w:rsid w:val="00E5596D"/>
    <w:rsid w:val="00E559E2"/>
    <w:rsid w:val="00E55CFA"/>
    <w:rsid w:val="00E560BA"/>
    <w:rsid w:val="00E57771"/>
    <w:rsid w:val="00E57E81"/>
    <w:rsid w:val="00E6011C"/>
    <w:rsid w:val="00E612D0"/>
    <w:rsid w:val="00E62AD6"/>
    <w:rsid w:val="00E62FE0"/>
    <w:rsid w:val="00E646CA"/>
    <w:rsid w:val="00E65BFB"/>
    <w:rsid w:val="00E66C80"/>
    <w:rsid w:val="00E6756F"/>
    <w:rsid w:val="00E707CA"/>
    <w:rsid w:val="00E7088E"/>
    <w:rsid w:val="00E72955"/>
    <w:rsid w:val="00E730C9"/>
    <w:rsid w:val="00E7392A"/>
    <w:rsid w:val="00E74843"/>
    <w:rsid w:val="00E749E3"/>
    <w:rsid w:val="00E74BD5"/>
    <w:rsid w:val="00E74D02"/>
    <w:rsid w:val="00E74E32"/>
    <w:rsid w:val="00E75139"/>
    <w:rsid w:val="00E761FE"/>
    <w:rsid w:val="00E77DE7"/>
    <w:rsid w:val="00E802EF"/>
    <w:rsid w:val="00E80A44"/>
    <w:rsid w:val="00E82CF0"/>
    <w:rsid w:val="00E85E40"/>
    <w:rsid w:val="00E86A94"/>
    <w:rsid w:val="00E870AB"/>
    <w:rsid w:val="00E87819"/>
    <w:rsid w:val="00E90265"/>
    <w:rsid w:val="00E90615"/>
    <w:rsid w:val="00E91BF7"/>
    <w:rsid w:val="00E91C65"/>
    <w:rsid w:val="00E940B9"/>
    <w:rsid w:val="00E9452A"/>
    <w:rsid w:val="00E94841"/>
    <w:rsid w:val="00E94D13"/>
    <w:rsid w:val="00E95219"/>
    <w:rsid w:val="00E96752"/>
    <w:rsid w:val="00E97920"/>
    <w:rsid w:val="00EA0CEE"/>
    <w:rsid w:val="00EA0E8B"/>
    <w:rsid w:val="00EA1792"/>
    <w:rsid w:val="00EA335A"/>
    <w:rsid w:val="00EA3669"/>
    <w:rsid w:val="00EA4451"/>
    <w:rsid w:val="00EA4DE2"/>
    <w:rsid w:val="00EA552E"/>
    <w:rsid w:val="00EA5601"/>
    <w:rsid w:val="00EA70FD"/>
    <w:rsid w:val="00EA7614"/>
    <w:rsid w:val="00EA76B2"/>
    <w:rsid w:val="00EB0821"/>
    <w:rsid w:val="00EB0A8B"/>
    <w:rsid w:val="00EB2414"/>
    <w:rsid w:val="00EB3960"/>
    <w:rsid w:val="00EB3BA9"/>
    <w:rsid w:val="00EB49FD"/>
    <w:rsid w:val="00EB52EA"/>
    <w:rsid w:val="00EB5619"/>
    <w:rsid w:val="00EB65C1"/>
    <w:rsid w:val="00EB74F8"/>
    <w:rsid w:val="00EB769C"/>
    <w:rsid w:val="00EC0A18"/>
    <w:rsid w:val="00EC1023"/>
    <w:rsid w:val="00EC2386"/>
    <w:rsid w:val="00EC26AC"/>
    <w:rsid w:val="00EC2702"/>
    <w:rsid w:val="00EC2A49"/>
    <w:rsid w:val="00EC2A95"/>
    <w:rsid w:val="00EC2E5C"/>
    <w:rsid w:val="00EC2EA5"/>
    <w:rsid w:val="00EC339A"/>
    <w:rsid w:val="00EC3A56"/>
    <w:rsid w:val="00EC3DE8"/>
    <w:rsid w:val="00EC5390"/>
    <w:rsid w:val="00EC589D"/>
    <w:rsid w:val="00EC65D3"/>
    <w:rsid w:val="00EC6BB0"/>
    <w:rsid w:val="00EC7215"/>
    <w:rsid w:val="00EC7231"/>
    <w:rsid w:val="00EC7322"/>
    <w:rsid w:val="00ED0818"/>
    <w:rsid w:val="00ED081D"/>
    <w:rsid w:val="00ED1252"/>
    <w:rsid w:val="00ED1332"/>
    <w:rsid w:val="00ED157F"/>
    <w:rsid w:val="00ED2634"/>
    <w:rsid w:val="00ED2A79"/>
    <w:rsid w:val="00ED2F97"/>
    <w:rsid w:val="00ED5DCB"/>
    <w:rsid w:val="00ED6218"/>
    <w:rsid w:val="00ED6C0E"/>
    <w:rsid w:val="00ED6D3A"/>
    <w:rsid w:val="00ED6DE9"/>
    <w:rsid w:val="00ED7372"/>
    <w:rsid w:val="00EE13B6"/>
    <w:rsid w:val="00EE1563"/>
    <w:rsid w:val="00EE2AA0"/>
    <w:rsid w:val="00EE2BB0"/>
    <w:rsid w:val="00EE4729"/>
    <w:rsid w:val="00EE566A"/>
    <w:rsid w:val="00EE5837"/>
    <w:rsid w:val="00EE5EF0"/>
    <w:rsid w:val="00EF03AD"/>
    <w:rsid w:val="00EF113D"/>
    <w:rsid w:val="00EF23F6"/>
    <w:rsid w:val="00EF2FBD"/>
    <w:rsid w:val="00EF30C1"/>
    <w:rsid w:val="00EF41C8"/>
    <w:rsid w:val="00EF4894"/>
    <w:rsid w:val="00EF52EE"/>
    <w:rsid w:val="00EF56A6"/>
    <w:rsid w:val="00EF5DFB"/>
    <w:rsid w:val="00EF7B57"/>
    <w:rsid w:val="00F005FE"/>
    <w:rsid w:val="00F00D89"/>
    <w:rsid w:val="00F02CD4"/>
    <w:rsid w:val="00F05612"/>
    <w:rsid w:val="00F0655E"/>
    <w:rsid w:val="00F07BCA"/>
    <w:rsid w:val="00F10203"/>
    <w:rsid w:val="00F10412"/>
    <w:rsid w:val="00F104A0"/>
    <w:rsid w:val="00F10DE4"/>
    <w:rsid w:val="00F12878"/>
    <w:rsid w:val="00F13976"/>
    <w:rsid w:val="00F14791"/>
    <w:rsid w:val="00F15E71"/>
    <w:rsid w:val="00F171DD"/>
    <w:rsid w:val="00F173AF"/>
    <w:rsid w:val="00F17D81"/>
    <w:rsid w:val="00F2096C"/>
    <w:rsid w:val="00F20DC1"/>
    <w:rsid w:val="00F21D2A"/>
    <w:rsid w:val="00F233E7"/>
    <w:rsid w:val="00F23535"/>
    <w:rsid w:val="00F23ECB"/>
    <w:rsid w:val="00F245C3"/>
    <w:rsid w:val="00F257BF"/>
    <w:rsid w:val="00F2661D"/>
    <w:rsid w:val="00F266C4"/>
    <w:rsid w:val="00F279E3"/>
    <w:rsid w:val="00F27B9C"/>
    <w:rsid w:val="00F308AB"/>
    <w:rsid w:val="00F31F21"/>
    <w:rsid w:val="00F31F56"/>
    <w:rsid w:val="00F34BAC"/>
    <w:rsid w:val="00F35D4E"/>
    <w:rsid w:val="00F362F4"/>
    <w:rsid w:val="00F36B32"/>
    <w:rsid w:val="00F3721F"/>
    <w:rsid w:val="00F408A9"/>
    <w:rsid w:val="00F426D4"/>
    <w:rsid w:val="00F43296"/>
    <w:rsid w:val="00F44165"/>
    <w:rsid w:val="00F443BD"/>
    <w:rsid w:val="00F45522"/>
    <w:rsid w:val="00F46409"/>
    <w:rsid w:val="00F464AE"/>
    <w:rsid w:val="00F466B8"/>
    <w:rsid w:val="00F47DA8"/>
    <w:rsid w:val="00F50774"/>
    <w:rsid w:val="00F50E6F"/>
    <w:rsid w:val="00F53489"/>
    <w:rsid w:val="00F5445C"/>
    <w:rsid w:val="00F54926"/>
    <w:rsid w:val="00F54B62"/>
    <w:rsid w:val="00F54B76"/>
    <w:rsid w:val="00F54C32"/>
    <w:rsid w:val="00F55034"/>
    <w:rsid w:val="00F55D6B"/>
    <w:rsid w:val="00F55FFF"/>
    <w:rsid w:val="00F5697C"/>
    <w:rsid w:val="00F574D5"/>
    <w:rsid w:val="00F605F9"/>
    <w:rsid w:val="00F6082D"/>
    <w:rsid w:val="00F61481"/>
    <w:rsid w:val="00F61C33"/>
    <w:rsid w:val="00F62E65"/>
    <w:rsid w:val="00F6354F"/>
    <w:rsid w:val="00F6367E"/>
    <w:rsid w:val="00F64903"/>
    <w:rsid w:val="00F6598A"/>
    <w:rsid w:val="00F6622C"/>
    <w:rsid w:val="00F6689B"/>
    <w:rsid w:val="00F6698C"/>
    <w:rsid w:val="00F67578"/>
    <w:rsid w:val="00F67C93"/>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91B66"/>
    <w:rsid w:val="00F93606"/>
    <w:rsid w:val="00F9472A"/>
    <w:rsid w:val="00F95412"/>
    <w:rsid w:val="00F97889"/>
    <w:rsid w:val="00FA005C"/>
    <w:rsid w:val="00FA04B1"/>
    <w:rsid w:val="00FA0AC0"/>
    <w:rsid w:val="00FA0D06"/>
    <w:rsid w:val="00FA0F24"/>
    <w:rsid w:val="00FA1982"/>
    <w:rsid w:val="00FA19C2"/>
    <w:rsid w:val="00FA23AF"/>
    <w:rsid w:val="00FA297C"/>
    <w:rsid w:val="00FA2E0E"/>
    <w:rsid w:val="00FA5117"/>
    <w:rsid w:val="00FA6229"/>
    <w:rsid w:val="00FA6F69"/>
    <w:rsid w:val="00FA7F9E"/>
    <w:rsid w:val="00FB048D"/>
    <w:rsid w:val="00FB065F"/>
    <w:rsid w:val="00FB0963"/>
    <w:rsid w:val="00FB18F4"/>
    <w:rsid w:val="00FB3569"/>
    <w:rsid w:val="00FB4334"/>
    <w:rsid w:val="00FB7375"/>
    <w:rsid w:val="00FC16A9"/>
    <w:rsid w:val="00FC2518"/>
    <w:rsid w:val="00FC27E9"/>
    <w:rsid w:val="00FC2E1B"/>
    <w:rsid w:val="00FC42D7"/>
    <w:rsid w:val="00FC4A11"/>
    <w:rsid w:val="00FC5A9E"/>
    <w:rsid w:val="00FC6A27"/>
    <w:rsid w:val="00FC6D6F"/>
    <w:rsid w:val="00FC76F6"/>
    <w:rsid w:val="00FC7E52"/>
    <w:rsid w:val="00FD05CA"/>
    <w:rsid w:val="00FD27FA"/>
    <w:rsid w:val="00FD2934"/>
    <w:rsid w:val="00FD2B4C"/>
    <w:rsid w:val="00FD397F"/>
    <w:rsid w:val="00FD4292"/>
    <w:rsid w:val="00FD5008"/>
    <w:rsid w:val="00FD6F4C"/>
    <w:rsid w:val="00FD778D"/>
    <w:rsid w:val="00FE1BC9"/>
    <w:rsid w:val="00FE2A60"/>
    <w:rsid w:val="00FE53B0"/>
    <w:rsid w:val="00FE5882"/>
    <w:rsid w:val="00FE670E"/>
    <w:rsid w:val="00FE6EFC"/>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27F11C"/>
    <w:rsid w:val="0144117D"/>
    <w:rsid w:val="014609D9"/>
    <w:rsid w:val="01940749"/>
    <w:rsid w:val="01DA9506"/>
    <w:rsid w:val="01DCF0E0"/>
    <w:rsid w:val="02177440"/>
    <w:rsid w:val="0236C2C0"/>
    <w:rsid w:val="0266E86B"/>
    <w:rsid w:val="027BEC80"/>
    <w:rsid w:val="029B7D7B"/>
    <w:rsid w:val="02A8B731"/>
    <w:rsid w:val="02D09E76"/>
    <w:rsid w:val="030F1F19"/>
    <w:rsid w:val="032BA92C"/>
    <w:rsid w:val="034B4416"/>
    <w:rsid w:val="03672A75"/>
    <w:rsid w:val="03D947E2"/>
    <w:rsid w:val="03DFD29E"/>
    <w:rsid w:val="03F3152E"/>
    <w:rsid w:val="041D2136"/>
    <w:rsid w:val="0427137D"/>
    <w:rsid w:val="04594EF3"/>
    <w:rsid w:val="0463215A"/>
    <w:rsid w:val="04828E15"/>
    <w:rsid w:val="04B63F4F"/>
    <w:rsid w:val="04F6D237"/>
    <w:rsid w:val="055730CC"/>
    <w:rsid w:val="059AE2A9"/>
    <w:rsid w:val="05FDC2CB"/>
    <w:rsid w:val="0632FCD2"/>
    <w:rsid w:val="063CF83E"/>
    <w:rsid w:val="06446B8C"/>
    <w:rsid w:val="064E8E3F"/>
    <w:rsid w:val="0651C982"/>
    <w:rsid w:val="065C64F9"/>
    <w:rsid w:val="06A0C929"/>
    <w:rsid w:val="06AFB54F"/>
    <w:rsid w:val="06F60DDE"/>
    <w:rsid w:val="0725C495"/>
    <w:rsid w:val="075533B5"/>
    <w:rsid w:val="077D115B"/>
    <w:rsid w:val="07F90ED3"/>
    <w:rsid w:val="0828BE6B"/>
    <w:rsid w:val="083F98C7"/>
    <w:rsid w:val="08473C56"/>
    <w:rsid w:val="0861878D"/>
    <w:rsid w:val="08783D74"/>
    <w:rsid w:val="09367DE7"/>
    <w:rsid w:val="096C65D7"/>
    <w:rsid w:val="09752946"/>
    <w:rsid w:val="09A0FF0A"/>
    <w:rsid w:val="09BE687E"/>
    <w:rsid w:val="0A33A78B"/>
    <w:rsid w:val="0AB175A1"/>
    <w:rsid w:val="0AF88E2F"/>
    <w:rsid w:val="0B103690"/>
    <w:rsid w:val="0B1054CB"/>
    <w:rsid w:val="0B292207"/>
    <w:rsid w:val="0C391661"/>
    <w:rsid w:val="0C681017"/>
    <w:rsid w:val="0CE6C6D2"/>
    <w:rsid w:val="0D172931"/>
    <w:rsid w:val="0D2BFA75"/>
    <w:rsid w:val="0D2D5FBD"/>
    <w:rsid w:val="0D440878"/>
    <w:rsid w:val="0E3F1FAF"/>
    <w:rsid w:val="0EC0BC2F"/>
    <w:rsid w:val="0F5FCC5D"/>
    <w:rsid w:val="0F8D0193"/>
    <w:rsid w:val="0FA4A511"/>
    <w:rsid w:val="1030F000"/>
    <w:rsid w:val="10559C24"/>
    <w:rsid w:val="1068A0BE"/>
    <w:rsid w:val="10AF8292"/>
    <w:rsid w:val="10C77BFF"/>
    <w:rsid w:val="10DF4DB4"/>
    <w:rsid w:val="1139A341"/>
    <w:rsid w:val="1158F1C1"/>
    <w:rsid w:val="116124E4"/>
    <w:rsid w:val="117E7BF5"/>
    <w:rsid w:val="11841A76"/>
    <w:rsid w:val="11F07066"/>
    <w:rsid w:val="1299CAFF"/>
    <w:rsid w:val="12D59147"/>
    <w:rsid w:val="1332C8A5"/>
    <w:rsid w:val="13C97C32"/>
    <w:rsid w:val="144B18B2"/>
    <w:rsid w:val="14B75E8F"/>
    <w:rsid w:val="14E9B95B"/>
    <w:rsid w:val="1545BC34"/>
    <w:rsid w:val="15495F52"/>
    <w:rsid w:val="154E6E4F"/>
    <w:rsid w:val="156C709F"/>
    <w:rsid w:val="1573F883"/>
    <w:rsid w:val="15A86953"/>
    <w:rsid w:val="16208AC0"/>
    <w:rsid w:val="167C3497"/>
    <w:rsid w:val="167ED604"/>
    <w:rsid w:val="16ABD386"/>
    <w:rsid w:val="16B1DDD1"/>
    <w:rsid w:val="16C06816"/>
    <w:rsid w:val="179F5CE9"/>
    <w:rsid w:val="184080AA"/>
    <w:rsid w:val="1840E64C"/>
    <w:rsid w:val="1866ACA6"/>
    <w:rsid w:val="18779747"/>
    <w:rsid w:val="188FB6D3"/>
    <w:rsid w:val="18943C20"/>
    <w:rsid w:val="1924054C"/>
    <w:rsid w:val="19E761C4"/>
    <w:rsid w:val="1A72C3B4"/>
    <w:rsid w:val="1A8FBC44"/>
    <w:rsid w:val="1AAFFFEE"/>
    <w:rsid w:val="1AF237F1"/>
    <w:rsid w:val="1B04300A"/>
    <w:rsid w:val="1B35A012"/>
    <w:rsid w:val="1BD4C1B7"/>
    <w:rsid w:val="1BE46828"/>
    <w:rsid w:val="1BF1C096"/>
    <w:rsid w:val="1CC341C2"/>
    <w:rsid w:val="1CFDA188"/>
    <w:rsid w:val="1DE551D4"/>
    <w:rsid w:val="1DE8DF7D"/>
    <w:rsid w:val="1DF06761"/>
    <w:rsid w:val="1E609E96"/>
    <w:rsid w:val="1E81FB5E"/>
    <w:rsid w:val="1E918394"/>
    <w:rsid w:val="1E944A2F"/>
    <w:rsid w:val="1EDB86DD"/>
    <w:rsid w:val="1EE640CD"/>
    <w:rsid w:val="1F133E4F"/>
    <w:rsid w:val="1F540A14"/>
    <w:rsid w:val="1F5B61E9"/>
    <w:rsid w:val="203C32B6"/>
    <w:rsid w:val="203E8FC7"/>
    <w:rsid w:val="207B20C2"/>
    <w:rsid w:val="208DB2D3"/>
    <w:rsid w:val="213597B1"/>
    <w:rsid w:val="2173EF7E"/>
    <w:rsid w:val="21E5E3EF"/>
    <w:rsid w:val="22B29870"/>
    <w:rsid w:val="22BC50A0"/>
    <w:rsid w:val="22C2043A"/>
    <w:rsid w:val="232472AA"/>
    <w:rsid w:val="2335B85F"/>
    <w:rsid w:val="2335EB30"/>
    <w:rsid w:val="23572F85"/>
    <w:rsid w:val="236D47B3"/>
    <w:rsid w:val="237907D3"/>
    <w:rsid w:val="23BCAC80"/>
    <w:rsid w:val="23BFBAD3"/>
    <w:rsid w:val="23DF278E"/>
    <w:rsid w:val="2429D5E3"/>
    <w:rsid w:val="243A5851"/>
    <w:rsid w:val="2475D341"/>
    <w:rsid w:val="250C2A66"/>
    <w:rsid w:val="2516F8EC"/>
    <w:rsid w:val="252924B2"/>
    <w:rsid w:val="25639E99"/>
    <w:rsid w:val="256BCFC1"/>
    <w:rsid w:val="25AE62FB"/>
    <w:rsid w:val="26127297"/>
    <w:rsid w:val="261A631F"/>
    <w:rsid w:val="26333270"/>
    <w:rsid w:val="265915E5"/>
    <w:rsid w:val="2678B840"/>
    <w:rsid w:val="2688E7C3"/>
    <w:rsid w:val="26A179E0"/>
    <w:rsid w:val="26A2AD89"/>
    <w:rsid w:val="272CB665"/>
    <w:rsid w:val="273E812F"/>
    <w:rsid w:val="27CA4ED3"/>
    <w:rsid w:val="27D4A41C"/>
    <w:rsid w:val="27D4B8B2"/>
    <w:rsid w:val="280C3370"/>
    <w:rsid w:val="2842DF2B"/>
    <w:rsid w:val="288278A3"/>
    <w:rsid w:val="28ED1264"/>
    <w:rsid w:val="291D19D4"/>
    <w:rsid w:val="293C868F"/>
    <w:rsid w:val="2961861B"/>
    <w:rsid w:val="298F0E45"/>
    <w:rsid w:val="29B2029C"/>
    <w:rsid w:val="29CC7E39"/>
    <w:rsid w:val="29CF62F5"/>
    <w:rsid w:val="2AFBC1F9"/>
    <w:rsid w:val="2B2EDB74"/>
    <w:rsid w:val="2B7DB66D"/>
    <w:rsid w:val="2BB2273D"/>
    <w:rsid w:val="2C686519"/>
    <w:rsid w:val="2C69E19F"/>
    <w:rsid w:val="2CA15455"/>
    <w:rsid w:val="2CB22C93"/>
    <w:rsid w:val="2CE28EF2"/>
    <w:rsid w:val="2D4DBAEA"/>
    <w:rsid w:val="2D53791D"/>
    <w:rsid w:val="2DBFE9CA"/>
    <w:rsid w:val="2DD127E1"/>
    <w:rsid w:val="2DECACDD"/>
    <w:rsid w:val="2E25DF6D"/>
    <w:rsid w:val="2E4AA436"/>
    <w:rsid w:val="2E626AD2"/>
    <w:rsid w:val="2EA2550D"/>
    <w:rsid w:val="2F013E8A"/>
    <w:rsid w:val="2F0F00E9"/>
    <w:rsid w:val="2F3ECA62"/>
    <w:rsid w:val="2F829A74"/>
    <w:rsid w:val="2F92698C"/>
    <w:rsid w:val="2FA6FAD3"/>
    <w:rsid w:val="2FBA86FB"/>
    <w:rsid w:val="2FD46499"/>
    <w:rsid w:val="3004A8BD"/>
    <w:rsid w:val="306CC560"/>
    <w:rsid w:val="30FA96BF"/>
    <w:rsid w:val="31001688"/>
    <w:rsid w:val="313196FF"/>
    <w:rsid w:val="317034FA"/>
    <w:rsid w:val="320BA99E"/>
    <w:rsid w:val="3228E1AD"/>
    <w:rsid w:val="3257E760"/>
    <w:rsid w:val="327EA940"/>
    <w:rsid w:val="32818005"/>
    <w:rsid w:val="32A6E661"/>
    <w:rsid w:val="32C492C3"/>
    <w:rsid w:val="32C64423"/>
    <w:rsid w:val="32DC4290"/>
    <w:rsid w:val="32FA64E2"/>
    <w:rsid w:val="3323B89A"/>
    <w:rsid w:val="334A73EE"/>
    <w:rsid w:val="337AB4A9"/>
    <w:rsid w:val="33FA254B"/>
    <w:rsid w:val="348BB948"/>
    <w:rsid w:val="34C2B0F7"/>
    <w:rsid w:val="34D5F597"/>
    <w:rsid w:val="351CFC39"/>
    <w:rsid w:val="35251529"/>
    <w:rsid w:val="353FA472"/>
    <w:rsid w:val="3570790E"/>
    <w:rsid w:val="35772A0E"/>
    <w:rsid w:val="35A43028"/>
    <w:rsid w:val="35AE58AD"/>
    <w:rsid w:val="35D3FC2F"/>
    <w:rsid w:val="364610DD"/>
    <w:rsid w:val="36484DB1"/>
    <w:rsid w:val="364D96BF"/>
    <w:rsid w:val="3684DEAC"/>
    <w:rsid w:val="36922CD4"/>
    <w:rsid w:val="369A68DD"/>
    <w:rsid w:val="36CD8E96"/>
    <w:rsid w:val="36EFBD23"/>
    <w:rsid w:val="36F6E7B3"/>
    <w:rsid w:val="3720DB47"/>
    <w:rsid w:val="3738652F"/>
    <w:rsid w:val="373F886C"/>
    <w:rsid w:val="37907C02"/>
    <w:rsid w:val="379D2EB9"/>
    <w:rsid w:val="37C08120"/>
    <w:rsid w:val="3864AB4C"/>
    <w:rsid w:val="38A08456"/>
    <w:rsid w:val="38F5364C"/>
    <w:rsid w:val="3936C4FB"/>
    <w:rsid w:val="393FA91A"/>
    <w:rsid w:val="3957844C"/>
    <w:rsid w:val="3957A287"/>
    <w:rsid w:val="3978D72C"/>
    <w:rsid w:val="39D0EC0B"/>
    <w:rsid w:val="39F45017"/>
    <w:rsid w:val="3A5B0CBA"/>
    <w:rsid w:val="3A9EA4FB"/>
    <w:rsid w:val="3AEC4FAB"/>
    <w:rsid w:val="3B290834"/>
    <w:rsid w:val="3B51AB2D"/>
    <w:rsid w:val="3B7329F6"/>
    <w:rsid w:val="3B744F4B"/>
    <w:rsid w:val="3B9296B1"/>
    <w:rsid w:val="3C8C4D9D"/>
    <w:rsid w:val="3C96157A"/>
    <w:rsid w:val="3CB09E4E"/>
    <w:rsid w:val="3CEBA27B"/>
    <w:rsid w:val="3CFF85B6"/>
    <w:rsid w:val="3D5C2947"/>
    <w:rsid w:val="3D773EBE"/>
    <w:rsid w:val="3DC66899"/>
    <w:rsid w:val="3DCB3966"/>
    <w:rsid w:val="3EB36FAE"/>
    <w:rsid w:val="3F26D7BE"/>
    <w:rsid w:val="3F367E2F"/>
    <w:rsid w:val="3FA02142"/>
    <w:rsid w:val="3FB838EA"/>
    <w:rsid w:val="4007DEA5"/>
    <w:rsid w:val="4018390C"/>
    <w:rsid w:val="401848B5"/>
    <w:rsid w:val="403F1335"/>
    <w:rsid w:val="409348AA"/>
    <w:rsid w:val="40D0A732"/>
    <w:rsid w:val="40D1DF1A"/>
    <w:rsid w:val="413A4E2F"/>
    <w:rsid w:val="41427D68"/>
    <w:rsid w:val="417A1661"/>
    <w:rsid w:val="418E7E7B"/>
    <w:rsid w:val="41E3999B"/>
    <w:rsid w:val="4251D70C"/>
    <w:rsid w:val="42AA5FDB"/>
    <w:rsid w:val="42EC4CDC"/>
    <w:rsid w:val="4320D34F"/>
    <w:rsid w:val="4368BE89"/>
    <w:rsid w:val="43ADCA0E"/>
    <w:rsid w:val="43C7895C"/>
    <w:rsid w:val="4464B56E"/>
    <w:rsid w:val="44C623C0"/>
    <w:rsid w:val="44F321A2"/>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3F76A1"/>
    <w:rsid w:val="485A31FC"/>
    <w:rsid w:val="48716051"/>
    <w:rsid w:val="48844D83"/>
    <w:rsid w:val="4920188E"/>
    <w:rsid w:val="49201E74"/>
    <w:rsid w:val="49204B5F"/>
    <w:rsid w:val="495CA01F"/>
    <w:rsid w:val="49618003"/>
    <w:rsid w:val="4991EEC4"/>
    <w:rsid w:val="4995988E"/>
    <w:rsid w:val="49B15B7F"/>
    <w:rsid w:val="49B17015"/>
    <w:rsid w:val="4A0B5683"/>
    <w:rsid w:val="4A392307"/>
    <w:rsid w:val="4A48F44F"/>
    <w:rsid w:val="4ACBB049"/>
    <w:rsid w:val="4ADA4FE6"/>
    <w:rsid w:val="4B60715B"/>
    <w:rsid w:val="4B6BE3E3"/>
    <w:rsid w:val="4C07D5A0"/>
    <w:rsid w:val="4C122AE9"/>
    <w:rsid w:val="4C33BF82"/>
    <w:rsid w:val="4C3E007A"/>
    <w:rsid w:val="4C5B631A"/>
    <w:rsid w:val="4C64C5FC"/>
    <w:rsid w:val="4D1920AB"/>
    <w:rsid w:val="4D255023"/>
    <w:rsid w:val="4D7A5F71"/>
    <w:rsid w:val="4D9F5029"/>
    <w:rsid w:val="4DA0299B"/>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7F5907"/>
    <w:rsid w:val="52EC6866"/>
    <w:rsid w:val="52FABBA5"/>
    <w:rsid w:val="530A5E2C"/>
    <w:rsid w:val="53B402DB"/>
    <w:rsid w:val="53BB553F"/>
    <w:rsid w:val="53C8B335"/>
    <w:rsid w:val="53D02683"/>
    <w:rsid w:val="53E83486"/>
    <w:rsid w:val="54155043"/>
    <w:rsid w:val="5429C149"/>
    <w:rsid w:val="546EE41D"/>
    <w:rsid w:val="54987020"/>
    <w:rsid w:val="54A69334"/>
    <w:rsid w:val="54D390B6"/>
    <w:rsid w:val="54F30D77"/>
    <w:rsid w:val="54FFB2C5"/>
    <w:rsid w:val="55533545"/>
    <w:rsid w:val="562B1CB6"/>
    <w:rsid w:val="563B4058"/>
    <w:rsid w:val="5641A138"/>
    <w:rsid w:val="56B7E395"/>
    <w:rsid w:val="56BAC590"/>
    <w:rsid w:val="571F3DD0"/>
    <w:rsid w:val="5747B6D4"/>
    <w:rsid w:val="574AF669"/>
    <w:rsid w:val="574C3B52"/>
    <w:rsid w:val="575B6E0E"/>
    <w:rsid w:val="575F896E"/>
    <w:rsid w:val="576BA80D"/>
    <w:rsid w:val="5783D44B"/>
    <w:rsid w:val="57913241"/>
    <w:rsid w:val="57C08CD4"/>
    <w:rsid w:val="57ED5785"/>
    <w:rsid w:val="57F3D7E7"/>
    <w:rsid w:val="5842BCAC"/>
    <w:rsid w:val="584A8A10"/>
    <w:rsid w:val="58986925"/>
    <w:rsid w:val="58E4E2DA"/>
    <w:rsid w:val="590951B3"/>
    <w:rsid w:val="59215F53"/>
    <w:rsid w:val="59637164"/>
    <w:rsid w:val="59760802"/>
    <w:rsid w:val="599806A7"/>
    <w:rsid w:val="599A63B8"/>
    <w:rsid w:val="599FACC6"/>
    <w:rsid w:val="59E529F9"/>
    <w:rsid w:val="5AFF41C5"/>
    <w:rsid w:val="5B41B7E0"/>
    <w:rsid w:val="5B5EE4E4"/>
    <w:rsid w:val="5B61249B"/>
    <w:rsid w:val="5B613931"/>
    <w:rsid w:val="5B674E6E"/>
    <w:rsid w:val="5B75EBFC"/>
    <w:rsid w:val="5B958FCB"/>
    <w:rsid w:val="5B9F16F6"/>
    <w:rsid w:val="5BCB9128"/>
    <w:rsid w:val="5BFB1EB1"/>
    <w:rsid w:val="5C2C0340"/>
    <w:rsid w:val="5C91BF21"/>
    <w:rsid w:val="5C984008"/>
    <w:rsid w:val="5D125766"/>
    <w:rsid w:val="5D1B8EC4"/>
    <w:rsid w:val="5D3AFB7F"/>
    <w:rsid w:val="5E06CCB9"/>
    <w:rsid w:val="5E36274C"/>
    <w:rsid w:val="5E36E287"/>
    <w:rsid w:val="5E6EEEC3"/>
    <w:rsid w:val="5EBDB819"/>
    <w:rsid w:val="5ECDB87B"/>
    <w:rsid w:val="5EE4ACB8"/>
    <w:rsid w:val="5F14D263"/>
    <w:rsid w:val="5F25C82E"/>
    <w:rsid w:val="5F46CE48"/>
    <w:rsid w:val="5F50341F"/>
    <w:rsid w:val="5F7E886E"/>
    <w:rsid w:val="5F8832F9"/>
    <w:rsid w:val="5FC9B185"/>
    <w:rsid w:val="5FFD528A"/>
    <w:rsid w:val="60008DC0"/>
    <w:rsid w:val="6015146D"/>
    <w:rsid w:val="601BC825"/>
    <w:rsid w:val="6056A67F"/>
    <w:rsid w:val="60A2933B"/>
    <w:rsid w:val="6130780D"/>
    <w:rsid w:val="6140FE6A"/>
    <w:rsid w:val="61852A03"/>
    <w:rsid w:val="61FAAFE3"/>
    <w:rsid w:val="6206E4BE"/>
    <w:rsid w:val="623B4BE9"/>
    <w:rsid w:val="62985A80"/>
    <w:rsid w:val="629DB6AE"/>
    <w:rsid w:val="62CB2E14"/>
    <w:rsid w:val="62E8EEC9"/>
    <w:rsid w:val="62EAE236"/>
    <w:rsid w:val="630A6387"/>
    <w:rsid w:val="63BC88A2"/>
    <w:rsid w:val="63ECCF0F"/>
    <w:rsid w:val="640DD48E"/>
    <w:rsid w:val="641C7DD2"/>
    <w:rsid w:val="6422BD39"/>
    <w:rsid w:val="64431148"/>
    <w:rsid w:val="64F53EBB"/>
    <w:rsid w:val="6508E4F1"/>
    <w:rsid w:val="651F76D7"/>
    <w:rsid w:val="656ED8A1"/>
    <w:rsid w:val="6581495B"/>
    <w:rsid w:val="65BF7CB9"/>
    <w:rsid w:val="65E467DF"/>
    <w:rsid w:val="667195E1"/>
    <w:rsid w:val="66AED257"/>
    <w:rsid w:val="66C310F6"/>
    <w:rsid w:val="66D4B2B9"/>
    <w:rsid w:val="66E7D212"/>
    <w:rsid w:val="66F1F43E"/>
    <w:rsid w:val="6718AA4D"/>
    <w:rsid w:val="672CC901"/>
    <w:rsid w:val="67D63830"/>
    <w:rsid w:val="67F89A3B"/>
    <w:rsid w:val="67FAF74C"/>
    <w:rsid w:val="6800405A"/>
    <w:rsid w:val="680B29DD"/>
    <w:rsid w:val="68378847"/>
    <w:rsid w:val="6860BC45"/>
    <w:rsid w:val="68A88974"/>
    <w:rsid w:val="68A9914E"/>
    <w:rsid w:val="69617BE9"/>
    <w:rsid w:val="696AF9EA"/>
    <w:rsid w:val="699BBF71"/>
    <w:rsid w:val="69C4F4EE"/>
    <w:rsid w:val="69D9E46D"/>
    <w:rsid w:val="69DEA285"/>
    <w:rsid w:val="69F01780"/>
    <w:rsid w:val="6A83539C"/>
    <w:rsid w:val="6A945C6F"/>
    <w:rsid w:val="6AD2F957"/>
    <w:rsid w:val="6B4531FA"/>
    <w:rsid w:val="6BBA349A"/>
    <w:rsid w:val="6BC37658"/>
    <w:rsid w:val="6BCAA6F5"/>
    <w:rsid w:val="6C378473"/>
    <w:rsid w:val="6C796364"/>
    <w:rsid w:val="6CA20334"/>
    <w:rsid w:val="6CDAC9DC"/>
    <w:rsid w:val="6D037186"/>
    <w:rsid w:val="6D06986E"/>
    <w:rsid w:val="6D5D6C8A"/>
    <w:rsid w:val="6D8014C3"/>
    <w:rsid w:val="6D8ED9D2"/>
    <w:rsid w:val="6D9AF02B"/>
    <w:rsid w:val="6DF4912E"/>
    <w:rsid w:val="6E0F0EDC"/>
    <w:rsid w:val="6EAA8C57"/>
    <w:rsid w:val="6ED13C50"/>
    <w:rsid w:val="6EE0B1B3"/>
    <w:rsid w:val="6F6440F0"/>
    <w:rsid w:val="6F74C70F"/>
    <w:rsid w:val="6F83A406"/>
    <w:rsid w:val="6F991F6F"/>
    <w:rsid w:val="6FCBE018"/>
    <w:rsid w:val="7010A436"/>
    <w:rsid w:val="704B32F1"/>
    <w:rsid w:val="70507998"/>
    <w:rsid w:val="7077662A"/>
    <w:rsid w:val="707EA580"/>
    <w:rsid w:val="709B298C"/>
    <w:rsid w:val="70A44364"/>
    <w:rsid w:val="70E710E7"/>
    <w:rsid w:val="71608D3C"/>
    <w:rsid w:val="71906CB9"/>
    <w:rsid w:val="71AAC337"/>
    <w:rsid w:val="71AC7497"/>
    <w:rsid w:val="71FC5847"/>
    <w:rsid w:val="71FFC529"/>
    <w:rsid w:val="7219E8B5"/>
    <w:rsid w:val="7221E27B"/>
    <w:rsid w:val="7292111C"/>
    <w:rsid w:val="72B3583D"/>
    <w:rsid w:val="72D2C4F8"/>
    <w:rsid w:val="73254CAE"/>
    <w:rsid w:val="732C2A6F"/>
    <w:rsid w:val="732CBFFC"/>
    <w:rsid w:val="7343743F"/>
    <w:rsid w:val="73503969"/>
    <w:rsid w:val="73911A01"/>
    <w:rsid w:val="73B6E0AB"/>
    <w:rsid w:val="73EE2898"/>
    <w:rsid w:val="742EB407"/>
    <w:rsid w:val="747553EF"/>
    <w:rsid w:val="747CC2FD"/>
    <w:rsid w:val="74EED044"/>
    <w:rsid w:val="7577D060"/>
    <w:rsid w:val="7607E5DB"/>
    <w:rsid w:val="761E95A3"/>
    <w:rsid w:val="76494804"/>
    <w:rsid w:val="766A1BCF"/>
    <w:rsid w:val="76744F65"/>
    <w:rsid w:val="76A04A6F"/>
    <w:rsid w:val="77198A6F"/>
    <w:rsid w:val="772A4A8A"/>
    <w:rsid w:val="773A68C8"/>
    <w:rsid w:val="775AF02C"/>
    <w:rsid w:val="77E0E29F"/>
    <w:rsid w:val="77E3A526"/>
    <w:rsid w:val="77F135ED"/>
    <w:rsid w:val="78037D55"/>
    <w:rsid w:val="7842D083"/>
    <w:rsid w:val="785234BA"/>
    <w:rsid w:val="789148F7"/>
    <w:rsid w:val="78AA4B8D"/>
    <w:rsid w:val="78C60F07"/>
    <w:rsid w:val="78C6D505"/>
    <w:rsid w:val="78D113A2"/>
    <w:rsid w:val="792BD304"/>
    <w:rsid w:val="79637FC5"/>
    <w:rsid w:val="799AE726"/>
    <w:rsid w:val="799DC7E8"/>
    <w:rsid w:val="79BE88A9"/>
    <w:rsid w:val="79DFDE15"/>
    <w:rsid w:val="7A214860"/>
    <w:rsid w:val="7A3580D0"/>
    <w:rsid w:val="7A3C42CB"/>
    <w:rsid w:val="7A410FB3"/>
    <w:rsid w:val="7A5742BB"/>
    <w:rsid w:val="7A5978A5"/>
    <w:rsid w:val="7B177C64"/>
    <w:rsid w:val="7B1AC306"/>
    <w:rsid w:val="7B250C5A"/>
    <w:rsid w:val="7B2FE556"/>
    <w:rsid w:val="7B6363BF"/>
    <w:rsid w:val="7B74BE0A"/>
    <w:rsid w:val="7B7DB03E"/>
    <w:rsid w:val="7BC12847"/>
    <w:rsid w:val="7BDCE014"/>
    <w:rsid w:val="7C116F33"/>
    <w:rsid w:val="7CF18FFC"/>
    <w:rsid w:val="7E93CDE7"/>
    <w:rsid w:val="7EB33AA2"/>
    <w:rsid w:val="7ED346FA"/>
    <w:rsid w:val="7F322ADA"/>
    <w:rsid w:val="7F6A3A98"/>
    <w:rsid w:val="7FB6A4D5"/>
    <w:rsid w:val="7FCED113"/>
    <w:rsid w:val="7FDB230D"/>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372A97C4-E460-46C3-BA42-3FF64C5A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fr-FR"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fr-FR"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fr-FR"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fr-FR"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lp1"/>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fr-FR"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fr-FR" w:eastAsia="en-GB"/>
    </w:rPr>
  </w:style>
  <w:style w:type="character" w:customStyle="1" w:styleId="Mention1">
    <w:name w:val="Mention1"/>
    <w:basedOn w:val="DefaultParagraphFont"/>
    <w:uiPriority w:val="99"/>
    <w:unhideWhenUsed/>
    <w:rsid w:val="00AA32F8"/>
    <w:rPr>
      <w:color w:val="2B579A"/>
      <w:shd w:val="clear" w:color="auto" w:fill="E6E6E6"/>
    </w:rPr>
  </w:style>
  <w:style w:type="character" w:customStyle="1" w:styleId="UnresolvedMention1">
    <w:name w:val="Unresolved Mention1"/>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fr-FR" w:eastAsia="en-GB"/>
    </w:rPr>
  </w:style>
  <w:style w:type="character" w:styleId="FootnoteReference">
    <w:name w:val="footnote reference"/>
    <w:basedOn w:val="DefaultParagraphFont"/>
    <w:uiPriority w:val="99"/>
    <w:semiHidden/>
    <w:unhideWhenUsed/>
    <w:rsid w:val="00D77BD9"/>
    <w:rPr>
      <w:vertAlign w:val="superscript"/>
    </w:rPr>
  </w:style>
  <w:style w:type="paragraph" w:styleId="BodyText">
    <w:name w:val="Body Text"/>
    <w:basedOn w:val="Normal"/>
    <w:link w:val="BodyTextChar"/>
    <w:uiPriority w:val="1"/>
    <w:qFormat/>
    <w:rsid w:val="00DE6D29"/>
    <w:pPr>
      <w:widowControl w:val="0"/>
      <w:spacing w:line="240" w:lineRule="auto"/>
      <w:ind w:left="118"/>
    </w:pPr>
    <w:rPr>
      <w:rFonts w:ascii="Arial Narrow" w:eastAsia="Arial Narrow" w:hAnsi="Arial Narrow" w:cs="Times New Roman"/>
      <w:lang w:val="en-US" w:eastAsia="en-US"/>
    </w:rPr>
  </w:style>
  <w:style w:type="character" w:customStyle="1" w:styleId="BodyTextChar">
    <w:name w:val="Body Text Char"/>
    <w:basedOn w:val="DefaultParagraphFont"/>
    <w:link w:val="BodyText"/>
    <w:uiPriority w:val="1"/>
    <w:rsid w:val="00DE6D29"/>
    <w:rPr>
      <w:rFonts w:ascii="Arial Narrow" w:eastAsia="Arial Narrow" w:hAnsi="Arial Narrow" w:cs="Times New Roman"/>
      <w:lang w:val="en-US"/>
    </w:rPr>
  </w:style>
  <w:style w:type="paragraph" w:styleId="BalloonText">
    <w:name w:val="Balloon Text"/>
    <w:basedOn w:val="Normal"/>
    <w:link w:val="BalloonTextChar"/>
    <w:uiPriority w:val="99"/>
    <w:semiHidden/>
    <w:unhideWhenUsed/>
    <w:rsid w:val="007231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123"/>
    <w:rPr>
      <w:rFonts w:ascii="Segoe UI" w:eastAsia="Arial" w:hAnsi="Segoe UI" w:cs="Segoe UI"/>
      <w:sz w:val="18"/>
      <w:szCs w:val="18"/>
      <w:lang w:eastAsia="en-GB"/>
    </w:rPr>
  </w:style>
  <w:style w:type="paragraph" w:styleId="EndnoteText">
    <w:name w:val="endnote text"/>
    <w:basedOn w:val="Normal"/>
    <w:link w:val="EndnoteTextChar"/>
    <w:uiPriority w:val="99"/>
    <w:semiHidden/>
    <w:unhideWhenUsed/>
    <w:rsid w:val="002A23B7"/>
    <w:pPr>
      <w:spacing w:line="240" w:lineRule="auto"/>
    </w:pPr>
    <w:rPr>
      <w:sz w:val="20"/>
      <w:szCs w:val="20"/>
    </w:rPr>
  </w:style>
  <w:style w:type="character" w:customStyle="1" w:styleId="EndnoteTextChar">
    <w:name w:val="Endnote Text Char"/>
    <w:basedOn w:val="DefaultParagraphFont"/>
    <w:link w:val="EndnoteText"/>
    <w:uiPriority w:val="99"/>
    <w:semiHidden/>
    <w:rsid w:val="002A23B7"/>
    <w:rPr>
      <w:rFonts w:ascii="Arial" w:eastAsia="Arial" w:hAnsi="Arial" w:cs="Arial"/>
      <w:sz w:val="20"/>
      <w:szCs w:val="20"/>
      <w:lang w:eastAsia="en-GB"/>
    </w:rPr>
  </w:style>
  <w:style w:type="character" w:styleId="EndnoteReference">
    <w:name w:val="endnote reference"/>
    <w:basedOn w:val="DefaultParagraphFont"/>
    <w:uiPriority w:val="99"/>
    <w:semiHidden/>
    <w:unhideWhenUsed/>
    <w:rsid w:val="002A23B7"/>
    <w:rPr>
      <w:vertAlign w:val="superscript"/>
    </w:rPr>
  </w:style>
  <w:style w:type="character" w:styleId="Mention">
    <w:name w:val="Mention"/>
    <w:basedOn w:val="DefaultParagraphFont"/>
    <w:uiPriority w:val="99"/>
    <w:unhideWhenUsed/>
    <w:rsid w:val="00BE3C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1868">
      <w:bodyDiv w:val="1"/>
      <w:marLeft w:val="0"/>
      <w:marRight w:val="0"/>
      <w:marTop w:val="0"/>
      <w:marBottom w:val="0"/>
      <w:divBdr>
        <w:top w:val="none" w:sz="0" w:space="0" w:color="auto"/>
        <w:left w:val="none" w:sz="0" w:space="0" w:color="auto"/>
        <w:bottom w:val="none" w:sz="0" w:space="0" w:color="auto"/>
        <w:right w:val="none" w:sz="0" w:space="0" w:color="auto"/>
      </w:divBdr>
    </w:div>
    <w:div w:id="398288888">
      <w:bodyDiv w:val="1"/>
      <w:marLeft w:val="0"/>
      <w:marRight w:val="0"/>
      <w:marTop w:val="0"/>
      <w:marBottom w:val="0"/>
      <w:divBdr>
        <w:top w:val="none" w:sz="0" w:space="0" w:color="auto"/>
        <w:left w:val="none" w:sz="0" w:space="0" w:color="auto"/>
        <w:bottom w:val="none" w:sz="0" w:space="0" w:color="auto"/>
        <w:right w:val="none" w:sz="0" w:space="0" w:color="auto"/>
      </w:divBdr>
    </w:div>
    <w:div w:id="504440921">
      <w:bodyDiv w:val="1"/>
      <w:marLeft w:val="0"/>
      <w:marRight w:val="0"/>
      <w:marTop w:val="0"/>
      <w:marBottom w:val="0"/>
      <w:divBdr>
        <w:top w:val="none" w:sz="0" w:space="0" w:color="auto"/>
        <w:left w:val="none" w:sz="0" w:space="0" w:color="auto"/>
        <w:bottom w:val="none" w:sz="0" w:space="0" w:color="auto"/>
        <w:right w:val="none" w:sz="0" w:space="0" w:color="auto"/>
      </w:divBdr>
    </w:div>
    <w:div w:id="509443600">
      <w:bodyDiv w:val="1"/>
      <w:marLeft w:val="0"/>
      <w:marRight w:val="0"/>
      <w:marTop w:val="0"/>
      <w:marBottom w:val="0"/>
      <w:divBdr>
        <w:top w:val="none" w:sz="0" w:space="0" w:color="auto"/>
        <w:left w:val="none" w:sz="0" w:space="0" w:color="auto"/>
        <w:bottom w:val="none" w:sz="0" w:space="0" w:color="auto"/>
        <w:right w:val="none" w:sz="0" w:space="0" w:color="auto"/>
      </w:divBdr>
      <w:divsChild>
        <w:div w:id="401874833">
          <w:marLeft w:val="360"/>
          <w:marRight w:val="0"/>
          <w:marTop w:val="200"/>
          <w:marBottom w:val="0"/>
          <w:divBdr>
            <w:top w:val="none" w:sz="0" w:space="0" w:color="auto"/>
            <w:left w:val="none" w:sz="0" w:space="0" w:color="auto"/>
            <w:bottom w:val="none" w:sz="0" w:space="0" w:color="auto"/>
            <w:right w:val="none" w:sz="0" w:space="0" w:color="auto"/>
          </w:divBdr>
        </w:div>
        <w:div w:id="960770461">
          <w:marLeft w:val="360"/>
          <w:marRight w:val="0"/>
          <w:marTop w:val="200"/>
          <w:marBottom w:val="0"/>
          <w:divBdr>
            <w:top w:val="none" w:sz="0" w:space="0" w:color="auto"/>
            <w:left w:val="none" w:sz="0" w:space="0" w:color="auto"/>
            <w:bottom w:val="none" w:sz="0" w:space="0" w:color="auto"/>
            <w:right w:val="none" w:sz="0" w:space="0" w:color="auto"/>
          </w:divBdr>
        </w:div>
        <w:div w:id="1456412308">
          <w:marLeft w:val="360"/>
          <w:marRight w:val="0"/>
          <w:marTop w:val="200"/>
          <w:marBottom w:val="0"/>
          <w:divBdr>
            <w:top w:val="none" w:sz="0" w:space="0" w:color="auto"/>
            <w:left w:val="none" w:sz="0" w:space="0" w:color="auto"/>
            <w:bottom w:val="none" w:sz="0" w:space="0" w:color="auto"/>
            <w:right w:val="none" w:sz="0" w:space="0" w:color="auto"/>
          </w:divBdr>
        </w:div>
        <w:div w:id="1645233109">
          <w:marLeft w:val="360"/>
          <w:marRight w:val="0"/>
          <w:marTop w:val="200"/>
          <w:marBottom w:val="0"/>
          <w:divBdr>
            <w:top w:val="none" w:sz="0" w:space="0" w:color="auto"/>
            <w:left w:val="none" w:sz="0" w:space="0" w:color="auto"/>
            <w:bottom w:val="none" w:sz="0" w:space="0" w:color="auto"/>
            <w:right w:val="none" w:sz="0" w:space="0" w:color="auto"/>
          </w:divBdr>
        </w:div>
        <w:div w:id="1992100372">
          <w:marLeft w:val="360"/>
          <w:marRight w:val="0"/>
          <w:marTop w:val="200"/>
          <w:marBottom w:val="0"/>
          <w:divBdr>
            <w:top w:val="none" w:sz="0" w:space="0" w:color="auto"/>
            <w:left w:val="none" w:sz="0" w:space="0" w:color="auto"/>
            <w:bottom w:val="none" w:sz="0" w:space="0" w:color="auto"/>
            <w:right w:val="none" w:sz="0" w:space="0" w:color="auto"/>
          </w:divBdr>
        </w:div>
      </w:divsChild>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973684092">
      <w:bodyDiv w:val="1"/>
      <w:marLeft w:val="0"/>
      <w:marRight w:val="0"/>
      <w:marTop w:val="0"/>
      <w:marBottom w:val="0"/>
      <w:divBdr>
        <w:top w:val="none" w:sz="0" w:space="0" w:color="auto"/>
        <w:left w:val="none" w:sz="0" w:space="0" w:color="auto"/>
        <w:bottom w:val="none" w:sz="0" w:space="0" w:color="auto"/>
        <w:right w:val="none" w:sz="0" w:space="0" w:color="auto"/>
      </w:divBdr>
    </w:div>
    <w:div w:id="1101102392">
      <w:bodyDiv w:val="1"/>
      <w:marLeft w:val="0"/>
      <w:marRight w:val="0"/>
      <w:marTop w:val="0"/>
      <w:marBottom w:val="0"/>
      <w:divBdr>
        <w:top w:val="none" w:sz="0" w:space="0" w:color="auto"/>
        <w:left w:val="none" w:sz="0" w:space="0" w:color="auto"/>
        <w:bottom w:val="none" w:sz="0" w:space="0" w:color="auto"/>
        <w:right w:val="none" w:sz="0" w:space="0" w:color="auto"/>
      </w:divBdr>
      <w:divsChild>
        <w:div w:id="56902325">
          <w:marLeft w:val="547"/>
          <w:marRight w:val="0"/>
          <w:marTop w:val="0"/>
          <w:marBottom w:val="0"/>
          <w:divBdr>
            <w:top w:val="none" w:sz="0" w:space="0" w:color="auto"/>
            <w:left w:val="none" w:sz="0" w:space="0" w:color="auto"/>
            <w:bottom w:val="none" w:sz="0" w:space="0" w:color="auto"/>
            <w:right w:val="none" w:sz="0" w:space="0" w:color="auto"/>
          </w:divBdr>
        </w:div>
      </w:divsChild>
    </w:div>
    <w:div w:id="1228996873">
      <w:bodyDiv w:val="1"/>
      <w:marLeft w:val="0"/>
      <w:marRight w:val="0"/>
      <w:marTop w:val="0"/>
      <w:marBottom w:val="0"/>
      <w:divBdr>
        <w:top w:val="none" w:sz="0" w:space="0" w:color="auto"/>
        <w:left w:val="none" w:sz="0" w:space="0" w:color="auto"/>
        <w:bottom w:val="none" w:sz="0" w:space="0" w:color="auto"/>
        <w:right w:val="none" w:sz="0" w:space="0" w:color="auto"/>
      </w:divBdr>
    </w:div>
    <w:div w:id="1244148873">
      <w:bodyDiv w:val="1"/>
      <w:marLeft w:val="0"/>
      <w:marRight w:val="0"/>
      <w:marTop w:val="0"/>
      <w:marBottom w:val="0"/>
      <w:divBdr>
        <w:top w:val="none" w:sz="0" w:space="0" w:color="auto"/>
        <w:left w:val="none" w:sz="0" w:space="0" w:color="auto"/>
        <w:bottom w:val="none" w:sz="0" w:space="0" w:color="auto"/>
        <w:right w:val="none" w:sz="0" w:space="0" w:color="auto"/>
      </w:divBdr>
    </w:div>
    <w:div w:id="1352146983">
      <w:bodyDiv w:val="1"/>
      <w:marLeft w:val="0"/>
      <w:marRight w:val="0"/>
      <w:marTop w:val="0"/>
      <w:marBottom w:val="0"/>
      <w:divBdr>
        <w:top w:val="none" w:sz="0" w:space="0" w:color="auto"/>
        <w:left w:val="none" w:sz="0" w:space="0" w:color="auto"/>
        <w:bottom w:val="none" w:sz="0" w:space="0" w:color="auto"/>
        <w:right w:val="none" w:sz="0" w:space="0" w:color="auto"/>
      </w:divBdr>
      <w:divsChild>
        <w:div w:id="341594493">
          <w:marLeft w:val="360"/>
          <w:marRight w:val="0"/>
          <w:marTop w:val="200"/>
          <w:marBottom w:val="0"/>
          <w:divBdr>
            <w:top w:val="none" w:sz="0" w:space="0" w:color="auto"/>
            <w:left w:val="none" w:sz="0" w:space="0" w:color="auto"/>
            <w:bottom w:val="none" w:sz="0" w:space="0" w:color="auto"/>
            <w:right w:val="none" w:sz="0" w:space="0" w:color="auto"/>
          </w:divBdr>
        </w:div>
      </w:divsChild>
    </w:div>
    <w:div w:id="1385060603">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90156">
      <w:bodyDiv w:val="1"/>
      <w:marLeft w:val="0"/>
      <w:marRight w:val="0"/>
      <w:marTop w:val="0"/>
      <w:marBottom w:val="0"/>
      <w:divBdr>
        <w:top w:val="none" w:sz="0" w:space="0" w:color="auto"/>
        <w:left w:val="none" w:sz="0" w:space="0" w:color="auto"/>
        <w:bottom w:val="none" w:sz="0" w:space="0" w:color="auto"/>
        <w:right w:val="none" w:sz="0" w:space="0" w:color="auto"/>
      </w:divBdr>
    </w:div>
    <w:div w:id="1959143772">
      <w:bodyDiv w:val="1"/>
      <w:marLeft w:val="0"/>
      <w:marRight w:val="0"/>
      <w:marTop w:val="0"/>
      <w:marBottom w:val="0"/>
      <w:divBdr>
        <w:top w:val="none" w:sz="0" w:space="0" w:color="auto"/>
        <w:left w:val="none" w:sz="0" w:space="0" w:color="auto"/>
        <w:bottom w:val="none" w:sz="0" w:space="0" w:color="auto"/>
        <w:right w:val="none" w:sz="0" w:space="0" w:color="auto"/>
      </w:divBdr>
      <w:divsChild>
        <w:div w:id="221715588">
          <w:marLeft w:val="547"/>
          <w:marRight w:val="0"/>
          <w:marTop w:val="0"/>
          <w:marBottom w:val="0"/>
          <w:divBdr>
            <w:top w:val="none" w:sz="0" w:space="0" w:color="auto"/>
            <w:left w:val="none" w:sz="0" w:space="0" w:color="auto"/>
            <w:bottom w:val="none" w:sz="0" w:space="0" w:color="auto"/>
            <w:right w:val="none" w:sz="0" w:space="0" w:color="auto"/>
          </w:divBdr>
        </w:div>
        <w:div w:id="273899872">
          <w:marLeft w:val="547"/>
          <w:marRight w:val="0"/>
          <w:marTop w:val="0"/>
          <w:marBottom w:val="0"/>
          <w:divBdr>
            <w:top w:val="none" w:sz="0" w:space="0" w:color="auto"/>
            <w:left w:val="none" w:sz="0" w:space="0" w:color="auto"/>
            <w:bottom w:val="none" w:sz="0" w:space="0" w:color="auto"/>
            <w:right w:val="none" w:sz="0" w:space="0" w:color="auto"/>
          </w:divBdr>
        </w:div>
        <w:div w:id="584607708">
          <w:marLeft w:val="547"/>
          <w:marRight w:val="0"/>
          <w:marTop w:val="0"/>
          <w:marBottom w:val="0"/>
          <w:divBdr>
            <w:top w:val="none" w:sz="0" w:space="0" w:color="auto"/>
            <w:left w:val="none" w:sz="0" w:space="0" w:color="auto"/>
            <w:bottom w:val="none" w:sz="0" w:space="0" w:color="auto"/>
            <w:right w:val="none" w:sz="0" w:space="0" w:color="auto"/>
          </w:divBdr>
        </w:div>
        <w:div w:id="698438180">
          <w:marLeft w:val="547"/>
          <w:marRight w:val="0"/>
          <w:marTop w:val="0"/>
          <w:marBottom w:val="0"/>
          <w:divBdr>
            <w:top w:val="none" w:sz="0" w:space="0" w:color="auto"/>
            <w:left w:val="none" w:sz="0" w:space="0" w:color="auto"/>
            <w:bottom w:val="none" w:sz="0" w:space="0" w:color="auto"/>
            <w:right w:val="none" w:sz="0" w:space="0" w:color="auto"/>
          </w:divBdr>
        </w:div>
        <w:div w:id="723602919">
          <w:marLeft w:val="547"/>
          <w:marRight w:val="0"/>
          <w:marTop w:val="0"/>
          <w:marBottom w:val="0"/>
          <w:divBdr>
            <w:top w:val="none" w:sz="0" w:space="0" w:color="auto"/>
            <w:left w:val="none" w:sz="0" w:space="0" w:color="auto"/>
            <w:bottom w:val="none" w:sz="0" w:space="0" w:color="auto"/>
            <w:right w:val="none" w:sz="0" w:space="0" w:color="auto"/>
          </w:divBdr>
        </w:div>
        <w:div w:id="1466774677">
          <w:marLeft w:val="547"/>
          <w:marRight w:val="0"/>
          <w:marTop w:val="0"/>
          <w:marBottom w:val="0"/>
          <w:divBdr>
            <w:top w:val="none" w:sz="0" w:space="0" w:color="auto"/>
            <w:left w:val="none" w:sz="0" w:space="0" w:color="auto"/>
            <w:bottom w:val="none" w:sz="0" w:space="0" w:color="auto"/>
            <w:right w:val="none" w:sz="0" w:space="0" w:color="auto"/>
          </w:divBdr>
        </w:div>
        <w:div w:id="1677153179">
          <w:marLeft w:val="547"/>
          <w:marRight w:val="0"/>
          <w:marTop w:val="0"/>
          <w:marBottom w:val="0"/>
          <w:divBdr>
            <w:top w:val="none" w:sz="0" w:space="0" w:color="auto"/>
            <w:left w:val="none" w:sz="0" w:space="0" w:color="auto"/>
            <w:bottom w:val="none" w:sz="0" w:space="0" w:color="auto"/>
            <w:right w:val="none" w:sz="0" w:space="0" w:color="auto"/>
          </w:divBdr>
        </w:div>
        <w:div w:id="1732268543">
          <w:marLeft w:val="547"/>
          <w:marRight w:val="0"/>
          <w:marTop w:val="0"/>
          <w:marBottom w:val="0"/>
          <w:divBdr>
            <w:top w:val="none" w:sz="0" w:space="0" w:color="auto"/>
            <w:left w:val="none" w:sz="0" w:space="0" w:color="auto"/>
            <w:bottom w:val="none" w:sz="0" w:space="0" w:color="auto"/>
            <w:right w:val="none" w:sz="0" w:space="0" w:color="auto"/>
          </w:divBdr>
        </w:div>
        <w:div w:id="1752194216">
          <w:marLeft w:val="547"/>
          <w:marRight w:val="0"/>
          <w:marTop w:val="0"/>
          <w:marBottom w:val="0"/>
          <w:divBdr>
            <w:top w:val="none" w:sz="0" w:space="0" w:color="auto"/>
            <w:left w:val="none" w:sz="0" w:space="0" w:color="auto"/>
            <w:bottom w:val="none" w:sz="0" w:space="0" w:color="auto"/>
            <w:right w:val="none" w:sz="0" w:space="0" w:color="auto"/>
          </w:divBdr>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actualites/librarie-de-documents/directives-de-financement-du-programme-gav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news/document-library/support/tca-guidelin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AB5C2-A134-49CA-A103-4C1B6C459A4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GAVI-438364776-973039</_dlc_DocId>
    <_dlc_DocIdUrl xmlns="55894003-98dc-4f3e-8669-85b90bdbcc8c">
      <Url>https://gavinet.sharepoint.com/teams/PAP/srp/_layouts/15/DocIdRedir.aspx?ID=GAVI-438364776-973039</Url>
      <Description>GAVI-438364776-973039</Description>
    </_dlc_DocIdUrl>
    <_dlc_DocIdPersistId xmlns="55894003-98dc-4f3e-8669-85b90bdbcc8c">false</_dlc_DocIdPersistId>
    <lcf76f155ced4ddcb4097134ff3c332f xmlns="5c2490db-6e42-4989-a0fb-d6ff54a6a7d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FE1269C6-E51A-4C50-8445-EEF972BBFF8E}"/>
</file>

<file path=customXml/itemProps2.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3.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4.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700359ba-e36c-422a-9925-ddada98091a9"/>
    <ds:schemaRef ds:uri="a0d399e1-4586-4335-9383-7d9098bfc9ba"/>
  </ds:schemaRefs>
</ds:datastoreItem>
</file>

<file path=customXml/itemProps5.xml><?xml version="1.0" encoding="utf-8"?>
<ds:datastoreItem xmlns:ds="http://schemas.openxmlformats.org/officeDocument/2006/customXml" ds:itemID="{A5C81974-4079-4032-BA79-3A664DECBFB9}">
  <ds:schemaRefs>
    <ds:schemaRef ds:uri="http://schemas.openxmlformats.org/officeDocument/2006/bibliography"/>
  </ds:schemaRefs>
</ds:datastoreItem>
</file>

<file path=customXml/itemProps6.xml><?xml version="1.0" encoding="utf-8"?>
<ds:datastoreItem xmlns:ds="http://schemas.openxmlformats.org/officeDocument/2006/customXml" ds:itemID="{7128A578-D6CE-4B46-9B14-9ECAFD9822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5294</Words>
  <Characters>30182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seeee</vt:lpstr>
    </vt:vector>
  </TitlesOfParts>
  <Company/>
  <LinksUpToDate>false</LinksUpToDate>
  <CharactersWithSpaces>35406</CharactersWithSpaces>
  <SharedDoc>false</SharedDoc>
  <HLinks>
    <vt:vector size="18" baseType="variant">
      <vt:variant>
        <vt:i4>589918</vt:i4>
      </vt:variant>
      <vt:variant>
        <vt:i4>3</vt:i4>
      </vt:variant>
      <vt:variant>
        <vt:i4>0</vt:i4>
      </vt:variant>
      <vt:variant>
        <vt:i4>5</vt:i4>
      </vt:variant>
      <vt:variant>
        <vt:lpwstr>https://www.gavi.org/news/document-library/support/tca-guidelines</vt:lpwstr>
      </vt:variant>
      <vt:variant>
        <vt:lpwstr/>
      </vt:variant>
      <vt:variant>
        <vt:i4>1245206</vt:i4>
      </vt:variant>
      <vt:variant>
        <vt:i4>0</vt:i4>
      </vt:variant>
      <vt:variant>
        <vt:i4>0</vt:i4>
      </vt:variant>
      <vt:variant>
        <vt:i4>5</vt:i4>
      </vt:variant>
      <vt:variant>
        <vt:lpwstr>https://www.gavi.org/fr/actualites/librarie-de-documents/directives-de-financement-du-programme-gavi</vt:lpwstr>
      </vt:variant>
      <vt:variant>
        <vt:lpwstr/>
      </vt:variant>
      <vt:variant>
        <vt:i4>5242978</vt:i4>
      </vt:variant>
      <vt:variant>
        <vt:i4>0</vt:i4>
      </vt:variant>
      <vt:variant>
        <vt:i4>0</vt:i4>
      </vt:variant>
      <vt:variant>
        <vt:i4>5</vt:i4>
      </vt:variant>
      <vt:variant>
        <vt:lpwstr>mailto:rhernandez@gavi.org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Marius Keller</cp:lastModifiedBy>
  <cp:revision>5</cp:revision>
  <cp:lastPrinted>2022-04-21T18:22:00Z</cp:lastPrinted>
  <dcterms:created xsi:type="dcterms:W3CDTF">2022-11-03T12:07:00Z</dcterms:created>
  <dcterms:modified xsi:type="dcterms:W3CDTF">2022-11-03T12:25:00Z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26837;#Andrew John Freeman;#33338;#Sarah Hillware (Consultant);#12006;#Jean Charles Dubourg (Consultant)</vt:lpwstr>
  </property>
  <property fmtid="{D5CDD505-2E9C-101B-9397-08002B2CF9AE}" pid="3" name="MSIP_Label_0a957285-7815-485a-9751-5b273b784ad5_Enabled">
    <vt:lpwstr>true</vt:lpwstr>
  </property>
  <property fmtid="{D5CDD505-2E9C-101B-9397-08002B2CF9AE}" pid="4" name="MSIP_Label_0a957285-7815-485a-9751-5b273b784ad5_SetDate">
    <vt:lpwstr>2021-06-28T14:41:48Z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b3f6c006-4701-4f2b-898d-0000134ac9f8</vt:lpwstr>
  </property>
  <property fmtid="{D5CDD505-2E9C-101B-9397-08002B2CF9AE}" pid="9" name="MSIP_Label_0a957285-7815-485a-9751-5b273b784ad5_ContentBits">
    <vt:lpwstr>0</vt:lpwstr>
  </property>
  <property fmtid="{D5CDD505-2E9C-101B-9397-08002B2CF9AE}" pid="10" name="Lang">
    <vt:lpwstr/>
  </property>
  <property fmtid="{D5CDD505-2E9C-101B-9397-08002B2CF9AE}" pid="11" name="TaxKeyword">
    <vt:lpwstr/>
  </property>
  <property fmtid="{D5CDD505-2E9C-101B-9397-08002B2CF9AE}" pid="12" name="Risk">
    <vt:lpwstr/>
  </property>
  <property fmtid="{D5CDD505-2E9C-101B-9397-08002B2CF9AE}" pid="13" name="Health">
    <vt:lpwstr/>
  </property>
  <property fmtid="{D5CDD505-2E9C-101B-9397-08002B2CF9AE}" pid="14" name="Vaccine">
    <vt:lpwstr/>
  </property>
  <property fmtid="{D5CDD505-2E9C-101B-9397-08002B2CF9AE}" pid="15" name="Governance">
    <vt:lpwstr/>
  </property>
  <property fmtid="{D5CDD505-2E9C-101B-9397-08002B2CF9AE}" pid="16" name="Country">
    <vt:lpwstr/>
  </property>
  <property fmtid="{D5CDD505-2E9C-101B-9397-08002B2CF9AE}" pid="17" name="International Development">
    <vt:lpwstr/>
  </property>
  <property fmtid="{D5CDD505-2E9C-101B-9397-08002B2CF9AE}" pid="18" name="Market Shaping">
    <vt:lpwstr/>
  </property>
  <property fmtid="{D5CDD505-2E9C-101B-9397-08002B2CF9AE}" pid="19" name="Programme and project management">
    <vt:lpwstr/>
  </property>
  <property fmtid="{D5CDD505-2E9C-101B-9397-08002B2CF9AE}" pid="20" name="Strategy and Policy">
    <vt:lpwstr/>
  </property>
  <property fmtid="{D5CDD505-2E9C-101B-9397-08002B2CF9AE}" pid="21" name="Stakeholder">
    <vt:lpwstr/>
  </property>
  <property fmtid="{D5CDD505-2E9C-101B-9397-08002B2CF9AE}" pid="22" name="Document Type">
    <vt:lpwstr/>
  </property>
  <property fmtid="{D5CDD505-2E9C-101B-9397-08002B2CF9AE}" pid="23" name="Finance">
    <vt:lpwstr/>
  </property>
  <property fmtid="{D5CDD505-2E9C-101B-9397-08002B2CF9AE}" pid="24" name="Country Type">
    <vt:lpwstr/>
  </property>
  <property fmtid="{D5CDD505-2E9C-101B-9397-08002B2CF9AE}" pid="25" name="Health System Strengthening">
    <vt:lpwstr/>
  </property>
  <property fmtid="{D5CDD505-2E9C-101B-9397-08002B2CF9AE}" pid="26" name="Location1">
    <vt:lpwstr/>
  </property>
  <property fmtid="{D5CDD505-2E9C-101B-9397-08002B2CF9AE}" pid="27" name="IT Systems">
    <vt:lpwstr/>
  </property>
  <property fmtid="{D5CDD505-2E9C-101B-9397-08002B2CF9AE}" pid="28" name="Depto">
    <vt:lpwstr/>
  </property>
  <property fmtid="{D5CDD505-2E9C-101B-9397-08002B2CF9AE}" pid="29" name="Order">
    <vt:r8>95686700</vt:r8>
  </property>
  <property fmtid="{D5CDD505-2E9C-101B-9397-08002B2CF9AE}" pid="30" name="Topic">
    <vt:lpwstr/>
  </property>
  <property fmtid="{D5CDD505-2E9C-101B-9397-08002B2CF9AE}" pid="31" name="xd_Signature">
    <vt:bool>false</vt:bool>
  </property>
  <property fmtid="{D5CDD505-2E9C-101B-9397-08002B2CF9AE}" pid="32" name="xd_ProgID">
    <vt:lpwstr/>
  </property>
  <property fmtid="{D5CDD505-2E9C-101B-9397-08002B2CF9AE}" pid="33" name="TemplateUrl">
    <vt:lpwstr/>
  </property>
  <property fmtid="{D5CDD505-2E9C-101B-9397-08002B2CF9AE}" pid="34" name="ComplianceAssetId">
    <vt:lpwstr/>
  </property>
  <property fmtid="{D5CDD505-2E9C-101B-9397-08002B2CF9AE}" pid="35" name="Attendees">
    <vt:lpwstr/>
  </property>
  <property fmtid="{D5CDD505-2E9C-101B-9397-08002B2CF9AE}" pid="36" name="_ExtendedDescription">
    <vt:lpwstr/>
  </property>
  <property fmtid="{D5CDD505-2E9C-101B-9397-08002B2CF9AE}" pid="37" name="TriggerFlowInfo">
    <vt:lpwstr/>
  </property>
  <property fmtid="{D5CDD505-2E9C-101B-9397-08002B2CF9AE}" pid="38" name="MediaServiceImageTags">
    <vt:lpwstr/>
  </property>
  <property fmtid="{D5CDD505-2E9C-101B-9397-08002B2CF9AE}" pid="39" name="kfa83adfad8641678ddaedda80d7e126">
    <vt:lpwstr/>
  </property>
  <property fmtid="{D5CDD505-2E9C-101B-9397-08002B2CF9AE}" pid="40" name="Test">
    <vt:lpwstr/>
  </property>
  <property fmtid="{D5CDD505-2E9C-101B-9397-08002B2CF9AE}" pid="41" name="ContentTypeId">
    <vt:lpwstr>0x0101009954897F3EE3CC4ABB9FB9EDAC9CDEBC0061E92A44B5DD2545AEF000129C25E859</vt:lpwstr>
  </property>
  <property fmtid="{D5CDD505-2E9C-101B-9397-08002B2CF9AE}" pid="42" name="_dlc_DocIdItemGuid">
    <vt:lpwstr>642e0697-5894-4a50-9110-1639384b7445</vt:lpwstr>
  </property>
</Properties>
</file>