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6F73" w14:textId="47E52ADF" w:rsidR="10C9C897" w:rsidRDefault="10C9C897" w:rsidP="10C9C897">
      <w:pPr>
        <w:spacing w:line="300" w:lineRule="exact"/>
        <w:jc w:val="center"/>
        <w:rPr>
          <w:b/>
          <w:bCs/>
          <w:color w:val="4472C4" w:themeColor="accent1"/>
          <w:sz w:val="32"/>
          <w:szCs w:val="32"/>
          <w:lang w:val="en-GB"/>
        </w:rPr>
      </w:pPr>
      <w:r w:rsidRPr="0286FA84">
        <w:rPr>
          <w:b/>
          <w:bCs/>
          <w:color w:val="4472C4" w:themeColor="accent1"/>
          <w:sz w:val="32"/>
          <w:szCs w:val="32"/>
          <w:lang w:val="en-GB"/>
        </w:rPr>
        <w:t>South Sudan</w:t>
      </w:r>
    </w:p>
    <w:p w14:paraId="2F1C3C11" w14:textId="77777777" w:rsidR="00B177EC" w:rsidRDefault="00B177EC" w:rsidP="00FC4A11">
      <w:pPr>
        <w:spacing w:line="300" w:lineRule="exact"/>
        <w:rPr>
          <w:b/>
          <w:color w:val="4472C4" w:themeColor="accent1"/>
          <w:sz w:val="36"/>
          <w:szCs w:val="36"/>
          <w:lang w:val="en-GB"/>
        </w:rPr>
      </w:pPr>
    </w:p>
    <w:p w14:paraId="104F20A4" w14:textId="46A3E482" w:rsidR="00EA7614" w:rsidRDefault="000301CD" w:rsidP="002C42E8">
      <w:pPr>
        <w:spacing w:line="300" w:lineRule="exact"/>
        <w:jc w:val="center"/>
        <w:rPr>
          <w:b/>
          <w:color w:val="4471C4"/>
          <w:sz w:val="32"/>
          <w:szCs w:val="32"/>
          <w:lang w:val="en-GB"/>
        </w:rPr>
      </w:pPr>
      <w:r w:rsidRPr="4E4DD800">
        <w:rPr>
          <w:b/>
          <w:color w:val="4471C4"/>
          <w:sz w:val="32"/>
          <w:szCs w:val="32"/>
          <w:lang w:val="en-GB"/>
        </w:rPr>
        <w:t>PEF Targeted Country Assistance (TCA) Narrative</w:t>
      </w:r>
    </w:p>
    <w:p w14:paraId="299FEA98" w14:textId="14379F3C" w:rsidR="00EA7614" w:rsidRPr="000301CD" w:rsidRDefault="000301CD" w:rsidP="002C42E8">
      <w:pPr>
        <w:spacing w:line="300" w:lineRule="exact"/>
        <w:jc w:val="center"/>
        <w:rPr>
          <w:bCs/>
          <w:color w:val="808080" w:themeColor="background1" w:themeShade="80"/>
          <w:sz w:val="32"/>
          <w:szCs w:val="32"/>
          <w:lang w:val="en-GB"/>
        </w:rPr>
      </w:pPr>
      <w:r w:rsidRPr="4E4DD800">
        <w:rPr>
          <w:b/>
          <w:color w:val="4471C4"/>
          <w:sz w:val="32"/>
          <w:szCs w:val="32"/>
          <w:lang w:val="en-GB"/>
        </w:rPr>
        <w:t>for 2022-</w:t>
      </w:r>
      <w:r w:rsidRPr="4E4DD800">
        <w:rPr>
          <w:b/>
          <w:bCs/>
          <w:color w:val="4471C4"/>
          <w:sz w:val="32"/>
          <w:szCs w:val="32"/>
          <w:lang w:val="en-GB"/>
        </w:rPr>
        <w:t>2025 Multi-</w:t>
      </w:r>
      <w:r w:rsidRPr="4E4DD800">
        <w:rPr>
          <w:b/>
          <w:bCs/>
          <w:color w:val="4472C4" w:themeColor="accent1"/>
          <w:sz w:val="32"/>
          <w:szCs w:val="32"/>
          <w:lang w:val="en-GB"/>
        </w:rPr>
        <w:t>Year Planning</w:t>
      </w:r>
    </w:p>
    <w:p w14:paraId="505C9912" w14:textId="77777777" w:rsidR="000301CD" w:rsidRDefault="000301CD" w:rsidP="00FC4A11">
      <w:pPr>
        <w:spacing w:line="300" w:lineRule="exact"/>
        <w:rPr>
          <w:bCs/>
          <w:color w:val="808080" w:themeColor="background1" w:themeShade="80"/>
          <w:lang w:val="en-GB"/>
        </w:rPr>
      </w:pPr>
    </w:p>
    <w:p w14:paraId="0E23D244" w14:textId="1D5F69EF" w:rsidR="000D0267" w:rsidRDefault="00322FAC" w:rsidP="00FC4A11">
      <w:pPr>
        <w:spacing w:line="300" w:lineRule="exact"/>
        <w:rPr>
          <w:bCs/>
          <w:color w:val="808080" w:themeColor="background1" w:themeShade="80"/>
        </w:rPr>
      </w:pPr>
      <w:r w:rsidRPr="00072D93">
        <w:rPr>
          <w:bCs/>
          <w:color w:val="808080" w:themeColor="background1" w:themeShade="80"/>
          <w:lang w:val="en-GB"/>
        </w:rPr>
        <w:t>Use this template to create a narrative that contextualise</w:t>
      </w:r>
      <w:r w:rsidR="008447E6">
        <w:rPr>
          <w:bCs/>
          <w:color w:val="808080" w:themeColor="background1" w:themeShade="80"/>
          <w:lang w:val="en-GB"/>
        </w:rPr>
        <w:t>s</w:t>
      </w:r>
      <w:r w:rsidRPr="00072D93">
        <w:rPr>
          <w:bCs/>
          <w:color w:val="808080" w:themeColor="background1" w:themeShade="80"/>
          <w:lang w:val="en-GB"/>
        </w:rPr>
        <w:t xml:space="preserve"> your </w:t>
      </w:r>
      <w:r w:rsidR="00E14236" w:rsidRPr="00072D93">
        <w:rPr>
          <w:bCs/>
          <w:color w:val="808080" w:themeColor="background1" w:themeShade="80"/>
          <w:lang w:val="en-GB"/>
        </w:rPr>
        <w:t>TCA plan</w:t>
      </w:r>
      <w:r w:rsidR="00EF52EE">
        <w:rPr>
          <w:bCs/>
          <w:color w:val="808080" w:themeColor="background1" w:themeShade="80"/>
          <w:lang w:val="en-GB"/>
        </w:rPr>
        <w:t xml:space="preserve"> for the planned</w:t>
      </w:r>
      <w:r w:rsidR="009731D8">
        <w:rPr>
          <w:bCs/>
          <w:color w:val="808080" w:themeColor="background1" w:themeShade="80"/>
          <w:lang w:val="en-GB"/>
        </w:rPr>
        <w:t xml:space="preserve"> duration</w:t>
      </w:r>
      <w:r w:rsidRPr="00072D93">
        <w:rPr>
          <w:bCs/>
          <w:color w:val="808080" w:themeColor="background1" w:themeShade="80"/>
          <w:lang w:val="en-GB"/>
        </w:rPr>
        <w:t xml:space="preserve"> and how the support </w:t>
      </w:r>
      <w:r w:rsidR="007454E0">
        <w:rPr>
          <w:bCs/>
          <w:color w:val="808080" w:themeColor="background1" w:themeShade="80"/>
          <w:lang w:val="en-GB"/>
        </w:rPr>
        <w:t>that</w:t>
      </w:r>
      <w:r w:rsidRPr="00072D93">
        <w:rPr>
          <w:bCs/>
          <w:color w:val="808080" w:themeColor="background1" w:themeShade="80"/>
          <w:lang w:val="en-GB"/>
        </w:rPr>
        <w:t xml:space="preserve"> you are requesting from Gavi will help you </w:t>
      </w:r>
      <w:r w:rsidR="008E6274">
        <w:rPr>
          <w:bCs/>
          <w:color w:val="808080" w:themeColor="background1" w:themeShade="80"/>
          <w:lang w:val="en-GB"/>
        </w:rPr>
        <w:t>reach your immuni</w:t>
      </w:r>
      <w:r w:rsidR="00FF2C35">
        <w:rPr>
          <w:bCs/>
          <w:color w:val="808080" w:themeColor="background1" w:themeShade="80"/>
          <w:lang w:val="en-GB"/>
        </w:rPr>
        <w:t>s</w:t>
      </w:r>
      <w:r w:rsidR="008E6274">
        <w:rPr>
          <w:bCs/>
          <w:color w:val="808080" w:themeColor="background1" w:themeShade="80"/>
          <w:lang w:val="en-GB"/>
        </w:rPr>
        <w:t xml:space="preserve">ation goals. </w:t>
      </w:r>
      <w:r w:rsidRPr="00072D93">
        <w:rPr>
          <w:bCs/>
          <w:color w:val="808080" w:themeColor="background1" w:themeShade="80"/>
        </w:rPr>
        <w:t xml:space="preserve"> </w:t>
      </w:r>
    </w:p>
    <w:p w14:paraId="6F6CC660" w14:textId="77777777" w:rsidR="00056DDF" w:rsidRPr="00072D93" w:rsidRDefault="00056DDF" w:rsidP="00FC4A11">
      <w:pPr>
        <w:spacing w:line="300" w:lineRule="exact"/>
        <w:rPr>
          <w:bCs/>
          <w:color w:val="808080" w:themeColor="background1" w:themeShade="80"/>
        </w:rPr>
      </w:pPr>
    </w:p>
    <w:p w14:paraId="1AB11C18" w14:textId="238BD1D1" w:rsidR="001C1D82" w:rsidRPr="0065351E" w:rsidRDefault="00056DDF" w:rsidP="00056DDF">
      <w:pPr>
        <w:spacing w:line="300" w:lineRule="exact"/>
        <w:ind w:left="426"/>
        <w:rPr>
          <w:i/>
          <w:color w:val="808080" w:themeColor="background1" w:themeShade="80"/>
          <w:lang w:val="en-GB"/>
        </w:rPr>
      </w:pPr>
      <w:r w:rsidRPr="0065351E">
        <w:rPr>
          <w:i/>
          <w:color w:val="808080" w:themeColor="background1" w:themeShade="80"/>
          <w:lang w:val="en-GB"/>
        </w:rPr>
        <w:t>(Populated by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14:paraId="70C3917F" w14:textId="6D7D2D4E" w:rsidTr="39EA2426">
        <w:tc>
          <w:tcPr>
            <w:tcW w:w="2185" w:type="dxa"/>
            <w:shd w:val="clear" w:color="auto" w:fill="DEEAF6" w:themeFill="accent5" w:themeFillTint="33"/>
          </w:tcPr>
          <w:p w14:paraId="7BD2C001" w14:textId="20F00943" w:rsidR="00FB048D" w:rsidRPr="00372D1F" w:rsidRDefault="00FB048D" w:rsidP="171964E3">
            <w:pPr>
              <w:spacing w:line="300" w:lineRule="exact"/>
              <w:rPr>
                <w:b/>
                <w:bCs/>
                <w:lang w:val="en-GB"/>
              </w:rPr>
            </w:pPr>
            <w:r w:rsidRPr="171964E3">
              <w:rPr>
                <w:b/>
                <w:bCs/>
                <w:lang w:val="en-GB"/>
              </w:rPr>
              <w:t>Total Envelope</w:t>
            </w:r>
          </w:p>
        </w:tc>
        <w:tc>
          <w:tcPr>
            <w:tcW w:w="5748" w:type="dxa"/>
            <w:gridSpan w:val="2"/>
            <w:shd w:val="clear" w:color="auto" w:fill="DEEAF6" w:themeFill="accent5" w:themeFillTint="33"/>
          </w:tcPr>
          <w:p w14:paraId="5F1CD927" w14:textId="1D24474C" w:rsidR="00FB048D" w:rsidRPr="00372D1F" w:rsidRDefault="00FB048D" w:rsidP="171964E3">
            <w:pPr>
              <w:spacing w:line="300" w:lineRule="exact"/>
              <w:rPr>
                <w:b/>
                <w:bCs/>
                <w:lang w:val="en-GB"/>
              </w:rPr>
            </w:pPr>
            <w:r w:rsidRPr="171964E3">
              <w:rPr>
                <w:b/>
                <w:bCs/>
                <w:lang w:val="en-GB"/>
              </w:rPr>
              <w:t>Indicative allocation per 2022</w:t>
            </w:r>
          </w:p>
        </w:tc>
        <w:tc>
          <w:tcPr>
            <w:tcW w:w="1134" w:type="dxa"/>
            <w:shd w:val="clear" w:color="auto" w:fill="DEEAF6" w:themeFill="accent5" w:themeFillTint="33"/>
          </w:tcPr>
          <w:p w14:paraId="7640021E" w14:textId="0969877A" w:rsidR="00FB048D" w:rsidRPr="00372D1F" w:rsidRDefault="00FB048D" w:rsidP="00FC4A11">
            <w:pPr>
              <w:spacing w:line="300" w:lineRule="exact"/>
              <w:rPr>
                <w:b/>
                <w:lang w:val="en-GB"/>
              </w:rPr>
            </w:pPr>
            <w:r>
              <w:rPr>
                <w:b/>
                <w:lang w:val="en-GB"/>
              </w:rPr>
              <w:t>%</w:t>
            </w:r>
          </w:p>
        </w:tc>
      </w:tr>
      <w:tr w:rsidR="00FB048D" w14:paraId="150C4E2A" w14:textId="117ACA42" w:rsidTr="39EA2426">
        <w:tc>
          <w:tcPr>
            <w:tcW w:w="2185" w:type="dxa"/>
            <w:vMerge w:val="restart"/>
            <w:shd w:val="clear" w:color="auto" w:fill="FFFFFF" w:themeFill="background1"/>
          </w:tcPr>
          <w:p w14:paraId="06591890" w14:textId="3148795F" w:rsidR="00FB048D" w:rsidRDefault="00FB048D" w:rsidP="171964E3">
            <w:pPr>
              <w:spacing w:line="300" w:lineRule="exact"/>
              <w:rPr>
                <w:color w:val="808080" w:themeColor="background1" w:themeShade="80"/>
                <w:lang w:val="en-GB"/>
              </w:rPr>
            </w:pPr>
            <w:r w:rsidRPr="39EA2426">
              <w:rPr>
                <w:color w:val="808080" w:themeColor="background1" w:themeShade="80"/>
                <w:lang w:val="en-GB"/>
              </w:rPr>
              <w:t>$</w:t>
            </w:r>
            <w:r w:rsidR="39EA2426" w:rsidRPr="39EA2426">
              <w:rPr>
                <w:color w:val="808080" w:themeColor="background1" w:themeShade="80"/>
                <w:lang w:val="en-GB"/>
              </w:rPr>
              <w:t>10,790,076</w:t>
            </w:r>
          </w:p>
          <w:p w14:paraId="731ED098" w14:textId="738DBC5C" w:rsidR="00FB048D" w:rsidRDefault="00FB048D" w:rsidP="171964E3">
            <w:pPr>
              <w:spacing w:line="300" w:lineRule="exact"/>
              <w:rPr>
                <w:color w:val="808080" w:themeColor="background1" w:themeShade="80"/>
                <w:lang w:val="en-GB"/>
              </w:rPr>
            </w:pPr>
          </w:p>
        </w:tc>
        <w:tc>
          <w:tcPr>
            <w:tcW w:w="787" w:type="dxa"/>
            <w:shd w:val="clear" w:color="auto" w:fill="E2EFD9" w:themeFill="accent6" w:themeFillTint="33"/>
          </w:tcPr>
          <w:p w14:paraId="7CFDAA42" w14:textId="1406FB5F" w:rsidR="00FB048D" w:rsidRPr="007530C5" w:rsidRDefault="00FB048D" w:rsidP="171964E3">
            <w:pPr>
              <w:spacing w:line="300" w:lineRule="exact"/>
              <w:rPr>
                <w:b/>
                <w:bCs/>
                <w:lang w:val="en-GB"/>
              </w:rPr>
            </w:pPr>
            <w:r w:rsidRPr="171964E3">
              <w:rPr>
                <w:b/>
                <w:bCs/>
                <w:lang w:val="en-GB"/>
              </w:rPr>
              <w:t>2022</w:t>
            </w:r>
          </w:p>
        </w:tc>
        <w:tc>
          <w:tcPr>
            <w:tcW w:w="4961" w:type="dxa"/>
            <w:shd w:val="clear" w:color="auto" w:fill="E2EFD9" w:themeFill="accent6" w:themeFillTint="33"/>
          </w:tcPr>
          <w:p w14:paraId="00353A5A" w14:textId="3A35D2CF" w:rsidR="00FB048D" w:rsidRPr="003F1471" w:rsidRDefault="00FB048D" w:rsidP="171964E3">
            <w:pPr>
              <w:spacing w:line="300" w:lineRule="exact"/>
              <w:rPr>
                <w:color w:val="808080" w:themeColor="background1" w:themeShade="80"/>
                <w:lang w:val="en-GB"/>
              </w:rPr>
            </w:pPr>
            <w:r w:rsidRPr="171964E3">
              <w:rPr>
                <w:color w:val="808080" w:themeColor="background1" w:themeShade="80"/>
                <w:lang w:val="en-GB"/>
              </w:rPr>
              <w:t>$</w:t>
            </w:r>
            <w:r w:rsidR="171964E3" w:rsidRPr="171964E3">
              <w:rPr>
                <w:color w:val="808080" w:themeColor="background1" w:themeShade="80"/>
                <w:lang w:val="en-GB"/>
              </w:rPr>
              <w:t>1,999,175</w:t>
            </w:r>
          </w:p>
        </w:tc>
        <w:tc>
          <w:tcPr>
            <w:tcW w:w="1134" w:type="dxa"/>
            <w:shd w:val="clear" w:color="auto" w:fill="E2EFD9" w:themeFill="accent6" w:themeFillTint="33"/>
          </w:tcPr>
          <w:p w14:paraId="2EADFDF3" w14:textId="6865BFF2" w:rsidR="00FB048D" w:rsidRDefault="171964E3" w:rsidP="171964E3">
            <w:pPr>
              <w:spacing w:line="300" w:lineRule="exact"/>
              <w:rPr>
                <w:color w:val="808080" w:themeColor="background1" w:themeShade="80"/>
                <w:lang w:val="en-GB"/>
              </w:rPr>
            </w:pPr>
            <w:r w:rsidRPr="39EA2426">
              <w:rPr>
                <w:color w:val="808080" w:themeColor="background1" w:themeShade="80"/>
                <w:lang w:val="en-GB"/>
              </w:rPr>
              <w:t>18.52%</w:t>
            </w:r>
          </w:p>
        </w:tc>
      </w:tr>
      <w:tr w:rsidR="39EA2426" w14:paraId="7E67C652" w14:textId="77777777" w:rsidTr="39EA2426">
        <w:tc>
          <w:tcPr>
            <w:tcW w:w="2185" w:type="dxa"/>
            <w:vMerge/>
            <w:shd w:val="clear" w:color="auto" w:fill="FFFFFF" w:themeFill="background1"/>
          </w:tcPr>
          <w:p w14:paraId="2A78E35A" w14:textId="77777777" w:rsidR="00764781" w:rsidRDefault="00764781"/>
        </w:tc>
        <w:tc>
          <w:tcPr>
            <w:tcW w:w="787" w:type="dxa"/>
            <w:shd w:val="clear" w:color="auto" w:fill="E2EFD9" w:themeFill="accent6" w:themeFillTint="33"/>
          </w:tcPr>
          <w:p w14:paraId="172E318D" w14:textId="1050C7CF" w:rsidR="39EA2426" w:rsidRDefault="39EA2426" w:rsidP="39EA2426">
            <w:pPr>
              <w:spacing w:line="300" w:lineRule="exact"/>
              <w:rPr>
                <w:b/>
                <w:bCs/>
                <w:lang w:val="en-GB"/>
              </w:rPr>
            </w:pPr>
            <w:r w:rsidRPr="39EA2426">
              <w:rPr>
                <w:b/>
                <w:bCs/>
                <w:lang w:val="en-GB"/>
              </w:rPr>
              <w:t>2023</w:t>
            </w:r>
          </w:p>
        </w:tc>
        <w:tc>
          <w:tcPr>
            <w:tcW w:w="4961" w:type="dxa"/>
            <w:shd w:val="clear" w:color="auto" w:fill="E2EFD9" w:themeFill="accent6" w:themeFillTint="33"/>
          </w:tcPr>
          <w:p w14:paraId="0086AEA3" w14:textId="7867E1DC" w:rsidR="39EA2426" w:rsidRDefault="39EA2426" w:rsidP="39EA2426">
            <w:pPr>
              <w:spacing w:line="300" w:lineRule="exact"/>
              <w:rPr>
                <w:color w:val="808080" w:themeColor="background1" w:themeShade="80"/>
                <w:lang w:val="en-GB"/>
              </w:rPr>
            </w:pPr>
            <w:r w:rsidRPr="39EA2426">
              <w:rPr>
                <w:color w:val="808080" w:themeColor="background1" w:themeShade="80"/>
                <w:lang w:val="en-GB"/>
              </w:rPr>
              <w:t>$2,930,300</w:t>
            </w:r>
          </w:p>
        </w:tc>
        <w:tc>
          <w:tcPr>
            <w:tcW w:w="1134" w:type="dxa"/>
            <w:shd w:val="clear" w:color="auto" w:fill="E2EFD9" w:themeFill="accent6" w:themeFillTint="33"/>
          </w:tcPr>
          <w:p w14:paraId="0694E290" w14:textId="169C3819" w:rsidR="39EA2426" w:rsidRDefault="39EA2426" w:rsidP="39EA2426">
            <w:pPr>
              <w:spacing w:line="300" w:lineRule="exact"/>
              <w:rPr>
                <w:color w:val="808080" w:themeColor="background1" w:themeShade="80"/>
                <w:lang w:val="en-GB"/>
              </w:rPr>
            </w:pPr>
            <w:r w:rsidRPr="39EA2426">
              <w:rPr>
                <w:color w:val="808080" w:themeColor="background1" w:themeShade="80"/>
                <w:lang w:val="en-GB"/>
              </w:rPr>
              <w:t>27.16%</w:t>
            </w:r>
          </w:p>
        </w:tc>
      </w:tr>
      <w:tr w:rsidR="39EA2426" w14:paraId="60E8CC68" w14:textId="77777777" w:rsidTr="39EA2426">
        <w:tc>
          <w:tcPr>
            <w:tcW w:w="2185" w:type="dxa"/>
            <w:vMerge/>
            <w:shd w:val="clear" w:color="auto" w:fill="FFFFFF" w:themeFill="background1"/>
          </w:tcPr>
          <w:p w14:paraId="563A1CB2" w14:textId="77777777" w:rsidR="00764781" w:rsidRDefault="00764781"/>
        </w:tc>
        <w:tc>
          <w:tcPr>
            <w:tcW w:w="787" w:type="dxa"/>
            <w:shd w:val="clear" w:color="auto" w:fill="E2EFD9" w:themeFill="accent6" w:themeFillTint="33"/>
          </w:tcPr>
          <w:p w14:paraId="1F3F03F3" w14:textId="715DB964" w:rsidR="39EA2426" w:rsidRDefault="39EA2426" w:rsidP="39EA2426">
            <w:pPr>
              <w:spacing w:line="300" w:lineRule="exact"/>
              <w:rPr>
                <w:b/>
                <w:bCs/>
                <w:lang w:val="en-GB"/>
              </w:rPr>
            </w:pPr>
            <w:r w:rsidRPr="39EA2426">
              <w:rPr>
                <w:b/>
                <w:bCs/>
                <w:lang w:val="en-GB"/>
              </w:rPr>
              <w:t>2024</w:t>
            </w:r>
          </w:p>
        </w:tc>
        <w:tc>
          <w:tcPr>
            <w:tcW w:w="4961" w:type="dxa"/>
            <w:shd w:val="clear" w:color="auto" w:fill="E2EFD9" w:themeFill="accent6" w:themeFillTint="33"/>
          </w:tcPr>
          <w:p w14:paraId="44002992" w14:textId="6B2281A5" w:rsidR="39EA2426" w:rsidRDefault="39EA2426" w:rsidP="39EA2426">
            <w:pPr>
              <w:spacing w:line="300" w:lineRule="exact"/>
              <w:rPr>
                <w:color w:val="808080" w:themeColor="background1" w:themeShade="80"/>
                <w:lang w:val="en-GB"/>
              </w:rPr>
            </w:pPr>
            <w:r w:rsidRPr="39EA2426">
              <w:rPr>
                <w:color w:val="808080" w:themeColor="background1" w:themeShade="80"/>
                <w:lang w:val="en-GB"/>
              </w:rPr>
              <w:t>$2,930,300</w:t>
            </w:r>
          </w:p>
        </w:tc>
        <w:tc>
          <w:tcPr>
            <w:tcW w:w="1134" w:type="dxa"/>
            <w:shd w:val="clear" w:color="auto" w:fill="E2EFD9" w:themeFill="accent6" w:themeFillTint="33"/>
          </w:tcPr>
          <w:p w14:paraId="2801192C" w14:textId="43B83973" w:rsidR="39EA2426" w:rsidRDefault="39EA2426" w:rsidP="39EA2426">
            <w:pPr>
              <w:spacing w:line="300" w:lineRule="exact"/>
              <w:rPr>
                <w:color w:val="808080" w:themeColor="background1" w:themeShade="80"/>
                <w:lang w:val="en-GB"/>
              </w:rPr>
            </w:pPr>
            <w:r w:rsidRPr="39EA2426">
              <w:rPr>
                <w:color w:val="808080" w:themeColor="background1" w:themeShade="80"/>
                <w:lang w:val="en-GB"/>
              </w:rPr>
              <w:t>27.16%</w:t>
            </w:r>
          </w:p>
        </w:tc>
      </w:tr>
      <w:tr w:rsidR="39EA2426" w14:paraId="08EE939D" w14:textId="77777777" w:rsidTr="39EA2426">
        <w:tc>
          <w:tcPr>
            <w:tcW w:w="2185" w:type="dxa"/>
            <w:vMerge/>
            <w:shd w:val="clear" w:color="auto" w:fill="FFFFFF" w:themeFill="background1"/>
          </w:tcPr>
          <w:p w14:paraId="26CFDFFE" w14:textId="77777777" w:rsidR="00764781" w:rsidRDefault="00764781"/>
        </w:tc>
        <w:tc>
          <w:tcPr>
            <w:tcW w:w="787" w:type="dxa"/>
            <w:shd w:val="clear" w:color="auto" w:fill="E2EFD9" w:themeFill="accent6" w:themeFillTint="33"/>
          </w:tcPr>
          <w:p w14:paraId="14F12589" w14:textId="0D7F27AB" w:rsidR="39EA2426" w:rsidRDefault="39EA2426" w:rsidP="39EA2426">
            <w:pPr>
              <w:spacing w:line="300" w:lineRule="exact"/>
              <w:rPr>
                <w:b/>
                <w:bCs/>
                <w:lang w:val="en-GB"/>
              </w:rPr>
            </w:pPr>
            <w:r w:rsidRPr="39EA2426">
              <w:rPr>
                <w:b/>
                <w:bCs/>
                <w:lang w:val="en-GB"/>
              </w:rPr>
              <w:t>2025</w:t>
            </w:r>
          </w:p>
        </w:tc>
        <w:tc>
          <w:tcPr>
            <w:tcW w:w="4961" w:type="dxa"/>
            <w:shd w:val="clear" w:color="auto" w:fill="E2EFD9" w:themeFill="accent6" w:themeFillTint="33"/>
          </w:tcPr>
          <w:p w14:paraId="745E8CA1" w14:textId="5160C059" w:rsidR="39EA2426" w:rsidRDefault="39EA2426" w:rsidP="39EA2426">
            <w:pPr>
              <w:spacing w:line="300" w:lineRule="exact"/>
              <w:rPr>
                <w:color w:val="808080" w:themeColor="background1" w:themeShade="80"/>
                <w:lang w:val="en-GB"/>
              </w:rPr>
            </w:pPr>
            <w:r w:rsidRPr="39EA2426">
              <w:rPr>
                <w:color w:val="808080" w:themeColor="background1" w:themeShade="80"/>
                <w:lang w:val="en-GB"/>
              </w:rPr>
              <w:t>$2,930,300</w:t>
            </w:r>
          </w:p>
        </w:tc>
        <w:tc>
          <w:tcPr>
            <w:tcW w:w="1134" w:type="dxa"/>
            <w:shd w:val="clear" w:color="auto" w:fill="E2EFD9" w:themeFill="accent6" w:themeFillTint="33"/>
          </w:tcPr>
          <w:p w14:paraId="7CEC4C9B" w14:textId="667BB6CE" w:rsidR="39EA2426" w:rsidRDefault="39EA2426" w:rsidP="39EA2426">
            <w:pPr>
              <w:spacing w:line="300" w:lineRule="exact"/>
              <w:rPr>
                <w:color w:val="808080" w:themeColor="background1" w:themeShade="80"/>
                <w:lang w:val="en-GB"/>
              </w:rPr>
            </w:pPr>
            <w:r w:rsidRPr="39EA2426">
              <w:rPr>
                <w:color w:val="808080" w:themeColor="background1" w:themeShade="80"/>
                <w:lang w:val="en-GB"/>
              </w:rPr>
              <w:t>27.16%</w:t>
            </w:r>
          </w:p>
        </w:tc>
      </w:tr>
    </w:tbl>
    <w:p w14:paraId="1F6083B3" w14:textId="77777777" w:rsidR="00A47FCF" w:rsidRDefault="00A47FCF" w:rsidP="00FC4A11">
      <w:pPr>
        <w:spacing w:line="300" w:lineRule="exact"/>
        <w:rPr>
          <w:bCs/>
          <w:color w:val="808080" w:themeColor="background1" w:themeShade="80"/>
          <w:lang w:val="en-GB"/>
        </w:rPr>
      </w:pPr>
    </w:p>
    <w:p w14:paraId="030CF340" w14:textId="34A3E30E" w:rsidR="00650EB6" w:rsidRDefault="00FB7375" w:rsidP="00CE1F57">
      <w:pPr>
        <w:pStyle w:val="ListParagraph"/>
        <w:numPr>
          <w:ilvl w:val="0"/>
          <w:numId w:val="4"/>
        </w:numPr>
        <w:spacing w:line="300" w:lineRule="exact"/>
        <w:ind w:left="426"/>
        <w:rPr>
          <w:b/>
          <w:color w:val="84C650"/>
          <w:sz w:val="26"/>
          <w:szCs w:val="26"/>
          <w:lang w:val="en-GB"/>
        </w:rPr>
      </w:pPr>
      <w:r>
        <w:rPr>
          <w:b/>
          <w:color w:val="70AD47" w:themeColor="accent6"/>
          <w:sz w:val="26"/>
          <w:szCs w:val="26"/>
          <w:lang w:val="en-GB"/>
        </w:rPr>
        <w:t>K</w:t>
      </w:r>
      <w:r w:rsidRPr="00FB7375">
        <w:rPr>
          <w:b/>
          <w:color w:val="70AD47" w:themeColor="accent6"/>
          <w:sz w:val="26"/>
          <w:szCs w:val="26"/>
          <w:lang w:val="en-GB"/>
        </w:rPr>
        <w:t xml:space="preserve">ey objectives for the </w:t>
      </w:r>
      <w:r>
        <w:rPr>
          <w:b/>
          <w:color w:val="70AD47" w:themeColor="accent6"/>
          <w:sz w:val="26"/>
          <w:szCs w:val="26"/>
          <w:lang w:val="en-GB"/>
        </w:rPr>
        <w:t>EPI</w:t>
      </w:r>
      <w:r w:rsidRPr="00FB7375">
        <w:rPr>
          <w:b/>
          <w:color w:val="70AD47" w:themeColor="accent6"/>
          <w:sz w:val="26"/>
          <w:szCs w:val="26"/>
          <w:lang w:val="en-GB"/>
        </w:rPr>
        <w:t xml:space="preserve"> program and known gaps/bottlenecks </w:t>
      </w:r>
      <w:r w:rsidR="00650EB6">
        <w:rPr>
          <w:b/>
          <w:color w:val="70AD47" w:themeColor="accent6"/>
          <w:sz w:val="26"/>
          <w:szCs w:val="26"/>
          <w:lang w:val="en-GB"/>
        </w:rPr>
        <w:t>(0.5 page)</w:t>
      </w:r>
    </w:p>
    <w:p w14:paraId="52D793FC" w14:textId="77777777" w:rsidR="000E69CF" w:rsidRDefault="000E69CF" w:rsidP="00FC4A11">
      <w:pPr>
        <w:spacing w:line="300" w:lineRule="exact"/>
        <w:rPr>
          <w:bCs/>
          <w:color w:val="808080" w:themeColor="background1" w:themeShade="8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650EB6" w14:paraId="4DE8D376" w14:textId="77777777" w:rsidTr="0286FA84">
        <w:tc>
          <w:tcPr>
            <w:tcW w:w="9192" w:type="dxa"/>
            <w:tcBorders>
              <w:bottom w:val="single" w:sz="6" w:space="0" w:color="auto"/>
            </w:tcBorders>
            <w:shd w:val="clear" w:color="auto" w:fill="F2F2F2" w:themeFill="background1" w:themeFillShade="F2"/>
          </w:tcPr>
          <w:p w14:paraId="7976640A" w14:textId="70A33093" w:rsidR="00650EB6" w:rsidRPr="00650EB6" w:rsidRDefault="00650EB6" w:rsidP="00871FCF">
            <w:pPr>
              <w:spacing w:line="300" w:lineRule="exact"/>
              <w:rPr>
                <w:b/>
                <w:i/>
                <w:iCs/>
                <w:color w:val="000000" w:themeColor="text1"/>
                <w:sz w:val="20"/>
                <w:szCs w:val="20"/>
                <w:lang w:val="en-GB"/>
              </w:rPr>
            </w:pPr>
            <w:r>
              <w:rPr>
                <w:b/>
                <w:bCs/>
                <w:i/>
                <w:iCs/>
                <w:color w:val="000000" w:themeColor="text1"/>
                <w:sz w:val="20"/>
                <w:szCs w:val="20"/>
                <w:lang w:val="en-GB"/>
              </w:rPr>
              <w:t xml:space="preserve">1.1 </w:t>
            </w:r>
            <w:r w:rsidRPr="008C7464">
              <w:rPr>
                <w:b/>
                <w:bCs/>
                <w:i/>
                <w:iCs/>
                <w:sz w:val="20"/>
                <w:szCs w:val="20"/>
              </w:rPr>
              <w:t xml:space="preserve">Please note any country context that </w:t>
            </w:r>
            <w:r w:rsidR="00483273">
              <w:rPr>
                <w:b/>
                <w:bCs/>
                <w:i/>
                <w:iCs/>
                <w:sz w:val="20"/>
                <w:szCs w:val="20"/>
              </w:rPr>
              <w:t>is</w:t>
            </w:r>
            <w:r w:rsidRPr="008C7464">
              <w:rPr>
                <w:b/>
                <w:bCs/>
                <w:i/>
                <w:iCs/>
                <w:sz w:val="20"/>
                <w:szCs w:val="20"/>
              </w:rPr>
              <w:t xml:space="preserve"> significant to understanding the country</w:t>
            </w:r>
            <w:r w:rsidR="00483273">
              <w:rPr>
                <w:b/>
                <w:bCs/>
                <w:i/>
                <w:iCs/>
                <w:sz w:val="20"/>
                <w:szCs w:val="20"/>
              </w:rPr>
              <w:t>'s</w:t>
            </w:r>
            <w:r w:rsidRPr="008C7464">
              <w:rPr>
                <w:b/>
                <w:bCs/>
                <w:i/>
                <w:iCs/>
                <w:sz w:val="20"/>
                <w:szCs w:val="20"/>
              </w:rPr>
              <w:t xml:space="preserve"> vision and request for Gavi TCA support. What specific effects do these factors have on the national immunisation programme</w:t>
            </w:r>
            <w:r w:rsidR="003036DC">
              <w:rPr>
                <w:b/>
                <w:bCs/>
                <w:i/>
                <w:iCs/>
                <w:sz w:val="20"/>
                <w:szCs w:val="20"/>
              </w:rPr>
              <w:t>?</w:t>
            </w:r>
          </w:p>
        </w:tc>
      </w:tr>
      <w:tr w:rsidR="00650EB6" w14:paraId="79578C2F" w14:textId="77777777" w:rsidTr="0286FA84">
        <w:tc>
          <w:tcPr>
            <w:tcW w:w="9192" w:type="dxa"/>
            <w:tcBorders>
              <w:top w:val="single" w:sz="6" w:space="0" w:color="auto"/>
              <w:left w:val="single" w:sz="6" w:space="0" w:color="auto"/>
              <w:bottom w:val="single" w:sz="6" w:space="0" w:color="auto"/>
              <w:right w:val="single" w:sz="6" w:space="0" w:color="auto"/>
            </w:tcBorders>
          </w:tcPr>
          <w:p w14:paraId="3E98FFE4" w14:textId="52558FDC" w:rsidR="00F344D6" w:rsidRPr="003D431C" w:rsidRDefault="00F344D6" w:rsidP="00F344D6">
            <w:pPr>
              <w:pStyle w:val="Heading1"/>
              <w:spacing w:before="0" w:after="0"/>
              <w:outlineLvl w:val="0"/>
              <w:rPr>
                <w:rFonts w:ascii="Times New Roman" w:hAnsi="Times New Roman" w:cs="Times New Roman"/>
                <w:b/>
                <w:sz w:val="28"/>
                <w:lang w:eastAsia="ja-JP"/>
              </w:rPr>
            </w:pPr>
            <w:r w:rsidRPr="003D431C">
              <w:rPr>
                <w:rFonts w:ascii="Times New Roman" w:hAnsi="Times New Roman" w:cs="Times New Roman"/>
                <w:b/>
                <w:sz w:val="28"/>
                <w:lang w:eastAsia="ja-JP"/>
              </w:rPr>
              <w:lastRenderedPageBreak/>
              <w:t>Country context</w:t>
            </w:r>
          </w:p>
          <w:p w14:paraId="48D88CC8" w14:textId="1CD75394" w:rsidR="00F344D6" w:rsidRPr="00D218FC" w:rsidRDefault="00F344D6"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South Sudan remains a fragile country with a weak health system.  The few and interspersed health facilities </w:t>
            </w:r>
            <w:r w:rsidR="00001E94" w:rsidRPr="00D218FC">
              <w:rPr>
                <w:rFonts w:ascii="Calibri" w:eastAsia="Times New Roman" w:hAnsi="Calibri" w:cs="Calibri"/>
                <w:iCs/>
                <w:lang w:val="en-GB"/>
              </w:rPr>
              <w:t xml:space="preserve">are </w:t>
            </w:r>
            <w:r w:rsidRPr="00D218FC">
              <w:rPr>
                <w:rFonts w:ascii="Calibri" w:eastAsia="Times New Roman" w:hAnsi="Calibri" w:cs="Calibri"/>
                <w:iCs/>
                <w:lang w:val="en-GB"/>
              </w:rPr>
              <w:t>inaccessible to most of the population</w:t>
            </w:r>
            <w:r w:rsidR="00237E1D" w:rsidRPr="00D218FC">
              <w:rPr>
                <w:rFonts w:ascii="Calibri" w:eastAsia="Times New Roman" w:hAnsi="Calibri" w:cs="Calibri"/>
                <w:iCs/>
                <w:lang w:val="en-GB"/>
              </w:rPr>
              <w:t>,</w:t>
            </w:r>
            <w:r w:rsidRPr="00D218FC">
              <w:rPr>
                <w:rFonts w:ascii="Calibri" w:eastAsia="Times New Roman" w:hAnsi="Calibri" w:cs="Calibri"/>
                <w:iCs/>
                <w:lang w:val="en-GB"/>
              </w:rPr>
              <w:t xml:space="preserve"> especially in those areas where coverage has been very low. </w:t>
            </w:r>
            <w:r w:rsidR="00AA6B9E" w:rsidRPr="00D218FC">
              <w:rPr>
                <w:rFonts w:ascii="Calibri" w:eastAsia="Times New Roman" w:hAnsi="Calibri" w:cs="Calibri"/>
                <w:iCs/>
                <w:lang w:val="en-GB"/>
              </w:rPr>
              <w:t>Further compounded by ongoing conflict, and seasonal flooding, which all lead to difficulties in accessibility throughout the country. Over many years,</w:t>
            </w:r>
            <w:r w:rsidRPr="00D218FC">
              <w:rPr>
                <w:rFonts w:ascii="Calibri" w:eastAsia="Times New Roman" w:hAnsi="Calibri" w:cs="Calibri"/>
                <w:iCs/>
                <w:lang w:val="en-GB"/>
              </w:rPr>
              <w:t xml:space="preserve"> the government’s investme</w:t>
            </w:r>
            <w:r w:rsidR="00046D23" w:rsidRPr="00D218FC">
              <w:rPr>
                <w:rFonts w:ascii="Calibri" w:eastAsia="Times New Roman" w:hAnsi="Calibri" w:cs="Calibri"/>
                <w:iCs/>
                <w:lang w:val="en-GB"/>
              </w:rPr>
              <w:t>nt in health and immunisation was below 3</w:t>
            </w:r>
            <w:r w:rsidRPr="00D218FC">
              <w:rPr>
                <w:rFonts w:ascii="Calibri" w:eastAsia="Times New Roman" w:hAnsi="Calibri" w:cs="Calibri"/>
                <w:iCs/>
                <w:lang w:val="en-GB"/>
              </w:rPr>
              <w:t>% of its GDP</w:t>
            </w:r>
            <w:r w:rsidR="00AA6B9E" w:rsidRPr="00D218FC">
              <w:rPr>
                <w:rFonts w:ascii="Calibri" w:eastAsia="Times New Roman" w:hAnsi="Calibri" w:cs="Calibri"/>
                <w:iCs/>
                <w:lang w:val="en-GB"/>
              </w:rPr>
              <w:t xml:space="preserve">. </w:t>
            </w:r>
            <w:proofErr w:type="gramStart"/>
            <w:r w:rsidR="00AA6B9E" w:rsidRPr="00D218FC">
              <w:rPr>
                <w:rFonts w:ascii="Calibri" w:eastAsia="Times New Roman" w:hAnsi="Calibri" w:cs="Calibri"/>
                <w:iCs/>
                <w:lang w:val="en-GB"/>
              </w:rPr>
              <w:t xml:space="preserve">However, </w:t>
            </w:r>
            <w:r w:rsidR="00046D23" w:rsidRPr="00D218FC">
              <w:rPr>
                <w:rFonts w:ascii="Calibri" w:eastAsia="Times New Roman" w:hAnsi="Calibri" w:cs="Calibri"/>
                <w:iCs/>
                <w:lang w:val="en-GB"/>
              </w:rPr>
              <w:t xml:space="preserve"> the</w:t>
            </w:r>
            <w:proofErr w:type="gramEnd"/>
            <w:r w:rsidR="00046D23" w:rsidRPr="00D218FC">
              <w:rPr>
                <w:rFonts w:ascii="Calibri" w:eastAsia="Times New Roman" w:hAnsi="Calibri" w:cs="Calibri"/>
                <w:iCs/>
                <w:lang w:val="en-GB"/>
              </w:rPr>
              <w:t xml:space="preserve"> health sector allocation for 2020/2021 jumped to 10 percent.  </w:t>
            </w:r>
            <w:r w:rsidR="00AA6B9E" w:rsidRPr="00D218FC">
              <w:rPr>
                <w:rFonts w:ascii="Calibri" w:eastAsia="Times New Roman" w:hAnsi="Calibri" w:cs="Calibri"/>
                <w:iCs/>
                <w:lang w:val="en-GB"/>
              </w:rPr>
              <w:t>T</w:t>
            </w:r>
            <w:r w:rsidR="00046D23" w:rsidRPr="00D218FC">
              <w:rPr>
                <w:rFonts w:ascii="Calibri" w:eastAsia="Times New Roman" w:hAnsi="Calibri" w:cs="Calibri"/>
                <w:iCs/>
                <w:lang w:val="en-GB"/>
              </w:rPr>
              <w:t xml:space="preserve">hough the increased budget is a notable shift, significant discrepancy between what is allocated and </w:t>
            </w:r>
            <w:r w:rsidR="00237E1D" w:rsidRPr="00D218FC">
              <w:rPr>
                <w:rFonts w:ascii="Calibri" w:eastAsia="Times New Roman" w:hAnsi="Calibri" w:cs="Calibri"/>
                <w:iCs/>
                <w:lang w:val="en-GB"/>
              </w:rPr>
              <w:t>what</w:t>
            </w:r>
            <w:r w:rsidR="00046D23" w:rsidRPr="00D218FC">
              <w:rPr>
                <w:rFonts w:ascii="Calibri" w:eastAsia="Times New Roman" w:hAnsi="Calibri" w:cs="Calibri"/>
                <w:iCs/>
                <w:lang w:val="en-GB"/>
              </w:rPr>
              <w:t xml:space="preserve"> is received</w:t>
            </w:r>
            <w:r w:rsidR="00237E1D" w:rsidRPr="00D218FC">
              <w:rPr>
                <w:rFonts w:ascii="Calibri" w:eastAsia="Times New Roman" w:hAnsi="Calibri" w:cs="Calibri"/>
                <w:iCs/>
                <w:lang w:val="en-GB"/>
              </w:rPr>
              <w:t xml:space="preserve"> </w:t>
            </w:r>
            <w:r w:rsidR="00AA6B9E" w:rsidRPr="00D218FC">
              <w:rPr>
                <w:rFonts w:ascii="Calibri" w:eastAsia="Times New Roman" w:hAnsi="Calibri" w:cs="Calibri"/>
                <w:iCs/>
                <w:lang w:val="en-GB"/>
              </w:rPr>
              <w:t xml:space="preserve">was reported </w:t>
            </w:r>
            <w:r w:rsidR="00237E1D" w:rsidRPr="00D218FC">
              <w:rPr>
                <w:rFonts w:ascii="Calibri" w:eastAsia="Times New Roman" w:hAnsi="Calibri" w:cs="Calibri"/>
                <w:iCs/>
                <w:lang w:val="en-GB"/>
              </w:rPr>
              <w:t>in the previous budgets</w:t>
            </w:r>
            <w:r w:rsidR="00046D23" w:rsidRPr="00D218FC">
              <w:rPr>
                <w:rFonts w:ascii="Calibri" w:eastAsia="Times New Roman" w:hAnsi="Calibri" w:cs="Calibri"/>
                <w:iCs/>
                <w:lang w:val="en-GB"/>
              </w:rPr>
              <w:t>.</w:t>
            </w:r>
          </w:p>
          <w:p w14:paraId="369DC08E" w14:textId="77777777" w:rsidR="00F344D6" w:rsidRPr="00F344D6" w:rsidRDefault="00F344D6" w:rsidP="00F344D6">
            <w:pPr>
              <w:pStyle w:val="NoSpacing"/>
              <w:jc w:val="both"/>
              <w:rPr>
                <w:rFonts w:ascii="Times New Roman" w:hAnsi="Times New Roman" w:cs="Times New Roman"/>
                <w:color w:val="252525"/>
                <w:sz w:val="24"/>
                <w:szCs w:val="24"/>
                <w:lang w:val="en-GB"/>
              </w:rPr>
            </w:pPr>
          </w:p>
          <w:p w14:paraId="215EAEE7" w14:textId="5054F5FB" w:rsidR="00B85A76" w:rsidRPr="00D218FC" w:rsidRDefault="5C557EDC" w:rsidP="27FEF433">
            <w:pPr>
              <w:shd w:val="clear" w:color="auto" w:fill="FFFFFF" w:themeFill="background1"/>
              <w:spacing w:line="240" w:lineRule="auto"/>
              <w:rPr>
                <w:rFonts w:ascii="Calibri" w:eastAsia="Times New Roman" w:hAnsi="Calibri" w:cs="Calibri"/>
                <w:lang w:val="en-GB"/>
              </w:rPr>
            </w:pPr>
            <w:r w:rsidRPr="27FEF433">
              <w:rPr>
                <w:rFonts w:ascii="Calibri" w:eastAsia="Times New Roman" w:hAnsi="Calibri" w:cs="Calibri"/>
                <w:lang w:val="en-GB"/>
              </w:rPr>
              <w:t xml:space="preserve">The EPI program is managed and implemented as an integral component of primary health care (PHC) under the stewardship of the Director General of Primary Health Care. While the management of vaccination services is spearheaded by the Ministry of Health, vaccination service delivery is outsourced to non-government agencies </w:t>
            </w:r>
            <w:r w:rsidR="2D9EAD97" w:rsidRPr="27FEF433">
              <w:rPr>
                <w:rFonts w:ascii="Calibri" w:eastAsia="Times New Roman" w:hAnsi="Calibri" w:cs="Calibri"/>
                <w:lang w:val="en-GB"/>
              </w:rPr>
              <w:t>that</w:t>
            </w:r>
            <w:r w:rsidRPr="27FEF433">
              <w:rPr>
                <w:rFonts w:ascii="Calibri" w:eastAsia="Times New Roman" w:hAnsi="Calibri" w:cs="Calibri"/>
                <w:lang w:val="en-GB"/>
              </w:rPr>
              <w:t xml:space="preserve"> are contracted by the government to implement a basic package for health and nutrition (BPHN) across the country. Eight states are supported by multi-donor</w:t>
            </w:r>
            <w:r w:rsidR="008D62FA">
              <w:rPr>
                <w:rFonts w:ascii="Calibri" w:eastAsia="Times New Roman" w:hAnsi="Calibri" w:cs="Calibri"/>
                <w:lang w:val="en-GB"/>
              </w:rPr>
              <w:t xml:space="preserve"> </w:t>
            </w:r>
            <w:r w:rsidRPr="27FEF433">
              <w:rPr>
                <w:rFonts w:ascii="Calibri" w:eastAsia="Times New Roman" w:hAnsi="Calibri" w:cs="Calibri"/>
                <w:lang w:val="en-GB"/>
              </w:rPr>
              <w:t>HPF3 that includes FCDO, USAID, Sweden, and Canada</w:t>
            </w:r>
            <w:r w:rsidR="2D9EAD97" w:rsidRPr="27FEF433">
              <w:rPr>
                <w:rFonts w:ascii="Calibri" w:eastAsia="Times New Roman" w:hAnsi="Calibri" w:cs="Calibri"/>
                <w:lang w:val="en-GB"/>
              </w:rPr>
              <w:t>,</w:t>
            </w:r>
            <w:r w:rsidRPr="27FEF433">
              <w:rPr>
                <w:rFonts w:ascii="Calibri" w:eastAsia="Times New Roman" w:hAnsi="Calibri" w:cs="Calibri"/>
                <w:lang w:val="en-GB"/>
              </w:rPr>
              <w:t xml:space="preserve"> and a contribution by GAVI with a focus on Health Systems and Immunization Strengthening). HPF3 uses implementing partners that combine development, </w:t>
            </w:r>
            <w:proofErr w:type="gramStart"/>
            <w:r w:rsidRPr="27FEF433">
              <w:rPr>
                <w:rFonts w:ascii="Calibri" w:eastAsia="Times New Roman" w:hAnsi="Calibri" w:cs="Calibri"/>
                <w:lang w:val="en-GB"/>
              </w:rPr>
              <w:t>humanitarian</w:t>
            </w:r>
            <w:proofErr w:type="gramEnd"/>
            <w:r w:rsidRPr="27FEF433">
              <w:rPr>
                <w:rFonts w:ascii="Calibri" w:eastAsia="Times New Roman" w:hAnsi="Calibri" w:cs="Calibri"/>
                <w:lang w:val="en-GB"/>
              </w:rPr>
              <w:t xml:space="preserve"> and health </w:t>
            </w:r>
            <w:r w:rsidR="17C68509" w:rsidRPr="27FEF433">
              <w:rPr>
                <w:rFonts w:ascii="Calibri" w:eastAsia="Times New Roman" w:hAnsi="Calibri" w:cs="Calibri"/>
                <w:lang w:val="en-GB"/>
              </w:rPr>
              <w:t xml:space="preserve">partners (HPF used Crown Agents as the operational fund Manager) The CSO or implementing partners under HPF/Crown Agents are </w:t>
            </w:r>
            <w:r w:rsidR="328E895E" w:rsidRPr="27FEF433">
              <w:rPr>
                <w:rFonts w:ascii="Calibri" w:eastAsia="Times New Roman" w:hAnsi="Calibri" w:cs="Calibri"/>
                <w:lang w:val="en-GB"/>
              </w:rPr>
              <w:t>10</w:t>
            </w:r>
            <w:r w:rsidRPr="27FEF433">
              <w:rPr>
                <w:rFonts w:ascii="Calibri" w:eastAsia="Times New Roman" w:hAnsi="Calibri" w:cs="Calibri"/>
                <w:lang w:val="en-GB"/>
              </w:rPr>
              <w:t xml:space="preserve">. UNICEF is the second fund manager covering the two conflict states with financial support from the World Bank and Gavi. A total of 1008 out of 1400 health facilities offering immunization services are supported through </w:t>
            </w:r>
            <w:r w:rsidR="44C23679" w:rsidRPr="27FEF433">
              <w:rPr>
                <w:rFonts w:ascii="Calibri" w:eastAsia="Times New Roman" w:hAnsi="Calibri" w:cs="Calibri"/>
                <w:lang w:val="en-GB"/>
              </w:rPr>
              <w:t xml:space="preserve">IOM, </w:t>
            </w:r>
            <w:r w:rsidRPr="27FEF433">
              <w:rPr>
                <w:rFonts w:ascii="Calibri" w:eastAsia="Times New Roman" w:hAnsi="Calibri" w:cs="Calibri"/>
                <w:lang w:val="en-GB"/>
              </w:rPr>
              <w:t>UNICEF and HPF3</w:t>
            </w:r>
            <w:r w:rsidR="17C68509" w:rsidRPr="27FEF433">
              <w:rPr>
                <w:rFonts w:ascii="Calibri" w:eastAsia="Times New Roman" w:hAnsi="Calibri" w:cs="Calibri"/>
                <w:lang w:val="en-GB"/>
              </w:rPr>
              <w:t xml:space="preserve"> (with </w:t>
            </w:r>
            <w:r w:rsidR="44C23679" w:rsidRPr="27FEF433">
              <w:rPr>
                <w:rFonts w:ascii="Calibri" w:eastAsia="Times New Roman" w:hAnsi="Calibri" w:cs="Calibri"/>
                <w:lang w:val="en-GB"/>
              </w:rPr>
              <w:t>796</w:t>
            </w:r>
            <w:r w:rsidR="17C68509" w:rsidRPr="27FEF433">
              <w:rPr>
                <w:rFonts w:ascii="Calibri" w:eastAsia="Times New Roman" w:hAnsi="Calibri" w:cs="Calibri"/>
                <w:lang w:val="en-GB"/>
              </w:rPr>
              <w:t xml:space="preserve"> under HPF</w:t>
            </w:r>
            <w:r w:rsidR="44C23679" w:rsidRPr="27FEF433">
              <w:rPr>
                <w:rFonts w:ascii="Calibri" w:eastAsia="Times New Roman" w:hAnsi="Calibri" w:cs="Calibri"/>
                <w:lang w:val="en-GB"/>
              </w:rPr>
              <w:t>, 191 under UNICEF &amp; 21 under IOM</w:t>
            </w:r>
            <w:r w:rsidR="17C68509" w:rsidRPr="27FEF433">
              <w:rPr>
                <w:rFonts w:ascii="Calibri" w:eastAsia="Times New Roman" w:hAnsi="Calibri" w:cs="Calibri"/>
                <w:lang w:val="en-GB"/>
              </w:rPr>
              <w:t>)</w:t>
            </w:r>
            <w:r w:rsidRPr="27FEF433">
              <w:rPr>
                <w:rFonts w:ascii="Calibri" w:eastAsia="Times New Roman" w:hAnsi="Calibri" w:cs="Calibri"/>
                <w:lang w:val="en-GB"/>
              </w:rPr>
              <w:t>, and hence GAVI s</w:t>
            </w:r>
            <w:r w:rsidR="2D9EAD97" w:rsidRPr="27FEF433">
              <w:rPr>
                <w:rFonts w:ascii="Calibri" w:eastAsia="Times New Roman" w:hAnsi="Calibri" w:cs="Calibri"/>
                <w:lang w:val="en-GB"/>
              </w:rPr>
              <w:t xml:space="preserve">upport continues to leverage </w:t>
            </w:r>
            <w:r w:rsidRPr="27FEF433">
              <w:rPr>
                <w:rFonts w:ascii="Calibri" w:eastAsia="Times New Roman" w:hAnsi="Calibri" w:cs="Calibri"/>
                <w:lang w:val="en-GB"/>
              </w:rPr>
              <w:t>existing systems.</w:t>
            </w:r>
            <w:r w:rsidR="17C68509" w:rsidRPr="27FEF433">
              <w:rPr>
                <w:rFonts w:ascii="Calibri" w:eastAsia="Times New Roman" w:hAnsi="Calibri" w:cs="Calibri"/>
                <w:lang w:val="en-GB"/>
              </w:rPr>
              <w:t xml:space="preserve"> While the government supports up to 20%. </w:t>
            </w:r>
            <w:r w:rsidRPr="27FEF433">
              <w:rPr>
                <w:rFonts w:ascii="Calibri" w:eastAsia="Times New Roman" w:hAnsi="Calibri" w:cs="Calibri"/>
                <w:lang w:val="en-GB"/>
              </w:rPr>
              <w:t>The 392 facilities are supported either by the government (orphaned) or partners</w:t>
            </w:r>
            <w:r w:rsidR="2D9EAD97" w:rsidRPr="27FEF433">
              <w:rPr>
                <w:rFonts w:ascii="Calibri" w:eastAsia="Times New Roman" w:hAnsi="Calibri" w:cs="Calibri"/>
                <w:lang w:val="en-GB"/>
              </w:rPr>
              <w:t>,</w:t>
            </w:r>
            <w:r w:rsidRPr="27FEF433">
              <w:rPr>
                <w:rFonts w:ascii="Calibri" w:eastAsia="Times New Roman" w:hAnsi="Calibri" w:cs="Calibri"/>
                <w:lang w:val="en-GB"/>
              </w:rPr>
              <w:t xml:space="preserve"> not in the UNICEF/HPF 3 funding mechanism. To support MOH and complement multi skills at </w:t>
            </w:r>
            <w:r w:rsidR="2D9EAD97" w:rsidRPr="27FEF433">
              <w:rPr>
                <w:rFonts w:ascii="Calibri" w:eastAsia="Times New Roman" w:hAnsi="Calibri" w:cs="Calibri"/>
                <w:lang w:val="en-GB"/>
              </w:rPr>
              <w:t xml:space="preserve">the </w:t>
            </w:r>
            <w:r w:rsidRPr="27FEF433">
              <w:rPr>
                <w:rFonts w:ascii="Calibri" w:eastAsia="Times New Roman" w:hAnsi="Calibri" w:cs="Calibri"/>
                <w:lang w:val="en-GB"/>
              </w:rPr>
              <w:t>field level the key implementing partners (UNICEF and HPF3) are receiving strategic support from JSI, AFENET</w:t>
            </w:r>
            <w:r w:rsidR="2D9EAD97" w:rsidRPr="27FEF433">
              <w:rPr>
                <w:rFonts w:ascii="Calibri" w:eastAsia="Times New Roman" w:hAnsi="Calibri" w:cs="Calibri"/>
                <w:lang w:val="en-GB"/>
              </w:rPr>
              <w:t>,</w:t>
            </w:r>
            <w:r w:rsidRPr="27FEF433">
              <w:rPr>
                <w:rFonts w:ascii="Calibri" w:eastAsia="Times New Roman" w:hAnsi="Calibri" w:cs="Calibri"/>
                <w:lang w:val="en-GB"/>
              </w:rPr>
              <w:t xml:space="preserve"> and others. Other CSOs, mainly Save the Children, Cordaid and MSF are also supporting the immunization programme using their </w:t>
            </w:r>
            <w:r w:rsidR="17C68509" w:rsidRPr="27FEF433">
              <w:rPr>
                <w:rFonts w:ascii="Calibri" w:eastAsia="Times New Roman" w:hAnsi="Calibri" w:cs="Calibri"/>
                <w:lang w:val="en-GB"/>
              </w:rPr>
              <w:t xml:space="preserve">own </w:t>
            </w:r>
            <w:r w:rsidRPr="27FEF433">
              <w:rPr>
                <w:rFonts w:ascii="Calibri" w:eastAsia="Times New Roman" w:hAnsi="Calibri" w:cs="Calibri"/>
                <w:lang w:val="en-GB"/>
              </w:rPr>
              <w:t>sources of funding and have achieved reasonable vaccine coverage</w:t>
            </w:r>
            <w:r w:rsidR="17C68509" w:rsidRPr="27FEF433">
              <w:rPr>
                <w:rFonts w:ascii="Calibri" w:eastAsia="Times New Roman" w:hAnsi="Calibri" w:cs="Calibri"/>
                <w:lang w:val="en-GB"/>
              </w:rPr>
              <w:t xml:space="preserve">. </w:t>
            </w:r>
          </w:p>
          <w:p w14:paraId="77D6D681" w14:textId="39108DDB" w:rsidR="27FEF433" w:rsidRDefault="27FEF433" w:rsidP="27FEF433">
            <w:pPr>
              <w:shd w:val="clear" w:color="auto" w:fill="FFFFFF" w:themeFill="background1"/>
              <w:spacing w:line="240" w:lineRule="auto"/>
              <w:rPr>
                <w:rFonts w:ascii="Calibri" w:eastAsia="Times New Roman" w:hAnsi="Calibri" w:cs="Calibri"/>
                <w:lang w:val="en-GB"/>
              </w:rPr>
            </w:pPr>
          </w:p>
          <w:p w14:paraId="69C34851" w14:textId="275A2046" w:rsidR="00F344D6" w:rsidRPr="00F344D6" w:rsidRDefault="008D62FA" w:rsidP="00F344D6">
            <w:pPr>
              <w:pStyle w:val="Heading1"/>
              <w:spacing w:before="0" w:after="0"/>
              <w:outlineLvl w:val="0"/>
              <w:rPr>
                <w:b/>
                <w:color w:val="252525"/>
                <w:sz w:val="28"/>
              </w:rPr>
            </w:pPr>
            <w:r>
              <w:rPr>
                <w:rFonts w:ascii="Times New Roman" w:hAnsi="Times New Roman" w:cs="Times New Roman"/>
                <w:b/>
                <w:sz w:val="28"/>
                <w:lang w:eastAsia="ja-JP"/>
              </w:rPr>
              <w:t>General o</w:t>
            </w:r>
            <w:r w:rsidR="00F344D6" w:rsidRPr="003D431C">
              <w:rPr>
                <w:rFonts w:ascii="Times New Roman" w:hAnsi="Times New Roman" w:cs="Times New Roman"/>
                <w:b/>
                <w:sz w:val="28"/>
                <w:lang w:eastAsia="ja-JP"/>
              </w:rPr>
              <w:t>bjectives of the program</w:t>
            </w:r>
            <w:r>
              <w:rPr>
                <w:rFonts w:ascii="Times New Roman" w:hAnsi="Times New Roman" w:cs="Times New Roman"/>
                <w:b/>
                <w:sz w:val="28"/>
                <w:lang w:eastAsia="ja-JP"/>
              </w:rPr>
              <w:t xml:space="preserve"> (specific objectives are listed in the next section)</w:t>
            </w:r>
          </w:p>
          <w:p w14:paraId="1D81013E" w14:textId="77777777" w:rsidR="00F344D6" w:rsidRPr="00C3326C" w:rsidRDefault="00F344D6" w:rsidP="00F344D6">
            <w:pPr>
              <w:shd w:val="clear" w:color="auto" w:fill="FFFFFF"/>
              <w:spacing w:line="240" w:lineRule="auto"/>
              <w:rPr>
                <w:rFonts w:ascii="Times New Roman" w:hAnsi="Times New Roman" w:cs="Times New Roman"/>
                <w:sz w:val="24"/>
                <w:szCs w:val="24"/>
              </w:rPr>
            </w:pPr>
            <w:r w:rsidRPr="00D218FC">
              <w:rPr>
                <w:rFonts w:ascii="Calibri" w:eastAsia="Times New Roman" w:hAnsi="Calibri" w:cs="Calibri"/>
                <w:iCs/>
                <w:lang w:val="en-GB"/>
              </w:rPr>
              <w:t>By 2025 or earlier</w:t>
            </w:r>
            <w:r w:rsidRPr="00C3326C">
              <w:rPr>
                <w:rFonts w:ascii="Times New Roman" w:hAnsi="Times New Roman" w:cs="Times New Roman"/>
                <w:sz w:val="24"/>
                <w:szCs w:val="24"/>
              </w:rPr>
              <w:t>:</w:t>
            </w:r>
          </w:p>
          <w:p w14:paraId="79195CF2" w14:textId="77777777" w:rsidR="00F344D6" w:rsidRPr="00D218FC" w:rsidRDefault="00F344D6" w:rsidP="6F5450A0">
            <w:pPr>
              <w:numPr>
                <w:ilvl w:val="0"/>
                <w:numId w:val="6"/>
              </w:numPr>
              <w:shd w:val="clear" w:color="auto" w:fill="FFFFFF" w:themeFill="background1"/>
              <w:spacing w:line="240" w:lineRule="auto"/>
              <w:contextualSpacing/>
              <w:rPr>
                <w:rFonts w:ascii="Calibri" w:eastAsia="Times New Roman" w:hAnsi="Calibri" w:cs="Calibri"/>
                <w:lang w:val="en-GB"/>
              </w:rPr>
            </w:pPr>
            <w:r w:rsidRPr="6F5450A0">
              <w:rPr>
                <w:rFonts w:ascii="Calibri" w:eastAsia="Times New Roman" w:hAnsi="Calibri" w:cs="Calibri"/>
                <w:lang w:val="en-GB"/>
              </w:rPr>
              <w:t>Increased vaccination coverage – the country will achieve and sustain a Penta 1 coverage of at least 95% (reduce zero-dose children to less than 5%) and at least 80% vaccination coverage in every county.</w:t>
            </w:r>
          </w:p>
          <w:p w14:paraId="5D0F9D4F" w14:textId="77777777" w:rsidR="00F344D6" w:rsidRPr="00D218FC" w:rsidRDefault="00F344D6" w:rsidP="00F344D6">
            <w:pPr>
              <w:numPr>
                <w:ilvl w:val="0"/>
                <w:numId w:val="6"/>
              </w:numPr>
              <w:shd w:val="clear" w:color="auto" w:fill="FFFFFF"/>
              <w:spacing w:line="240" w:lineRule="auto"/>
              <w:contextualSpacing/>
              <w:rPr>
                <w:rFonts w:ascii="Calibri" w:eastAsia="Times New Roman" w:hAnsi="Calibri" w:cs="Calibri"/>
                <w:iCs/>
                <w:lang w:val="en-GB"/>
              </w:rPr>
            </w:pPr>
            <w:r w:rsidRPr="00D218FC">
              <w:rPr>
                <w:rFonts w:ascii="Calibri" w:eastAsia="Times New Roman" w:hAnsi="Calibri" w:cs="Calibri"/>
                <w:iCs/>
                <w:lang w:val="en-GB"/>
              </w:rPr>
              <w:t>Reduced morbidity and mortality due to VPDs by 50% compared to the 2020 level.</w:t>
            </w:r>
          </w:p>
          <w:p w14:paraId="3B12C108" w14:textId="728C493A" w:rsidR="00F344D6" w:rsidRPr="00D218FC" w:rsidRDefault="00F344D6" w:rsidP="00F344D6">
            <w:pPr>
              <w:numPr>
                <w:ilvl w:val="0"/>
                <w:numId w:val="6"/>
              </w:numPr>
              <w:shd w:val="clear" w:color="auto" w:fill="FFFFFF"/>
              <w:spacing w:line="240" w:lineRule="auto"/>
              <w:contextualSpacing/>
              <w:rPr>
                <w:rFonts w:ascii="Calibri" w:eastAsia="Times New Roman" w:hAnsi="Calibri" w:cs="Calibri"/>
                <w:iCs/>
                <w:lang w:val="en-GB"/>
              </w:rPr>
            </w:pPr>
            <w:r w:rsidRPr="00D218FC">
              <w:rPr>
                <w:rFonts w:ascii="Calibri" w:eastAsia="Times New Roman" w:hAnsi="Calibri" w:cs="Calibri"/>
                <w:iCs/>
                <w:lang w:val="en-GB"/>
              </w:rPr>
              <w:t>Ensured</w:t>
            </w:r>
            <w:r w:rsidR="00AA1CAE" w:rsidRPr="00D218FC">
              <w:rPr>
                <w:rFonts w:ascii="Calibri" w:eastAsia="Times New Roman" w:hAnsi="Calibri" w:cs="Calibri"/>
                <w:iCs/>
                <w:lang w:val="en-GB"/>
              </w:rPr>
              <w:t xml:space="preserve"> equitable</w:t>
            </w:r>
            <w:r w:rsidRPr="00D218FC">
              <w:rPr>
                <w:rFonts w:ascii="Calibri" w:eastAsia="Times New Roman" w:hAnsi="Calibri" w:cs="Calibri"/>
                <w:iCs/>
                <w:lang w:val="en-GB"/>
              </w:rPr>
              <w:t xml:space="preserve"> access to quality vaccines.</w:t>
            </w:r>
          </w:p>
          <w:p w14:paraId="598427DF" w14:textId="77777777" w:rsidR="00F344D6" w:rsidRPr="00D218FC" w:rsidRDefault="00F344D6" w:rsidP="00F344D6">
            <w:pPr>
              <w:numPr>
                <w:ilvl w:val="0"/>
                <w:numId w:val="6"/>
              </w:numPr>
              <w:shd w:val="clear" w:color="auto" w:fill="FFFFFF"/>
              <w:spacing w:line="240" w:lineRule="auto"/>
              <w:contextualSpacing/>
              <w:rPr>
                <w:rFonts w:ascii="Calibri" w:eastAsia="Times New Roman" w:hAnsi="Calibri" w:cs="Calibri"/>
                <w:iCs/>
                <w:lang w:val="en-GB"/>
              </w:rPr>
            </w:pPr>
            <w:r w:rsidRPr="00D218FC">
              <w:rPr>
                <w:rFonts w:ascii="Calibri" w:eastAsia="Times New Roman" w:hAnsi="Calibri" w:cs="Calibri"/>
                <w:iCs/>
                <w:lang w:val="en-GB"/>
              </w:rPr>
              <w:t>Strengthened systems for vaccination service delivery</w:t>
            </w:r>
          </w:p>
          <w:p w14:paraId="3DFA794B" w14:textId="4868A630" w:rsidR="00F344D6" w:rsidRPr="00D218FC" w:rsidRDefault="00F344D6" w:rsidP="00F344D6">
            <w:pPr>
              <w:numPr>
                <w:ilvl w:val="0"/>
                <w:numId w:val="6"/>
              </w:numPr>
              <w:shd w:val="clear" w:color="auto" w:fill="FFFFFF"/>
              <w:spacing w:line="240" w:lineRule="auto"/>
              <w:contextualSpacing/>
              <w:rPr>
                <w:rFonts w:ascii="Calibri" w:eastAsia="Times New Roman" w:hAnsi="Calibri" w:cs="Calibri"/>
                <w:iCs/>
                <w:lang w:val="en-GB"/>
              </w:rPr>
            </w:pPr>
            <w:r w:rsidRPr="00D218FC">
              <w:rPr>
                <w:rFonts w:ascii="Calibri" w:eastAsia="Times New Roman" w:hAnsi="Calibri" w:cs="Calibri"/>
                <w:iCs/>
                <w:lang w:val="en-GB"/>
              </w:rPr>
              <w:t>Introduction of new vaccines (PCV and Rota)</w:t>
            </w:r>
          </w:p>
          <w:p w14:paraId="71BC6A35" w14:textId="3866292C" w:rsidR="00B85A76" w:rsidRPr="00D218FC" w:rsidRDefault="00B85A76" w:rsidP="1365B2EA">
            <w:pPr>
              <w:numPr>
                <w:ilvl w:val="0"/>
                <w:numId w:val="6"/>
              </w:numPr>
              <w:shd w:val="clear" w:color="auto" w:fill="FFFFFF" w:themeFill="background1"/>
              <w:spacing w:line="240" w:lineRule="auto"/>
              <w:contextualSpacing/>
              <w:rPr>
                <w:rFonts w:ascii="Calibri" w:eastAsia="Times New Roman" w:hAnsi="Calibri" w:cs="Calibri"/>
                <w:iCs/>
                <w:lang w:val="en-GB"/>
              </w:rPr>
            </w:pPr>
            <w:r w:rsidRPr="00D218FC">
              <w:rPr>
                <w:rFonts w:ascii="Calibri" w:eastAsia="Times New Roman" w:hAnsi="Calibri" w:cs="Calibri"/>
                <w:iCs/>
                <w:lang w:val="en-GB"/>
              </w:rPr>
              <w:t xml:space="preserve">Roll out of measles </w:t>
            </w:r>
            <w:r w:rsidRPr="1365B2EA">
              <w:rPr>
                <w:rFonts w:ascii="Calibri" w:eastAsia="Times New Roman" w:hAnsi="Calibri" w:cs="Calibri"/>
                <w:lang w:val="en-GB"/>
              </w:rPr>
              <w:t>campaign</w:t>
            </w:r>
            <w:r w:rsidRPr="00D218FC">
              <w:rPr>
                <w:rFonts w:ascii="Calibri" w:eastAsia="Times New Roman" w:hAnsi="Calibri" w:cs="Calibri"/>
                <w:iCs/>
                <w:lang w:val="en-GB"/>
              </w:rPr>
              <w:t xml:space="preserve"> </w:t>
            </w:r>
          </w:p>
          <w:p w14:paraId="69B5CE2E" w14:textId="3A617E10" w:rsidR="00B85A76" w:rsidRPr="00D218FC" w:rsidRDefault="00B85A76" w:rsidP="00F344D6">
            <w:pPr>
              <w:numPr>
                <w:ilvl w:val="0"/>
                <w:numId w:val="6"/>
              </w:numPr>
              <w:shd w:val="clear" w:color="auto" w:fill="FFFFFF"/>
              <w:spacing w:line="240" w:lineRule="auto"/>
              <w:contextualSpacing/>
              <w:rPr>
                <w:rFonts w:ascii="Calibri" w:eastAsia="Times New Roman" w:hAnsi="Calibri" w:cs="Calibri"/>
                <w:iCs/>
                <w:lang w:val="en-GB"/>
              </w:rPr>
            </w:pPr>
            <w:r w:rsidRPr="00D218FC">
              <w:rPr>
                <w:rFonts w:ascii="Calibri" w:eastAsia="Times New Roman" w:hAnsi="Calibri" w:cs="Calibri"/>
                <w:iCs/>
                <w:lang w:val="en-GB"/>
              </w:rPr>
              <w:t xml:space="preserve">Ongoing support to potential outbreaks such as measles, OCV, IPV and yellow fever </w:t>
            </w:r>
          </w:p>
          <w:p w14:paraId="4D0BFF92" w14:textId="686F488A" w:rsidR="00F344D6" w:rsidRPr="00D218FC" w:rsidRDefault="00F344D6" w:rsidP="6F5450A0">
            <w:pPr>
              <w:numPr>
                <w:ilvl w:val="0"/>
                <w:numId w:val="6"/>
              </w:numPr>
              <w:shd w:val="clear" w:color="auto" w:fill="FFFFFF" w:themeFill="background1"/>
              <w:spacing w:line="240" w:lineRule="auto"/>
              <w:contextualSpacing/>
              <w:rPr>
                <w:rFonts w:ascii="Calibri" w:eastAsia="Times New Roman" w:hAnsi="Calibri" w:cs="Calibri"/>
                <w:lang w:val="en-GB"/>
              </w:rPr>
            </w:pPr>
            <w:r w:rsidRPr="6F5450A0">
              <w:rPr>
                <w:rFonts w:ascii="Calibri" w:eastAsia="Times New Roman" w:hAnsi="Calibri" w:cs="Calibri"/>
                <w:lang w:val="en-GB"/>
              </w:rPr>
              <w:t>Assured financial, technical, and political sustainability of vaccination programmes</w:t>
            </w:r>
          </w:p>
          <w:p w14:paraId="60586F43" w14:textId="5861E4B4" w:rsidR="00F344D6" w:rsidRPr="00F344D6" w:rsidRDefault="00F344D6" w:rsidP="00F344D6">
            <w:pPr>
              <w:pStyle w:val="Heading1"/>
              <w:spacing w:before="0" w:after="0"/>
              <w:outlineLvl w:val="0"/>
              <w:rPr>
                <w:rFonts w:ascii="Times New Roman" w:hAnsi="Times New Roman" w:cs="Times New Roman"/>
                <w:b/>
                <w:sz w:val="28"/>
                <w:lang w:eastAsia="ja-JP"/>
              </w:rPr>
            </w:pPr>
            <w:r w:rsidRPr="00F344D6">
              <w:rPr>
                <w:rFonts w:ascii="Times New Roman" w:hAnsi="Times New Roman" w:cs="Times New Roman"/>
                <w:b/>
                <w:sz w:val="28"/>
                <w:lang w:eastAsia="ja-JP"/>
              </w:rPr>
              <w:t xml:space="preserve">Known gaps </w:t>
            </w:r>
          </w:p>
          <w:p w14:paraId="3BB13468" w14:textId="77777777" w:rsidR="00F344D6" w:rsidRPr="00F344D6" w:rsidRDefault="00F344D6" w:rsidP="003D431C">
            <w:pPr>
              <w:pStyle w:val="Heading2"/>
              <w:outlineLvl w:val="1"/>
            </w:pPr>
            <w:r w:rsidRPr="00F344D6">
              <w:lastRenderedPageBreak/>
              <w:t>Leadership Management and Coordination</w:t>
            </w:r>
          </w:p>
          <w:p w14:paraId="1834562C" w14:textId="77777777" w:rsidR="00F344D6" w:rsidRPr="00F344D6" w:rsidRDefault="00F344D6" w:rsidP="003D431C">
            <w:pPr>
              <w:pStyle w:val="Heading3"/>
              <w:spacing w:before="0"/>
              <w:outlineLvl w:val="2"/>
            </w:pPr>
            <w:r w:rsidRPr="00F344D6">
              <w:t>Inadequate coordination of EPI services especially at subnational levels</w:t>
            </w:r>
          </w:p>
          <w:p w14:paraId="1CA1A800" w14:textId="0F785165" w:rsidR="00F344D6" w:rsidRDefault="00F344D6" w:rsidP="6F44B815">
            <w:pPr>
              <w:shd w:val="clear" w:color="auto" w:fill="FFFFFF" w:themeFill="background1"/>
              <w:spacing w:line="240" w:lineRule="auto"/>
              <w:contextualSpacing/>
              <w:rPr>
                <w:rFonts w:ascii="Calibri" w:eastAsia="Times New Roman" w:hAnsi="Calibri" w:cs="Calibri"/>
                <w:iCs/>
                <w:lang w:val="en-GB"/>
              </w:rPr>
            </w:pPr>
            <w:r w:rsidRPr="00D218FC">
              <w:rPr>
                <w:rFonts w:ascii="Calibri" w:eastAsia="Times New Roman" w:hAnsi="Calibri" w:cs="Calibri"/>
                <w:iCs/>
                <w:lang w:val="en-GB"/>
              </w:rPr>
              <w:t>Leadership has been undermined by the complex political and technical context in the country. The multiplicity of donors</w:t>
            </w:r>
            <w:r w:rsidR="00AA1CAE" w:rsidRPr="00D218FC">
              <w:rPr>
                <w:rFonts w:ascii="Calibri" w:eastAsia="Times New Roman" w:hAnsi="Calibri" w:cs="Calibri"/>
                <w:iCs/>
                <w:lang w:val="en-GB"/>
              </w:rPr>
              <w:t xml:space="preserve"> &amp; partners</w:t>
            </w:r>
            <w:r w:rsidRPr="00D218FC">
              <w:rPr>
                <w:rFonts w:ascii="Calibri" w:eastAsia="Times New Roman" w:hAnsi="Calibri" w:cs="Calibri"/>
                <w:iCs/>
                <w:lang w:val="en-GB"/>
              </w:rPr>
              <w:t xml:space="preserve"> and the lack of a consistent mapping of funding and activities have limited the capacity of the MOH to exer</w:t>
            </w:r>
            <w:r w:rsidR="00237E1D" w:rsidRPr="00D218FC">
              <w:rPr>
                <w:rFonts w:ascii="Calibri" w:eastAsia="Times New Roman" w:hAnsi="Calibri" w:cs="Calibri"/>
                <w:iCs/>
                <w:lang w:val="en-GB"/>
              </w:rPr>
              <w:t>t leadership and might impact</w:t>
            </w:r>
            <w:r w:rsidRPr="00D218FC">
              <w:rPr>
                <w:rFonts w:ascii="Calibri" w:eastAsia="Times New Roman" w:hAnsi="Calibri" w:cs="Calibri"/>
                <w:iCs/>
                <w:lang w:val="en-GB"/>
              </w:rPr>
              <w:t xml:space="preserve"> their accountability towards reaching unreached communities. </w:t>
            </w:r>
            <w:r w:rsidR="00FE039A">
              <w:rPr>
                <w:rFonts w:ascii="Calibri" w:eastAsia="Times New Roman" w:hAnsi="Calibri" w:cs="Calibri"/>
                <w:iCs/>
                <w:lang w:val="en-GB"/>
              </w:rPr>
              <w:t>Even though</w:t>
            </w:r>
            <w:r w:rsidR="008D62FA">
              <w:rPr>
                <w:rFonts w:ascii="Calibri" w:eastAsia="Times New Roman" w:hAnsi="Calibri" w:cs="Calibri"/>
                <w:iCs/>
                <w:lang w:val="en-GB"/>
              </w:rPr>
              <w:t xml:space="preserve"> coordination at national level has improved in the last two years,</w:t>
            </w:r>
            <w:r w:rsidR="00FE039A">
              <w:rPr>
                <w:rFonts w:ascii="Calibri" w:eastAsia="Times New Roman" w:hAnsi="Calibri" w:cs="Calibri"/>
                <w:iCs/>
                <w:lang w:val="en-GB"/>
              </w:rPr>
              <w:t xml:space="preserve"> partly due to the full functionality of the coordination platforms (EPI Technical working group and the interagency coordination </w:t>
            </w:r>
            <w:proofErr w:type="spellStart"/>
            <w:r w:rsidR="00FE039A">
              <w:rPr>
                <w:rFonts w:ascii="Calibri" w:eastAsia="Times New Roman" w:hAnsi="Calibri" w:cs="Calibri"/>
                <w:iCs/>
                <w:lang w:val="en-GB"/>
              </w:rPr>
              <w:t>committe</w:t>
            </w:r>
            <w:proofErr w:type="spellEnd"/>
            <w:r w:rsidR="00FE039A">
              <w:rPr>
                <w:rFonts w:ascii="Calibri" w:eastAsia="Times New Roman" w:hAnsi="Calibri" w:cs="Calibri"/>
                <w:iCs/>
                <w:lang w:val="en-GB"/>
              </w:rPr>
              <w:t xml:space="preserve">) and the incentives to the national EPI </w:t>
            </w:r>
            <w:proofErr w:type="gramStart"/>
            <w:r w:rsidR="00FE039A">
              <w:rPr>
                <w:rFonts w:ascii="Calibri" w:eastAsia="Times New Roman" w:hAnsi="Calibri" w:cs="Calibri"/>
                <w:iCs/>
                <w:lang w:val="en-GB"/>
              </w:rPr>
              <w:t xml:space="preserve">team, </w:t>
            </w:r>
            <w:r w:rsidR="008D62FA">
              <w:rPr>
                <w:rFonts w:ascii="Calibri" w:eastAsia="Times New Roman" w:hAnsi="Calibri" w:cs="Calibri"/>
                <w:iCs/>
                <w:lang w:val="en-GB"/>
              </w:rPr>
              <w:t xml:space="preserve"> the</w:t>
            </w:r>
            <w:proofErr w:type="gramEnd"/>
            <w:r w:rsidR="008D62FA">
              <w:rPr>
                <w:rFonts w:ascii="Calibri" w:eastAsia="Times New Roman" w:hAnsi="Calibri" w:cs="Calibri"/>
                <w:iCs/>
                <w:lang w:val="en-GB"/>
              </w:rPr>
              <w:t xml:space="preserve"> linkage between the national and subnational levels </w:t>
            </w:r>
            <w:r w:rsidR="00FE039A">
              <w:rPr>
                <w:rFonts w:ascii="Calibri" w:eastAsia="Times New Roman" w:hAnsi="Calibri" w:cs="Calibri"/>
                <w:iCs/>
                <w:lang w:val="en-GB"/>
              </w:rPr>
              <w:t>remains</w:t>
            </w:r>
            <w:r w:rsidR="008D62FA">
              <w:rPr>
                <w:rFonts w:ascii="Calibri" w:eastAsia="Times New Roman" w:hAnsi="Calibri" w:cs="Calibri"/>
                <w:iCs/>
                <w:lang w:val="en-GB"/>
              </w:rPr>
              <w:t xml:space="preserve"> weak. </w:t>
            </w:r>
            <w:r w:rsidRPr="00D218FC">
              <w:rPr>
                <w:rFonts w:ascii="Calibri" w:eastAsia="Times New Roman" w:hAnsi="Calibri" w:cs="Calibri"/>
                <w:iCs/>
                <w:lang w:val="en-GB"/>
              </w:rPr>
              <w:t>Coordination of sub</w:t>
            </w:r>
            <w:r w:rsidR="00AA1CAE" w:rsidRPr="00D218FC">
              <w:rPr>
                <w:rFonts w:ascii="Calibri" w:eastAsia="Times New Roman" w:hAnsi="Calibri" w:cs="Calibri"/>
                <w:iCs/>
                <w:lang w:val="en-GB"/>
              </w:rPr>
              <w:t>-</w:t>
            </w:r>
            <w:r w:rsidRPr="00D218FC">
              <w:rPr>
                <w:rFonts w:ascii="Calibri" w:eastAsia="Times New Roman" w:hAnsi="Calibri" w:cs="Calibri"/>
                <w:iCs/>
                <w:lang w:val="en-GB"/>
              </w:rPr>
              <w:t>national partners</w:t>
            </w:r>
            <w:r w:rsidR="00AA1CAE" w:rsidRPr="00D218FC">
              <w:rPr>
                <w:rFonts w:ascii="Calibri" w:eastAsia="Times New Roman" w:hAnsi="Calibri" w:cs="Calibri"/>
                <w:iCs/>
                <w:lang w:val="en-GB"/>
              </w:rPr>
              <w:t xml:space="preserve"> is significantly weak because of low motivation, high turnover of government staff due to poor working conditions, and low salaries leading to high attrition rate. Government staff</w:t>
            </w:r>
            <w:r w:rsidR="0047204E" w:rsidRPr="00D218FC">
              <w:rPr>
                <w:rFonts w:ascii="Calibri" w:eastAsia="Times New Roman" w:hAnsi="Calibri" w:cs="Calibri"/>
                <w:iCs/>
                <w:lang w:val="en-GB"/>
              </w:rPr>
              <w:t xml:space="preserve"> are sometimes not paid for months and </w:t>
            </w:r>
            <w:proofErr w:type="gramStart"/>
            <w:r w:rsidR="0047204E" w:rsidRPr="00D218FC">
              <w:rPr>
                <w:rFonts w:ascii="Calibri" w:eastAsia="Times New Roman" w:hAnsi="Calibri" w:cs="Calibri"/>
                <w:iCs/>
                <w:lang w:val="en-GB"/>
              </w:rPr>
              <w:t xml:space="preserve">others </w:t>
            </w:r>
            <w:r w:rsidR="00AA1CAE" w:rsidRPr="00D218FC">
              <w:rPr>
                <w:rFonts w:ascii="Calibri" w:eastAsia="Times New Roman" w:hAnsi="Calibri" w:cs="Calibri"/>
                <w:iCs/>
                <w:lang w:val="en-GB"/>
              </w:rPr>
              <w:t xml:space="preserve"> often</w:t>
            </w:r>
            <w:proofErr w:type="gramEnd"/>
            <w:r w:rsidR="00AA1CAE" w:rsidRPr="00D218FC">
              <w:rPr>
                <w:rFonts w:ascii="Calibri" w:eastAsia="Times New Roman" w:hAnsi="Calibri" w:cs="Calibri"/>
                <w:iCs/>
                <w:lang w:val="en-GB"/>
              </w:rPr>
              <w:t xml:space="preserve"> leave their position for higher-paying opportunities with UN agencies, donor agencies, private sector, or NGOs. </w:t>
            </w:r>
            <w:r w:rsidRPr="00D218FC">
              <w:rPr>
                <w:rFonts w:ascii="Calibri" w:eastAsia="Times New Roman" w:hAnsi="Calibri" w:cs="Calibri"/>
                <w:iCs/>
                <w:lang w:val="en-GB"/>
              </w:rPr>
              <w:t>Inadequate capability to manage EPI services</w:t>
            </w:r>
            <w:r w:rsidR="00AA6B9E" w:rsidRPr="00D218FC">
              <w:rPr>
                <w:rFonts w:ascii="Calibri" w:eastAsia="Times New Roman" w:hAnsi="Calibri" w:cs="Calibri"/>
                <w:iCs/>
                <w:lang w:val="en-GB"/>
              </w:rPr>
              <w:t>,</w:t>
            </w:r>
            <w:r w:rsidRPr="00D218FC">
              <w:rPr>
                <w:rFonts w:ascii="Calibri" w:eastAsia="Times New Roman" w:hAnsi="Calibri" w:cs="Calibri"/>
                <w:iCs/>
                <w:lang w:val="en-GB"/>
              </w:rPr>
              <w:t xml:space="preserve"> especially am</w:t>
            </w:r>
            <w:r w:rsidR="00AA6B9E" w:rsidRPr="00D218FC">
              <w:rPr>
                <w:rFonts w:ascii="Calibri" w:eastAsia="Times New Roman" w:hAnsi="Calibri" w:cs="Calibri"/>
                <w:iCs/>
                <w:lang w:val="en-GB"/>
              </w:rPr>
              <w:t xml:space="preserve">ong the county EPI </w:t>
            </w:r>
            <w:proofErr w:type="gramStart"/>
            <w:r w:rsidR="00AA6B9E" w:rsidRPr="00D218FC">
              <w:rPr>
                <w:rFonts w:ascii="Calibri" w:eastAsia="Times New Roman" w:hAnsi="Calibri" w:cs="Calibri"/>
                <w:iCs/>
                <w:lang w:val="en-GB"/>
              </w:rPr>
              <w:t xml:space="preserve">officers </w:t>
            </w:r>
            <w:r w:rsidRPr="00D218FC">
              <w:rPr>
                <w:rFonts w:ascii="Calibri" w:eastAsia="Times New Roman" w:hAnsi="Calibri" w:cs="Calibri"/>
                <w:iCs/>
                <w:lang w:val="en-GB"/>
              </w:rPr>
              <w:t xml:space="preserve"> affects</w:t>
            </w:r>
            <w:proofErr w:type="gramEnd"/>
            <w:r w:rsidRPr="00D218FC">
              <w:rPr>
                <w:rFonts w:ascii="Calibri" w:eastAsia="Times New Roman" w:hAnsi="Calibri" w:cs="Calibri"/>
                <w:iCs/>
                <w:lang w:val="en-GB"/>
              </w:rPr>
              <w:t xml:space="preserve"> </w:t>
            </w:r>
            <w:r w:rsidR="00AA6B9E" w:rsidRPr="00D218FC">
              <w:rPr>
                <w:rFonts w:ascii="Calibri" w:eastAsia="Times New Roman" w:hAnsi="Calibri" w:cs="Calibri"/>
                <w:iCs/>
                <w:lang w:val="en-GB"/>
              </w:rPr>
              <w:t xml:space="preserve">the </w:t>
            </w:r>
            <w:r w:rsidRPr="00D218FC">
              <w:rPr>
                <w:rFonts w:ascii="Calibri" w:eastAsia="Times New Roman" w:hAnsi="Calibri" w:cs="Calibri"/>
                <w:iCs/>
                <w:lang w:val="en-GB"/>
              </w:rPr>
              <w:t xml:space="preserve">supervision of EPI services. </w:t>
            </w:r>
            <w:r w:rsidR="00AA1CAE" w:rsidRPr="00D218FC">
              <w:rPr>
                <w:rFonts w:ascii="Calibri" w:eastAsia="Times New Roman" w:hAnsi="Calibri" w:cs="Calibri"/>
                <w:iCs/>
                <w:lang w:val="en-GB"/>
              </w:rPr>
              <w:t>Although t</w:t>
            </w:r>
            <w:r w:rsidRPr="00D218FC">
              <w:rPr>
                <w:rFonts w:ascii="Calibri" w:eastAsia="Times New Roman" w:hAnsi="Calibri" w:cs="Calibri"/>
                <w:iCs/>
                <w:lang w:val="en-GB"/>
              </w:rPr>
              <w:t>hrough the</w:t>
            </w:r>
            <w:r w:rsidR="008D62FA">
              <w:rPr>
                <w:rFonts w:ascii="Calibri" w:eastAsia="Times New Roman" w:hAnsi="Calibri" w:cs="Calibri"/>
                <w:iCs/>
                <w:lang w:val="en-GB"/>
              </w:rPr>
              <w:t xml:space="preserve"> </w:t>
            </w:r>
            <w:r w:rsidRPr="00D218FC">
              <w:rPr>
                <w:rFonts w:ascii="Calibri" w:eastAsia="Times New Roman" w:hAnsi="Calibri" w:cs="Calibri"/>
                <w:iCs/>
                <w:lang w:val="en-GB"/>
              </w:rPr>
              <w:t xml:space="preserve">AFENET mentorship program, the </w:t>
            </w:r>
            <w:r w:rsidR="008D62FA">
              <w:rPr>
                <w:rFonts w:ascii="Calibri" w:eastAsia="Times New Roman" w:hAnsi="Calibri" w:cs="Calibri"/>
                <w:iCs/>
                <w:lang w:val="en-GB"/>
              </w:rPr>
              <w:t>8</w:t>
            </w:r>
            <w:r w:rsidR="00E9798D">
              <w:rPr>
                <w:rFonts w:ascii="Calibri" w:eastAsia="Times New Roman" w:hAnsi="Calibri" w:cs="Calibri"/>
                <w:iCs/>
                <w:lang w:val="en-GB"/>
              </w:rPr>
              <w:t xml:space="preserve"> </w:t>
            </w:r>
            <w:r w:rsidRPr="00D218FC">
              <w:rPr>
                <w:rFonts w:ascii="Calibri" w:eastAsia="Times New Roman" w:hAnsi="Calibri" w:cs="Calibri"/>
                <w:iCs/>
                <w:lang w:val="en-GB"/>
              </w:rPr>
              <w:t xml:space="preserve">national and </w:t>
            </w:r>
            <w:r w:rsidR="008D62FA">
              <w:rPr>
                <w:rFonts w:ascii="Calibri" w:eastAsia="Times New Roman" w:hAnsi="Calibri" w:cs="Calibri"/>
                <w:iCs/>
                <w:lang w:val="en-GB"/>
              </w:rPr>
              <w:t xml:space="preserve">44 </w:t>
            </w:r>
            <w:r w:rsidRPr="00D218FC">
              <w:rPr>
                <w:rFonts w:ascii="Calibri" w:eastAsia="Times New Roman" w:hAnsi="Calibri" w:cs="Calibri"/>
                <w:iCs/>
                <w:lang w:val="en-GB"/>
              </w:rPr>
              <w:t>state officers were</w:t>
            </w:r>
            <w:r w:rsidR="00AA1CAE" w:rsidRPr="00D218FC">
              <w:rPr>
                <w:rFonts w:ascii="Calibri" w:eastAsia="Times New Roman" w:hAnsi="Calibri" w:cs="Calibri"/>
                <w:iCs/>
                <w:lang w:val="en-GB"/>
              </w:rPr>
              <w:t xml:space="preserve"> trained/mentored, i</w:t>
            </w:r>
            <w:r w:rsidRPr="00D218FC">
              <w:rPr>
                <w:rFonts w:ascii="Calibri" w:eastAsia="Times New Roman" w:hAnsi="Calibri" w:cs="Calibri"/>
                <w:iCs/>
                <w:lang w:val="en-GB"/>
              </w:rPr>
              <w:t>t is evident that the inadequate capability of the county teams (the immediate supervisors of the frontline health workers), significantly reduces the impact of the</w:t>
            </w:r>
            <w:r w:rsidR="00AA1CAE" w:rsidRPr="00D218FC">
              <w:rPr>
                <w:rFonts w:ascii="Calibri" w:eastAsia="Times New Roman" w:hAnsi="Calibri" w:cs="Calibri"/>
                <w:iCs/>
                <w:lang w:val="en-GB"/>
              </w:rPr>
              <w:t>ir efforts</w:t>
            </w:r>
            <w:r w:rsidRPr="00D218FC">
              <w:rPr>
                <w:rFonts w:ascii="Calibri" w:eastAsia="Times New Roman" w:hAnsi="Calibri" w:cs="Calibri"/>
                <w:iCs/>
                <w:lang w:val="en-GB"/>
              </w:rPr>
              <w:t xml:space="preserve"> as most supervisory action points remain not implemented.</w:t>
            </w:r>
            <w:r w:rsidR="008D62FA">
              <w:rPr>
                <w:rFonts w:ascii="Calibri" w:eastAsia="Times New Roman" w:hAnsi="Calibri" w:cs="Calibri"/>
                <w:iCs/>
                <w:lang w:val="en-GB"/>
              </w:rPr>
              <w:t xml:space="preserve"> The covid pandemic response (i.e., covid vaccination) has diverted the focus of MOH management team from routine immunization further compounding the coordination challenges especially at subnational levels. </w:t>
            </w:r>
          </w:p>
          <w:p w14:paraId="2617D001" w14:textId="77777777" w:rsidR="00D218FC" w:rsidRPr="00D218FC" w:rsidRDefault="00D218FC" w:rsidP="00D218FC">
            <w:pPr>
              <w:shd w:val="clear" w:color="auto" w:fill="FFFFFF"/>
              <w:spacing w:line="240" w:lineRule="auto"/>
              <w:contextualSpacing/>
              <w:rPr>
                <w:rFonts w:ascii="Calibri" w:eastAsia="Times New Roman" w:hAnsi="Calibri" w:cs="Calibri"/>
                <w:iCs/>
                <w:lang w:val="en-GB"/>
              </w:rPr>
            </w:pPr>
          </w:p>
          <w:p w14:paraId="00B6BC9B" w14:textId="77777777" w:rsidR="00F344D6" w:rsidRPr="00F344D6" w:rsidRDefault="00F344D6" w:rsidP="003D431C">
            <w:pPr>
              <w:pStyle w:val="Heading2"/>
              <w:outlineLvl w:val="1"/>
            </w:pPr>
            <w:r w:rsidRPr="00F344D6">
              <w:t>Service Delivery &amp; Demand</w:t>
            </w:r>
          </w:p>
          <w:p w14:paraId="7D6E270D" w14:textId="77777777" w:rsidR="00F344D6" w:rsidRPr="00F344D6" w:rsidRDefault="00F344D6" w:rsidP="003D431C">
            <w:pPr>
              <w:pStyle w:val="Heading3"/>
              <w:spacing w:before="0"/>
              <w:outlineLvl w:val="2"/>
            </w:pPr>
            <w:r w:rsidRPr="00F344D6">
              <w:t xml:space="preserve">Inadequate mapping and reach of disadvantaged populations </w:t>
            </w:r>
          </w:p>
          <w:p w14:paraId="05DD0607" w14:textId="15D750A8" w:rsidR="00F344D6" w:rsidRPr="00D218FC" w:rsidRDefault="00AA6B9E" w:rsidP="00F344D6">
            <w:pPr>
              <w:shd w:val="clear" w:color="auto" w:fill="FFFFFF"/>
              <w:spacing w:line="240" w:lineRule="auto"/>
              <w:rPr>
                <w:rFonts w:ascii="Calibri" w:eastAsia="Times New Roman" w:hAnsi="Calibri" w:cs="Calibri"/>
                <w:iCs/>
                <w:lang w:val="en-GB"/>
              </w:rPr>
            </w:pPr>
            <w:r w:rsidRPr="0286FA84">
              <w:rPr>
                <w:rFonts w:ascii="Calibri" w:eastAsia="Times New Roman" w:hAnsi="Calibri" w:cs="Calibri"/>
                <w:lang w:val="en-GB"/>
              </w:rPr>
              <w:t>A b</w:t>
            </w:r>
            <w:r w:rsidR="00F344D6" w:rsidRPr="0286FA84">
              <w:rPr>
                <w:rFonts w:ascii="Calibri" w:eastAsia="Times New Roman" w:hAnsi="Calibri" w:cs="Calibri"/>
                <w:lang w:val="en-GB"/>
              </w:rPr>
              <w:t xml:space="preserve">road partnership involving CSOs </w:t>
            </w:r>
            <w:r w:rsidR="00B657B1" w:rsidRPr="0286FA84">
              <w:rPr>
                <w:rFonts w:ascii="Calibri" w:eastAsia="Times New Roman" w:hAnsi="Calibri" w:cs="Calibri"/>
                <w:lang w:val="en-GB"/>
              </w:rPr>
              <w:t xml:space="preserve">(see annex 1 below) </w:t>
            </w:r>
            <w:r w:rsidR="00F344D6" w:rsidRPr="0286FA84">
              <w:rPr>
                <w:rFonts w:ascii="Calibri" w:eastAsia="Times New Roman" w:hAnsi="Calibri" w:cs="Calibri"/>
                <w:lang w:val="en-GB"/>
              </w:rPr>
              <w:t>in service delivery and demand generation: Capable partners (HPF3</w:t>
            </w:r>
            <w:r w:rsidR="0047204E" w:rsidRPr="0286FA84">
              <w:rPr>
                <w:rFonts w:ascii="Calibri" w:eastAsia="Times New Roman" w:hAnsi="Calibri" w:cs="Calibri"/>
                <w:lang w:val="en-GB"/>
              </w:rPr>
              <w:t>/Crowne Agents</w:t>
            </w:r>
            <w:r w:rsidR="00F344D6" w:rsidRPr="0286FA84">
              <w:rPr>
                <w:rFonts w:ascii="Calibri" w:eastAsia="Times New Roman" w:hAnsi="Calibri" w:cs="Calibri"/>
                <w:lang w:val="en-GB"/>
              </w:rPr>
              <w:t>, UNICEF</w:t>
            </w:r>
            <w:r w:rsidR="001A1C1A" w:rsidRPr="0286FA84">
              <w:rPr>
                <w:rFonts w:ascii="Calibri" w:eastAsia="Times New Roman" w:hAnsi="Calibri" w:cs="Calibri"/>
                <w:lang w:val="en-GB"/>
              </w:rPr>
              <w:t xml:space="preserve"> (these two as fund managers supporting PHC)</w:t>
            </w:r>
            <w:r w:rsidR="00F344D6" w:rsidRPr="0286FA84">
              <w:rPr>
                <w:rFonts w:ascii="Calibri" w:eastAsia="Times New Roman" w:hAnsi="Calibri" w:cs="Calibri"/>
                <w:lang w:val="en-GB"/>
              </w:rPr>
              <w:t>,</w:t>
            </w:r>
            <w:r w:rsidRPr="0286FA84">
              <w:rPr>
                <w:rFonts w:ascii="Calibri" w:eastAsia="Times New Roman" w:hAnsi="Calibri" w:cs="Calibri"/>
                <w:lang w:val="en-GB"/>
              </w:rPr>
              <w:t xml:space="preserve"> </w:t>
            </w:r>
            <w:r w:rsidR="00F344D6" w:rsidRPr="0286FA84">
              <w:rPr>
                <w:rFonts w:ascii="Calibri" w:eastAsia="Times New Roman" w:hAnsi="Calibri" w:cs="Calibri"/>
                <w:lang w:val="en-GB"/>
              </w:rPr>
              <w:t>IOM &amp; other IPs), operating in the country, have supported last mile delivery of vaccines to populations of humanitarian concern including internally displaced populations, mobile pop</w:t>
            </w:r>
            <w:r w:rsidRPr="0286FA84">
              <w:rPr>
                <w:rFonts w:ascii="Calibri" w:eastAsia="Times New Roman" w:hAnsi="Calibri" w:cs="Calibri"/>
                <w:lang w:val="en-GB"/>
              </w:rPr>
              <w:t>ulations as well as to conflict-</w:t>
            </w:r>
            <w:r w:rsidR="00F344D6" w:rsidRPr="0286FA84">
              <w:rPr>
                <w:rFonts w:ascii="Calibri" w:eastAsia="Times New Roman" w:hAnsi="Calibri" w:cs="Calibri"/>
                <w:lang w:val="en-GB"/>
              </w:rPr>
              <w:t xml:space="preserve">affected and hard-to-reach locations. Even with this support, </w:t>
            </w:r>
            <w:r w:rsidR="00BC0E86" w:rsidRPr="0286FA84">
              <w:rPr>
                <w:rFonts w:ascii="Calibri" w:eastAsia="Times New Roman" w:hAnsi="Calibri" w:cs="Calibri"/>
                <w:lang w:val="en-GB"/>
              </w:rPr>
              <w:t>on</w:t>
            </w:r>
            <w:r w:rsidR="00037BE6" w:rsidRPr="0286FA84">
              <w:rPr>
                <w:rFonts w:ascii="Calibri" w:eastAsia="Times New Roman" w:hAnsi="Calibri" w:cs="Calibri"/>
                <w:lang w:val="en-GB"/>
              </w:rPr>
              <w:t>ly 44% of the population have access to health services. S</w:t>
            </w:r>
            <w:r w:rsidR="00F344D6" w:rsidRPr="0286FA84">
              <w:rPr>
                <w:rFonts w:ascii="Calibri" w:eastAsia="Times New Roman" w:hAnsi="Calibri" w:cs="Calibri"/>
                <w:lang w:val="en-GB"/>
              </w:rPr>
              <w:t xml:space="preserve">ome populations </w:t>
            </w:r>
            <w:proofErr w:type="gramStart"/>
            <w:r w:rsidR="00F344D6" w:rsidRPr="0286FA84">
              <w:rPr>
                <w:rFonts w:ascii="Calibri" w:eastAsia="Times New Roman" w:hAnsi="Calibri" w:cs="Calibri"/>
                <w:lang w:val="en-GB"/>
              </w:rPr>
              <w:t>e.g.</w:t>
            </w:r>
            <w:proofErr w:type="gramEnd"/>
            <w:r w:rsidR="00F344D6" w:rsidRPr="0286FA84">
              <w:rPr>
                <w:rFonts w:ascii="Calibri" w:eastAsia="Times New Roman" w:hAnsi="Calibri" w:cs="Calibri"/>
                <w:lang w:val="en-GB"/>
              </w:rPr>
              <w:t xml:space="preserve"> urban poor, nomads, fishing populations, and populations in the mountains are not reached with services regularly. </w:t>
            </w:r>
          </w:p>
          <w:p w14:paraId="71D3351D" w14:textId="0C44C025" w:rsidR="0286FA84" w:rsidRDefault="0286FA84" w:rsidP="0286FA84">
            <w:pPr>
              <w:shd w:val="clear" w:color="auto" w:fill="FFFFFF" w:themeFill="background1"/>
              <w:spacing w:line="240" w:lineRule="auto"/>
              <w:rPr>
                <w:rFonts w:asciiTheme="majorHAnsi" w:eastAsiaTheme="majorEastAsia" w:hAnsiTheme="majorHAnsi" w:cstheme="majorBidi"/>
                <w:color w:val="1F3763"/>
                <w:sz w:val="24"/>
                <w:szCs w:val="24"/>
              </w:rPr>
            </w:pPr>
          </w:p>
          <w:p w14:paraId="0B3CF391" w14:textId="77777777" w:rsidR="00F344D6" w:rsidRPr="00AA1CAE" w:rsidRDefault="00F344D6" w:rsidP="00F344D6">
            <w:pPr>
              <w:shd w:val="clear" w:color="auto" w:fill="FFFFFF"/>
              <w:spacing w:line="240" w:lineRule="auto"/>
              <w:rPr>
                <w:rFonts w:asciiTheme="majorHAnsi" w:eastAsiaTheme="majorEastAsia" w:hAnsiTheme="majorHAnsi" w:cstheme="majorBidi"/>
                <w:color w:val="1F3763" w:themeColor="accent1" w:themeShade="7F"/>
                <w:sz w:val="24"/>
                <w:szCs w:val="24"/>
              </w:rPr>
            </w:pPr>
            <w:r w:rsidRPr="00AA1CAE">
              <w:rPr>
                <w:rFonts w:asciiTheme="majorHAnsi" w:eastAsiaTheme="majorEastAsia" w:hAnsiTheme="majorHAnsi" w:cstheme="majorBidi"/>
                <w:color w:val="1F3763" w:themeColor="accent1" w:themeShade="7F"/>
                <w:sz w:val="24"/>
                <w:szCs w:val="24"/>
              </w:rPr>
              <w:t>Fragmented demand generation efforts</w:t>
            </w:r>
          </w:p>
          <w:p w14:paraId="3C58BDEB" w14:textId="66067CF4" w:rsidR="00F344D6" w:rsidRDefault="00F344D6" w:rsidP="00F344D6">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The Boma health initiative – The MOH flagship programme for community engagement is expanding and is a potential vehicle for reaching </w:t>
            </w:r>
            <w:r w:rsidR="00AA6B9E" w:rsidRPr="00D218FC">
              <w:rPr>
                <w:rFonts w:ascii="Calibri" w:eastAsia="Times New Roman" w:hAnsi="Calibri" w:cs="Calibri"/>
                <w:iCs/>
                <w:lang w:val="en-GB"/>
              </w:rPr>
              <w:t>the missed populations and zero-</w:t>
            </w:r>
            <w:r w:rsidRPr="00D218FC">
              <w:rPr>
                <w:rFonts w:ascii="Calibri" w:eastAsia="Times New Roman" w:hAnsi="Calibri" w:cs="Calibri"/>
                <w:iCs/>
                <w:lang w:val="en-GB"/>
              </w:rPr>
              <w:t>dose children. However, inadequate coordination of BHI, health promotion, and EPI services could reduce the impact of the expansion of the BHI.</w:t>
            </w:r>
            <w:r w:rsidR="009C325F">
              <w:rPr>
                <w:rFonts w:ascii="Calibri" w:eastAsia="Times New Roman" w:hAnsi="Calibri" w:cs="Calibri"/>
                <w:iCs/>
                <w:lang w:val="en-GB"/>
              </w:rPr>
              <w:t xml:space="preserve"> Parallel partner </w:t>
            </w:r>
            <w:proofErr w:type="gramStart"/>
            <w:r w:rsidR="009C325F">
              <w:rPr>
                <w:rFonts w:ascii="Calibri" w:eastAsia="Times New Roman" w:hAnsi="Calibri" w:cs="Calibri"/>
                <w:iCs/>
                <w:lang w:val="en-GB"/>
              </w:rPr>
              <w:t>support</w:t>
            </w:r>
            <w:r w:rsidR="00E05D16">
              <w:rPr>
                <w:rFonts w:ascii="Calibri" w:eastAsia="Times New Roman" w:hAnsi="Calibri" w:cs="Calibri"/>
                <w:iCs/>
                <w:lang w:val="en-GB"/>
              </w:rPr>
              <w:t xml:space="preserve">ing </w:t>
            </w:r>
            <w:r w:rsidR="00192953">
              <w:rPr>
                <w:rFonts w:ascii="Calibri" w:eastAsia="Times New Roman" w:hAnsi="Calibri" w:cs="Calibri"/>
                <w:iCs/>
                <w:lang w:val="en-GB"/>
              </w:rPr>
              <w:t xml:space="preserve"> demand</w:t>
            </w:r>
            <w:proofErr w:type="gramEnd"/>
            <w:r w:rsidR="009C325F">
              <w:rPr>
                <w:rFonts w:ascii="Calibri" w:eastAsia="Times New Roman" w:hAnsi="Calibri" w:cs="Calibri"/>
                <w:iCs/>
                <w:lang w:val="en-GB"/>
              </w:rPr>
              <w:t xml:space="preserve"> initiatives create missed opportunities </w:t>
            </w:r>
            <w:r w:rsidR="00192953">
              <w:rPr>
                <w:rFonts w:ascii="Calibri" w:eastAsia="Times New Roman" w:hAnsi="Calibri" w:cs="Calibri"/>
                <w:iCs/>
                <w:lang w:val="en-GB"/>
              </w:rPr>
              <w:t>for better harmonization of demand generation efforts.</w:t>
            </w:r>
            <w:r w:rsidR="00EC7C17">
              <w:rPr>
                <w:rFonts w:ascii="Calibri" w:eastAsia="Times New Roman" w:hAnsi="Calibri" w:cs="Calibri"/>
                <w:iCs/>
                <w:lang w:val="en-GB"/>
              </w:rPr>
              <w:t xml:space="preserve"> However, this</w:t>
            </w:r>
            <w:r w:rsidR="00FE039A">
              <w:rPr>
                <w:rFonts w:ascii="Calibri" w:eastAsia="Times New Roman" w:hAnsi="Calibri" w:cs="Calibri"/>
                <w:iCs/>
                <w:lang w:val="en-GB"/>
              </w:rPr>
              <w:t xml:space="preserve"> </w:t>
            </w:r>
            <w:r w:rsidR="00EC7C17">
              <w:rPr>
                <w:rFonts w:ascii="Calibri" w:eastAsia="Times New Roman" w:hAnsi="Calibri" w:cs="Calibri"/>
                <w:iCs/>
                <w:lang w:val="en-GB"/>
              </w:rPr>
              <w:t xml:space="preserve">issue is being addressed through the FPP process, where MOH is in the process of streamlining its demand activities. </w:t>
            </w:r>
          </w:p>
          <w:p w14:paraId="0B0B378D" w14:textId="77777777" w:rsidR="00EC7C17" w:rsidRPr="00D218FC" w:rsidRDefault="00EC7C17" w:rsidP="00F344D6">
            <w:pPr>
              <w:shd w:val="clear" w:color="auto" w:fill="FFFFFF"/>
              <w:spacing w:line="240" w:lineRule="auto"/>
              <w:rPr>
                <w:rFonts w:ascii="Calibri" w:eastAsia="Times New Roman" w:hAnsi="Calibri" w:cs="Calibri"/>
                <w:iCs/>
                <w:lang w:val="en-GB"/>
              </w:rPr>
            </w:pPr>
          </w:p>
          <w:p w14:paraId="337ABBB6" w14:textId="77777777" w:rsidR="00F344D6" w:rsidRPr="00F344D6" w:rsidRDefault="00F344D6" w:rsidP="003D431C">
            <w:pPr>
              <w:pStyle w:val="Heading2"/>
              <w:outlineLvl w:val="1"/>
            </w:pPr>
            <w:r w:rsidRPr="00F344D6">
              <w:t>Immunization supply chain</w:t>
            </w:r>
          </w:p>
          <w:p w14:paraId="067FF8B5" w14:textId="1952FC0B" w:rsidR="00F344D6" w:rsidRPr="00F344D6" w:rsidRDefault="003D431C" w:rsidP="003D431C">
            <w:pPr>
              <w:pStyle w:val="Heading3"/>
              <w:spacing w:before="0"/>
              <w:outlineLvl w:val="2"/>
            </w:pPr>
            <w:r>
              <w:t>Inadequate vaccine accountability</w:t>
            </w:r>
            <w:r w:rsidR="00F344D6" w:rsidRPr="00F344D6">
              <w:t xml:space="preserve"> at state, county, and health facility levels</w:t>
            </w:r>
          </w:p>
          <w:p w14:paraId="7674E515" w14:textId="66C0D168" w:rsidR="00F344D6" w:rsidRPr="00D218FC" w:rsidRDefault="00F344D6" w:rsidP="00F344D6">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The country does not have a clear immunisation supply chain strategy.</w:t>
            </w:r>
            <w:r w:rsidR="00562F30">
              <w:rPr>
                <w:rFonts w:ascii="Calibri" w:eastAsia="Times New Roman" w:hAnsi="Calibri" w:cs="Calibri"/>
                <w:iCs/>
                <w:lang w:val="en-GB"/>
              </w:rPr>
              <w:t xml:space="preserve"> Coordination of </w:t>
            </w:r>
            <w:proofErr w:type="spellStart"/>
            <w:r w:rsidR="00562F30">
              <w:rPr>
                <w:rFonts w:ascii="Calibri" w:eastAsia="Times New Roman" w:hAnsi="Calibri" w:cs="Calibri"/>
                <w:iCs/>
                <w:lang w:val="en-GB"/>
              </w:rPr>
              <w:t>iSC</w:t>
            </w:r>
            <w:proofErr w:type="spellEnd"/>
            <w:r w:rsidR="00562F30">
              <w:rPr>
                <w:rFonts w:ascii="Calibri" w:eastAsia="Times New Roman" w:hAnsi="Calibri" w:cs="Calibri"/>
                <w:iCs/>
                <w:lang w:val="en-GB"/>
              </w:rPr>
              <w:t xml:space="preserve"> activities </w:t>
            </w:r>
            <w:r w:rsidR="00517328">
              <w:rPr>
                <w:rFonts w:ascii="Calibri" w:eastAsia="Times New Roman" w:hAnsi="Calibri" w:cs="Calibri"/>
                <w:iCs/>
                <w:lang w:val="en-GB"/>
              </w:rPr>
              <w:t>is largely partner-based, with weak evidence of capacity-transfer over time.</w:t>
            </w:r>
            <w:r w:rsidRPr="00D218FC">
              <w:rPr>
                <w:rFonts w:ascii="Calibri" w:eastAsia="Times New Roman" w:hAnsi="Calibri" w:cs="Calibri"/>
                <w:iCs/>
                <w:lang w:val="en-GB"/>
              </w:rPr>
              <w:t xml:space="preserve"> HR deployment is relatively weak due to their capacity and incentives policy; there is a lack</w:t>
            </w:r>
            <w:r w:rsidR="00AA6B9E" w:rsidRPr="00D218FC">
              <w:rPr>
                <w:rFonts w:ascii="Calibri" w:eastAsia="Times New Roman" w:hAnsi="Calibri" w:cs="Calibri"/>
                <w:iCs/>
                <w:lang w:val="en-GB"/>
              </w:rPr>
              <w:t xml:space="preserve"> of dedicated cold chain personne</w:t>
            </w:r>
            <w:r w:rsidRPr="00D218FC">
              <w:rPr>
                <w:rFonts w:ascii="Calibri" w:eastAsia="Times New Roman" w:hAnsi="Calibri" w:cs="Calibri"/>
                <w:iCs/>
                <w:lang w:val="en-GB"/>
              </w:rPr>
              <w:t xml:space="preserve">l at county and HF levels, leading to inadequate cold chain maintenance at HF levels. </w:t>
            </w:r>
          </w:p>
          <w:p w14:paraId="7D8552B5" w14:textId="6A58A238" w:rsidR="00F344D6" w:rsidRPr="00D218FC" w:rsidRDefault="00F344D6" w:rsidP="00F344D6">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lastRenderedPageBreak/>
              <w:t>Vaccine supply management is erratic at the HF level because the flow of vaccines towards health facilities and the flow of d</w:t>
            </w:r>
            <w:r w:rsidR="00AA6B9E" w:rsidRPr="00D218FC">
              <w:rPr>
                <w:rFonts w:ascii="Calibri" w:eastAsia="Times New Roman" w:hAnsi="Calibri" w:cs="Calibri"/>
                <w:iCs/>
                <w:lang w:val="en-GB"/>
              </w:rPr>
              <w:t>ata on vaccinations and vaccine</w:t>
            </w:r>
            <w:r w:rsidRPr="00D218FC">
              <w:rPr>
                <w:rFonts w:ascii="Calibri" w:eastAsia="Times New Roman" w:hAnsi="Calibri" w:cs="Calibri"/>
                <w:iCs/>
                <w:lang w:val="en-GB"/>
              </w:rPr>
              <w:t xml:space="preserve"> consumption is not regular and supplies may not be accurately planned based on consumption. </w:t>
            </w:r>
          </w:p>
          <w:p w14:paraId="7EC2E229" w14:textId="56134B13" w:rsidR="00F344D6" w:rsidRPr="00D218FC" w:rsidRDefault="00F344D6" w:rsidP="00F344D6">
            <w:pPr>
              <w:shd w:val="clear" w:color="auto" w:fill="FFFFFF"/>
              <w:spacing w:line="240" w:lineRule="auto"/>
              <w:rPr>
                <w:rFonts w:ascii="Calibri" w:eastAsia="Times New Roman" w:hAnsi="Calibri" w:cs="Calibri"/>
                <w:iCs/>
                <w:lang w:val="en-GB"/>
              </w:rPr>
            </w:pPr>
            <w:r w:rsidRPr="0286FA84">
              <w:rPr>
                <w:rFonts w:ascii="Calibri" w:eastAsia="Times New Roman" w:hAnsi="Calibri" w:cs="Calibri"/>
                <w:lang w:val="en-GB"/>
              </w:rPr>
              <w:t>Health facilities’ vaccine and cold chain Logistic Manageme</w:t>
            </w:r>
            <w:r w:rsidR="00AA1CAE" w:rsidRPr="0286FA84">
              <w:rPr>
                <w:rFonts w:ascii="Calibri" w:eastAsia="Times New Roman" w:hAnsi="Calibri" w:cs="Calibri"/>
                <w:lang w:val="en-GB"/>
              </w:rPr>
              <w:t>nt Information System (LMIS) is</w:t>
            </w:r>
            <w:r w:rsidRPr="0286FA84">
              <w:rPr>
                <w:rFonts w:ascii="Calibri" w:eastAsia="Times New Roman" w:hAnsi="Calibri" w:cs="Calibri"/>
                <w:lang w:val="en-GB"/>
              </w:rPr>
              <w:t xml:space="preserve"> hardly updated with poor availability and use of va</w:t>
            </w:r>
            <w:r w:rsidR="00AA6B9E" w:rsidRPr="0286FA84">
              <w:rPr>
                <w:rFonts w:ascii="Calibri" w:eastAsia="Times New Roman" w:hAnsi="Calibri" w:cs="Calibri"/>
                <w:lang w:val="en-GB"/>
              </w:rPr>
              <w:t>ccine stock records and request</w:t>
            </w:r>
            <w:r w:rsidRPr="0286FA84">
              <w:rPr>
                <w:rFonts w:ascii="Calibri" w:eastAsia="Times New Roman" w:hAnsi="Calibri" w:cs="Calibri"/>
                <w:lang w:val="en-GB"/>
              </w:rPr>
              <w:t xml:space="preserve"> forms.</w:t>
            </w:r>
          </w:p>
          <w:p w14:paraId="6994077B" w14:textId="4EF612B9" w:rsidR="0286FA84" w:rsidRDefault="0286FA84" w:rsidP="0286FA84">
            <w:pPr>
              <w:pStyle w:val="Heading2"/>
              <w:spacing w:before="0"/>
              <w:outlineLvl w:val="1"/>
            </w:pPr>
          </w:p>
          <w:p w14:paraId="4DCAFA8E" w14:textId="77777777" w:rsidR="00F344D6" w:rsidRPr="00F344D6" w:rsidRDefault="00F344D6" w:rsidP="003D431C">
            <w:pPr>
              <w:pStyle w:val="Heading2"/>
              <w:spacing w:before="0"/>
              <w:outlineLvl w:val="1"/>
            </w:pPr>
            <w:r w:rsidRPr="00F344D6">
              <w:t xml:space="preserve">Data and surveillance: </w:t>
            </w:r>
          </w:p>
          <w:p w14:paraId="7EFAEA0E" w14:textId="77777777" w:rsidR="00F344D6" w:rsidRPr="00F344D6" w:rsidRDefault="00F344D6" w:rsidP="003D431C">
            <w:pPr>
              <w:pStyle w:val="Heading3"/>
              <w:spacing w:before="0"/>
              <w:outlineLvl w:val="2"/>
            </w:pPr>
            <w:r w:rsidRPr="00F344D6">
              <w:t>Inadequate use of data for decision making</w:t>
            </w:r>
          </w:p>
          <w:p w14:paraId="35867233" w14:textId="46E2C7C7" w:rsidR="00F344D6" w:rsidRPr="00D218FC" w:rsidRDefault="00F344D6" w:rsidP="00F344D6">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Because of capacity gaps among the frontline health care workers and the county team</w:t>
            </w:r>
            <w:r w:rsidR="00AA6B9E" w:rsidRPr="00D218FC">
              <w:rPr>
                <w:rFonts w:ascii="Calibri" w:eastAsia="Times New Roman" w:hAnsi="Calibri" w:cs="Calibri"/>
                <w:iCs/>
                <w:lang w:val="en-GB"/>
              </w:rPr>
              <w:t>s, the use of data for decision-</w:t>
            </w:r>
            <w:r w:rsidRPr="00D218FC">
              <w:rPr>
                <w:rFonts w:ascii="Calibri" w:eastAsia="Times New Roman" w:hAnsi="Calibri" w:cs="Calibri"/>
                <w:iCs/>
                <w:lang w:val="en-GB"/>
              </w:rPr>
              <w:t xml:space="preserve">making is poor. Vaccinators and their supervisors have not understood the value of data. Continuous use </w:t>
            </w:r>
            <w:r w:rsidR="00AA6B9E" w:rsidRPr="00D218FC">
              <w:rPr>
                <w:rFonts w:ascii="Calibri" w:eastAsia="Times New Roman" w:hAnsi="Calibri" w:cs="Calibri"/>
                <w:iCs/>
                <w:lang w:val="en-GB"/>
              </w:rPr>
              <w:t xml:space="preserve">of </w:t>
            </w:r>
            <w:r w:rsidRPr="00D218FC">
              <w:rPr>
                <w:rFonts w:ascii="Calibri" w:eastAsia="Times New Roman" w:hAnsi="Calibri" w:cs="Calibri"/>
                <w:iCs/>
                <w:lang w:val="en-GB"/>
              </w:rPr>
              <w:t>the data to identify missed populations and com</w:t>
            </w:r>
            <w:r w:rsidR="00AA1CAE" w:rsidRPr="00D218FC">
              <w:rPr>
                <w:rFonts w:ascii="Calibri" w:eastAsia="Times New Roman" w:hAnsi="Calibri" w:cs="Calibri"/>
                <w:iCs/>
                <w:lang w:val="en-GB"/>
              </w:rPr>
              <w:t>munities with large numbers of zero-</w:t>
            </w:r>
            <w:r w:rsidRPr="00D218FC">
              <w:rPr>
                <w:rFonts w:ascii="Calibri" w:eastAsia="Times New Roman" w:hAnsi="Calibri" w:cs="Calibri"/>
                <w:iCs/>
                <w:lang w:val="en-GB"/>
              </w:rPr>
              <w:t>dose children has not been fully embraced by the vaccinators and county teams</w:t>
            </w:r>
            <w:r w:rsidR="00566538" w:rsidRPr="00D218FC">
              <w:rPr>
                <w:rFonts w:ascii="Calibri" w:eastAsia="Times New Roman" w:hAnsi="Calibri" w:cs="Calibri"/>
                <w:iCs/>
                <w:lang w:val="en-GB"/>
              </w:rPr>
              <w:t>. Other contributing factors include i</w:t>
            </w:r>
            <w:r w:rsidRPr="00D218FC">
              <w:rPr>
                <w:rFonts w:ascii="Calibri" w:eastAsia="Times New Roman" w:hAnsi="Calibri" w:cs="Calibri"/>
                <w:iCs/>
                <w:lang w:val="en-GB"/>
              </w:rPr>
              <w:t xml:space="preserve">nadequate </w:t>
            </w:r>
            <w:r w:rsidR="00566538" w:rsidRPr="00D218FC">
              <w:rPr>
                <w:rFonts w:ascii="Calibri" w:eastAsia="Times New Roman" w:hAnsi="Calibri" w:cs="Calibri"/>
                <w:iCs/>
                <w:lang w:val="en-GB"/>
              </w:rPr>
              <w:t>use of updated data</w:t>
            </w:r>
            <w:r w:rsidRPr="00D218FC">
              <w:rPr>
                <w:rFonts w:ascii="Calibri" w:eastAsia="Times New Roman" w:hAnsi="Calibri" w:cs="Calibri"/>
                <w:iCs/>
                <w:lang w:val="en-GB"/>
              </w:rPr>
              <w:t xml:space="preserve"> tools</w:t>
            </w:r>
            <w:r w:rsidR="00566538" w:rsidRPr="00D218FC">
              <w:rPr>
                <w:rFonts w:ascii="Calibri" w:eastAsia="Times New Roman" w:hAnsi="Calibri" w:cs="Calibri"/>
                <w:iCs/>
                <w:lang w:val="en-GB"/>
              </w:rPr>
              <w:t xml:space="preserve"> due to low awareness among vaccinators on how to use data-related tools.</w:t>
            </w:r>
            <w:r w:rsidRPr="00D218FC">
              <w:rPr>
                <w:rFonts w:ascii="Calibri" w:eastAsia="Times New Roman" w:hAnsi="Calibri" w:cs="Calibri"/>
                <w:iCs/>
                <w:lang w:val="en-GB"/>
              </w:rPr>
              <w:t xml:space="preserve"> incon</w:t>
            </w:r>
            <w:r w:rsidR="00566538" w:rsidRPr="00D218FC">
              <w:rPr>
                <w:rFonts w:ascii="Calibri" w:eastAsia="Times New Roman" w:hAnsi="Calibri" w:cs="Calibri"/>
                <w:iCs/>
                <w:lang w:val="en-GB"/>
              </w:rPr>
              <w:t>sistencies in the reported data. Of note, n</w:t>
            </w:r>
            <w:r w:rsidRPr="00D218FC">
              <w:rPr>
                <w:rFonts w:ascii="Calibri" w:eastAsia="Times New Roman" w:hAnsi="Calibri" w:cs="Calibri"/>
                <w:iCs/>
                <w:lang w:val="en-GB"/>
              </w:rPr>
              <w:t>ot all data especially from unsupported facilities is getting into the DHIS2.</w:t>
            </w:r>
          </w:p>
          <w:p w14:paraId="01D7DB55" w14:textId="5AD4BEE3" w:rsidR="00F344D6" w:rsidRPr="00D218FC" w:rsidRDefault="00F344D6" w:rsidP="00F344D6">
            <w:pPr>
              <w:shd w:val="clear" w:color="auto" w:fill="FFFFFF"/>
              <w:spacing w:line="240" w:lineRule="auto"/>
              <w:rPr>
                <w:rFonts w:ascii="Calibri" w:eastAsia="Times New Roman" w:hAnsi="Calibri" w:cs="Calibri"/>
                <w:iCs/>
                <w:lang w:val="en-GB"/>
              </w:rPr>
            </w:pPr>
          </w:p>
          <w:p w14:paraId="78052B35" w14:textId="77777777" w:rsidR="00650EB6" w:rsidRDefault="00650EB6" w:rsidP="00871FCF">
            <w:pPr>
              <w:spacing w:line="300" w:lineRule="exact"/>
              <w:rPr>
                <w:color w:val="92D050"/>
                <w:lang w:val="en-GB"/>
              </w:rPr>
            </w:pPr>
          </w:p>
        </w:tc>
      </w:tr>
    </w:tbl>
    <w:p w14:paraId="434C7691" w14:textId="77777777" w:rsidR="000759BE" w:rsidRDefault="000759BE" w:rsidP="00FC4A11">
      <w:pPr>
        <w:spacing w:line="300" w:lineRule="exact"/>
        <w:rPr>
          <w:bCs/>
          <w:color w:val="808080" w:themeColor="background1" w:themeShade="80"/>
          <w:lang w:val="en-GB"/>
        </w:rPr>
      </w:pPr>
    </w:p>
    <w:p w14:paraId="5CAF378B" w14:textId="658F9E51" w:rsidR="004E4361" w:rsidRPr="00372D1F" w:rsidRDefault="004E4361" w:rsidP="00CE1F57">
      <w:pPr>
        <w:pStyle w:val="ListParagraph"/>
        <w:numPr>
          <w:ilvl w:val="0"/>
          <w:numId w:val="4"/>
        </w:numPr>
        <w:spacing w:line="300" w:lineRule="exact"/>
        <w:ind w:left="426"/>
        <w:rPr>
          <w:b/>
          <w:bCs/>
          <w:color w:val="84C650"/>
          <w:sz w:val="26"/>
          <w:szCs w:val="26"/>
          <w:lang w:val="en-GB"/>
        </w:rPr>
      </w:pPr>
      <w:r w:rsidRPr="08473C56">
        <w:rPr>
          <w:b/>
          <w:bCs/>
          <w:color w:val="70AD47" w:themeColor="accent6"/>
          <w:sz w:val="26"/>
          <w:szCs w:val="26"/>
          <w:lang w:val="en-GB"/>
        </w:rPr>
        <w:t xml:space="preserve">Current </w:t>
      </w:r>
      <w:r w:rsidR="00352AE9" w:rsidRPr="08473C56">
        <w:rPr>
          <w:b/>
          <w:bCs/>
          <w:color w:val="70AD47" w:themeColor="accent6"/>
          <w:sz w:val="26"/>
          <w:szCs w:val="26"/>
          <w:lang w:val="en-GB"/>
        </w:rPr>
        <w:t>TA needs</w:t>
      </w:r>
      <w:r w:rsidRPr="08473C56">
        <w:rPr>
          <w:b/>
          <w:bCs/>
          <w:color w:val="70AD47" w:themeColor="accent6"/>
          <w:sz w:val="26"/>
          <w:szCs w:val="26"/>
          <w:lang w:val="en-GB"/>
        </w:rPr>
        <w:t xml:space="preserve"> of your immunisation system </w:t>
      </w:r>
      <w:r w:rsidR="006D5892" w:rsidRPr="08473C56">
        <w:rPr>
          <w:b/>
          <w:bCs/>
          <w:color w:val="70AD47" w:themeColor="accent6"/>
          <w:sz w:val="26"/>
          <w:szCs w:val="26"/>
          <w:lang w:val="en-GB"/>
        </w:rPr>
        <w:t>(</w:t>
      </w:r>
      <w:r w:rsidR="00301307" w:rsidRPr="08473C56">
        <w:rPr>
          <w:b/>
          <w:bCs/>
          <w:color w:val="70AD47" w:themeColor="accent6"/>
          <w:sz w:val="26"/>
          <w:szCs w:val="26"/>
          <w:lang w:val="en-GB"/>
        </w:rPr>
        <w:t xml:space="preserve">1-2 </w:t>
      </w:r>
      <w:r w:rsidR="006D5892" w:rsidRPr="08473C56">
        <w:rPr>
          <w:b/>
          <w:bCs/>
          <w:color w:val="70AD47" w:themeColor="accent6"/>
          <w:sz w:val="26"/>
          <w:szCs w:val="26"/>
          <w:lang w:val="en-GB"/>
        </w:rPr>
        <w:t>pages)</w:t>
      </w:r>
    </w:p>
    <w:p w14:paraId="272993D5" w14:textId="0A023459" w:rsidR="0095370A" w:rsidRPr="00D93986" w:rsidRDefault="00EC2EA5" w:rsidP="00E50185">
      <w:pPr>
        <w:pStyle w:val="ListParagraph"/>
        <w:spacing w:line="300" w:lineRule="exact"/>
        <w:ind w:left="142"/>
        <w:rPr>
          <w:b/>
          <w:i/>
          <w:sz w:val="20"/>
          <w:szCs w:val="20"/>
        </w:rPr>
      </w:pPr>
      <w:r w:rsidRPr="00D93986">
        <w:rPr>
          <w:b/>
          <w:bCs/>
          <w:i/>
          <w:iCs/>
          <w:sz w:val="20"/>
          <w:szCs w:val="20"/>
        </w:rPr>
        <w:t xml:space="preserve">Please provide </w:t>
      </w:r>
      <w:r w:rsidR="008B2F8A" w:rsidRPr="00D93986">
        <w:rPr>
          <w:b/>
          <w:bCs/>
          <w:i/>
          <w:iCs/>
          <w:sz w:val="20"/>
          <w:szCs w:val="20"/>
        </w:rPr>
        <w:t xml:space="preserve">the planned allocation of PEF TCA towards </w:t>
      </w:r>
      <w:r w:rsidR="004010B7" w:rsidRPr="00D93986">
        <w:rPr>
          <w:b/>
          <w:bCs/>
          <w:i/>
          <w:iCs/>
          <w:sz w:val="20"/>
          <w:szCs w:val="20"/>
        </w:rPr>
        <w:t>investments areas and hig</w:t>
      </w:r>
      <w:r w:rsidR="00107D9F">
        <w:rPr>
          <w:b/>
          <w:bCs/>
          <w:i/>
          <w:iCs/>
          <w:sz w:val="20"/>
          <w:szCs w:val="20"/>
        </w:rPr>
        <w:t>h</w:t>
      </w:r>
      <w:r w:rsidR="004010B7" w:rsidRPr="00D93986">
        <w:rPr>
          <w:b/>
          <w:bCs/>
          <w:i/>
          <w:iCs/>
          <w:sz w:val="20"/>
          <w:szCs w:val="20"/>
        </w:rPr>
        <w:t>-level objectives. Gavi-supported investment areas and a menu of objectives are available for refer</w:t>
      </w:r>
      <w:r w:rsidR="00107D9F">
        <w:rPr>
          <w:b/>
          <w:bCs/>
          <w:i/>
          <w:iCs/>
          <w:sz w:val="20"/>
          <w:szCs w:val="20"/>
        </w:rPr>
        <w:t>e</w:t>
      </w:r>
      <w:r w:rsidR="004010B7" w:rsidRPr="00D93986">
        <w:rPr>
          <w:b/>
          <w:bCs/>
          <w:i/>
          <w:iCs/>
          <w:sz w:val="20"/>
          <w:szCs w:val="20"/>
        </w:rPr>
        <w:t>nce in Gav</w:t>
      </w:r>
      <w:r w:rsidR="00107D9F">
        <w:rPr>
          <w:b/>
          <w:bCs/>
          <w:i/>
          <w:iCs/>
          <w:sz w:val="20"/>
          <w:szCs w:val="20"/>
        </w:rPr>
        <w:t>i</w:t>
      </w:r>
      <w:r w:rsidR="004010B7" w:rsidRPr="00D93986">
        <w:rPr>
          <w:b/>
          <w:bCs/>
          <w:i/>
          <w:iCs/>
          <w:sz w:val="20"/>
          <w:szCs w:val="20"/>
        </w:rPr>
        <w:t xml:space="preserve">’s </w:t>
      </w:r>
      <w:hyperlink r:id="rId13" w:history="1">
        <w:r w:rsidR="00270AE6" w:rsidRPr="00270AE6">
          <w:rPr>
            <w:rStyle w:val="Hyperlink"/>
            <w:b/>
            <w:bCs/>
            <w:i/>
            <w:iCs/>
            <w:sz w:val="20"/>
            <w:szCs w:val="20"/>
          </w:rPr>
          <w:t>Programme Funding Guidelines</w:t>
        </w:r>
      </w:hyperlink>
      <w:r w:rsidR="004010B7" w:rsidRPr="00D93986">
        <w:rPr>
          <w:b/>
          <w:bCs/>
          <w:i/>
          <w:iCs/>
          <w:sz w:val="20"/>
          <w:szCs w:val="20"/>
        </w:rPr>
        <w:t>.</w:t>
      </w:r>
      <w:r w:rsidR="00DD6A66">
        <w:rPr>
          <w:b/>
          <w:bCs/>
          <w:i/>
          <w:iCs/>
          <w:sz w:val="20"/>
          <w:szCs w:val="20"/>
        </w:rPr>
        <w:t xml:space="preserve"> The country can plan </w:t>
      </w:r>
      <w:r w:rsidR="00B0585F">
        <w:rPr>
          <w:b/>
          <w:bCs/>
          <w:i/>
          <w:iCs/>
          <w:sz w:val="20"/>
          <w:szCs w:val="20"/>
        </w:rPr>
        <w:t>for the remaining duration of their current HSS grant.</w:t>
      </w:r>
    </w:p>
    <w:p w14:paraId="6567DB8B" w14:textId="77777777" w:rsidR="007F2F8B" w:rsidRDefault="007F2F8B" w:rsidP="00372D1F">
      <w:pPr>
        <w:pStyle w:val="ListParagraph"/>
        <w:spacing w:line="300" w:lineRule="exact"/>
        <w:ind w:left="426"/>
        <w:rPr>
          <w:i/>
          <w:color w:val="808080" w:themeColor="background1" w:themeShade="80"/>
          <w:lang w:val="en-GB"/>
        </w:rPr>
      </w:pPr>
    </w:p>
    <w:p w14:paraId="1D079834" w14:textId="3BFFF507" w:rsidR="00655D56" w:rsidRPr="006C63B1" w:rsidRDefault="00372D1F" w:rsidP="00372D1F">
      <w:pPr>
        <w:pStyle w:val="ListParagraph"/>
        <w:spacing w:line="300" w:lineRule="exact"/>
        <w:ind w:left="426"/>
        <w:rPr>
          <w:i/>
          <w:color w:val="808080" w:themeColor="background1" w:themeShade="80"/>
          <w:lang w:val="en-GB"/>
        </w:rPr>
      </w:pPr>
      <w:r w:rsidRPr="0065351E">
        <w:rPr>
          <w:i/>
          <w:color w:val="808080" w:themeColor="background1" w:themeShade="80"/>
          <w:lang w:val="en-GB"/>
        </w:rPr>
        <w:t>(Please feel free to add lines as needed)</w:t>
      </w:r>
    </w:p>
    <w:tbl>
      <w:tblPr>
        <w:tblStyle w:val="TableGrid"/>
        <w:tblW w:w="9072" w:type="dxa"/>
        <w:tblInd w:w="-5" w:type="dxa"/>
        <w:tblLook w:val="04A0" w:firstRow="1" w:lastRow="0" w:firstColumn="1" w:lastColumn="0" w:noHBand="0" w:noVBand="1"/>
      </w:tblPr>
      <w:tblGrid>
        <w:gridCol w:w="2127"/>
        <w:gridCol w:w="3784"/>
        <w:gridCol w:w="10"/>
        <w:gridCol w:w="1999"/>
        <w:gridCol w:w="15"/>
        <w:gridCol w:w="1110"/>
        <w:gridCol w:w="27"/>
      </w:tblGrid>
      <w:tr w:rsidR="004D0C16" w14:paraId="4754848F" w14:textId="2B3AF5AA" w:rsidTr="00F12B71">
        <w:tc>
          <w:tcPr>
            <w:tcW w:w="5921" w:type="dxa"/>
            <w:gridSpan w:val="3"/>
            <w:shd w:val="clear" w:color="auto" w:fill="DEEAF6" w:themeFill="accent5" w:themeFillTint="33"/>
          </w:tcPr>
          <w:p w14:paraId="60978116" w14:textId="77777777" w:rsidR="004D0C16" w:rsidRPr="00372D1F" w:rsidRDefault="004D0C16" w:rsidP="00871FCF">
            <w:pPr>
              <w:spacing w:line="300" w:lineRule="exact"/>
              <w:rPr>
                <w:b/>
                <w:lang w:val="en-GB"/>
              </w:rPr>
            </w:pPr>
            <w:r>
              <w:rPr>
                <w:b/>
                <w:lang w:val="en-GB"/>
              </w:rPr>
              <w:t>High-level Plan</w:t>
            </w:r>
          </w:p>
        </w:tc>
        <w:tc>
          <w:tcPr>
            <w:tcW w:w="2014" w:type="dxa"/>
            <w:gridSpan w:val="2"/>
            <w:shd w:val="clear" w:color="auto" w:fill="DEEAF6" w:themeFill="accent5" w:themeFillTint="33"/>
          </w:tcPr>
          <w:p w14:paraId="2F400D8C" w14:textId="754228F6" w:rsidR="004D0C16" w:rsidRPr="00372D1F" w:rsidRDefault="004D0C16" w:rsidP="00871FCF">
            <w:pPr>
              <w:spacing w:line="300" w:lineRule="exact"/>
              <w:rPr>
                <w:b/>
                <w:color w:val="808080" w:themeColor="background1" w:themeShade="80"/>
                <w:lang w:val="en-GB"/>
              </w:rPr>
            </w:pPr>
            <w:r w:rsidRPr="00372D1F">
              <w:rPr>
                <w:b/>
                <w:lang w:val="en-GB"/>
              </w:rPr>
              <w:t>Budget (USD)</w:t>
            </w:r>
          </w:p>
        </w:tc>
        <w:tc>
          <w:tcPr>
            <w:tcW w:w="1137" w:type="dxa"/>
            <w:gridSpan w:val="2"/>
            <w:shd w:val="clear" w:color="auto" w:fill="DEEAF6" w:themeFill="accent5" w:themeFillTint="33"/>
          </w:tcPr>
          <w:p w14:paraId="0FEF51FA" w14:textId="32409750" w:rsidR="004D0C16" w:rsidRPr="00372D1F" w:rsidRDefault="00131FD5" w:rsidP="00871FCF">
            <w:pPr>
              <w:spacing w:line="300" w:lineRule="exact"/>
              <w:rPr>
                <w:b/>
                <w:lang w:val="en-GB"/>
              </w:rPr>
            </w:pPr>
            <w:r>
              <w:rPr>
                <w:b/>
                <w:lang w:val="en-GB"/>
              </w:rPr>
              <w:t>%</w:t>
            </w:r>
          </w:p>
        </w:tc>
      </w:tr>
      <w:tr w:rsidR="004D0C16" w14:paraId="65B29F5B" w14:textId="129D73A5" w:rsidTr="00F12B71">
        <w:tc>
          <w:tcPr>
            <w:tcW w:w="5921" w:type="dxa"/>
            <w:gridSpan w:val="3"/>
            <w:shd w:val="clear" w:color="auto" w:fill="E2EFD9" w:themeFill="accent6" w:themeFillTint="33"/>
          </w:tcPr>
          <w:p w14:paraId="106E2D7B" w14:textId="77777777" w:rsidR="004D0C16" w:rsidRPr="00372D1F" w:rsidRDefault="004D0C16" w:rsidP="00871FCF">
            <w:pPr>
              <w:spacing w:line="300" w:lineRule="exact"/>
              <w:jc w:val="right"/>
              <w:rPr>
                <w:b/>
                <w:color w:val="808080" w:themeColor="background1" w:themeShade="80"/>
                <w:lang w:val="en-GB"/>
              </w:rPr>
            </w:pPr>
            <w:r w:rsidRPr="00372D1F">
              <w:rPr>
                <w:b/>
                <w:lang w:val="en-GB"/>
              </w:rPr>
              <w:t>2022</w:t>
            </w:r>
          </w:p>
        </w:tc>
        <w:tc>
          <w:tcPr>
            <w:tcW w:w="2014" w:type="dxa"/>
            <w:gridSpan w:val="2"/>
            <w:shd w:val="clear" w:color="auto" w:fill="E2EFD9" w:themeFill="accent6" w:themeFillTint="33"/>
          </w:tcPr>
          <w:p w14:paraId="6DD37EC1" w14:textId="4DABFA18" w:rsidR="004D0C16" w:rsidRPr="00AC57D0" w:rsidRDefault="00E711A3" w:rsidP="00AC57D0">
            <w:pPr>
              <w:spacing w:line="240" w:lineRule="auto"/>
              <w:jc w:val="right"/>
              <w:rPr>
                <w:rFonts w:ascii="Calibri" w:eastAsia="Times New Roman" w:hAnsi="Calibri" w:cs="Calibri"/>
                <w:color w:val="000000"/>
                <w:lang w:val="en-GB"/>
              </w:rPr>
            </w:pPr>
            <w:r>
              <w:rPr>
                <w:rFonts w:ascii="Calibri" w:hAnsi="Calibri" w:cs="Calibri"/>
                <w:color w:val="000000"/>
              </w:rPr>
              <w:t>1,999,175</w:t>
            </w:r>
          </w:p>
        </w:tc>
        <w:tc>
          <w:tcPr>
            <w:tcW w:w="1137" w:type="dxa"/>
            <w:gridSpan w:val="2"/>
            <w:shd w:val="clear" w:color="auto" w:fill="E2EFD9" w:themeFill="accent6" w:themeFillTint="33"/>
          </w:tcPr>
          <w:p w14:paraId="3D6A3C6F" w14:textId="4B620443" w:rsidR="004D0C16" w:rsidRDefault="00B47334" w:rsidP="00871FCF">
            <w:pPr>
              <w:spacing w:line="300" w:lineRule="exact"/>
              <w:jc w:val="right"/>
              <w:rPr>
                <w:bCs/>
                <w:color w:val="808080" w:themeColor="background1" w:themeShade="80"/>
                <w:lang w:val="en-GB"/>
              </w:rPr>
            </w:pPr>
            <w:r w:rsidRPr="39EA2426">
              <w:rPr>
                <w:color w:val="808080" w:themeColor="background1" w:themeShade="80"/>
                <w:lang w:val="en-GB"/>
              </w:rPr>
              <w:t>18.52%</w:t>
            </w:r>
          </w:p>
        </w:tc>
      </w:tr>
      <w:tr w:rsidR="004D0C16" w14:paraId="113A41E1" w14:textId="1B4A5F63" w:rsidTr="00F12B71">
        <w:tc>
          <w:tcPr>
            <w:tcW w:w="2127" w:type="dxa"/>
            <w:shd w:val="clear" w:color="auto" w:fill="FFFFFF" w:themeFill="background1"/>
          </w:tcPr>
          <w:p w14:paraId="10985FF8" w14:textId="7E8BE8CB" w:rsidR="004D0C16" w:rsidRPr="00D218FC" w:rsidRDefault="00F12B71"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Service delivery</w:t>
            </w:r>
          </w:p>
        </w:tc>
        <w:tc>
          <w:tcPr>
            <w:tcW w:w="3794" w:type="dxa"/>
            <w:gridSpan w:val="2"/>
            <w:shd w:val="clear" w:color="auto" w:fill="FFFFFF" w:themeFill="background1"/>
          </w:tcPr>
          <w:p w14:paraId="40A674E0" w14:textId="78280270" w:rsidR="004D0C16" w:rsidRPr="00D218FC" w:rsidRDefault="001A0F42"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Design and implement </w:t>
            </w:r>
            <w:r w:rsidR="00A82F01">
              <w:rPr>
                <w:rFonts w:ascii="Calibri" w:eastAsia="Times New Roman" w:hAnsi="Calibri" w:cs="Calibri"/>
                <w:iCs/>
                <w:lang w:val="en-GB"/>
              </w:rPr>
              <w:t xml:space="preserve">tailored </w:t>
            </w:r>
            <w:r w:rsidRPr="00D218FC">
              <w:rPr>
                <w:rFonts w:ascii="Calibri" w:eastAsia="Times New Roman" w:hAnsi="Calibri" w:cs="Calibri"/>
                <w:iCs/>
                <w:lang w:val="en-GB"/>
              </w:rPr>
              <w:t>strategies that address the identif</w:t>
            </w:r>
            <w:r w:rsidR="00AC57D0">
              <w:rPr>
                <w:rFonts w:ascii="Calibri" w:eastAsia="Times New Roman" w:hAnsi="Calibri" w:cs="Calibri"/>
                <w:iCs/>
                <w:lang w:val="en-GB"/>
              </w:rPr>
              <w:t>i</w:t>
            </w:r>
            <w:r w:rsidRPr="00D218FC">
              <w:rPr>
                <w:rFonts w:ascii="Calibri" w:eastAsia="Times New Roman" w:hAnsi="Calibri" w:cs="Calibri"/>
                <w:iCs/>
                <w:lang w:val="en-GB"/>
              </w:rPr>
              <w:t>ed barriers to reach zero dose, missed, and under vaccinated populations</w:t>
            </w:r>
            <w:r w:rsidR="0060544E">
              <w:rPr>
                <w:rFonts w:ascii="Calibri" w:eastAsia="Times New Roman" w:hAnsi="Calibri" w:cs="Calibri"/>
                <w:iCs/>
                <w:lang w:val="en-GB"/>
              </w:rPr>
              <w:t xml:space="preserve">. To maintain the current immunisation coverage </w:t>
            </w:r>
          </w:p>
        </w:tc>
        <w:tc>
          <w:tcPr>
            <w:tcW w:w="2014" w:type="dxa"/>
            <w:gridSpan w:val="2"/>
            <w:shd w:val="clear" w:color="auto" w:fill="FFFFFF" w:themeFill="background1"/>
          </w:tcPr>
          <w:p w14:paraId="4CDE8FAA" w14:textId="21E4F8CD" w:rsidR="004D0C16" w:rsidRPr="00D218FC" w:rsidRDefault="004A4CA1"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799,670</w:t>
            </w:r>
          </w:p>
        </w:tc>
        <w:tc>
          <w:tcPr>
            <w:tcW w:w="1137" w:type="dxa"/>
            <w:gridSpan w:val="2"/>
            <w:shd w:val="clear" w:color="auto" w:fill="FFFFFF" w:themeFill="background1"/>
          </w:tcPr>
          <w:p w14:paraId="0F3A2B8A" w14:textId="0C3503F4" w:rsidR="004D0C16" w:rsidRPr="00D218FC" w:rsidRDefault="001A0F42"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40</w:t>
            </w:r>
          </w:p>
        </w:tc>
      </w:tr>
      <w:tr w:rsidR="00F12B71" w14:paraId="66C04756" w14:textId="77777777" w:rsidTr="00F12B71">
        <w:tc>
          <w:tcPr>
            <w:tcW w:w="2127" w:type="dxa"/>
            <w:shd w:val="clear" w:color="auto" w:fill="FFFFFF" w:themeFill="background1"/>
          </w:tcPr>
          <w:p w14:paraId="2A2D121C" w14:textId="6DDC57DB" w:rsidR="00F12B71" w:rsidRPr="00D218FC" w:rsidRDefault="00F12B71"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Health Information Systems and Monitoring &amp; Learning</w:t>
            </w:r>
          </w:p>
        </w:tc>
        <w:tc>
          <w:tcPr>
            <w:tcW w:w="3794" w:type="dxa"/>
            <w:gridSpan w:val="2"/>
            <w:shd w:val="clear" w:color="auto" w:fill="FFFFFF" w:themeFill="background1"/>
          </w:tcPr>
          <w:p w14:paraId="1E1C981C" w14:textId="52EA93CD" w:rsidR="00F12B71" w:rsidRPr="00D218FC" w:rsidRDefault="001A0F42"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Enhance data quality and use especially at the sub-national level through integrated data sources and targeted </w:t>
            </w:r>
            <w:proofErr w:type="gramStart"/>
            <w:r w:rsidRPr="00D218FC">
              <w:rPr>
                <w:rFonts w:ascii="Calibri" w:eastAsia="Times New Roman" w:hAnsi="Calibri" w:cs="Calibri"/>
                <w:iCs/>
                <w:lang w:val="en-GB"/>
              </w:rPr>
              <w:t>decision making</w:t>
            </w:r>
            <w:proofErr w:type="gramEnd"/>
            <w:r w:rsidRPr="00D218FC">
              <w:rPr>
                <w:rFonts w:ascii="Calibri" w:eastAsia="Times New Roman" w:hAnsi="Calibri" w:cs="Calibri"/>
                <w:iCs/>
                <w:lang w:val="en-GB"/>
              </w:rPr>
              <w:t xml:space="preserve"> tools</w:t>
            </w:r>
          </w:p>
        </w:tc>
        <w:tc>
          <w:tcPr>
            <w:tcW w:w="2014" w:type="dxa"/>
            <w:gridSpan w:val="2"/>
            <w:shd w:val="clear" w:color="auto" w:fill="FFFFFF" w:themeFill="background1"/>
          </w:tcPr>
          <w:p w14:paraId="4A043F24" w14:textId="64120209" w:rsidR="00F12B71" w:rsidRPr="00D218FC" w:rsidRDefault="004A4CA1"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199,917.5</w:t>
            </w:r>
          </w:p>
        </w:tc>
        <w:tc>
          <w:tcPr>
            <w:tcW w:w="1137" w:type="dxa"/>
            <w:gridSpan w:val="2"/>
            <w:shd w:val="clear" w:color="auto" w:fill="FFFFFF" w:themeFill="background1"/>
          </w:tcPr>
          <w:p w14:paraId="1FF7212C" w14:textId="21BA6A31" w:rsidR="00F12B71" w:rsidRPr="00D218FC" w:rsidRDefault="001A0F42"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10</w:t>
            </w:r>
          </w:p>
        </w:tc>
      </w:tr>
      <w:tr w:rsidR="00F12B71" w14:paraId="2B78F327" w14:textId="77777777" w:rsidTr="00F12B71">
        <w:tc>
          <w:tcPr>
            <w:tcW w:w="2127" w:type="dxa"/>
            <w:shd w:val="clear" w:color="auto" w:fill="FFFFFF" w:themeFill="background1"/>
          </w:tcPr>
          <w:p w14:paraId="7695F1DC" w14:textId="37FE02B3" w:rsidR="00F12B71" w:rsidRPr="00D218FC" w:rsidRDefault="00F12B71"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Demand Generation and Community Engagement</w:t>
            </w:r>
          </w:p>
        </w:tc>
        <w:tc>
          <w:tcPr>
            <w:tcW w:w="3794" w:type="dxa"/>
            <w:gridSpan w:val="2"/>
            <w:shd w:val="clear" w:color="auto" w:fill="FFFFFF" w:themeFill="background1"/>
          </w:tcPr>
          <w:p w14:paraId="716C6919" w14:textId="7743D093" w:rsidR="00F12B71" w:rsidRPr="00D218FC" w:rsidRDefault="001A0F42"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Expand the community engagement networks in harmonized and </w:t>
            </w:r>
            <w:proofErr w:type="gramStart"/>
            <w:r w:rsidRPr="00D218FC">
              <w:rPr>
                <w:rFonts w:ascii="Calibri" w:eastAsia="Times New Roman" w:hAnsi="Calibri" w:cs="Calibri"/>
                <w:iCs/>
                <w:lang w:val="en-GB"/>
              </w:rPr>
              <w:t>evidence based</w:t>
            </w:r>
            <w:proofErr w:type="gramEnd"/>
            <w:r w:rsidRPr="00D218FC">
              <w:rPr>
                <w:rFonts w:ascii="Calibri" w:eastAsia="Times New Roman" w:hAnsi="Calibri" w:cs="Calibri"/>
                <w:iCs/>
                <w:lang w:val="en-GB"/>
              </w:rPr>
              <w:t xml:space="preserve"> manner</w:t>
            </w:r>
          </w:p>
        </w:tc>
        <w:tc>
          <w:tcPr>
            <w:tcW w:w="2014" w:type="dxa"/>
            <w:gridSpan w:val="2"/>
            <w:shd w:val="clear" w:color="auto" w:fill="FFFFFF" w:themeFill="background1"/>
          </w:tcPr>
          <w:p w14:paraId="6708DEBD" w14:textId="7FAB275C" w:rsidR="00F12B71" w:rsidRPr="00D218FC" w:rsidRDefault="004A4CA1"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399,835</w:t>
            </w:r>
          </w:p>
        </w:tc>
        <w:tc>
          <w:tcPr>
            <w:tcW w:w="1137" w:type="dxa"/>
            <w:gridSpan w:val="2"/>
            <w:shd w:val="clear" w:color="auto" w:fill="FFFFFF" w:themeFill="background1"/>
          </w:tcPr>
          <w:p w14:paraId="5A55DFD6" w14:textId="1E9D7794" w:rsidR="00F12B71" w:rsidRPr="00D218FC" w:rsidRDefault="001A0F42"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20</w:t>
            </w:r>
          </w:p>
        </w:tc>
      </w:tr>
      <w:tr w:rsidR="00F12B71" w14:paraId="59557DFA" w14:textId="77777777" w:rsidTr="00F12B71">
        <w:tc>
          <w:tcPr>
            <w:tcW w:w="2127" w:type="dxa"/>
            <w:shd w:val="clear" w:color="auto" w:fill="FFFFFF" w:themeFill="background1"/>
          </w:tcPr>
          <w:p w14:paraId="52DB42D3" w14:textId="3E2242B8" w:rsidR="00F12B71" w:rsidRPr="00D218FC" w:rsidRDefault="00764EC4"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Governance, Policy, Strategic Planning, and Programme Management</w:t>
            </w:r>
            <w:r w:rsidR="00463249" w:rsidRPr="00D218FC">
              <w:rPr>
                <w:rFonts w:ascii="Calibri" w:eastAsia="Times New Roman" w:hAnsi="Calibri" w:cs="Calibri"/>
                <w:iCs/>
                <w:lang w:val="en-GB"/>
              </w:rPr>
              <w:t xml:space="preserve"> -Programme </w:t>
            </w:r>
            <w:r w:rsidR="00463249" w:rsidRPr="00D218FC">
              <w:rPr>
                <w:rFonts w:ascii="Calibri" w:eastAsia="Times New Roman" w:hAnsi="Calibri" w:cs="Calibri"/>
                <w:iCs/>
                <w:lang w:val="en-GB"/>
              </w:rPr>
              <w:lastRenderedPageBreak/>
              <w:t>Coordination and support to EPI</w:t>
            </w:r>
          </w:p>
        </w:tc>
        <w:tc>
          <w:tcPr>
            <w:tcW w:w="3794" w:type="dxa"/>
            <w:gridSpan w:val="2"/>
            <w:shd w:val="clear" w:color="auto" w:fill="FFFFFF" w:themeFill="background1"/>
          </w:tcPr>
          <w:p w14:paraId="409F8081" w14:textId="3FA6CD54" w:rsidR="00F12B71" w:rsidRPr="00D218FC" w:rsidRDefault="001A0F42"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lastRenderedPageBreak/>
              <w:t>Strengthen program performance monitoring and management at national and subnational levels</w:t>
            </w:r>
          </w:p>
        </w:tc>
        <w:tc>
          <w:tcPr>
            <w:tcW w:w="2014" w:type="dxa"/>
            <w:gridSpan w:val="2"/>
            <w:shd w:val="clear" w:color="auto" w:fill="FFFFFF" w:themeFill="background1"/>
          </w:tcPr>
          <w:p w14:paraId="4211A543" w14:textId="1861EC19" w:rsidR="00F12B71" w:rsidRPr="00D218FC" w:rsidRDefault="004A4CA1"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199,917.5</w:t>
            </w:r>
          </w:p>
        </w:tc>
        <w:tc>
          <w:tcPr>
            <w:tcW w:w="1137" w:type="dxa"/>
            <w:gridSpan w:val="2"/>
            <w:shd w:val="clear" w:color="auto" w:fill="FFFFFF" w:themeFill="background1"/>
          </w:tcPr>
          <w:p w14:paraId="39FDD15C" w14:textId="074116F6" w:rsidR="00F12B71" w:rsidRPr="00D218FC" w:rsidRDefault="001A0F42"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10</w:t>
            </w:r>
          </w:p>
        </w:tc>
      </w:tr>
      <w:tr w:rsidR="00F12B71" w14:paraId="43CC0D83" w14:textId="77777777" w:rsidTr="00F12B71">
        <w:tc>
          <w:tcPr>
            <w:tcW w:w="2127" w:type="dxa"/>
            <w:shd w:val="clear" w:color="auto" w:fill="FFFFFF" w:themeFill="background1"/>
          </w:tcPr>
          <w:p w14:paraId="487BCC12" w14:textId="112C4AAE" w:rsidR="00F12B71" w:rsidRPr="00D218FC" w:rsidRDefault="00764EC4"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Supply chain</w:t>
            </w:r>
          </w:p>
        </w:tc>
        <w:tc>
          <w:tcPr>
            <w:tcW w:w="3794" w:type="dxa"/>
            <w:gridSpan w:val="2"/>
            <w:shd w:val="clear" w:color="auto" w:fill="FFFFFF" w:themeFill="background1"/>
          </w:tcPr>
          <w:p w14:paraId="5050AE4C" w14:textId="537011F3" w:rsidR="00F12B71" w:rsidRPr="00D218FC" w:rsidRDefault="001A0F42"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Design &amp; build a resilient and efficient supply </w:t>
            </w:r>
            <w:proofErr w:type="gramStart"/>
            <w:r w:rsidRPr="00D218FC">
              <w:rPr>
                <w:rFonts w:ascii="Calibri" w:eastAsia="Times New Roman" w:hAnsi="Calibri" w:cs="Calibri"/>
                <w:iCs/>
                <w:lang w:val="en-GB"/>
              </w:rPr>
              <w:t>chain  that</w:t>
            </w:r>
            <w:proofErr w:type="gramEnd"/>
            <w:r w:rsidRPr="00D218FC">
              <w:rPr>
                <w:rFonts w:ascii="Calibri" w:eastAsia="Times New Roman" w:hAnsi="Calibri" w:cs="Calibri"/>
                <w:iCs/>
                <w:lang w:val="en-GB"/>
              </w:rPr>
              <w:t xml:space="preserve"> can ensure reliable and predictable supply at all levels of the health systems</w:t>
            </w:r>
          </w:p>
        </w:tc>
        <w:tc>
          <w:tcPr>
            <w:tcW w:w="2014" w:type="dxa"/>
            <w:gridSpan w:val="2"/>
            <w:shd w:val="clear" w:color="auto" w:fill="FFFFFF" w:themeFill="background1"/>
          </w:tcPr>
          <w:p w14:paraId="423B78B2" w14:textId="4A6ED158" w:rsidR="00F12B71" w:rsidRPr="00D218FC" w:rsidRDefault="004A4CA1"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399,835</w:t>
            </w:r>
          </w:p>
        </w:tc>
        <w:tc>
          <w:tcPr>
            <w:tcW w:w="1137" w:type="dxa"/>
            <w:gridSpan w:val="2"/>
            <w:shd w:val="clear" w:color="auto" w:fill="FFFFFF" w:themeFill="background1"/>
          </w:tcPr>
          <w:p w14:paraId="7E920B65" w14:textId="6FBCDF37" w:rsidR="00F12B71" w:rsidRPr="00D218FC" w:rsidRDefault="001A0F42"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20</w:t>
            </w:r>
          </w:p>
        </w:tc>
      </w:tr>
      <w:tr w:rsidR="39EA2426" w:rsidRPr="00B65F1C" w14:paraId="0A54409B" w14:textId="77777777" w:rsidTr="00F12B71">
        <w:trPr>
          <w:gridAfter w:val="1"/>
          <w:wAfter w:w="27" w:type="dxa"/>
        </w:trPr>
        <w:tc>
          <w:tcPr>
            <w:tcW w:w="5911" w:type="dxa"/>
            <w:gridSpan w:val="2"/>
            <w:shd w:val="clear" w:color="auto" w:fill="E2EFD9" w:themeFill="accent6" w:themeFillTint="33"/>
          </w:tcPr>
          <w:p w14:paraId="4396DFA3" w14:textId="70028837" w:rsidR="39EA2426" w:rsidRPr="00A741B9" w:rsidRDefault="39EA2426" w:rsidP="00A741B9">
            <w:pPr>
              <w:spacing w:line="300" w:lineRule="exact"/>
              <w:jc w:val="right"/>
              <w:rPr>
                <w:b/>
                <w:lang w:val="en-GB"/>
              </w:rPr>
            </w:pPr>
            <w:r w:rsidRPr="00A741B9">
              <w:rPr>
                <w:b/>
                <w:lang w:val="en-GB"/>
              </w:rPr>
              <w:t>2023</w:t>
            </w:r>
          </w:p>
        </w:tc>
        <w:tc>
          <w:tcPr>
            <w:tcW w:w="2009" w:type="dxa"/>
            <w:gridSpan w:val="2"/>
            <w:shd w:val="clear" w:color="auto" w:fill="E2EFD9" w:themeFill="accent6" w:themeFillTint="33"/>
          </w:tcPr>
          <w:p w14:paraId="327C45DD" w14:textId="20730B40" w:rsidR="39EA2426" w:rsidRPr="00A741B9" w:rsidRDefault="00DB1C62" w:rsidP="00A741B9">
            <w:pPr>
              <w:spacing w:line="300" w:lineRule="exact"/>
              <w:jc w:val="center"/>
              <w:rPr>
                <w:b/>
                <w:lang w:val="en-GB"/>
              </w:rPr>
            </w:pPr>
            <w:r w:rsidRPr="00DC7FF7">
              <w:rPr>
                <w:b/>
                <w:lang w:val="en-GB"/>
              </w:rPr>
              <w:t>2,930,300</w:t>
            </w:r>
          </w:p>
        </w:tc>
        <w:tc>
          <w:tcPr>
            <w:tcW w:w="1125" w:type="dxa"/>
            <w:gridSpan w:val="2"/>
            <w:shd w:val="clear" w:color="auto" w:fill="E2EFD9" w:themeFill="accent6" w:themeFillTint="33"/>
          </w:tcPr>
          <w:p w14:paraId="76D141AE" w14:textId="2D8EF9C1" w:rsidR="39EA2426" w:rsidRPr="00A741B9" w:rsidRDefault="00C13D39" w:rsidP="00A741B9">
            <w:pPr>
              <w:spacing w:line="300" w:lineRule="exact"/>
              <w:jc w:val="right"/>
              <w:rPr>
                <w:b/>
                <w:lang w:val="en-GB"/>
              </w:rPr>
            </w:pPr>
            <w:r w:rsidRPr="00A741B9">
              <w:rPr>
                <w:b/>
                <w:lang w:val="en-GB"/>
              </w:rPr>
              <w:t>27.16%</w:t>
            </w:r>
          </w:p>
        </w:tc>
      </w:tr>
      <w:tr w:rsidR="00FF4568" w14:paraId="2488EED4" w14:textId="77777777" w:rsidTr="00F12B71">
        <w:trPr>
          <w:gridAfter w:val="1"/>
          <w:wAfter w:w="27" w:type="dxa"/>
        </w:trPr>
        <w:tc>
          <w:tcPr>
            <w:tcW w:w="2127" w:type="dxa"/>
            <w:shd w:val="clear" w:color="auto" w:fill="FFFFFF" w:themeFill="background1"/>
          </w:tcPr>
          <w:p w14:paraId="20494B17" w14:textId="265E86CE"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Service delivery</w:t>
            </w:r>
          </w:p>
        </w:tc>
        <w:tc>
          <w:tcPr>
            <w:tcW w:w="3784" w:type="dxa"/>
            <w:shd w:val="clear" w:color="auto" w:fill="FFFFFF" w:themeFill="background1"/>
          </w:tcPr>
          <w:p w14:paraId="28074090" w14:textId="6CE79556"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Design and implement strategies that address the </w:t>
            </w:r>
            <w:proofErr w:type="spellStart"/>
            <w:r w:rsidRPr="00D218FC">
              <w:rPr>
                <w:rFonts w:ascii="Calibri" w:eastAsia="Times New Roman" w:hAnsi="Calibri" w:cs="Calibri"/>
                <w:iCs/>
                <w:lang w:val="en-GB"/>
              </w:rPr>
              <w:t>identifed</w:t>
            </w:r>
            <w:proofErr w:type="spellEnd"/>
            <w:r w:rsidRPr="00D218FC">
              <w:rPr>
                <w:rFonts w:ascii="Calibri" w:eastAsia="Times New Roman" w:hAnsi="Calibri" w:cs="Calibri"/>
                <w:iCs/>
                <w:lang w:val="en-GB"/>
              </w:rPr>
              <w:t xml:space="preserve"> barriers to reach zero dose, missed, and under vaccinated populations </w:t>
            </w:r>
          </w:p>
        </w:tc>
        <w:tc>
          <w:tcPr>
            <w:tcW w:w="2009" w:type="dxa"/>
            <w:gridSpan w:val="2"/>
            <w:shd w:val="clear" w:color="auto" w:fill="FFFFFF" w:themeFill="background1"/>
          </w:tcPr>
          <w:p w14:paraId="74CEF036" w14:textId="4323641F" w:rsidR="006F7610" w:rsidRPr="00D218FC" w:rsidRDefault="006F7610"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1172120</w:t>
            </w:r>
          </w:p>
        </w:tc>
        <w:tc>
          <w:tcPr>
            <w:tcW w:w="1125" w:type="dxa"/>
            <w:gridSpan w:val="2"/>
            <w:shd w:val="clear" w:color="auto" w:fill="FFFFFF" w:themeFill="background1"/>
          </w:tcPr>
          <w:p w14:paraId="535DFA25" w14:textId="3EF812C8" w:rsidR="006F7610" w:rsidRPr="00D218FC" w:rsidRDefault="006F7610"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40</w:t>
            </w:r>
          </w:p>
        </w:tc>
      </w:tr>
      <w:tr w:rsidR="00FF4568" w14:paraId="53F6CD86" w14:textId="77777777" w:rsidTr="00F12B71">
        <w:trPr>
          <w:gridAfter w:val="1"/>
          <w:wAfter w:w="27" w:type="dxa"/>
        </w:trPr>
        <w:tc>
          <w:tcPr>
            <w:tcW w:w="2127" w:type="dxa"/>
            <w:shd w:val="clear" w:color="auto" w:fill="FFFFFF" w:themeFill="background1"/>
          </w:tcPr>
          <w:p w14:paraId="7CFDFB89" w14:textId="70704772"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Health Information Systems and Monitoring &amp; Learning</w:t>
            </w:r>
          </w:p>
        </w:tc>
        <w:tc>
          <w:tcPr>
            <w:tcW w:w="3784" w:type="dxa"/>
            <w:shd w:val="clear" w:color="auto" w:fill="FFFFFF" w:themeFill="background1"/>
          </w:tcPr>
          <w:p w14:paraId="36A7ADC2" w14:textId="77A148FA"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Enhance data quality and use especially at the sub-national level through integrated data sources and targeted </w:t>
            </w:r>
            <w:proofErr w:type="gramStart"/>
            <w:r w:rsidRPr="00D218FC">
              <w:rPr>
                <w:rFonts w:ascii="Calibri" w:eastAsia="Times New Roman" w:hAnsi="Calibri" w:cs="Calibri"/>
                <w:iCs/>
                <w:lang w:val="en-GB"/>
              </w:rPr>
              <w:t>decision making</w:t>
            </w:r>
            <w:proofErr w:type="gramEnd"/>
            <w:r w:rsidRPr="00D218FC">
              <w:rPr>
                <w:rFonts w:ascii="Calibri" w:eastAsia="Times New Roman" w:hAnsi="Calibri" w:cs="Calibri"/>
                <w:iCs/>
                <w:lang w:val="en-GB"/>
              </w:rPr>
              <w:t xml:space="preserve"> tools</w:t>
            </w:r>
          </w:p>
        </w:tc>
        <w:tc>
          <w:tcPr>
            <w:tcW w:w="2009" w:type="dxa"/>
            <w:gridSpan w:val="2"/>
            <w:shd w:val="clear" w:color="auto" w:fill="FFFFFF" w:themeFill="background1"/>
          </w:tcPr>
          <w:p w14:paraId="59C1B009" w14:textId="7A98928C" w:rsidR="006F7610" w:rsidRPr="00D218FC" w:rsidRDefault="006F7610"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293,030</w:t>
            </w:r>
          </w:p>
        </w:tc>
        <w:tc>
          <w:tcPr>
            <w:tcW w:w="1125" w:type="dxa"/>
            <w:gridSpan w:val="2"/>
            <w:shd w:val="clear" w:color="auto" w:fill="FFFFFF" w:themeFill="background1"/>
          </w:tcPr>
          <w:p w14:paraId="768B2AD3" w14:textId="4DF5571A" w:rsidR="006F7610" w:rsidRPr="00D218FC" w:rsidRDefault="006F7610"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10</w:t>
            </w:r>
          </w:p>
        </w:tc>
      </w:tr>
      <w:tr w:rsidR="00FF4568" w14:paraId="5E4ED1AB" w14:textId="77777777" w:rsidTr="00F12B71">
        <w:trPr>
          <w:gridAfter w:val="1"/>
          <w:wAfter w:w="27" w:type="dxa"/>
        </w:trPr>
        <w:tc>
          <w:tcPr>
            <w:tcW w:w="2127" w:type="dxa"/>
            <w:shd w:val="clear" w:color="auto" w:fill="FFFFFF" w:themeFill="background1"/>
          </w:tcPr>
          <w:p w14:paraId="0DE6A89E" w14:textId="1E71DE25"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Demand Generation and Community Engagement</w:t>
            </w:r>
          </w:p>
        </w:tc>
        <w:tc>
          <w:tcPr>
            <w:tcW w:w="3784" w:type="dxa"/>
            <w:shd w:val="clear" w:color="auto" w:fill="FFFFFF" w:themeFill="background1"/>
          </w:tcPr>
          <w:p w14:paraId="64DF60A1" w14:textId="571702BA"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Expand the community engagement networks in harmonized and </w:t>
            </w:r>
            <w:proofErr w:type="gramStart"/>
            <w:r w:rsidRPr="00D218FC">
              <w:rPr>
                <w:rFonts w:ascii="Calibri" w:eastAsia="Times New Roman" w:hAnsi="Calibri" w:cs="Calibri"/>
                <w:iCs/>
                <w:lang w:val="en-GB"/>
              </w:rPr>
              <w:t>evidence based</w:t>
            </w:r>
            <w:proofErr w:type="gramEnd"/>
            <w:r w:rsidRPr="00D218FC">
              <w:rPr>
                <w:rFonts w:ascii="Calibri" w:eastAsia="Times New Roman" w:hAnsi="Calibri" w:cs="Calibri"/>
                <w:iCs/>
                <w:lang w:val="en-GB"/>
              </w:rPr>
              <w:t xml:space="preserve"> manner</w:t>
            </w:r>
          </w:p>
        </w:tc>
        <w:tc>
          <w:tcPr>
            <w:tcW w:w="2009" w:type="dxa"/>
            <w:gridSpan w:val="2"/>
            <w:shd w:val="clear" w:color="auto" w:fill="FFFFFF" w:themeFill="background1"/>
          </w:tcPr>
          <w:p w14:paraId="688AF945" w14:textId="4A3AEFB5" w:rsidR="006F7610" w:rsidRPr="00D218FC" w:rsidRDefault="006F7610"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586,060</w:t>
            </w:r>
          </w:p>
        </w:tc>
        <w:tc>
          <w:tcPr>
            <w:tcW w:w="1125" w:type="dxa"/>
            <w:gridSpan w:val="2"/>
            <w:shd w:val="clear" w:color="auto" w:fill="FFFFFF" w:themeFill="background1"/>
          </w:tcPr>
          <w:p w14:paraId="3689C4C7" w14:textId="581B4F1E" w:rsidR="006F7610" w:rsidRPr="00D218FC" w:rsidRDefault="006F7610"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20</w:t>
            </w:r>
          </w:p>
        </w:tc>
      </w:tr>
      <w:tr w:rsidR="00FF4568" w14:paraId="34E88A6C" w14:textId="77777777" w:rsidTr="00F12B71">
        <w:trPr>
          <w:gridAfter w:val="1"/>
          <w:wAfter w:w="27" w:type="dxa"/>
        </w:trPr>
        <w:tc>
          <w:tcPr>
            <w:tcW w:w="2127" w:type="dxa"/>
            <w:shd w:val="clear" w:color="auto" w:fill="FFFFFF" w:themeFill="background1"/>
          </w:tcPr>
          <w:p w14:paraId="268B50F9" w14:textId="239D3EB3"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Governance, Policy, Strategic Planning, and Programme Management</w:t>
            </w:r>
            <w:r w:rsidR="001E14C4" w:rsidRPr="00D218FC">
              <w:rPr>
                <w:rFonts w:ascii="Calibri" w:eastAsia="Times New Roman" w:hAnsi="Calibri" w:cs="Calibri"/>
                <w:iCs/>
                <w:lang w:val="en-GB"/>
              </w:rPr>
              <w:t xml:space="preserve"> -Programme Coordination and support to EPI</w:t>
            </w:r>
          </w:p>
        </w:tc>
        <w:tc>
          <w:tcPr>
            <w:tcW w:w="3784" w:type="dxa"/>
            <w:shd w:val="clear" w:color="auto" w:fill="FFFFFF" w:themeFill="background1"/>
          </w:tcPr>
          <w:p w14:paraId="49AE3893" w14:textId="16B142CB"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Strengthen program performance monitoring and management at national and subnational levels</w:t>
            </w:r>
          </w:p>
        </w:tc>
        <w:tc>
          <w:tcPr>
            <w:tcW w:w="2009" w:type="dxa"/>
            <w:gridSpan w:val="2"/>
            <w:shd w:val="clear" w:color="auto" w:fill="FFFFFF" w:themeFill="background1"/>
          </w:tcPr>
          <w:p w14:paraId="3BBD2A42" w14:textId="520ACD7E" w:rsidR="006F7610" w:rsidRPr="00D218FC" w:rsidRDefault="006F7610"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293,030</w:t>
            </w:r>
          </w:p>
        </w:tc>
        <w:tc>
          <w:tcPr>
            <w:tcW w:w="1125" w:type="dxa"/>
            <w:gridSpan w:val="2"/>
            <w:shd w:val="clear" w:color="auto" w:fill="FFFFFF" w:themeFill="background1"/>
          </w:tcPr>
          <w:p w14:paraId="630AEB0F" w14:textId="2AB72776" w:rsidR="006F7610" w:rsidRPr="00D218FC" w:rsidRDefault="006F7610"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10</w:t>
            </w:r>
          </w:p>
        </w:tc>
      </w:tr>
      <w:tr w:rsidR="00FF4568" w14:paraId="11143DA9" w14:textId="77777777" w:rsidTr="00F12B71">
        <w:trPr>
          <w:gridAfter w:val="1"/>
          <w:wAfter w:w="27" w:type="dxa"/>
        </w:trPr>
        <w:tc>
          <w:tcPr>
            <w:tcW w:w="2127" w:type="dxa"/>
            <w:shd w:val="clear" w:color="auto" w:fill="FFFFFF" w:themeFill="background1"/>
          </w:tcPr>
          <w:p w14:paraId="65793D20" w14:textId="44E6A847"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Supply chain</w:t>
            </w:r>
          </w:p>
        </w:tc>
        <w:tc>
          <w:tcPr>
            <w:tcW w:w="3784" w:type="dxa"/>
            <w:shd w:val="clear" w:color="auto" w:fill="FFFFFF" w:themeFill="background1"/>
          </w:tcPr>
          <w:p w14:paraId="772AF294" w14:textId="0BAFCEB4"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Design &amp; build a resilient and efficient supply </w:t>
            </w:r>
            <w:proofErr w:type="gramStart"/>
            <w:r w:rsidRPr="00D218FC">
              <w:rPr>
                <w:rFonts w:ascii="Calibri" w:eastAsia="Times New Roman" w:hAnsi="Calibri" w:cs="Calibri"/>
                <w:iCs/>
                <w:lang w:val="en-GB"/>
              </w:rPr>
              <w:t>chain  that</w:t>
            </w:r>
            <w:proofErr w:type="gramEnd"/>
            <w:r w:rsidRPr="00D218FC">
              <w:rPr>
                <w:rFonts w:ascii="Calibri" w:eastAsia="Times New Roman" w:hAnsi="Calibri" w:cs="Calibri"/>
                <w:iCs/>
                <w:lang w:val="en-GB"/>
              </w:rPr>
              <w:t xml:space="preserve"> can ensure reliable and predictable supply at all levels of the health systems</w:t>
            </w:r>
          </w:p>
        </w:tc>
        <w:tc>
          <w:tcPr>
            <w:tcW w:w="2009" w:type="dxa"/>
            <w:gridSpan w:val="2"/>
            <w:shd w:val="clear" w:color="auto" w:fill="FFFFFF" w:themeFill="background1"/>
          </w:tcPr>
          <w:p w14:paraId="45A8FE91" w14:textId="037A3358" w:rsidR="006F7610" w:rsidRPr="00D218FC" w:rsidRDefault="006F7610"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586,060</w:t>
            </w:r>
          </w:p>
        </w:tc>
        <w:tc>
          <w:tcPr>
            <w:tcW w:w="1125" w:type="dxa"/>
            <w:gridSpan w:val="2"/>
            <w:shd w:val="clear" w:color="auto" w:fill="FFFFFF" w:themeFill="background1"/>
          </w:tcPr>
          <w:p w14:paraId="7F3AE29B" w14:textId="4F71B37B" w:rsidR="006F7610" w:rsidRPr="00D218FC" w:rsidRDefault="006F7610" w:rsidP="00D218FC">
            <w:pPr>
              <w:shd w:val="clear" w:color="auto" w:fill="FFFFFF"/>
              <w:spacing w:line="240" w:lineRule="auto"/>
              <w:jc w:val="right"/>
              <w:rPr>
                <w:rFonts w:ascii="Calibri" w:eastAsia="Times New Roman" w:hAnsi="Calibri" w:cs="Calibri"/>
                <w:iCs/>
                <w:lang w:val="en-GB"/>
              </w:rPr>
            </w:pPr>
            <w:r w:rsidRPr="00D218FC">
              <w:rPr>
                <w:rFonts w:ascii="Calibri" w:eastAsia="Times New Roman" w:hAnsi="Calibri" w:cs="Calibri"/>
                <w:iCs/>
                <w:lang w:val="en-GB"/>
              </w:rPr>
              <w:t>20</w:t>
            </w:r>
          </w:p>
        </w:tc>
      </w:tr>
      <w:tr w:rsidR="006F7610" w:rsidRPr="00B65F1C" w14:paraId="2794FDCA" w14:textId="77777777" w:rsidTr="00F5607D">
        <w:trPr>
          <w:gridAfter w:val="1"/>
          <w:wAfter w:w="27" w:type="dxa"/>
        </w:trPr>
        <w:tc>
          <w:tcPr>
            <w:tcW w:w="5911" w:type="dxa"/>
            <w:gridSpan w:val="2"/>
            <w:shd w:val="clear" w:color="auto" w:fill="E2EFD9" w:themeFill="accent6" w:themeFillTint="33"/>
          </w:tcPr>
          <w:p w14:paraId="47079720" w14:textId="47C1630A" w:rsidR="006F7610" w:rsidRPr="00A741B9" w:rsidRDefault="006F7610" w:rsidP="00A741B9">
            <w:pPr>
              <w:spacing w:line="300" w:lineRule="exact"/>
              <w:jc w:val="right"/>
              <w:rPr>
                <w:b/>
                <w:lang w:val="en-GB"/>
              </w:rPr>
            </w:pPr>
            <w:r w:rsidRPr="00A741B9">
              <w:rPr>
                <w:b/>
                <w:lang w:val="en-GB"/>
              </w:rPr>
              <w:t>2024</w:t>
            </w:r>
          </w:p>
        </w:tc>
        <w:tc>
          <w:tcPr>
            <w:tcW w:w="2009" w:type="dxa"/>
            <w:gridSpan w:val="2"/>
            <w:shd w:val="clear" w:color="auto" w:fill="FFFFFF" w:themeFill="background1"/>
          </w:tcPr>
          <w:p w14:paraId="20A2488B" w14:textId="208256F3" w:rsidR="006F7610" w:rsidRPr="00A741B9" w:rsidRDefault="00DB1C62" w:rsidP="00A741B9">
            <w:pPr>
              <w:spacing w:line="300" w:lineRule="exact"/>
              <w:jc w:val="right"/>
              <w:rPr>
                <w:b/>
                <w:lang w:val="en-GB"/>
              </w:rPr>
            </w:pPr>
            <w:r w:rsidRPr="00DC7FF7">
              <w:rPr>
                <w:b/>
                <w:lang w:val="en-GB"/>
              </w:rPr>
              <w:t>2,930,300</w:t>
            </w:r>
          </w:p>
        </w:tc>
        <w:tc>
          <w:tcPr>
            <w:tcW w:w="1125" w:type="dxa"/>
            <w:gridSpan w:val="2"/>
            <w:shd w:val="clear" w:color="auto" w:fill="E2EFD9" w:themeFill="accent6" w:themeFillTint="33"/>
          </w:tcPr>
          <w:p w14:paraId="3287EB8A" w14:textId="61103016" w:rsidR="006F7610" w:rsidRPr="00A741B9" w:rsidRDefault="00C13D39" w:rsidP="00A741B9">
            <w:pPr>
              <w:spacing w:line="300" w:lineRule="exact"/>
              <w:jc w:val="right"/>
              <w:rPr>
                <w:b/>
                <w:lang w:val="en-GB"/>
              </w:rPr>
            </w:pPr>
            <w:r w:rsidRPr="00A741B9">
              <w:rPr>
                <w:b/>
                <w:lang w:val="en-GB"/>
              </w:rPr>
              <w:t>27.16%</w:t>
            </w:r>
          </w:p>
        </w:tc>
      </w:tr>
      <w:tr w:rsidR="00FF4568" w14:paraId="43F24405" w14:textId="77777777" w:rsidTr="00F12B71">
        <w:trPr>
          <w:gridAfter w:val="1"/>
          <w:wAfter w:w="27" w:type="dxa"/>
        </w:trPr>
        <w:tc>
          <w:tcPr>
            <w:tcW w:w="2127" w:type="dxa"/>
            <w:shd w:val="clear" w:color="auto" w:fill="FFFFFF" w:themeFill="background1"/>
          </w:tcPr>
          <w:p w14:paraId="23C4D25C" w14:textId="113BC532"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Service delivery</w:t>
            </w:r>
          </w:p>
        </w:tc>
        <w:tc>
          <w:tcPr>
            <w:tcW w:w="3784" w:type="dxa"/>
            <w:shd w:val="clear" w:color="auto" w:fill="FFFFFF" w:themeFill="background1"/>
          </w:tcPr>
          <w:p w14:paraId="1A172034" w14:textId="15457887"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Design and implement strategies that address the </w:t>
            </w:r>
            <w:proofErr w:type="spellStart"/>
            <w:r w:rsidRPr="00D218FC">
              <w:rPr>
                <w:rFonts w:ascii="Calibri" w:eastAsia="Times New Roman" w:hAnsi="Calibri" w:cs="Calibri"/>
                <w:iCs/>
                <w:lang w:val="en-GB"/>
              </w:rPr>
              <w:t>identifed</w:t>
            </w:r>
            <w:proofErr w:type="spellEnd"/>
            <w:r w:rsidRPr="00D218FC">
              <w:rPr>
                <w:rFonts w:ascii="Calibri" w:eastAsia="Times New Roman" w:hAnsi="Calibri" w:cs="Calibri"/>
                <w:iCs/>
                <w:lang w:val="en-GB"/>
              </w:rPr>
              <w:t xml:space="preserve"> barriers to reach zero dose, missed, and under vaccinated populations</w:t>
            </w:r>
          </w:p>
        </w:tc>
        <w:tc>
          <w:tcPr>
            <w:tcW w:w="2009" w:type="dxa"/>
            <w:gridSpan w:val="2"/>
            <w:shd w:val="clear" w:color="auto" w:fill="FFFFFF" w:themeFill="background1"/>
          </w:tcPr>
          <w:p w14:paraId="24416671" w14:textId="3C4D3FE2"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1,172,120</w:t>
            </w:r>
          </w:p>
        </w:tc>
        <w:tc>
          <w:tcPr>
            <w:tcW w:w="1125" w:type="dxa"/>
            <w:gridSpan w:val="2"/>
            <w:shd w:val="clear" w:color="auto" w:fill="FFFFFF" w:themeFill="background1"/>
          </w:tcPr>
          <w:p w14:paraId="14C5A7DC" w14:textId="4064CB79"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40</w:t>
            </w:r>
          </w:p>
        </w:tc>
      </w:tr>
      <w:tr w:rsidR="00FF4568" w14:paraId="2CE770AC" w14:textId="77777777" w:rsidTr="00F12B71">
        <w:trPr>
          <w:gridAfter w:val="1"/>
          <w:wAfter w:w="27" w:type="dxa"/>
        </w:trPr>
        <w:tc>
          <w:tcPr>
            <w:tcW w:w="2127" w:type="dxa"/>
            <w:shd w:val="clear" w:color="auto" w:fill="FFFFFF" w:themeFill="background1"/>
          </w:tcPr>
          <w:p w14:paraId="6398D4E2" w14:textId="03C01B22"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Health Information Systems and Monitoring &amp; Learning</w:t>
            </w:r>
          </w:p>
        </w:tc>
        <w:tc>
          <w:tcPr>
            <w:tcW w:w="3784" w:type="dxa"/>
            <w:shd w:val="clear" w:color="auto" w:fill="FFFFFF" w:themeFill="background1"/>
          </w:tcPr>
          <w:p w14:paraId="792BBC89" w14:textId="252D8DF0"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Enhance data quality and use especially at the sub-national level through integrated data sources and targeted </w:t>
            </w:r>
            <w:proofErr w:type="gramStart"/>
            <w:r w:rsidRPr="00D218FC">
              <w:rPr>
                <w:rFonts w:ascii="Calibri" w:eastAsia="Times New Roman" w:hAnsi="Calibri" w:cs="Calibri"/>
                <w:iCs/>
                <w:lang w:val="en-GB"/>
              </w:rPr>
              <w:t>decision making</w:t>
            </w:r>
            <w:proofErr w:type="gramEnd"/>
            <w:r w:rsidRPr="00D218FC">
              <w:rPr>
                <w:rFonts w:ascii="Calibri" w:eastAsia="Times New Roman" w:hAnsi="Calibri" w:cs="Calibri"/>
                <w:iCs/>
                <w:lang w:val="en-GB"/>
              </w:rPr>
              <w:t xml:space="preserve"> tools</w:t>
            </w:r>
          </w:p>
        </w:tc>
        <w:tc>
          <w:tcPr>
            <w:tcW w:w="2009" w:type="dxa"/>
            <w:gridSpan w:val="2"/>
            <w:shd w:val="clear" w:color="auto" w:fill="FFFFFF" w:themeFill="background1"/>
          </w:tcPr>
          <w:p w14:paraId="1DECDD31" w14:textId="08FF36CF"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293,030</w:t>
            </w:r>
          </w:p>
        </w:tc>
        <w:tc>
          <w:tcPr>
            <w:tcW w:w="1125" w:type="dxa"/>
            <w:gridSpan w:val="2"/>
            <w:shd w:val="clear" w:color="auto" w:fill="FFFFFF" w:themeFill="background1"/>
          </w:tcPr>
          <w:p w14:paraId="22EE5960" w14:textId="75DEC92E"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10</w:t>
            </w:r>
          </w:p>
        </w:tc>
      </w:tr>
      <w:tr w:rsidR="00FF4568" w14:paraId="3FBEFD1E" w14:textId="77777777" w:rsidTr="00F12B71">
        <w:trPr>
          <w:gridAfter w:val="1"/>
          <w:wAfter w:w="27" w:type="dxa"/>
        </w:trPr>
        <w:tc>
          <w:tcPr>
            <w:tcW w:w="2127" w:type="dxa"/>
            <w:shd w:val="clear" w:color="auto" w:fill="FFFFFF" w:themeFill="background1"/>
          </w:tcPr>
          <w:p w14:paraId="128D81FC" w14:textId="7BDDA5B0"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Demand Generation and Community Engagement</w:t>
            </w:r>
          </w:p>
        </w:tc>
        <w:tc>
          <w:tcPr>
            <w:tcW w:w="3784" w:type="dxa"/>
            <w:shd w:val="clear" w:color="auto" w:fill="FFFFFF" w:themeFill="background1"/>
          </w:tcPr>
          <w:p w14:paraId="59C05EE3" w14:textId="5FAB012F"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Expand the community engagement networks in harmonized and </w:t>
            </w:r>
            <w:proofErr w:type="gramStart"/>
            <w:r w:rsidRPr="00D218FC">
              <w:rPr>
                <w:rFonts w:ascii="Calibri" w:eastAsia="Times New Roman" w:hAnsi="Calibri" w:cs="Calibri"/>
                <w:iCs/>
                <w:lang w:val="en-GB"/>
              </w:rPr>
              <w:t>evidence based</w:t>
            </w:r>
            <w:proofErr w:type="gramEnd"/>
            <w:r w:rsidRPr="00D218FC">
              <w:rPr>
                <w:rFonts w:ascii="Calibri" w:eastAsia="Times New Roman" w:hAnsi="Calibri" w:cs="Calibri"/>
                <w:iCs/>
                <w:lang w:val="en-GB"/>
              </w:rPr>
              <w:t xml:space="preserve"> manner</w:t>
            </w:r>
          </w:p>
        </w:tc>
        <w:tc>
          <w:tcPr>
            <w:tcW w:w="2009" w:type="dxa"/>
            <w:gridSpan w:val="2"/>
            <w:shd w:val="clear" w:color="auto" w:fill="FFFFFF" w:themeFill="background1"/>
          </w:tcPr>
          <w:p w14:paraId="44050919" w14:textId="007975E1"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586</w:t>
            </w:r>
            <w:r w:rsidR="00DE5525">
              <w:rPr>
                <w:rFonts w:ascii="Calibri" w:eastAsia="Times New Roman" w:hAnsi="Calibri" w:cs="Calibri"/>
                <w:iCs/>
                <w:lang w:val="en-GB"/>
              </w:rPr>
              <w:t>,</w:t>
            </w:r>
            <w:r w:rsidRPr="00D218FC">
              <w:rPr>
                <w:rFonts w:ascii="Calibri" w:eastAsia="Times New Roman" w:hAnsi="Calibri" w:cs="Calibri"/>
                <w:iCs/>
                <w:lang w:val="en-GB"/>
              </w:rPr>
              <w:t>060</w:t>
            </w:r>
          </w:p>
        </w:tc>
        <w:tc>
          <w:tcPr>
            <w:tcW w:w="1125" w:type="dxa"/>
            <w:gridSpan w:val="2"/>
            <w:shd w:val="clear" w:color="auto" w:fill="FFFFFF" w:themeFill="background1"/>
          </w:tcPr>
          <w:p w14:paraId="103AEDBC" w14:textId="7ED8DCF2"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20</w:t>
            </w:r>
          </w:p>
        </w:tc>
      </w:tr>
      <w:tr w:rsidR="00FF4568" w14:paraId="4FDB9338" w14:textId="77777777" w:rsidTr="00F12B71">
        <w:trPr>
          <w:gridAfter w:val="1"/>
          <w:wAfter w:w="27" w:type="dxa"/>
        </w:trPr>
        <w:tc>
          <w:tcPr>
            <w:tcW w:w="2127" w:type="dxa"/>
            <w:shd w:val="clear" w:color="auto" w:fill="FFFFFF" w:themeFill="background1"/>
          </w:tcPr>
          <w:p w14:paraId="5299E0D1" w14:textId="6734FE8A"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Governance, Policy, Strategic Planning, and Programme Management</w:t>
            </w:r>
            <w:r w:rsidR="001E14C4" w:rsidRPr="00D218FC">
              <w:rPr>
                <w:rFonts w:ascii="Calibri" w:eastAsia="Times New Roman" w:hAnsi="Calibri" w:cs="Calibri"/>
                <w:iCs/>
                <w:lang w:val="en-GB"/>
              </w:rPr>
              <w:t xml:space="preserve"> -Programme Coordination and support to EPI</w:t>
            </w:r>
          </w:p>
        </w:tc>
        <w:tc>
          <w:tcPr>
            <w:tcW w:w="3784" w:type="dxa"/>
            <w:shd w:val="clear" w:color="auto" w:fill="FFFFFF" w:themeFill="background1"/>
          </w:tcPr>
          <w:p w14:paraId="74529667" w14:textId="3E594F7A"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Strengthen program performance monitoring and management at national and subnational levels</w:t>
            </w:r>
          </w:p>
        </w:tc>
        <w:tc>
          <w:tcPr>
            <w:tcW w:w="2009" w:type="dxa"/>
            <w:gridSpan w:val="2"/>
            <w:shd w:val="clear" w:color="auto" w:fill="FFFFFF" w:themeFill="background1"/>
          </w:tcPr>
          <w:p w14:paraId="1F60DD83" w14:textId="7C34D6F9"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293,030</w:t>
            </w:r>
          </w:p>
        </w:tc>
        <w:tc>
          <w:tcPr>
            <w:tcW w:w="1125" w:type="dxa"/>
            <w:gridSpan w:val="2"/>
            <w:shd w:val="clear" w:color="auto" w:fill="FFFFFF" w:themeFill="background1"/>
          </w:tcPr>
          <w:p w14:paraId="621EBA3D" w14:textId="60A13E34"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10</w:t>
            </w:r>
          </w:p>
        </w:tc>
      </w:tr>
      <w:tr w:rsidR="00FF4568" w14:paraId="065BE926" w14:textId="77777777" w:rsidTr="00F12B71">
        <w:trPr>
          <w:gridAfter w:val="1"/>
          <w:wAfter w:w="27" w:type="dxa"/>
        </w:trPr>
        <w:tc>
          <w:tcPr>
            <w:tcW w:w="2127" w:type="dxa"/>
            <w:shd w:val="clear" w:color="auto" w:fill="FFFFFF" w:themeFill="background1"/>
          </w:tcPr>
          <w:p w14:paraId="1AB73E6E" w14:textId="502F9B8C"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lastRenderedPageBreak/>
              <w:t>Supply chain</w:t>
            </w:r>
          </w:p>
        </w:tc>
        <w:tc>
          <w:tcPr>
            <w:tcW w:w="3784" w:type="dxa"/>
            <w:shd w:val="clear" w:color="auto" w:fill="FFFFFF" w:themeFill="background1"/>
          </w:tcPr>
          <w:p w14:paraId="02E2B9A3" w14:textId="034AC847"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Design &amp; build a resilient and efficient supply </w:t>
            </w:r>
            <w:proofErr w:type="gramStart"/>
            <w:r w:rsidRPr="00D218FC">
              <w:rPr>
                <w:rFonts w:ascii="Calibri" w:eastAsia="Times New Roman" w:hAnsi="Calibri" w:cs="Calibri"/>
                <w:iCs/>
                <w:lang w:val="en-GB"/>
              </w:rPr>
              <w:t>chain  that</w:t>
            </w:r>
            <w:proofErr w:type="gramEnd"/>
            <w:r w:rsidRPr="00D218FC">
              <w:rPr>
                <w:rFonts w:ascii="Calibri" w:eastAsia="Times New Roman" w:hAnsi="Calibri" w:cs="Calibri"/>
                <w:iCs/>
                <w:lang w:val="en-GB"/>
              </w:rPr>
              <w:t xml:space="preserve"> can ensure reliable and predictable supply at all levels of the health systems</w:t>
            </w:r>
          </w:p>
        </w:tc>
        <w:tc>
          <w:tcPr>
            <w:tcW w:w="2009" w:type="dxa"/>
            <w:gridSpan w:val="2"/>
            <w:shd w:val="clear" w:color="auto" w:fill="FFFFFF" w:themeFill="background1"/>
          </w:tcPr>
          <w:p w14:paraId="4EF8541E" w14:textId="2E740B19"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586</w:t>
            </w:r>
            <w:r w:rsidR="00DE5525">
              <w:rPr>
                <w:rFonts w:ascii="Calibri" w:eastAsia="Times New Roman" w:hAnsi="Calibri" w:cs="Calibri"/>
                <w:iCs/>
                <w:lang w:val="en-GB"/>
              </w:rPr>
              <w:t>,</w:t>
            </w:r>
            <w:r w:rsidRPr="00D218FC">
              <w:rPr>
                <w:rFonts w:ascii="Calibri" w:eastAsia="Times New Roman" w:hAnsi="Calibri" w:cs="Calibri"/>
                <w:iCs/>
                <w:lang w:val="en-GB"/>
              </w:rPr>
              <w:t>060</w:t>
            </w:r>
          </w:p>
        </w:tc>
        <w:tc>
          <w:tcPr>
            <w:tcW w:w="1125" w:type="dxa"/>
            <w:gridSpan w:val="2"/>
            <w:shd w:val="clear" w:color="auto" w:fill="FFFFFF" w:themeFill="background1"/>
          </w:tcPr>
          <w:p w14:paraId="27BFDBB1" w14:textId="24DC2855"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20</w:t>
            </w:r>
          </w:p>
        </w:tc>
      </w:tr>
      <w:tr w:rsidR="006F7610" w:rsidRPr="00B65F1C" w14:paraId="753774D2" w14:textId="77777777" w:rsidTr="00F12B71">
        <w:trPr>
          <w:gridAfter w:val="1"/>
          <w:wAfter w:w="27" w:type="dxa"/>
        </w:trPr>
        <w:tc>
          <w:tcPr>
            <w:tcW w:w="5911" w:type="dxa"/>
            <w:gridSpan w:val="2"/>
            <w:shd w:val="clear" w:color="auto" w:fill="E2EFD9" w:themeFill="accent6" w:themeFillTint="33"/>
          </w:tcPr>
          <w:p w14:paraId="5A82929C" w14:textId="6897A817" w:rsidR="006F7610" w:rsidRPr="00A741B9" w:rsidRDefault="006F7610" w:rsidP="00A741B9">
            <w:pPr>
              <w:spacing w:line="300" w:lineRule="exact"/>
              <w:jc w:val="right"/>
              <w:rPr>
                <w:b/>
                <w:lang w:val="en-GB"/>
              </w:rPr>
            </w:pPr>
            <w:r w:rsidRPr="00A741B9">
              <w:rPr>
                <w:b/>
                <w:lang w:val="en-GB"/>
              </w:rPr>
              <w:t>2025</w:t>
            </w:r>
          </w:p>
        </w:tc>
        <w:tc>
          <w:tcPr>
            <w:tcW w:w="2009" w:type="dxa"/>
            <w:gridSpan w:val="2"/>
            <w:shd w:val="clear" w:color="auto" w:fill="E2EFD9" w:themeFill="accent6" w:themeFillTint="33"/>
          </w:tcPr>
          <w:p w14:paraId="55516A7D" w14:textId="60AB12F7" w:rsidR="006F7610" w:rsidRPr="00A741B9" w:rsidRDefault="00DC7FF7" w:rsidP="00A741B9">
            <w:pPr>
              <w:spacing w:line="300" w:lineRule="exact"/>
              <w:jc w:val="right"/>
              <w:rPr>
                <w:b/>
                <w:lang w:val="en-GB"/>
              </w:rPr>
            </w:pPr>
            <w:r w:rsidRPr="00DC7FF7">
              <w:rPr>
                <w:b/>
                <w:lang w:val="en-GB"/>
              </w:rPr>
              <w:t>2,930,300</w:t>
            </w:r>
          </w:p>
        </w:tc>
        <w:tc>
          <w:tcPr>
            <w:tcW w:w="1125" w:type="dxa"/>
            <w:gridSpan w:val="2"/>
            <w:shd w:val="clear" w:color="auto" w:fill="E2EFD9" w:themeFill="accent6" w:themeFillTint="33"/>
          </w:tcPr>
          <w:p w14:paraId="3BE23CD4" w14:textId="4511A711" w:rsidR="006F7610" w:rsidRPr="00A741B9" w:rsidRDefault="00C13D39" w:rsidP="00A741B9">
            <w:pPr>
              <w:spacing w:line="300" w:lineRule="exact"/>
              <w:jc w:val="right"/>
              <w:rPr>
                <w:b/>
                <w:lang w:val="en-GB"/>
              </w:rPr>
            </w:pPr>
            <w:r w:rsidRPr="00A741B9">
              <w:rPr>
                <w:b/>
                <w:lang w:val="en-GB"/>
              </w:rPr>
              <w:t>27.16%</w:t>
            </w:r>
          </w:p>
        </w:tc>
      </w:tr>
      <w:tr w:rsidR="00FF4568" w14:paraId="20E71015" w14:textId="77777777" w:rsidTr="00F12B71">
        <w:trPr>
          <w:gridAfter w:val="1"/>
          <w:wAfter w:w="27" w:type="dxa"/>
        </w:trPr>
        <w:tc>
          <w:tcPr>
            <w:tcW w:w="2127" w:type="dxa"/>
            <w:shd w:val="clear" w:color="auto" w:fill="FFFFFF" w:themeFill="background1"/>
          </w:tcPr>
          <w:p w14:paraId="3BB1D774" w14:textId="530A8CEB"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Service delivery</w:t>
            </w:r>
          </w:p>
        </w:tc>
        <w:tc>
          <w:tcPr>
            <w:tcW w:w="3784" w:type="dxa"/>
            <w:shd w:val="clear" w:color="auto" w:fill="FFFFFF" w:themeFill="background1"/>
          </w:tcPr>
          <w:p w14:paraId="1C5F65A5" w14:textId="408FDA90"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Design and implement strategies that address the </w:t>
            </w:r>
            <w:proofErr w:type="spellStart"/>
            <w:r w:rsidRPr="00D218FC">
              <w:rPr>
                <w:rFonts w:ascii="Calibri" w:eastAsia="Times New Roman" w:hAnsi="Calibri" w:cs="Calibri"/>
                <w:iCs/>
                <w:lang w:val="en-GB"/>
              </w:rPr>
              <w:t>identifed</w:t>
            </w:r>
            <w:proofErr w:type="spellEnd"/>
            <w:r w:rsidRPr="00D218FC">
              <w:rPr>
                <w:rFonts w:ascii="Calibri" w:eastAsia="Times New Roman" w:hAnsi="Calibri" w:cs="Calibri"/>
                <w:iCs/>
                <w:lang w:val="en-GB"/>
              </w:rPr>
              <w:t xml:space="preserve"> barriers to reach zero dose, missed, and under vaccinated populations</w:t>
            </w:r>
          </w:p>
        </w:tc>
        <w:tc>
          <w:tcPr>
            <w:tcW w:w="2009" w:type="dxa"/>
            <w:gridSpan w:val="2"/>
            <w:shd w:val="clear" w:color="auto" w:fill="FFFFFF" w:themeFill="background1"/>
          </w:tcPr>
          <w:p w14:paraId="4601A271" w14:textId="4BC6D6BA"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1,172,120</w:t>
            </w:r>
          </w:p>
        </w:tc>
        <w:tc>
          <w:tcPr>
            <w:tcW w:w="1125" w:type="dxa"/>
            <w:gridSpan w:val="2"/>
            <w:shd w:val="clear" w:color="auto" w:fill="FFFFFF" w:themeFill="background1"/>
          </w:tcPr>
          <w:p w14:paraId="7A324AAC" w14:textId="13E2EB90"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40</w:t>
            </w:r>
          </w:p>
        </w:tc>
      </w:tr>
      <w:tr w:rsidR="00FF4568" w14:paraId="1C39C918" w14:textId="77777777" w:rsidTr="00F12B71">
        <w:trPr>
          <w:gridAfter w:val="1"/>
          <w:wAfter w:w="27" w:type="dxa"/>
        </w:trPr>
        <w:tc>
          <w:tcPr>
            <w:tcW w:w="2127" w:type="dxa"/>
            <w:shd w:val="clear" w:color="auto" w:fill="FFFFFF" w:themeFill="background1"/>
          </w:tcPr>
          <w:p w14:paraId="6B524D7C" w14:textId="0C93A40D"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Health Information Systems and Monitoring &amp; Learning</w:t>
            </w:r>
          </w:p>
        </w:tc>
        <w:tc>
          <w:tcPr>
            <w:tcW w:w="3784" w:type="dxa"/>
            <w:shd w:val="clear" w:color="auto" w:fill="FFFFFF" w:themeFill="background1"/>
          </w:tcPr>
          <w:p w14:paraId="4F738CE6" w14:textId="69C09882"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Enhance data quality and use especially at the sub-national level through integrated data sources and targeted </w:t>
            </w:r>
            <w:proofErr w:type="gramStart"/>
            <w:r w:rsidRPr="00D218FC">
              <w:rPr>
                <w:rFonts w:ascii="Calibri" w:eastAsia="Times New Roman" w:hAnsi="Calibri" w:cs="Calibri"/>
                <w:iCs/>
                <w:lang w:val="en-GB"/>
              </w:rPr>
              <w:t>decision making</w:t>
            </w:r>
            <w:proofErr w:type="gramEnd"/>
            <w:r w:rsidRPr="00D218FC">
              <w:rPr>
                <w:rFonts w:ascii="Calibri" w:eastAsia="Times New Roman" w:hAnsi="Calibri" w:cs="Calibri"/>
                <w:iCs/>
                <w:lang w:val="en-GB"/>
              </w:rPr>
              <w:t xml:space="preserve"> tools</w:t>
            </w:r>
          </w:p>
        </w:tc>
        <w:tc>
          <w:tcPr>
            <w:tcW w:w="2009" w:type="dxa"/>
            <w:gridSpan w:val="2"/>
            <w:shd w:val="clear" w:color="auto" w:fill="FFFFFF" w:themeFill="background1"/>
          </w:tcPr>
          <w:p w14:paraId="1EF14154" w14:textId="7426FD4A"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293,030</w:t>
            </w:r>
          </w:p>
        </w:tc>
        <w:tc>
          <w:tcPr>
            <w:tcW w:w="1125" w:type="dxa"/>
            <w:gridSpan w:val="2"/>
            <w:shd w:val="clear" w:color="auto" w:fill="FFFFFF" w:themeFill="background1"/>
          </w:tcPr>
          <w:p w14:paraId="2863EAF7" w14:textId="03739E8D"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10</w:t>
            </w:r>
          </w:p>
        </w:tc>
      </w:tr>
      <w:tr w:rsidR="00FF4568" w14:paraId="52168EB9" w14:textId="77777777" w:rsidTr="00F12B71">
        <w:trPr>
          <w:gridAfter w:val="1"/>
          <w:wAfter w:w="27" w:type="dxa"/>
        </w:trPr>
        <w:tc>
          <w:tcPr>
            <w:tcW w:w="2127" w:type="dxa"/>
            <w:shd w:val="clear" w:color="auto" w:fill="FFFFFF" w:themeFill="background1"/>
          </w:tcPr>
          <w:p w14:paraId="2193A6C8" w14:textId="170948BD"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Demand Generation and Community Engagement</w:t>
            </w:r>
          </w:p>
        </w:tc>
        <w:tc>
          <w:tcPr>
            <w:tcW w:w="3784" w:type="dxa"/>
            <w:shd w:val="clear" w:color="auto" w:fill="FFFFFF" w:themeFill="background1"/>
          </w:tcPr>
          <w:p w14:paraId="38720C0A" w14:textId="1CA79709"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Expand the community engagement networks in harmonized and </w:t>
            </w:r>
            <w:proofErr w:type="gramStart"/>
            <w:r w:rsidRPr="00D218FC">
              <w:rPr>
                <w:rFonts w:ascii="Calibri" w:eastAsia="Times New Roman" w:hAnsi="Calibri" w:cs="Calibri"/>
                <w:iCs/>
                <w:lang w:val="en-GB"/>
              </w:rPr>
              <w:t>evidence based</w:t>
            </w:r>
            <w:proofErr w:type="gramEnd"/>
            <w:r w:rsidRPr="00D218FC">
              <w:rPr>
                <w:rFonts w:ascii="Calibri" w:eastAsia="Times New Roman" w:hAnsi="Calibri" w:cs="Calibri"/>
                <w:iCs/>
                <w:lang w:val="en-GB"/>
              </w:rPr>
              <w:t xml:space="preserve"> manner</w:t>
            </w:r>
          </w:p>
        </w:tc>
        <w:tc>
          <w:tcPr>
            <w:tcW w:w="2009" w:type="dxa"/>
            <w:gridSpan w:val="2"/>
            <w:shd w:val="clear" w:color="auto" w:fill="FFFFFF" w:themeFill="background1"/>
          </w:tcPr>
          <w:p w14:paraId="0A44BD1E" w14:textId="4EABEB04"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586</w:t>
            </w:r>
            <w:r w:rsidR="00D34A80">
              <w:rPr>
                <w:rFonts w:ascii="Calibri" w:eastAsia="Times New Roman" w:hAnsi="Calibri" w:cs="Calibri"/>
                <w:iCs/>
                <w:lang w:val="en-GB"/>
              </w:rPr>
              <w:t>,</w:t>
            </w:r>
            <w:r w:rsidRPr="00D218FC">
              <w:rPr>
                <w:rFonts w:ascii="Calibri" w:eastAsia="Times New Roman" w:hAnsi="Calibri" w:cs="Calibri"/>
                <w:iCs/>
                <w:lang w:val="en-GB"/>
              </w:rPr>
              <w:t>060</w:t>
            </w:r>
          </w:p>
        </w:tc>
        <w:tc>
          <w:tcPr>
            <w:tcW w:w="1125" w:type="dxa"/>
            <w:gridSpan w:val="2"/>
            <w:shd w:val="clear" w:color="auto" w:fill="FFFFFF" w:themeFill="background1"/>
          </w:tcPr>
          <w:p w14:paraId="0A17E771" w14:textId="05963349"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20</w:t>
            </w:r>
          </w:p>
        </w:tc>
      </w:tr>
      <w:tr w:rsidR="00FF4568" w14:paraId="11D1158E" w14:textId="77777777" w:rsidTr="00F12B71">
        <w:trPr>
          <w:gridAfter w:val="1"/>
          <w:wAfter w:w="27" w:type="dxa"/>
        </w:trPr>
        <w:tc>
          <w:tcPr>
            <w:tcW w:w="2127" w:type="dxa"/>
            <w:shd w:val="clear" w:color="auto" w:fill="FFFFFF" w:themeFill="background1"/>
          </w:tcPr>
          <w:p w14:paraId="5C3E977E" w14:textId="096C7DF7"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Governance, Policy, Strategic Planning, and Programme Management</w:t>
            </w:r>
            <w:r w:rsidR="001E14C4" w:rsidRPr="00D218FC">
              <w:rPr>
                <w:rFonts w:ascii="Calibri" w:eastAsia="Times New Roman" w:hAnsi="Calibri" w:cs="Calibri"/>
                <w:iCs/>
                <w:lang w:val="en-GB"/>
              </w:rPr>
              <w:t xml:space="preserve"> - Programme Coordination and support to EPI</w:t>
            </w:r>
          </w:p>
        </w:tc>
        <w:tc>
          <w:tcPr>
            <w:tcW w:w="3784" w:type="dxa"/>
            <w:shd w:val="clear" w:color="auto" w:fill="FFFFFF" w:themeFill="background1"/>
          </w:tcPr>
          <w:p w14:paraId="684696E9" w14:textId="6459E5A5"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Strengthen program performance monitoring and management at national and subnational levels</w:t>
            </w:r>
          </w:p>
        </w:tc>
        <w:tc>
          <w:tcPr>
            <w:tcW w:w="2009" w:type="dxa"/>
            <w:gridSpan w:val="2"/>
            <w:shd w:val="clear" w:color="auto" w:fill="FFFFFF" w:themeFill="background1"/>
          </w:tcPr>
          <w:p w14:paraId="77185630" w14:textId="45D0D008"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293,030</w:t>
            </w:r>
          </w:p>
        </w:tc>
        <w:tc>
          <w:tcPr>
            <w:tcW w:w="1125" w:type="dxa"/>
            <w:gridSpan w:val="2"/>
            <w:shd w:val="clear" w:color="auto" w:fill="FFFFFF" w:themeFill="background1"/>
          </w:tcPr>
          <w:p w14:paraId="7BAF5EB4" w14:textId="6E3A2380"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10</w:t>
            </w:r>
          </w:p>
        </w:tc>
      </w:tr>
      <w:tr w:rsidR="00FF4568" w14:paraId="17A968A9" w14:textId="77777777" w:rsidTr="00F12B71">
        <w:trPr>
          <w:gridAfter w:val="1"/>
          <w:wAfter w:w="27" w:type="dxa"/>
        </w:trPr>
        <w:tc>
          <w:tcPr>
            <w:tcW w:w="2127" w:type="dxa"/>
            <w:shd w:val="clear" w:color="auto" w:fill="FFFFFF" w:themeFill="background1"/>
          </w:tcPr>
          <w:p w14:paraId="20B60505" w14:textId="387424B5"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Supply chain</w:t>
            </w:r>
          </w:p>
        </w:tc>
        <w:tc>
          <w:tcPr>
            <w:tcW w:w="3784" w:type="dxa"/>
            <w:shd w:val="clear" w:color="auto" w:fill="FFFFFF" w:themeFill="background1"/>
          </w:tcPr>
          <w:p w14:paraId="01EB5F1F" w14:textId="67CBDFAD"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 xml:space="preserve">Design &amp; build a resilient and efficient supply </w:t>
            </w:r>
            <w:proofErr w:type="gramStart"/>
            <w:r w:rsidRPr="00D218FC">
              <w:rPr>
                <w:rFonts w:ascii="Calibri" w:eastAsia="Times New Roman" w:hAnsi="Calibri" w:cs="Calibri"/>
                <w:iCs/>
                <w:lang w:val="en-GB"/>
              </w:rPr>
              <w:t>chain  that</w:t>
            </w:r>
            <w:proofErr w:type="gramEnd"/>
            <w:r w:rsidRPr="00D218FC">
              <w:rPr>
                <w:rFonts w:ascii="Calibri" w:eastAsia="Times New Roman" w:hAnsi="Calibri" w:cs="Calibri"/>
                <w:iCs/>
                <w:lang w:val="en-GB"/>
              </w:rPr>
              <w:t xml:space="preserve"> can ensure reliable and predictable supply at all levels of the health systems</w:t>
            </w:r>
          </w:p>
        </w:tc>
        <w:tc>
          <w:tcPr>
            <w:tcW w:w="2009" w:type="dxa"/>
            <w:gridSpan w:val="2"/>
            <w:shd w:val="clear" w:color="auto" w:fill="FFFFFF" w:themeFill="background1"/>
          </w:tcPr>
          <w:p w14:paraId="3DACD49F" w14:textId="3463CDB9"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586</w:t>
            </w:r>
            <w:r w:rsidR="00D34A80">
              <w:rPr>
                <w:rFonts w:ascii="Calibri" w:eastAsia="Times New Roman" w:hAnsi="Calibri" w:cs="Calibri"/>
                <w:iCs/>
                <w:lang w:val="en-GB"/>
              </w:rPr>
              <w:t>,</w:t>
            </w:r>
            <w:r w:rsidRPr="00D218FC">
              <w:rPr>
                <w:rFonts w:ascii="Calibri" w:eastAsia="Times New Roman" w:hAnsi="Calibri" w:cs="Calibri"/>
                <w:iCs/>
                <w:lang w:val="en-GB"/>
              </w:rPr>
              <w:t>060</w:t>
            </w:r>
          </w:p>
        </w:tc>
        <w:tc>
          <w:tcPr>
            <w:tcW w:w="1125" w:type="dxa"/>
            <w:gridSpan w:val="2"/>
            <w:shd w:val="clear" w:color="auto" w:fill="FFFFFF" w:themeFill="background1"/>
          </w:tcPr>
          <w:p w14:paraId="2A659F9F" w14:textId="4770D73E" w:rsidR="006F7610" w:rsidRPr="00D218FC" w:rsidRDefault="006F7610" w:rsidP="00D218FC">
            <w:pPr>
              <w:shd w:val="clear" w:color="auto" w:fill="FFFFFF"/>
              <w:spacing w:line="240" w:lineRule="auto"/>
              <w:rPr>
                <w:rFonts w:ascii="Calibri" w:eastAsia="Times New Roman" w:hAnsi="Calibri" w:cs="Calibri"/>
                <w:iCs/>
                <w:lang w:val="en-GB"/>
              </w:rPr>
            </w:pPr>
            <w:r w:rsidRPr="00D218FC">
              <w:rPr>
                <w:rFonts w:ascii="Calibri" w:eastAsia="Times New Roman" w:hAnsi="Calibri" w:cs="Calibri"/>
                <w:iCs/>
                <w:lang w:val="en-GB"/>
              </w:rPr>
              <w:t>20</w:t>
            </w:r>
          </w:p>
        </w:tc>
      </w:tr>
    </w:tbl>
    <w:p w14:paraId="1E63AEC3" w14:textId="0F68AF70" w:rsidR="39EA2426" w:rsidRDefault="39EA2426" w:rsidP="39EA2426"/>
    <w:p w14:paraId="22BB003D" w14:textId="160DB7C8" w:rsidR="39EA2426" w:rsidRDefault="39EA2426" w:rsidP="39EA2426"/>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372D1F" w14:paraId="42B6E5C8" w14:textId="77777777" w:rsidTr="0286FA84">
        <w:tc>
          <w:tcPr>
            <w:tcW w:w="9192" w:type="dxa"/>
            <w:tcBorders>
              <w:bottom w:val="single" w:sz="4" w:space="0" w:color="auto"/>
            </w:tcBorders>
            <w:shd w:val="clear" w:color="auto" w:fill="F2F2F2" w:themeFill="background1" w:themeFillShade="F2"/>
          </w:tcPr>
          <w:p w14:paraId="5594A626" w14:textId="06689130" w:rsidR="00372D1F" w:rsidRPr="00B614D7" w:rsidRDefault="00372D1F" w:rsidP="00372D1F">
            <w:pPr>
              <w:spacing w:line="300" w:lineRule="exact"/>
              <w:rPr>
                <w:b/>
                <w:bCs/>
                <w:i/>
                <w:iCs/>
                <w:sz w:val="20"/>
                <w:szCs w:val="20"/>
              </w:rPr>
            </w:pPr>
            <w:r>
              <w:rPr>
                <w:b/>
                <w:bCs/>
                <w:i/>
                <w:iCs/>
                <w:sz w:val="20"/>
                <w:szCs w:val="20"/>
              </w:rPr>
              <w:t xml:space="preserve">2.1 </w:t>
            </w:r>
            <w:r w:rsidRPr="00B614D7">
              <w:rPr>
                <w:b/>
                <w:bCs/>
                <w:i/>
                <w:iCs/>
                <w:sz w:val="20"/>
                <w:szCs w:val="20"/>
              </w:rPr>
              <w:t>Please reflect and describe your immunisation system</w:t>
            </w:r>
            <w:r w:rsidR="008447E6">
              <w:rPr>
                <w:b/>
                <w:bCs/>
                <w:i/>
                <w:iCs/>
                <w:sz w:val="20"/>
                <w:szCs w:val="20"/>
              </w:rPr>
              <w:t>'</w:t>
            </w:r>
            <w:r w:rsidRPr="00B614D7">
              <w:rPr>
                <w:b/>
                <w:bCs/>
                <w:i/>
                <w:iCs/>
                <w:sz w:val="20"/>
                <w:szCs w:val="20"/>
              </w:rPr>
              <w:t>s current TA needs</w:t>
            </w:r>
            <w:r>
              <w:rPr>
                <w:b/>
                <w:bCs/>
                <w:i/>
                <w:iCs/>
                <w:sz w:val="20"/>
                <w:szCs w:val="20"/>
              </w:rPr>
              <w:t xml:space="preserve"> as they are</w:t>
            </w:r>
            <w:r w:rsidRPr="00B614D7">
              <w:rPr>
                <w:b/>
                <w:bCs/>
                <w:i/>
                <w:iCs/>
                <w:sz w:val="20"/>
                <w:szCs w:val="20"/>
              </w:rPr>
              <w:t xml:space="preserve"> aligned with investments made by Government, Gavi and bilateral/multilateral donors. Your answers shall provide the context of and rationale for </w:t>
            </w:r>
            <w:r w:rsidR="0076309A">
              <w:rPr>
                <w:b/>
                <w:bCs/>
                <w:i/>
                <w:iCs/>
                <w:sz w:val="20"/>
                <w:szCs w:val="20"/>
              </w:rPr>
              <w:t>the requeste</w:t>
            </w:r>
            <w:r w:rsidR="007203BA">
              <w:rPr>
                <w:b/>
                <w:bCs/>
                <w:i/>
                <w:iCs/>
                <w:sz w:val="20"/>
                <w:szCs w:val="20"/>
              </w:rPr>
              <w:t>d TCA support from Gavi.</w:t>
            </w:r>
            <w:r w:rsidRPr="00B614D7">
              <w:rPr>
                <w:b/>
                <w:bCs/>
                <w:sz w:val="20"/>
                <w:szCs w:val="20"/>
              </w:rPr>
              <w:t xml:space="preserve"> </w:t>
            </w:r>
            <w:r w:rsidRPr="00B614D7">
              <w:rPr>
                <w:b/>
                <w:bCs/>
                <w:i/>
                <w:iCs/>
                <w:sz w:val="20"/>
                <w:szCs w:val="20"/>
              </w:rPr>
              <w:t xml:space="preserve">Please explicitly note the duration of </w:t>
            </w:r>
            <w:r w:rsidR="007203BA">
              <w:rPr>
                <w:b/>
                <w:bCs/>
                <w:i/>
                <w:iCs/>
                <w:sz w:val="20"/>
                <w:szCs w:val="20"/>
              </w:rPr>
              <w:t>the requested support</w:t>
            </w:r>
            <w:r w:rsidRPr="00B614D7">
              <w:rPr>
                <w:b/>
                <w:bCs/>
                <w:i/>
                <w:iCs/>
                <w:sz w:val="20"/>
                <w:szCs w:val="20"/>
              </w:rPr>
              <w:t>.</w:t>
            </w:r>
          </w:p>
        </w:tc>
      </w:tr>
      <w:tr w:rsidR="00372D1F" w14:paraId="19BE42B7" w14:textId="77777777" w:rsidTr="0286FA84">
        <w:tc>
          <w:tcPr>
            <w:tcW w:w="9192" w:type="dxa"/>
            <w:tcBorders>
              <w:top w:val="single" w:sz="4" w:space="0" w:color="auto"/>
              <w:left w:val="single" w:sz="4" w:space="0" w:color="auto"/>
              <w:bottom w:val="single" w:sz="4" w:space="0" w:color="auto"/>
              <w:right w:val="single" w:sz="4" w:space="0" w:color="auto"/>
            </w:tcBorders>
          </w:tcPr>
          <w:p w14:paraId="332D3B26" w14:textId="77777777" w:rsidR="00D346E8" w:rsidRPr="00B04B3C" w:rsidRDefault="00D346E8" w:rsidP="00D346E8">
            <w:pPr>
              <w:spacing w:line="240" w:lineRule="auto"/>
              <w:rPr>
                <w:rFonts w:ascii="Calibri" w:eastAsia="Times New Roman" w:hAnsi="Calibri" w:cs="Calibri"/>
                <w:iCs/>
                <w:color w:val="FF0000"/>
                <w:lang w:val="en-GB"/>
              </w:rPr>
            </w:pPr>
            <w:r w:rsidRPr="00B04B3C">
              <w:rPr>
                <w:rFonts w:ascii="Calibri" w:eastAsia="Times New Roman" w:hAnsi="Calibri" w:cs="Calibri"/>
                <w:iCs/>
                <w:color w:val="FF0000"/>
                <w:lang w:val="en-GB"/>
              </w:rPr>
              <w:t>Inadequate coordination of EPI services especially at subnational levels</w:t>
            </w:r>
          </w:p>
          <w:p w14:paraId="47DBBF2B" w14:textId="420E0DA4" w:rsidR="00D346E8" w:rsidRDefault="00D346E8" w:rsidP="00D346E8">
            <w:pPr>
              <w:spacing w:line="240" w:lineRule="auto"/>
              <w:rPr>
                <w:rFonts w:ascii="Calibri" w:eastAsia="Times New Roman" w:hAnsi="Calibri" w:cs="Calibri"/>
                <w:iCs/>
                <w:lang w:val="en-GB"/>
              </w:rPr>
            </w:pPr>
            <w:r>
              <w:rPr>
                <w:rFonts w:ascii="Calibri" w:eastAsia="Times New Roman" w:hAnsi="Calibri" w:cs="Calibri"/>
                <w:iCs/>
                <w:lang w:val="en-GB"/>
              </w:rPr>
              <w:t>Technical assistance embedded in the DG PHC to coordinate the CSOs contracted by the two fund managers i.e., Health Pool Fund and World Bank-UNICEF, liaising with the directorate of international development in the MOH, periodic mapping of other partners and donors supporting EPI at all levels with a special focus on subnational levels</w:t>
            </w:r>
            <w:r w:rsidR="00566538">
              <w:rPr>
                <w:rFonts w:ascii="Calibri" w:eastAsia="Times New Roman" w:hAnsi="Calibri" w:cs="Calibri"/>
                <w:iCs/>
                <w:lang w:val="en-GB"/>
              </w:rPr>
              <w:t>. Embedded TA to mentor/on-the-</w:t>
            </w:r>
            <w:r>
              <w:rPr>
                <w:rFonts w:ascii="Calibri" w:eastAsia="Times New Roman" w:hAnsi="Calibri" w:cs="Calibri"/>
                <w:iCs/>
                <w:lang w:val="en-GB"/>
              </w:rPr>
              <w:t xml:space="preserve">job training of the national and state EPI focal points/managers on strategic planning, coordination, and monitoring </w:t>
            </w:r>
            <w:r w:rsidR="00566538">
              <w:rPr>
                <w:rFonts w:ascii="Calibri" w:eastAsia="Times New Roman" w:hAnsi="Calibri" w:cs="Calibri"/>
                <w:iCs/>
                <w:lang w:val="en-GB"/>
              </w:rPr>
              <w:t xml:space="preserve">of </w:t>
            </w:r>
            <w:r>
              <w:rPr>
                <w:rFonts w:ascii="Calibri" w:eastAsia="Times New Roman" w:hAnsi="Calibri" w:cs="Calibri"/>
                <w:iCs/>
                <w:lang w:val="en-GB"/>
              </w:rPr>
              <w:t xml:space="preserve">the implementation of EPI activities. </w:t>
            </w:r>
            <w:r w:rsidR="003C450D">
              <w:rPr>
                <w:rFonts w:ascii="Calibri" w:eastAsia="Times New Roman" w:hAnsi="Calibri" w:cs="Calibri"/>
                <w:iCs/>
                <w:lang w:val="en-GB"/>
              </w:rPr>
              <w:t xml:space="preserve"> </w:t>
            </w:r>
          </w:p>
          <w:p w14:paraId="69D80B6D" w14:textId="73D80C45" w:rsidR="00D346E8" w:rsidRPr="00B04B3C" w:rsidRDefault="00D346E8" w:rsidP="00D346E8">
            <w:pPr>
              <w:spacing w:line="240" w:lineRule="auto"/>
              <w:rPr>
                <w:rFonts w:ascii="Calibri" w:eastAsia="Times New Roman" w:hAnsi="Calibri" w:cs="Calibri"/>
                <w:color w:val="FF0000"/>
                <w:lang w:val="en-GB"/>
              </w:rPr>
            </w:pPr>
            <w:r w:rsidRPr="00B04B3C">
              <w:rPr>
                <w:rFonts w:ascii="Calibri" w:eastAsia="Times New Roman" w:hAnsi="Calibri" w:cs="Calibri"/>
                <w:color w:val="FF0000"/>
                <w:lang w:val="en-GB"/>
              </w:rPr>
              <w:t xml:space="preserve">Inadequate </w:t>
            </w:r>
            <w:r>
              <w:rPr>
                <w:rFonts w:ascii="Calibri" w:eastAsia="Times New Roman" w:hAnsi="Calibri" w:cs="Calibri"/>
                <w:color w:val="FF0000"/>
                <w:lang w:val="en-GB"/>
              </w:rPr>
              <w:t>mapping and reach</w:t>
            </w:r>
            <w:r w:rsidRPr="00B04B3C">
              <w:rPr>
                <w:rFonts w:ascii="Calibri" w:eastAsia="Times New Roman" w:hAnsi="Calibri" w:cs="Calibri"/>
                <w:color w:val="FF0000"/>
                <w:lang w:val="en-GB"/>
              </w:rPr>
              <w:t xml:space="preserve"> of </w:t>
            </w:r>
            <w:r w:rsidR="00A741B9">
              <w:rPr>
                <w:rFonts w:ascii="Calibri" w:eastAsia="Times New Roman" w:hAnsi="Calibri" w:cs="Calibri"/>
                <w:color w:val="FF0000"/>
                <w:lang w:val="en-GB"/>
              </w:rPr>
              <w:t xml:space="preserve">zero dose children and missed populations </w:t>
            </w:r>
          </w:p>
          <w:p w14:paraId="203B404F" w14:textId="1D87CBB4" w:rsidR="00D346E8" w:rsidRDefault="00D346E8" w:rsidP="00D346E8">
            <w:pPr>
              <w:spacing w:line="240" w:lineRule="auto"/>
              <w:rPr>
                <w:rFonts w:ascii="Calibri" w:eastAsia="Times New Roman" w:hAnsi="Calibri" w:cs="Calibri"/>
                <w:iCs/>
                <w:lang w:val="en-GB"/>
              </w:rPr>
            </w:pPr>
            <w:r>
              <w:rPr>
                <w:rFonts w:ascii="Calibri" w:eastAsia="Times New Roman" w:hAnsi="Calibri" w:cs="Calibri"/>
                <w:iCs/>
                <w:lang w:val="en-GB"/>
              </w:rPr>
              <w:t>The technical assistance will support the subnational MOH to use data and other available evidence to identify the areas with large numbers of zero dose children and missed populations and assist with micro</w:t>
            </w:r>
            <w:r w:rsidR="00566538">
              <w:rPr>
                <w:rFonts w:ascii="Calibri" w:eastAsia="Times New Roman" w:hAnsi="Calibri" w:cs="Calibri"/>
                <w:iCs/>
                <w:lang w:val="en-GB"/>
              </w:rPr>
              <w:t xml:space="preserve"> </w:t>
            </w:r>
            <w:r>
              <w:rPr>
                <w:rFonts w:ascii="Calibri" w:eastAsia="Times New Roman" w:hAnsi="Calibri" w:cs="Calibri"/>
                <w:iCs/>
                <w:lang w:val="en-GB"/>
              </w:rPr>
              <w:t xml:space="preserve">planning to reach the populations. Local partners with comparative advantage working with the disadvantaged populations will be engaged either directly or as </w:t>
            </w:r>
            <w:r w:rsidR="00566538">
              <w:rPr>
                <w:rFonts w:ascii="Calibri" w:eastAsia="Times New Roman" w:hAnsi="Calibri" w:cs="Calibri"/>
                <w:iCs/>
                <w:lang w:val="en-GB"/>
              </w:rPr>
              <w:t xml:space="preserve">a </w:t>
            </w:r>
            <w:r>
              <w:rPr>
                <w:rFonts w:ascii="Calibri" w:eastAsia="Times New Roman" w:hAnsi="Calibri" w:cs="Calibri"/>
                <w:iCs/>
                <w:lang w:val="en-GB"/>
              </w:rPr>
              <w:t>sub</w:t>
            </w:r>
            <w:r w:rsidR="00566538">
              <w:rPr>
                <w:rFonts w:ascii="Calibri" w:eastAsia="Times New Roman" w:hAnsi="Calibri" w:cs="Calibri"/>
                <w:iCs/>
                <w:lang w:val="en-GB"/>
              </w:rPr>
              <w:t>-</w:t>
            </w:r>
            <w:r>
              <w:rPr>
                <w:rFonts w:ascii="Calibri" w:eastAsia="Times New Roman" w:hAnsi="Calibri" w:cs="Calibri"/>
                <w:iCs/>
                <w:lang w:val="en-GB"/>
              </w:rPr>
              <w:t xml:space="preserve">contractor. The special populations to be targeted </w:t>
            </w:r>
            <w:proofErr w:type="gramStart"/>
            <w:r>
              <w:rPr>
                <w:rFonts w:ascii="Calibri" w:eastAsia="Times New Roman" w:hAnsi="Calibri" w:cs="Calibri"/>
                <w:iCs/>
                <w:lang w:val="en-GB"/>
              </w:rPr>
              <w:t>include;</w:t>
            </w:r>
            <w:proofErr w:type="gramEnd"/>
            <w:r>
              <w:rPr>
                <w:rFonts w:ascii="Calibri" w:eastAsia="Times New Roman" w:hAnsi="Calibri" w:cs="Calibri"/>
                <w:iCs/>
                <w:lang w:val="en-GB"/>
              </w:rPr>
              <w:t xml:space="preserve"> </w:t>
            </w:r>
            <w:r w:rsidR="00566538">
              <w:rPr>
                <w:rFonts w:ascii="Calibri" w:eastAsia="Times New Roman" w:hAnsi="Calibri" w:cs="Calibri"/>
                <w:iCs/>
                <w:lang w:val="en-GB"/>
              </w:rPr>
              <w:t xml:space="preserve">the </w:t>
            </w:r>
            <w:r>
              <w:rPr>
                <w:rFonts w:ascii="Calibri" w:eastAsia="Times New Roman" w:hAnsi="Calibri" w:cs="Calibri"/>
                <w:iCs/>
                <w:lang w:val="en-GB"/>
              </w:rPr>
              <w:t xml:space="preserve">urban poor, fishing population, nomadic population, IDPs and refugees, mountainous populations, and cross border populations.  The roles will </w:t>
            </w:r>
            <w:proofErr w:type="gramStart"/>
            <w:r>
              <w:rPr>
                <w:rFonts w:ascii="Calibri" w:eastAsia="Times New Roman" w:hAnsi="Calibri" w:cs="Calibri"/>
                <w:iCs/>
                <w:lang w:val="en-GB"/>
              </w:rPr>
              <w:t>include;</w:t>
            </w:r>
            <w:proofErr w:type="gramEnd"/>
            <w:r>
              <w:rPr>
                <w:rFonts w:ascii="Calibri" w:eastAsia="Times New Roman" w:hAnsi="Calibri" w:cs="Calibri"/>
                <w:iCs/>
                <w:lang w:val="en-GB"/>
              </w:rPr>
              <w:t xml:space="preserve"> supporting the counties to identify the missed populations and zero dose children, in consultation </w:t>
            </w:r>
            <w:r>
              <w:rPr>
                <w:rFonts w:ascii="Calibri" w:eastAsia="Times New Roman" w:hAnsi="Calibri" w:cs="Calibri"/>
                <w:iCs/>
                <w:lang w:val="en-GB"/>
              </w:rPr>
              <w:lastRenderedPageBreak/>
              <w:t>with the community, assist</w:t>
            </w:r>
            <w:r w:rsidR="00566538">
              <w:rPr>
                <w:rFonts w:ascii="Calibri" w:eastAsia="Times New Roman" w:hAnsi="Calibri" w:cs="Calibri"/>
                <w:iCs/>
                <w:lang w:val="en-GB"/>
              </w:rPr>
              <w:t>ing</w:t>
            </w:r>
            <w:r>
              <w:rPr>
                <w:rFonts w:ascii="Calibri" w:eastAsia="Times New Roman" w:hAnsi="Calibri" w:cs="Calibri"/>
                <w:iCs/>
                <w:lang w:val="en-GB"/>
              </w:rPr>
              <w:t xml:space="preserve"> the facilities to develop micro plans, </w:t>
            </w:r>
            <w:r w:rsidR="00A741B9">
              <w:rPr>
                <w:rFonts w:ascii="Calibri" w:eastAsia="Times New Roman" w:hAnsi="Calibri" w:cs="Calibri"/>
                <w:iCs/>
                <w:lang w:val="en-GB"/>
              </w:rPr>
              <w:t>help counties to tailor REACH s</w:t>
            </w:r>
            <w:r w:rsidR="008809E1">
              <w:rPr>
                <w:rFonts w:ascii="Calibri" w:eastAsia="Times New Roman" w:hAnsi="Calibri" w:cs="Calibri"/>
                <w:iCs/>
                <w:lang w:val="en-GB"/>
              </w:rPr>
              <w:t>tra</w:t>
            </w:r>
            <w:r w:rsidR="00A741B9">
              <w:rPr>
                <w:rFonts w:ascii="Calibri" w:eastAsia="Times New Roman" w:hAnsi="Calibri" w:cs="Calibri"/>
                <w:iCs/>
                <w:lang w:val="en-GB"/>
              </w:rPr>
              <w:t xml:space="preserve">tegies, </w:t>
            </w:r>
            <w:r>
              <w:rPr>
                <w:rFonts w:ascii="Calibri" w:eastAsia="Times New Roman" w:hAnsi="Calibri" w:cs="Calibri"/>
                <w:iCs/>
                <w:lang w:val="en-GB"/>
              </w:rPr>
              <w:t>monitor</w:t>
            </w:r>
            <w:r w:rsidR="00566538">
              <w:rPr>
                <w:rFonts w:ascii="Calibri" w:eastAsia="Times New Roman" w:hAnsi="Calibri" w:cs="Calibri"/>
                <w:iCs/>
                <w:lang w:val="en-GB"/>
              </w:rPr>
              <w:t>ing</w:t>
            </w:r>
            <w:r>
              <w:rPr>
                <w:rFonts w:ascii="Calibri" w:eastAsia="Times New Roman" w:hAnsi="Calibri" w:cs="Calibri"/>
                <w:iCs/>
                <w:lang w:val="en-GB"/>
              </w:rPr>
              <w:t xml:space="preserve"> the implementation</w:t>
            </w:r>
            <w:r w:rsidR="008809E1">
              <w:rPr>
                <w:rFonts w:ascii="Calibri" w:eastAsia="Times New Roman" w:hAnsi="Calibri" w:cs="Calibri"/>
                <w:iCs/>
                <w:lang w:val="en-GB"/>
              </w:rPr>
              <w:t xml:space="preserve"> and impact</w:t>
            </w:r>
            <w:r>
              <w:rPr>
                <w:rFonts w:ascii="Calibri" w:eastAsia="Times New Roman" w:hAnsi="Calibri" w:cs="Calibri"/>
                <w:iCs/>
                <w:lang w:val="en-GB"/>
              </w:rPr>
              <w:t xml:space="preserve"> of the </w:t>
            </w:r>
            <w:r w:rsidR="00A741B9">
              <w:rPr>
                <w:rFonts w:ascii="Calibri" w:eastAsia="Times New Roman" w:hAnsi="Calibri" w:cs="Calibri"/>
                <w:iCs/>
                <w:lang w:val="en-GB"/>
              </w:rPr>
              <w:t xml:space="preserve">REACH activities in the </w:t>
            </w:r>
            <w:r>
              <w:rPr>
                <w:rFonts w:ascii="Calibri" w:eastAsia="Times New Roman" w:hAnsi="Calibri" w:cs="Calibri"/>
                <w:iCs/>
                <w:lang w:val="en-GB"/>
              </w:rPr>
              <w:t>micro plans, and report</w:t>
            </w:r>
            <w:r w:rsidR="00566538">
              <w:rPr>
                <w:rFonts w:ascii="Calibri" w:eastAsia="Times New Roman" w:hAnsi="Calibri" w:cs="Calibri"/>
                <w:iCs/>
                <w:lang w:val="en-GB"/>
              </w:rPr>
              <w:t>ing</w:t>
            </w:r>
            <w:r>
              <w:rPr>
                <w:rFonts w:ascii="Calibri" w:eastAsia="Times New Roman" w:hAnsi="Calibri" w:cs="Calibri"/>
                <w:iCs/>
                <w:lang w:val="en-GB"/>
              </w:rPr>
              <w:t xml:space="preserve"> on progress.   </w:t>
            </w:r>
          </w:p>
          <w:p w14:paraId="5AAFC6AD" w14:textId="77777777" w:rsidR="00D346E8" w:rsidRPr="003F3C11" w:rsidRDefault="00D346E8" w:rsidP="00D346E8">
            <w:pPr>
              <w:spacing w:line="240" w:lineRule="auto"/>
              <w:rPr>
                <w:rFonts w:ascii="Calibri" w:eastAsia="Times New Roman" w:hAnsi="Calibri" w:cs="Calibri"/>
                <w:iCs/>
                <w:color w:val="FF0000"/>
                <w:lang w:val="en-GB"/>
              </w:rPr>
            </w:pPr>
            <w:r w:rsidRPr="003F3C11">
              <w:rPr>
                <w:rFonts w:ascii="Calibri" w:eastAsia="Times New Roman" w:hAnsi="Calibri" w:cs="Calibri"/>
                <w:iCs/>
                <w:color w:val="FF0000"/>
                <w:lang w:val="en-GB"/>
              </w:rPr>
              <w:t>Inadequate vaccine visibility at state, county, and health facility levels</w:t>
            </w:r>
          </w:p>
          <w:p w14:paraId="2465B92F" w14:textId="3346056B" w:rsidR="00D346E8" w:rsidRDefault="00D346E8" w:rsidP="00D346E8">
            <w:pPr>
              <w:spacing w:line="240" w:lineRule="auto"/>
              <w:rPr>
                <w:rFonts w:ascii="Calibri" w:eastAsia="Times New Roman" w:hAnsi="Calibri" w:cs="Calibri"/>
                <w:iCs/>
                <w:lang w:val="en-GB"/>
              </w:rPr>
            </w:pPr>
            <w:r>
              <w:rPr>
                <w:rFonts w:ascii="Calibri" w:eastAsia="Times New Roman" w:hAnsi="Calibri" w:cs="Calibri"/>
                <w:iCs/>
                <w:lang w:val="en-GB"/>
              </w:rPr>
              <w:t>Develop and oversee the implementation of a supply chain strateg</w:t>
            </w:r>
            <w:r w:rsidR="00566538">
              <w:rPr>
                <w:rFonts w:ascii="Calibri" w:eastAsia="Times New Roman" w:hAnsi="Calibri" w:cs="Calibri"/>
                <w:iCs/>
                <w:lang w:val="en-GB"/>
              </w:rPr>
              <w:t>y that reflects the context of S</w:t>
            </w:r>
            <w:r>
              <w:rPr>
                <w:rFonts w:ascii="Calibri" w:eastAsia="Times New Roman" w:hAnsi="Calibri" w:cs="Calibri"/>
                <w:iCs/>
                <w:lang w:val="en-GB"/>
              </w:rPr>
              <w:t>outh Sudan. Adapt and make the commodity module in the DHIS 2 interoperable with the SMT. Reinvigorate the</w:t>
            </w:r>
            <w:r w:rsidR="00566538">
              <w:rPr>
                <w:rFonts w:ascii="Calibri" w:eastAsia="Times New Roman" w:hAnsi="Calibri" w:cs="Calibri"/>
                <w:iCs/>
                <w:lang w:val="en-GB"/>
              </w:rPr>
              <w:t xml:space="preserve"> integrated supply chain (</w:t>
            </w:r>
            <w:proofErr w:type="spellStart"/>
            <w:r>
              <w:rPr>
                <w:rFonts w:ascii="Calibri" w:eastAsia="Times New Roman" w:hAnsi="Calibri" w:cs="Calibri"/>
                <w:iCs/>
                <w:lang w:val="en-GB"/>
              </w:rPr>
              <w:t>iSC</w:t>
            </w:r>
            <w:proofErr w:type="spellEnd"/>
            <w:r w:rsidR="00566538">
              <w:rPr>
                <w:rFonts w:ascii="Calibri" w:eastAsia="Times New Roman" w:hAnsi="Calibri" w:cs="Calibri"/>
                <w:iCs/>
                <w:lang w:val="en-GB"/>
              </w:rPr>
              <w:t>)</w:t>
            </w:r>
            <w:r>
              <w:rPr>
                <w:rFonts w:ascii="Calibri" w:eastAsia="Times New Roman" w:hAnsi="Calibri" w:cs="Calibri"/>
                <w:iCs/>
                <w:lang w:val="en-GB"/>
              </w:rPr>
              <w:t xml:space="preserve"> technical working groups at all levels and develop a simple tool for collecting information and maintaining data on </w:t>
            </w:r>
            <w:r w:rsidR="00566538">
              <w:rPr>
                <w:rFonts w:ascii="Calibri" w:eastAsia="Times New Roman" w:hAnsi="Calibri" w:cs="Calibri"/>
                <w:iCs/>
                <w:lang w:val="en-GB"/>
              </w:rPr>
              <w:t xml:space="preserve">the </w:t>
            </w:r>
            <w:r>
              <w:rPr>
                <w:rFonts w:ascii="Calibri" w:eastAsia="Times New Roman" w:hAnsi="Calibri" w:cs="Calibri"/>
                <w:iCs/>
                <w:lang w:val="en-GB"/>
              </w:rPr>
              <w:t xml:space="preserve">availability and functionality of cold chain equipment. The consultant will work closely with the MOH </w:t>
            </w:r>
            <w:proofErr w:type="spellStart"/>
            <w:r>
              <w:rPr>
                <w:rFonts w:ascii="Calibri" w:eastAsia="Times New Roman" w:hAnsi="Calibri" w:cs="Calibri"/>
                <w:iCs/>
                <w:lang w:val="en-GB"/>
              </w:rPr>
              <w:t>iSC</w:t>
            </w:r>
            <w:proofErr w:type="spellEnd"/>
            <w:r>
              <w:rPr>
                <w:rFonts w:ascii="Calibri" w:eastAsia="Times New Roman" w:hAnsi="Calibri" w:cs="Calibri"/>
                <w:iCs/>
                <w:lang w:val="en-GB"/>
              </w:rPr>
              <w:t xml:space="preserve"> manager to be hired to ensure knowledge and skills transfer in 3 years. </w:t>
            </w:r>
          </w:p>
          <w:p w14:paraId="6D7E0DD9" w14:textId="425B99A5" w:rsidR="00D346E8" w:rsidRDefault="00D346E8" w:rsidP="00D346E8">
            <w:pPr>
              <w:spacing w:line="240" w:lineRule="auto"/>
              <w:rPr>
                <w:rFonts w:ascii="Calibri" w:eastAsia="Times New Roman" w:hAnsi="Calibri" w:cs="Calibri"/>
                <w:iCs/>
                <w:lang w:val="en-GB"/>
              </w:rPr>
            </w:pPr>
            <w:r>
              <w:rPr>
                <w:rFonts w:ascii="Calibri" w:eastAsia="Times New Roman" w:hAnsi="Calibri" w:cs="Calibri"/>
                <w:iCs/>
                <w:lang w:val="en-GB"/>
              </w:rPr>
              <w:t xml:space="preserve">Gavi and the government of South Sudan are co-financing the procurement of Penta and IPV. UNICEF and her donors are procuring the </w:t>
            </w:r>
            <w:r w:rsidR="008809E1">
              <w:rPr>
                <w:rFonts w:ascii="Calibri" w:eastAsia="Times New Roman" w:hAnsi="Calibri" w:cs="Calibri"/>
                <w:iCs/>
                <w:lang w:val="en-GB"/>
              </w:rPr>
              <w:t xml:space="preserve">BCG, Td, OPV, and measles </w:t>
            </w:r>
            <w:r>
              <w:rPr>
                <w:rFonts w:ascii="Calibri" w:eastAsia="Times New Roman" w:hAnsi="Calibri" w:cs="Calibri"/>
                <w:iCs/>
                <w:lang w:val="en-GB"/>
              </w:rPr>
              <w:t xml:space="preserve">vaccines in the maternal and child immunization schedule. </w:t>
            </w:r>
          </w:p>
          <w:p w14:paraId="17E62C81" w14:textId="7EA5F6B9" w:rsidR="00D346E8" w:rsidRDefault="00D346E8" w:rsidP="00D346E8">
            <w:pPr>
              <w:spacing w:line="240" w:lineRule="auto"/>
              <w:rPr>
                <w:rFonts w:ascii="Calibri" w:eastAsia="Times New Roman" w:hAnsi="Calibri" w:cs="Calibri"/>
                <w:iCs/>
                <w:lang w:val="en-GB"/>
              </w:rPr>
            </w:pPr>
            <w:r>
              <w:rPr>
                <w:rFonts w:ascii="Calibri" w:eastAsia="Times New Roman" w:hAnsi="Calibri" w:cs="Calibri"/>
                <w:iCs/>
                <w:lang w:val="en-GB"/>
              </w:rPr>
              <w:t xml:space="preserve">Problem statement and justification for the </w:t>
            </w:r>
            <w:proofErr w:type="gramStart"/>
            <w:r>
              <w:rPr>
                <w:rFonts w:ascii="Calibri" w:eastAsia="Times New Roman" w:hAnsi="Calibri" w:cs="Calibri"/>
                <w:iCs/>
                <w:lang w:val="en-GB"/>
              </w:rPr>
              <w:t>Technical</w:t>
            </w:r>
            <w:proofErr w:type="gramEnd"/>
            <w:r>
              <w:rPr>
                <w:rFonts w:ascii="Calibri" w:eastAsia="Times New Roman" w:hAnsi="Calibri" w:cs="Calibri"/>
                <w:iCs/>
                <w:lang w:val="en-GB"/>
              </w:rPr>
              <w:t xml:space="preserve"> assistance: Vaccines are expensive commodities that need close monitoring. Avoidable wastage should be minimised while overstocking and stock out should be avoided through proper forecasting and planning.  </w:t>
            </w:r>
            <w:r w:rsidRPr="00007534">
              <w:rPr>
                <w:rFonts w:ascii="Calibri" w:eastAsia="Times New Roman" w:hAnsi="Calibri" w:cs="Calibri"/>
                <w:iCs/>
                <w:lang w:val="en-GB"/>
              </w:rPr>
              <w:t>The monitoring of stock levels at the national level is done manually and electronically</w:t>
            </w:r>
            <w:r>
              <w:rPr>
                <w:rFonts w:ascii="Calibri" w:eastAsia="Times New Roman" w:hAnsi="Calibri" w:cs="Calibri"/>
                <w:iCs/>
                <w:lang w:val="en-GB"/>
              </w:rPr>
              <w:t xml:space="preserve"> </w:t>
            </w:r>
            <w:r w:rsidRPr="00007534">
              <w:rPr>
                <w:rFonts w:ascii="Calibri" w:eastAsia="Times New Roman" w:hAnsi="Calibri" w:cs="Calibri"/>
                <w:iCs/>
                <w:lang w:val="en-GB"/>
              </w:rPr>
              <w:t xml:space="preserve">using the </w:t>
            </w:r>
            <w:r>
              <w:rPr>
                <w:rFonts w:ascii="Calibri" w:eastAsia="Times New Roman" w:hAnsi="Calibri" w:cs="Calibri"/>
                <w:iCs/>
                <w:lang w:val="en-GB"/>
              </w:rPr>
              <w:t>a</w:t>
            </w:r>
            <w:r w:rsidRPr="00007534">
              <w:rPr>
                <w:rFonts w:ascii="Calibri" w:eastAsia="Times New Roman" w:hAnsi="Calibri" w:cs="Calibri"/>
                <w:iCs/>
                <w:lang w:val="en-GB"/>
              </w:rPr>
              <w:t xml:space="preserve">utomated stock management tool (SMT) and VIVA tool. The SMT </w:t>
            </w:r>
            <w:r>
              <w:rPr>
                <w:rFonts w:ascii="Calibri" w:eastAsia="Times New Roman" w:hAnsi="Calibri" w:cs="Calibri"/>
                <w:iCs/>
                <w:lang w:val="en-GB"/>
              </w:rPr>
              <w:t xml:space="preserve">expansion to the ten states is underway but not completed. Currently, at the </w:t>
            </w:r>
            <w:r w:rsidRPr="00007534">
              <w:rPr>
                <w:rFonts w:ascii="Calibri" w:eastAsia="Times New Roman" w:hAnsi="Calibri" w:cs="Calibri"/>
                <w:iCs/>
                <w:lang w:val="en-GB"/>
              </w:rPr>
              <w:t>county levels, manual (paper-based)</w:t>
            </w:r>
            <w:r>
              <w:rPr>
                <w:rFonts w:ascii="Calibri" w:eastAsia="Times New Roman" w:hAnsi="Calibri" w:cs="Calibri"/>
                <w:iCs/>
                <w:lang w:val="en-GB"/>
              </w:rPr>
              <w:t xml:space="preserve"> monitoring is done</w:t>
            </w:r>
            <w:r w:rsidRPr="00007534">
              <w:rPr>
                <w:rFonts w:ascii="Calibri" w:eastAsia="Times New Roman" w:hAnsi="Calibri" w:cs="Calibri"/>
                <w:iCs/>
                <w:lang w:val="en-GB"/>
              </w:rPr>
              <w:t xml:space="preserve"> using the</w:t>
            </w:r>
            <w:r>
              <w:rPr>
                <w:rFonts w:ascii="Calibri" w:eastAsia="Times New Roman" w:hAnsi="Calibri" w:cs="Calibri"/>
                <w:iCs/>
                <w:lang w:val="en-GB"/>
              </w:rPr>
              <w:t xml:space="preserve"> </w:t>
            </w:r>
            <w:r w:rsidRPr="00007534">
              <w:rPr>
                <w:rFonts w:ascii="Calibri" w:eastAsia="Times New Roman" w:hAnsi="Calibri" w:cs="Calibri"/>
                <w:iCs/>
                <w:lang w:val="en-GB"/>
              </w:rPr>
              <w:t>standard template that captures information on stock at</w:t>
            </w:r>
            <w:r>
              <w:rPr>
                <w:rFonts w:ascii="Calibri" w:eastAsia="Times New Roman" w:hAnsi="Calibri" w:cs="Calibri"/>
                <w:iCs/>
                <w:lang w:val="en-GB"/>
              </w:rPr>
              <w:t xml:space="preserve"> </w:t>
            </w:r>
            <w:r w:rsidRPr="00007534">
              <w:rPr>
                <w:rFonts w:ascii="Calibri" w:eastAsia="Times New Roman" w:hAnsi="Calibri" w:cs="Calibri"/>
                <w:iCs/>
                <w:lang w:val="en-GB"/>
              </w:rPr>
              <w:t>the beginning of the month, stock receiving during the month, the current stock</w:t>
            </w:r>
            <w:r>
              <w:rPr>
                <w:rFonts w:ascii="Calibri" w:eastAsia="Times New Roman" w:hAnsi="Calibri" w:cs="Calibri"/>
                <w:iCs/>
                <w:lang w:val="en-GB"/>
              </w:rPr>
              <w:t xml:space="preserve"> </w:t>
            </w:r>
            <w:r w:rsidRPr="00007534">
              <w:rPr>
                <w:rFonts w:ascii="Calibri" w:eastAsia="Times New Roman" w:hAnsi="Calibri" w:cs="Calibri"/>
                <w:iCs/>
                <w:lang w:val="en-GB"/>
              </w:rPr>
              <w:t>(physical counts)</w:t>
            </w:r>
            <w:r w:rsidR="00FA09FE">
              <w:rPr>
                <w:rFonts w:ascii="Calibri" w:eastAsia="Times New Roman" w:hAnsi="Calibri" w:cs="Calibri"/>
                <w:iCs/>
                <w:lang w:val="en-GB"/>
              </w:rPr>
              <w:t>,</w:t>
            </w:r>
            <w:r w:rsidRPr="00007534">
              <w:rPr>
                <w:rFonts w:ascii="Calibri" w:eastAsia="Times New Roman" w:hAnsi="Calibri" w:cs="Calibri"/>
                <w:iCs/>
                <w:lang w:val="en-GB"/>
              </w:rPr>
              <w:t xml:space="preserve"> and the number of doses affected either through freezing, expiry,</w:t>
            </w:r>
            <w:r>
              <w:rPr>
                <w:rFonts w:ascii="Calibri" w:eastAsia="Times New Roman" w:hAnsi="Calibri" w:cs="Calibri"/>
                <w:iCs/>
                <w:lang w:val="en-GB"/>
              </w:rPr>
              <w:t xml:space="preserve"> </w:t>
            </w:r>
            <w:proofErr w:type="gramStart"/>
            <w:r w:rsidRPr="00007534">
              <w:rPr>
                <w:rFonts w:ascii="Calibri" w:eastAsia="Times New Roman" w:hAnsi="Calibri" w:cs="Calibri"/>
                <w:iCs/>
                <w:lang w:val="en-GB"/>
              </w:rPr>
              <w:t>breakage</w:t>
            </w:r>
            <w:proofErr w:type="gramEnd"/>
            <w:r w:rsidRPr="00007534">
              <w:rPr>
                <w:rFonts w:ascii="Calibri" w:eastAsia="Times New Roman" w:hAnsi="Calibri" w:cs="Calibri"/>
                <w:iCs/>
                <w:lang w:val="en-GB"/>
              </w:rPr>
              <w:t xml:space="preserve"> or label detached captured in the tools. </w:t>
            </w:r>
            <w:r>
              <w:rPr>
                <w:rFonts w:ascii="Calibri" w:eastAsia="Times New Roman" w:hAnsi="Calibri" w:cs="Calibri"/>
                <w:iCs/>
                <w:lang w:val="en-GB"/>
              </w:rPr>
              <w:t>At facility levels, the vaccinator is expected to report stock utilization in the monthly performance report. However, d</w:t>
            </w:r>
            <w:r w:rsidRPr="00007534">
              <w:rPr>
                <w:rFonts w:ascii="Calibri" w:eastAsia="Times New Roman" w:hAnsi="Calibri" w:cs="Calibri"/>
                <w:iCs/>
                <w:lang w:val="en-GB"/>
              </w:rPr>
              <w:t>ue to inadequate numbers and</w:t>
            </w:r>
            <w:r>
              <w:rPr>
                <w:rFonts w:ascii="Calibri" w:eastAsia="Times New Roman" w:hAnsi="Calibri" w:cs="Calibri"/>
                <w:iCs/>
                <w:lang w:val="en-GB"/>
              </w:rPr>
              <w:t xml:space="preserve"> </w:t>
            </w:r>
            <w:r w:rsidRPr="00007534">
              <w:rPr>
                <w:rFonts w:ascii="Calibri" w:eastAsia="Times New Roman" w:hAnsi="Calibri" w:cs="Calibri"/>
                <w:iCs/>
                <w:lang w:val="en-GB"/>
              </w:rPr>
              <w:t>skilled health workers, vaccine utilization and wastage monitoring are weak, especially</w:t>
            </w:r>
            <w:r>
              <w:rPr>
                <w:rFonts w:ascii="Calibri" w:eastAsia="Times New Roman" w:hAnsi="Calibri" w:cs="Calibri"/>
                <w:iCs/>
                <w:lang w:val="en-GB"/>
              </w:rPr>
              <w:t xml:space="preserve"> </w:t>
            </w:r>
            <w:r w:rsidRPr="00007534">
              <w:rPr>
                <w:rFonts w:ascii="Calibri" w:eastAsia="Times New Roman" w:hAnsi="Calibri" w:cs="Calibri"/>
                <w:iCs/>
                <w:lang w:val="en-GB"/>
              </w:rPr>
              <w:t xml:space="preserve">at county and health facility levels. </w:t>
            </w:r>
            <w:r>
              <w:rPr>
                <w:rFonts w:ascii="Calibri" w:eastAsia="Times New Roman" w:hAnsi="Calibri" w:cs="Calibri"/>
                <w:iCs/>
                <w:lang w:val="en-GB"/>
              </w:rPr>
              <w:t>Coupled with p</w:t>
            </w:r>
            <w:r w:rsidRPr="00007534">
              <w:rPr>
                <w:rFonts w:ascii="Calibri" w:eastAsia="Times New Roman" w:hAnsi="Calibri" w:cs="Calibri"/>
                <w:iCs/>
                <w:lang w:val="en-GB"/>
              </w:rPr>
              <w:t>oor forecasting</w:t>
            </w:r>
            <w:r>
              <w:rPr>
                <w:rFonts w:ascii="Calibri" w:eastAsia="Times New Roman" w:hAnsi="Calibri" w:cs="Calibri"/>
                <w:iCs/>
                <w:lang w:val="en-GB"/>
              </w:rPr>
              <w:t>, facilities have</w:t>
            </w:r>
            <w:r w:rsidRPr="00007534">
              <w:rPr>
                <w:rFonts w:ascii="Calibri" w:eastAsia="Times New Roman" w:hAnsi="Calibri" w:cs="Calibri"/>
                <w:iCs/>
                <w:lang w:val="en-GB"/>
              </w:rPr>
              <w:t xml:space="preserve"> often over-</w:t>
            </w:r>
            <w:r>
              <w:rPr>
                <w:rFonts w:ascii="Calibri" w:eastAsia="Times New Roman" w:hAnsi="Calibri" w:cs="Calibri"/>
                <w:iCs/>
                <w:lang w:val="en-GB"/>
              </w:rPr>
              <w:t xml:space="preserve"> stocked</w:t>
            </w:r>
            <w:r w:rsidRPr="00007534">
              <w:rPr>
                <w:rFonts w:ascii="Calibri" w:eastAsia="Times New Roman" w:hAnsi="Calibri" w:cs="Calibri"/>
                <w:iCs/>
                <w:lang w:val="en-GB"/>
              </w:rPr>
              <w:t xml:space="preserve"> or </w:t>
            </w:r>
            <w:r>
              <w:rPr>
                <w:rFonts w:ascii="Calibri" w:eastAsia="Times New Roman" w:hAnsi="Calibri" w:cs="Calibri"/>
                <w:iCs/>
                <w:lang w:val="en-GB"/>
              </w:rPr>
              <w:t xml:space="preserve">experienced </w:t>
            </w:r>
            <w:r w:rsidRPr="00007534">
              <w:rPr>
                <w:rFonts w:ascii="Calibri" w:eastAsia="Times New Roman" w:hAnsi="Calibri" w:cs="Calibri"/>
                <w:iCs/>
                <w:lang w:val="en-GB"/>
              </w:rPr>
              <w:t>stock-outs of vaccines and supplies.</w:t>
            </w:r>
            <w:r>
              <w:rPr>
                <w:rFonts w:ascii="Calibri" w:eastAsia="Times New Roman" w:hAnsi="Calibri" w:cs="Calibri"/>
                <w:iCs/>
                <w:lang w:val="en-GB"/>
              </w:rPr>
              <w:t xml:space="preserve"> An inventory of the cold chain equipment was last conducted as a component of the SARA survey in 2017-18. Since </w:t>
            </w:r>
            <w:proofErr w:type="gramStart"/>
            <w:r>
              <w:rPr>
                <w:rFonts w:ascii="Calibri" w:eastAsia="Times New Roman" w:hAnsi="Calibri" w:cs="Calibri"/>
                <w:iCs/>
                <w:lang w:val="en-GB"/>
              </w:rPr>
              <w:t>then</w:t>
            </w:r>
            <w:proofErr w:type="gramEnd"/>
            <w:r>
              <w:rPr>
                <w:rFonts w:ascii="Calibri" w:eastAsia="Times New Roman" w:hAnsi="Calibri" w:cs="Calibri"/>
                <w:iCs/>
                <w:lang w:val="en-GB"/>
              </w:rPr>
              <w:t xml:space="preserve"> the inventory has not been updated.</w:t>
            </w:r>
          </w:p>
          <w:p w14:paraId="3138BB4B" w14:textId="77777777" w:rsidR="00D346E8" w:rsidRPr="00B04B3C" w:rsidRDefault="00D346E8" w:rsidP="00D346E8">
            <w:pPr>
              <w:spacing w:line="240" w:lineRule="auto"/>
              <w:rPr>
                <w:rFonts w:ascii="Calibri" w:eastAsia="Times New Roman" w:hAnsi="Calibri" w:cs="Calibri"/>
                <w:color w:val="FF0000"/>
                <w:lang w:val="en-GB"/>
              </w:rPr>
            </w:pPr>
            <w:r>
              <w:rPr>
                <w:rFonts w:ascii="Calibri" w:eastAsia="Times New Roman" w:hAnsi="Calibri" w:cs="Calibri"/>
                <w:color w:val="FF0000"/>
                <w:lang w:val="en-GB"/>
              </w:rPr>
              <w:t xml:space="preserve">Inadequate </w:t>
            </w:r>
            <w:r w:rsidRPr="00B04B3C">
              <w:rPr>
                <w:rFonts w:ascii="Calibri" w:eastAsia="Times New Roman" w:hAnsi="Calibri" w:cs="Calibri"/>
                <w:color w:val="FF0000"/>
                <w:lang w:val="en-GB"/>
              </w:rPr>
              <w:t>use of data for decision making</w:t>
            </w:r>
          </w:p>
          <w:p w14:paraId="68760050" w14:textId="238B6C48" w:rsidR="00D346E8" w:rsidRDefault="00D346E8" w:rsidP="00D346E8">
            <w:pPr>
              <w:spacing w:line="240" w:lineRule="auto"/>
              <w:rPr>
                <w:rFonts w:ascii="Calibri" w:eastAsia="Times New Roman" w:hAnsi="Calibri" w:cs="Calibri"/>
                <w:iCs/>
                <w:lang w:val="en-GB"/>
              </w:rPr>
            </w:pPr>
            <w:r>
              <w:rPr>
                <w:rFonts w:ascii="Calibri" w:eastAsia="Times New Roman" w:hAnsi="Calibri" w:cs="Calibri"/>
                <w:iCs/>
                <w:lang w:val="en-GB"/>
              </w:rPr>
              <w:t>The technical assistance will support the EPI M&amp;E team to routinely update the roll of facilities offering immunization services,</w:t>
            </w:r>
            <w:r w:rsidR="008809E1">
              <w:rPr>
                <w:rFonts w:ascii="Calibri" w:eastAsia="Times New Roman" w:hAnsi="Calibri" w:cs="Calibri"/>
                <w:iCs/>
                <w:lang w:val="en-GB"/>
              </w:rPr>
              <w:t xml:space="preserve"> </w:t>
            </w:r>
            <w:proofErr w:type="gramStart"/>
            <w:r w:rsidR="008809E1">
              <w:rPr>
                <w:rFonts w:ascii="Calibri" w:eastAsia="Times New Roman" w:hAnsi="Calibri" w:cs="Calibri"/>
                <w:iCs/>
                <w:lang w:val="en-GB"/>
              </w:rPr>
              <w:t>designing</w:t>
            </w:r>
            <w:proofErr w:type="gramEnd"/>
            <w:r w:rsidR="008809E1">
              <w:rPr>
                <w:rFonts w:ascii="Calibri" w:eastAsia="Times New Roman" w:hAnsi="Calibri" w:cs="Calibri"/>
                <w:iCs/>
                <w:lang w:val="en-GB"/>
              </w:rPr>
              <w:t xml:space="preserve"> and updating tools,</w:t>
            </w:r>
            <w:r>
              <w:rPr>
                <w:rFonts w:ascii="Calibri" w:eastAsia="Times New Roman" w:hAnsi="Calibri" w:cs="Calibri"/>
                <w:iCs/>
                <w:lang w:val="en-GB"/>
              </w:rPr>
              <w:t xml:space="preserve"> </w:t>
            </w:r>
            <w:r w:rsidR="00FA09FE">
              <w:rPr>
                <w:rFonts w:ascii="Calibri" w:eastAsia="Times New Roman" w:hAnsi="Calibri" w:cs="Calibri"/>
                <w:iCs/>
                <w:lang w:val="en-GB"/>
              </w:rPr>
              <w:t xml:space="preserve">and </w:t>
            </w:r>
            <w:r>
              <w:rPr>
                <w:rFonts w:ascii="Calibri" w:eastAsia="Times New Roman" w:hAnsi="Calibri" w:cs="Calibri"/>
                <w:iCs/>
                <w:lang w:val="en-GB"/>
              </w:rPr>
              <w:t xml:space="preserve">develop </w:t>
            </w:r>
            <w:r w:rsidR="00FA09FE">
              <w:rPr>
                <w:rFonts w:ascii="Calibri" w:eastAsia="Times New Roman" w:hAnsi="Calibri" w:cs="Calibri"/>
                <w:iCs/>
                <w:lang w:val="en-GB"/>
              </w:rPr>
              <w:t xml:space="preserve">an </w:t>
            </w:r>
            <w:r>
              <w:rPr>
                <w:rFonts w:ascii="Calibri" w:eastAsia="Times New Roman" w:hAnsi="Calibri" w:cs="Calibri"/>
                <w:iCs/>
                <w:lang w:val="en-GB"/>
              </w:rPr>
              <w:t>EPI dashboard at national and subnational levels to facilitate correct interpretation and use of EPI data. The dashboard will form part of the accountability framework for the EPI program and feed into the AF for the directorate of primary health care. Also, the consultant will assist the EPI program to develop EPI score cards to be discussed in the quarterly county review meetings and monthly facility-community (BHI) engagement meetings. The consultant will be embedded in the MOH to continuously build the capacity of the MOH EPI M&amp;E team.</w:t>
            </w:r>
          </w:p>
          <w:p w14:paraId="37B75047" w14:textId="77777777" w:rsidR="00D346E8" w:rsidRPr="00B04B3C" w:rsidRDefault="00D346E8" w:rsidP="00D346E8">
            <w:pPr>
              <w:spacing w:line="240" w:lineRule="auto"/>
              <w:rPr>
                <w:rFonts w:ascii="Calibri" w:eastAsia="Times New Roman" w:hAnsi="Calibri" w:cs="Calibri"/>
                <w:color w:val="FF0000"/>
                <w:lang w:val="en-GB"/>
              </w:rPr>
            </w:pPr>
            <w:r w:rsidRPr="00B04B3C">
              <w:rPr>
                <w:rFonts w:ascii="Calibri" w:eastAsia="Times New Roman" w:hAnsi="Calibri" w:cs="Calibri"/>
                <w:color w:val="FF0000"/>
                <w:lang w:val="en-GB"/>
              </w:rPr>
              <w:t>Fragmented demand generation efforts</w:t>
            </w:r>
          </w:p>
          <w:p w14:paraId="0E8F914F" w14:textId="61A3406C" w:rsidR="00D346E8" w:rsidRDefault="00FA09FE" w:rsidP="00D346E8">
            <w:pPr>
              <w:spacing w:line="240" w:lineRule="auto"/>
              <w:rPr>
                <w:rFonts w:ascii="Calibri" w:eastAsia="Times New Roman" w:hAnsi="Calibri" w:cs="Calibri"/>
                <w:iCs/>
                <w:lang w:val="en-GB"/>
              </w:rPr>
            </w:pPr>
            <w:r>
              <w:rPr>
                <w:rFonts w:ascii="Calibri" w:eastAsia="Times New Roman" w:hAnsi="Calibri" w:cs="Calibri"/>
                <w:iCs/>
                <w:lang w:val="en-GB"/>
              </w:rPr>
              <w:t>About 56</w:t>
            </w:r>
            <w:r w:rsidR="00D346E8">
              <w:rPr>
                <w:rFonts w:ascii="Calibri" w:eastAsia="Times New Roman" w:hAnsi="Calibri" w:cs="Calibri"/>
                <w:iCs/>
                <w:lang w:val="en-GB"/>
              </w:rPr>
              <w:t>% of the population in South Su</w:t>
            </w:r>
            <w:r>
              <w:rPr>
                <w:rFonts w:ascii="Calibri" w:eastAsia="Times New Roman" w:hAnsi="Calibri" w:cs="Calibri"/>
                <w:iCs/>
                <w:lang w:val="en-GB"/>
              </w:rPr>
              <w:t>dan live beyond a radius of 5km</w:t>
            </w:r>
            <w:r w:rsidR="00D346E8">
              <w:rPr>
                <w:rFonts w:ascii="Calibri" w:eastAsia="Times New Roman" w:hAnsi="Calibri" w:cs="Calibri"/>
                <w:iCs/>
                <w:lang w:val="en-GB"/>
              </w:rPr>
              <w:t xml:space="preserve"> from a health facility. An expanded BHI offers an opportunity to reach this population and could be instrumental in r</w:t>
            </w:r>
            <w:r>
              <w:rPr>
                <w:rFonts w:ascii="Calibri" w:eastAsia="Times New Roman" w:hAnsi="Calibri" w:cs="Calibri"/>
                <w:iCs/>
                <w:lang w:val="en-GB"/>
              </w:rPr>
              <w:t>eaching missed populations and z</w:t>
            </w:r>
            <w:r w:rsidR="00D346E8">
              <w:rPr>
                <w:rFonts w:ascii="Calibri" w:eastAsia="Times New Roman" w:hAnsi="Calibri" w:cs="Calibri"/>
                <w:iCs/>
                <w:lang w:val="en-GB"/>
              </w:rPr>
              <w:t>ero</w:t>
            </w:r>
            <w:r>
              <w:rPr>
                <w:rFonts w:ascii="Calibri" w:eastAsia="Times New Roman" w:hAnsi="Calibri" w:cs="Calibri"/>
                <w:iCs/>
                <w:lang w:val="en-GB"/>
              </w:rPr>
              <w:t>-</w:t>
            </w:r>
            <w:r w:rsidR="00D346E8">
              <w:rPr>
                <w:rFonts w:ascii="Calibri" w:eastAsia="Times New Roman" w:hAnsi="Calibri" w:cs="Calibri"/>
                <w:iCs/>
                <w:lang w:val="en-GB"/>
              </w:rPr>
              <w:t>dose children. However, as currently structured and implemented, the linkages between BHI and EPI program are weak. The BHW focus majorly on curative services; allocating a small proportion of their time to track defaulters and create demand for EPI services. The country through Gavi support is investing to expand the BHI focussing on counties and areas with large numbers of zero dose children. The BHI will be tailored to function in urban areas and reach disadvantaged populations such as nomads and fishing populations as well a</w:t>
            </w:r>
            <w:r>
              <w:rPr>
                <w:rFonts w:ascii="Calibri" w:eastAsia="Times New Roman" w:hAnsi="Calibri" w:cs="Calibri"/>
                <w:iCs/>
                <w:lang w:val="en-GB"/>
              </w:rPr>
              <w:t>s areas that are less than 5 km</w:t>
            </w:r>
            <w:r w:rsidR="00D346E8">
              <w:rPr>
                <w:rFonts w:ascii="Calibri" w:eastAsia="Times New Roman" w:hAnsi="Calibri" w:cs="Calibri"/>
                <w:iCs/>
                <w:lang w:val="en-GB"/>
              </w:rPr>
              <w:t xml:space="preserve"> from the fixed facility.</w:t>
            </w:r>
          </w:p>
          <w:p w14:paraId="34C62B30" w14:textId="46436080" w:rsidR="00D346E8" w:rsidRDefault="1A5BE9D8" w:rsidP="0286FA84">
            <w:pPr>
              <w:spacing w:line="240" w:lineRule="auto"/>
              <w:rPr>
                <w:rFonts w:ascii="Calibri" w:eastAsia="Times New Roman" w:hAnsi="Calibri" w:cs="Calibri"/>
                <w:lang w:val="en-GB"/>
              </w:rPr>
            </w:pPr>
            <w:r w:rsidRPr="0286FA84">
              <w:rPr>
                <w:rFonts w:ascii="Calibri" w:eastAsia="Times New Roman" w:hAnsi="Calibri" w:cs="Calibri"/>
                <w:lang w:val="en-GB"/>
              </w:rPr>
              <w:t>Technical assistance will be embedded in MOH to customise the BHI to meet the unique demands of the EPI program</w:t>
            </w:r>
            <w:r w:rsidR="36F497D3" w:rsidRPr="0286FA84">
              <w:rPr>
                <w:rFonts w:ascii="Calibri" w:eastAsia="Times New Roman" w:hAnsi="Calibri" w:cs="Calibri"/>
                <w:lang w:val="en-GB"/>
              </w:rPr>
              <w:t xml:space="preserve"> and support the MOH to harmonise the BHI and the other partner-led initiatives</w:t>
            </w:r>
            <w:r w:rsidRPr="0286FA84">
              <w:rPr>
                <w:rFonts w:ascii="Calibri" w:eastAsia="Times New Roman" w:hAnsi="Calibri" w:cs="Calibri"/>
                <w:lang w:val="en-GB"/>
              </w:rPr>
              <w:t xml:space="preserve">. </w:t>
            </w:r>
            <w:r w:rsidRPr="0286FA84">
              <w:rPr>
                <w:rFonts w:ascii="Calibri" w:eastAsia="Times New Roman" w:hAnsi="Calibri" w:cs="Calibri"/>
                <w:lang w:val="en-GB"/>
              </w:rPr>
              <w:lastRenderedPageBreak/>
              <w:t xml:space="preserve">Specifically, the TA will support the MOH to model the BHI to function among nomadic communities, the urban poor populations, fishing populations, and the </w:t>
            </w:r>
            <w:proofErr w:type="spellStart"/>
            <w:r w:rsidRPr="0286FA84">
              <w:rPr>
                <w:rFonts w:ascii="Calibri" w:eastAsia="Times New Roman" w:hAnsi="Calibri" w:cs="Calibri"/>
                <w:lang w:val="en-GB"/>
              </w:rPr>
              <w:t>PoCs</w:t>
            </w:r>
            <w:proofErr w:type="spellEnd"/>
            <w:r w:rsidRPr="0286FA84">
              <w:rPr>
                <w:rFonts w:ascii="Calibri" w:eastAsia="Times New Roman" w:hAnsi="Calibri" w:cs="Calibri"/>
                <w:lang w:val="en-GB"/>
              </w:rPr>
              <w:t>. He/she will cultivate and encourage cross communication, joint planning</w:t>
            </w:r>
            <w:r w:rsidR="51BBB625" w:rsidRPr="0286FA84">
              <w:rPr>
                <w:rFonts w:ascii="Calibri" w:eastAsia="Times New Roman" w:hAnsi="Calibri" w:cs="Calibri"/>
                <w:lang w:val="en-GB"/>
              </w:rPr>
              <w:t>,</w:t>
            </w:r>
            <w:r w:rsidRPr="0286FA84">
              <w:rPr>
                <w:rFonts w:ascii="Calibri" w:eastAsia="Times New Roman" w:hAnsi="Calibri" w:cs="Calibri"/>
                <w:lang w:val="en-GB"/>
              </w:rPr>
              <w:t xml:space="preserve"> monitoring, and collaboration among the three concerned departments i.e., BHI, the department of health promotion, and EPI. In addition, the TA will build the capacity of the MOH communication officers at national and sub</w:t>
            </w:r>
            <w:r w:rsidR="51BBB625" w:rsidRPr="0286FA84">
              <w:rPr>
                <w:rFonts w:ascii="Calibri" w:eastAsia="Times New Roman" w:hAnsi="Calibri" w:cs="Calibri"/>
                <w:lang w:val="en-GB"/>
              </w:rPr>
              <w:t>-</w:t>
            </w:r>
            <w:r w:rsidRPr="0286FA84">
              <w:rPr>
                <w:rFonts w:ascii="Calibri" w:eastAsia="Times New Roman" w:hAnsi="Calibri" w:cs="Calibri"/>
                <w:lang w:val="en-GB"/>
              </w:rPr>
              <w:t xml:space="preserve">national levels and help with </w:t>
            </w:r>
            <w:r w:rsidR="51BBB625" w:rsidRPr="0286FA84">
              <w:rPr>
                <w:rFonts w:ascii="Calibri" w:eastAsia="Times New Roman" w:hAnsi="Calibri" w:cs="Calibri"/>
                <w:lang w:val="en-GB"/>
              </w:rPr>
              <w:t xml:space="preserve">the </w:t>
            </w:r>
            <w:r w:rsidRPr="0286FA84">
              <w:rPr>
                <w:rFonts w:ascii="Calibri" w:eastAsia="Times New Roman" w:hAnsi="Calibri" w:cs="Calibri"/>
                <w:lang w:val="en-GB"/>
              </w:rPr>
              <w:t xml:space="preserve">coordination of partners </w:t>
            </w:r>
            <w:proofErr w:type="gramStart"/>
            <w:r w:rsidRPr="0286FA84">
              <w:rPr>
                <w:rFonts w:ascii="Calibri" w:eastAsia="Times New Roman" w:hAnsi="Calibri" w:cs="Calibri"/>
                <w:lang w:val="en-GB"/>
              </w:rPr>
              <w:t>in the area of</w:t>
            </w:r>
            <w:proofErr w:type="gramEnd"/>
            <w:r w:rsidRPr="0286FA84">
              <w:rPr>
                <w:rFonts w:ascii="Calibri" w:eastAsia="Times New Roman" w:hAnsi="Calibri" w:cs="Calibri"/>
                <w:lang w:val="en-GB"/>
              </w:rPr>
              <w:t xml:space="preserve"> risk communication and community engagement.</w:t>
            </w:r>
            <w:r w:rsidR="5D9C11AC" w:rsidRPr="0286FA84">
              <w:rPr>
                <w:rFonts w:ascii="Calibri" w:eastAsia="Times New Roman" w:hAnsi="Calibri" w:cs="Calibri"/>
                <w:lang w:val="en-GB"/>
              </w:rPr>
              <w:t xml:space="preserve"> The TA will also help in reducing fragmentation and scaling </w:t>
            </w:r>
            <w:r w:rsidR="125E1AEF" w:rsidRPr="0286FA84">
              <w:rPr>
                <w:rFonts w:ascii="Calibri" w:eastAsia="Times New Roman" w:hAnsi="Calibri" w:cs="Calibri"/>
                <w:lang w:val="en-GB"/>
              </w:rPr>
              <w:t xml:space="preserve">demand </w:t>
            </w:r>
            <w:r w:rsidR="4390B91C" w:rsidRPr="0286FA84">
              <w:rPr>
                <w:rFonts w:ascii="Calibri" w:eastAsia="Times New Roman" w:hAnsi="Calibri" w:cs="Calibri"/>
                <w:lang w:val="en-GB"/>
              </w:rPr>
              <w:t xml:space="preserve">promotion </w:t>
            </w:r>
            <w:r w:rsidR="5D9C11AC" w:rsidRPr="0286FA84">
              <w:rPr>
                <w:rFonts w:ascii="Calibri" w:eastAsia="Times New Roman" w:hAnsi="Calibri" w:cs="Calibri"/>
                <w:lang w:val="en-GB"/>
              </w:rPr>
              <w:t xml:space="preserve">efforts that </w:t>
            </w:r>
            <w:r w:rsidR="6DE9DE27" w:rsidRPr="0286FA84">
              <w:rPr>
                <w:rFonts w:ascii="Calibri" w:eastAsia="Times New Roman" w:hAnsi="Calibri" w:cs="Calibri"/>
                <w:lang w:val="en-GB"/>
              </w:rPr>
              <w:t xml:space="preserve">streamline </w:t>
            </w:r>
            <w:r w:rsidR="5D9C11AC" w:rsidRPr="0286FA84">
              <w:rPr>
                <w:rFonts w:ascii="Calibri" w:eastAsia="Times New Roman" w:hAnsi="Calibri" w:cs="Calibri"/>
                <w:lang w:val="en-GB"/>
              </w:rPr>
              <w:t xml:space="preserve">and </w:t>
            </w:r>
            <w:r w:rsidR="6DE9DE27" w:rsidRPr="0286FA84">
              <w:rPr>
                <w:rFonts w:ascii="Calibri" w:eastAsia="Times New Roman" w:hAnsi="Calibri" w:cs="Calibri"/>
                <w:lang w:val="en-GB"/>
              </w:rPr>
              <w:t>integrate</w:t>
            </w:r>
            <w:r w:rsidR="4C1117C2" w:rsidRPr="0286FA84">
              <w:rPr>
                <w:rFonts w:ascii="Calibri" w:eastAsia="Times New Roman" w:hAnsi="Calibri" w:cs="Calibri"/>
                <w:lang w:val="en-GB"/>
              </w:rPr>
              <w:t xml:space="preserve"> health services including immunisation. </w:t>
            </w:r>
            <w:r w:rsidR="5D9C11AC" w:rsidRPr="0286FA84">
              <w:rPr>
                <w:rFonts w:ascii="Calibri" w:eastAsia="Times New Roman" w:hAnsi="Calibri" w:cs="Calibri"/>
                <w:lang w:val="en-GB"/>
              </w:rPr>
              <w:t xml:space="preserve"> </w:t>
            </w:r>
          </w:p>
          <w:p w14:paraId="6A6A0966" w14:textId="77777777" w:rsidR="00D346E8" w:rsidRDefault="00D346E8" w:rsidP="00D346E8">
            <w:pPr>
              <w:spacing w:line="240" w:lineRule="auto"/>
              <w:rPr>
                <w:rFonts w:ascii="Calibri" w:eastAsia="Times New Roman" w:hAnsi="Calibri" w:cs="Calibri"/>
                <w:iCs/>
                <w:lang w:val="en-GB"/>
              </w:rPr>
            </w:pPr>
          </w:p>
          <w:p w14:paraId="6942EF1B" w14:textId="54419EB9" w:rsidR="00D346E8" w:rsidRDefault="00D346E8" w:rsidP="00D346E8">
            <w:pPr>
              <w:spacing w:line="240" w:lineRule="auto"/>
              <w:rPr>
                <w:rFonts w:ascii="Calibri" w:eastAsia="Times New Roman" w:hAnsi="Calibri" w:cs="Calibri"/>
                <w:iCs/>
                <w:lang w:val="en-GB"/>
              </w:rPr>
            </w:pPr>
            <w:r>
              <w:rPr>
                <w:rFonts w:ascii="Calibri" w:eastAsia="Times New Roman" w:hAnsi="Calibri" w:cs="Calibri"/>
                <w:iCs/>
                <w:lang w:val="en-GB"/>
              </w:rPr>
              <w:t xml:space="preserve">  </w:t>
            </w:r>
          </w:p>
          <w:p w14:paraId="7D9A0BA9" w14:textId="2BE65E96" w:rsidR="00372D1F" w:rsidRDefault="00372D1F" w:rsidP="00372D1F">
            <w:pPr>
              <w:spacing w:line="300" w:lineRule="exact"/>
              <w:rPr>
                <w:color w:val="92D050"/>
                <w:lang w:val="en-GB"/>
              </w:rPr>
            </w:pPr>
          </w:p>
        </w:tc>
      </w:tr>
      <w:tr w:rsidR="0071439C" w14:paraId="0D9AF231" w14:textId="77777777" w:rsidTr="0286FA84">
        <w:tc>
          <w:tcPr>
            <w:tcW w:w="9192" w:type="dxa"/>
            <w:tcBorders>
              <w:top w:val="single" w:sz="4" w:space="0" w:color="auto"/>
              <w:bottom w:val="single" w:sz="4" w:space="0" w:color="auto"/>
            </w:tcBorders>
            <w:shd w:val="clear" w:color="auto" w:fill="F2F2F2" w:themeFill="background1" w:themeFillShade="F2"/>
          </w:tcPr>
          <w:p w14:paraId="14533925" w14:textId="50C71BD7" w:rsidR="00E165B4" w:rsidRDefault="0071439C" w:rsidP="00CE1F57">
            <w:pPr>
              <w:pStyle w:val="ListParagraph"/>
              <w:numPr>
                <w:ilvl w:val="1"/>
                <w:numId w:val="4"/>
              </w:numPr>
              <w:spacing w:line="300" w:lineRule="exact"/>
              <w:ind w:left="316" w:hanging="316"/>
              <w:rPr>
                <w:b/>
                <w:bCs/>
                <w:i/>
                <w:iCs/>
                <w:sz w:val="20"/>
                <w:szCs w:val="20"/>
              </w:rPr>
            </w:pPr>
            <w:r w:rsidRPr="00CF3BC4">
              <w:rPr>
                <w:b/>
                <w:bCs/>
                <w:i/>
                <w:iCs/>
                <w:sz w:val="20"/>
                <w:szCs w:val="20"/>
              </w:rPr>
              <w:lastRenderedPageBreak/>
              <w:t xml:space="preserve">How </w:t>
            </w:r>
            <w:r w:rsidR="00BE4270">
              <w:rPr>
                <w:b/>
                <w:bCs/>
                <w:i/>
                <w:iCs/>
                <w:sz w:val="20"/>
                <w:szCs w:val="20"/>
              </w:rPr>
              <w:t xml:space="preserve">will </w:t>
            </w:r>
            <w:r w:rsidR="00120AAE">
              <w:rPr>
                <w:b/>
                <w:bCs/>
                <w:i/>
                <w:iCs/>
                <w:sz w:val="20"/>
                <w:szCs w:val="20"/>
              </w:rPr>
              <w:t>the requested TCA support advance</w:t>
            </w:r>
            <w:r w:rsidR="00257A1B">
              <w:rPr>
                <w:b/>
                <w:bCs/>
                <w:i/>
                <w:iCs/>
                <w:sz w:val="20"/>
                <w:szCs w:val="20"/>
              </w:rPr>
              <w:t xml:space="preserve"> </w:t>
            </w:r>
            <w:r w:rsidR="00393D45" w:rsidRPr="00393D45">
              <w:rPr>
                <w:b/>
                <w:bCs/>
                <w:i/>
                <w:iCs/>
                <w:sz w:val="20"/>
                <w:szCs w:val="20"/>
              </w:rPr>
              <w:t xml:space="preserve">Gavi's 5.0 mission </w:t>
            </w:r>
            <w:r w:rsidR="00A95F01">
              <w:rPr>
                <w:b/>
                <w:bCs/>
                <w:i/>
                <w:iCs/>
                <w:sz w:val="20"/>
                <w:szCs w:val="20"/>
              </w:rPr>
              <w:t>per the</w:t>
            </w:r>
            <w:r w:rsidR="00A95F01" w:rsidRPr="00393D45">
              <w:rPr>
                <w:b/>
                <w:bCs/>
                <w:i/>
                <w:iCs/>
                <w:sz w:val="20"/>
                <w:szCs w:val="20"/>
              </w:rPr>
              <w:t xml:space="preserve"> country</w:t>
            </w:r>
            <w:r w:rsidR="008447E6">
              <w:rPr>
                <w:b/>
                <w:bCs/>
                <w:i/>
                <w:iCs/>
                <w:sz w:val="20"/>
                <w:szCs w:val="20"/>
              </w:rPr>
              <w:t>'</w:t>
            </w:r>
            <w:r w:rsidR="00A95F01" w:rsidRPr="00393D45">
              <w:rPr>
                <w:b/>
                <w:bCs/>
                <w:i/>
                <w:iCs/>
                <w:sz w:val="20"/>
                <w:szCs w:val="20"/>
              </w:rPr>
              <w:t xml:space="preserve">s context </w:t>
            </w:r>
            <w:r w:rsidR="00296E78">
              <w:rPr>
                <w:b/>
                <w:bCs/>
                <w:i/>
                <w:iCs/>
                <w:sz w:val="20"/>
                <w:szCs w:val="20"/>
              </w:rPr>
              <w:t>with focus</w:t>
            </w:r>
            <w:r w:rsidR="004435AF">
              <w:rPr>
                <w:b/>
                <w:bCs/>
                <w:i/>
                <w:iCs/>
                <w:sz w:val="20"/>
                <w:szCs w:val="20"/>
              </w:rPr>
              <w:t xml:space="preserve"> on</w:t>
            </w:r>
            <w:r w:rsidR="00E165B4">
              <w:rPr>
                <w:b/>
                <w:bCs/>
                <w:i/>
                <w:iCs/>
                <w:sz w:val="20"/>
                <w:szCs w:val="20"/>
              </w:rPr>
              <w:t>:</w:t>
            </w:r>
          </w:p>
          <w:p w14:paraId="2112DA8C" w14:textId="427D12AB"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 xml:space="preserve">identifying </w:t>
            </w:r>
            <w:r w:rsidR="00393D45" w:rsidRPr="00393D45">
              <w:rPr>
                <w:b/>
                <w:bCs/>
                <w:i/>
                <w:iCs/>
                <w:sz w:val="20"/>
                <w:szCs w:val="20"/>
              </w:rPr>
              <w:t xml:space="preserve">and reaching zero-dose </w:t>
            </w:r>
            <w:r w:rsidR="00A95F01" w:rsidRPr="00CF3BC4">
              <w:rPr>
                <w:b/>
                <w:bCs/>
                <w:i/>
                <w:iCs/>
                <w:sz w:val="20"/>
                <w:szCs w:val="20"/>
              </w:rPr>
              <w:t xml:space="preserve">and </w:t>
            </w:r>
            <w:r w:rsidRPr="00544D9B">
              <w:rPr>
                <w:b/>
                <w:bCs/>
                <w:i/>
                <w:iCs/>
                <w:sz w:val="20"/>
                <w:szCs w:val="20"/>
              </w:rPr>
              <w:t xml:space="preserve">consistently </w:t>
            </w:r>
            <w:r w:rsidR="00A95F01" w:rsidRPr="00CF3BC4">
              <w:rPr>
                <w:b/>
                <w:bCs/>
                <w:i/>
                <w:iCs/>
                <w:sz w:val="20"/>
                <w:szCs w:val="20"/>
              </w:rPr>
              <w:t xml:space="preserve">missed </w:t>
            </w:r>
            <w:r w:rsidRPr="00544D9B">
              <w:rPr>
                <w:b/>
                <w:bCs/>
                <w:i/>
                <w:iCs/>
                <w:sz w:val="20"/>
                <w:szCs w:val="20"/>
              </w:rPr>
              <w:t xml:space="preserve">children </w:t>
            </w:r>
            <w:r w:rsidR="002C0185">
              <w:rPr>
                <w:b/>
                <w:bCs/>
                <w:i/>
                <w:iCs/>
                <w:sz w:val="20"/>
                <w:szCs w:val="20"/>
              </w:rPr>
              <w:t xml:space="preserve">and </w:t>
            </w:r>
            <w:proofErr w:type="gramStart"/>
            <w:r w:rsidR="002C0185">
              <w:rPr>
                <w:b/>
                <w:bCs/>
                <w:i/>
                <w:iCs/>
                <w:sz w:val="20"/>
                <w:szCs w:val="20"/>
              </w:rPr>
              <w:t>communities</w:t>
            </w:r>
            <w:r w:rsidRPr="00544D9B">
              <w:rPr>
                <w:b/>
                <w:bCs/>
                <w:i/>
                <w:iCs/>
                <w:sz w:val="20"/>
                <w:szCs w:val="20"/>
              </w:rPr>
              <w:t>;</w:t>
            </w:r>
            <w:proofErr w:type="gramEnd"/>
          </w:p>
          <w:p w14:paraId="6B56EB6C" w14:textId="77777777"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improving</w:t>
            </w:r>
            <w:r w:rsidR="001B19F2">
              <w:rPr>
                <w:b/>
                <w:bCs/>
                <w:i/>
                <w:iCs/>
                <w:sz w:val="20"/>
                <w:szCs w:val="20"/>
              </w:rPr>
              <w:t xml:space="preserve"> </w:t>
            </w:r>
            <w:r w:rsidR="00316DE0">
              <w:rPr>
                <w:b/>
                <w:bCs/>
                <w:i/>
                <w:iCs/>
                <w:sz w:val="20"/>
                <w:szCs w:val="20"/>
              </w:rPr>
              <w:t xml:space="preserve">stock reporting and vaccine management at sub-national </w:t>
            </w:r>
            <w:proofErr w:type="gramStart"/>
            <w:r w:rsidR="00316DE0">
              <w:rPr>
                <w:b/>
                <w:bCs/>
                <w:i/>
                <w:iCs/>
                <w:sz w:val="20"/>
                <w:szCs w:val="20"/>
              </w:rPr>
              <w:t>level</w:t>
            </w:r>
            <w:r w:rsidRPr="00544D9B">
              <w:rPr>
                <w:b/>
                <w:bCs/>
                <w:i/>
                <w:iCs/>
                <w:sz w:val="20"/>
                <w:szCs w:val="20"/>
              </w:rPr>
              <w:t>;</w:t>
            </w:r>
            <w:proofErr w:type="gramEnd"/>
          </w:p>
          <w:p w14:paraId="009281C7" w14:textId="77777777"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enhancing</w:t>
            </w:r>
            <w:r w:rsidR="00316DE0">
              <w:rPr>
                <w:b/>
                <w:bCs/>
                <w:i/>
                <w:iCs/>
                <w:sz w:val="20"/>
                <w:szCs w:val="20"/>
              </w:rPr>
              <w:t xml:space="preserve"> stron</w:t>
            </w:r>
            <w:r w:rsidR="00F45522">
              <w:rPr>
                <w:b/>
                <w:bCs/>
                <w:i/>
                <w:iCs/>
                <w:sz w:val="20"/>
                <w:szCs w:val="20"/>
              </w:rPr>
              <w:t>g leadership, management and coordination</w:t>
            </w:r>
            <w:r w:rsidRPr="00544D9B">
              <w:rPr>
                <w:b/>
                <w:bCs/>
                <w:i/>
                <w:iCs/>
                <w:sz w:val="20"/>
                <w:szCs w:val="20"/>
              </w:rPr>
              <w:t xml:space="preserve">, including use of data for </w:t>
            </w:r>
            <w:proofErr w:type="gramStart"/>
            <w:r w:rsidRPr="00544D9B">
              <w:rPr>
                <w:b/>
                <w:bCs/>
                <w:i/>
                <w:iCs/>
                <w:sz w:val="20"/>
                <w:szCs w:val="20"/>
              </w:rPr>
              <w:t>decision-making;</w:t>
            </w:r>
            <w:proofErr w:type="gramEnd"/>
          </w:p>
          <w:p w14:paraId="35EE3F38" w14:textId="58D7C58A" w:rsidR="00532C23" w:rsidRPr="00532C23" w:rsidRDefault="50DAA13A" w:rsidP="0286FA84">
            <w:pPr>
              <w:pStyle w:val="ListParagraph"/>
              <w:numPr>
                <w:ilvl w:val="0"/>
                <w:numId w:val="5"/>
              </w:numPr>
              <w:spacing w:line="300" w:lineRule="exact"/>
              <w:ind w:left="741"/>
              <w:rPr>
                <w:b/>
                <w:bCs/>
                <w:i/>
                <w:iCs/>
                <w:sz w:val="20"/>
                <w:szCs w:val="20"/>
              </w:rPr>
            </w:pPr>
            <w:r w:rsidRPr="0286FA84">
              <w:rPr>
                <w:b/>
                <w:bCs/>
                <w:i/>
                <w:iCs/>
                <w:sz w:val="20"/>
                <w:szCs w:val="20"/>
              </w:rPr>
              <w:t xml:space="preserve">introduction and scale up of </w:t>
            </w:r>
            <w:proofErr w:type="gramStart"/>
            <w:r w:rsidR="40BA2B93" w:rsidRPr="0286FA84">
              <w:rPr>
                <w:b/>
                <w:bCs/>
                <w:i/>
                <w:iCs/>
                <w:sz w:val="20"/>
                <w:szCs w:val="20"/>
              </w:rPr>
              <w:t>vaccines</w:t>
            </w:r>
            <w:r w:rsidR="7551062A" w:rsidRPr="0286FA84">
              <w:rPr>
                <w:b/>
                <w:bCs/>
                <w:i/>
                <w:iCs/>
                <w:sz w:val="20"/>
                <w:szCs w:val="20"/>
              </w:rPr>
              <w:t>;</w:t>
            </w:r>
            <w:proofErr w:type="gramEnd"/>
          </w:p>
          <w:p w14:paraId="1DC79B3B" w14:textId="2E55360D" w:rsidR="0071439C" w:rsidRPr="00544D9B" w:rsidRDefault="00532C23" w:rsidP="00CE1F57">
            <w:pPr>
              <w:pStyle w:val="ListParagraph"/>
              <w:numPr>
                <w:ilvl w:val="0"/>
                <w:numId w:val="5"/>
              </w:numPr>
              <w:spacing w:line="300" w:lineRule="exact"/>
              <w:ind w:left="741"/>
              <w:rPr>
                <w:b/>
                <w:i/>
                <w:sz w:val="20"/>
                <w:szCs w:val="20"/>
              </w:rPr>
            </w:pPr>
            <w:r>
              <w:rPr>
                <w:b/>
                <w:bCs/>
                <w:i/>
                <w:iCs/>
                <w:sz w:val="20"/>
                <w:szCs w:val="20"/>
              </w:rPr>
              <w:t>programm</w:t>
            </w:r>
            <w:r w:rsidR="00D740FF">
              <w:rPr>
                <w:b/>
                <w:bCs/>
                <w:i/>
                <w:iCs/>
                <w:sz w:val="20"/>
                <w:szCs w:val="20"/>
              </w:rPr>
              <w:t>a</w:t>
            </w:r>
            <w:r w:rsidR="0034188F">
              <w:rPr>
                <w:b/>
                <w:bCs/>
                <w:i/>
                <w:iCs/>
                <w:sz w:val="20"/>
                <w:szCs w:val="20"/>
              </w:rPr>
              <w:t>tic sustainability</w:t>
            </w:r>
            <w:r w:rsidR="00544D9B" w:rsidRPr="00544D9B">
              <w:rPr>
                <w:b/>
                <w:bCs/>
                <w:i/>
                <w:iCs/>
                <w:sz w:val="20"/>
                <w:szCs w:val="20"/>
              </w:rPr>
              <w:t>.</w:t>
            </w:r>
          </w:p>
        </w:tc>
      </w:tr>
      <w:tr w:rsidR="0071439C" w:rsidRPr="006A272B" w14:paraId="0A3FAE65" w14:textId="77777777" w:rsidTr="0286FA84">
        <w:tc>
          <w:tcPr>
            <w:tcW w:w="9192" w:type="dxa"/>
            <w:tcBorders>
              <w:top w:val="single" w:sz="4" w:space="0" w:color="auto"/>
              <w:left w:val="single" w:sz="4" w:space="0" w:color="auto"/>
              <w:bottom w:val="single" w:sz="4" w:space="0" w:color="auto"/>
              <w:right w:val="single" w:sz="4" w:space="0" w:color="auto"/>
            </w:tcBorders>
          </w:tcPr>
          <w:p w14:paraId="0C49E76B" w14:textId="5F528A02" w:rsidR="0071439C" w:rsidRPr="006A272B" w:rsidRDefault="00665019" w:rsidP="00FA09FE">
            <w:pPr>
              <w:spacing w:line="300" w:lineRule="exact"/>
              <w:rPr>
                <w:lang w:val="en-GB"/>
              </w:rPr>
            </w:pPr>
            <w:r w:rsidRPr="00976F66">
              <w:rPr>
                <w:rFonts w:ascii="Calibri" w:eastAsia="Times New Roman" w:hAnsi="Calibri" w:cs="Calibri"/>
                <w:iCs/>
                <w:lang w:val="en-GB"/>
              </w:rPr>
              <w:t xml:space="preserve">Engaging local partners with </w:t>
            </w:r>
            <w:r w:rsidR="00FA09FE">
              <w:rPr>
                <w:rFonts w:ascii="Calibri" w:eastAsia="Times New Roman" w:hAnsi="Calibri" w:cs="Calibri"/>
                <w:iCs/>
                <w:lang w:val="en-GB"/>
              </w:rPr>
              <w:t xml:space="preserve">the </w:t>
            </w:r>
            <w:r w:rsidRPr="00D963B1">
              <w:rPr>
                <w:rFonts w:ascii="Calibri" w:eastAsia="Times New Roman" w:hAnsi="Calibri" w:cs="Calibri"/>
                <w:iCs/>
                <w:lang w:val="en-GB"/>
              </w:rPr>
              <w:t xml:space="preserve">comparative advantage of working among the disadvantaged populations will assist the country to identify and reach the missed children and communities. Specifically, the country will engage partners with </w:t>
            </w:r>
            <w:r w:rsidR="00FA09FE" w:rsidRPr="00D963B1">
              <w:rPr>
                <w:rFonts w:ascii="Calibri" w:eastAsia="Times New Roman" w:hAnsi="Calibri" w:cs="Calibri"/>
                <w:iCs/>
                <w:lang w:val="en-GB"/>
              </w:rPr>
              <w:t xml:space="preserve">a </w:t>
            </w:r>
            <w:r w:rsidRPr="00D963B1">
              <w:rPr>
                <w:rFonts w:ascii="Calibri" w:eastAsia="Times New Roman" w:hAnsi="Calibri" w:cs="Calibri"/>
                <w:iCs/>
                <w:lang w:val="en-GB"/>
              </w:rPr>
              <w:t>demonstrated track record of working amo</w:t>
            </w:r>
            <w:r w:rsidR="00FA09FE" w:rsidRPr="00D963B1">
              <w:rPr>
                <w:rFonts w:ascii="Calibri" w:eastAsia="Times New Roman" w:hAnsi="Calibri" w:cs="Calibri"/>
                <w:iCs/>
                <w:lang w:val="en-GB"/>
              </w:rPr>
              <w:t>ng the fishing, mountainous, pastoralist/nomadic, cross-</w:t>
            </w:r>
            <w:r w:rsidRPr="00D963B1">
              <w:rPr>
                <w:rFonts w:ascii="Calibri" w:eastAsia="Times New Roman" w:hAnsi="Calibri" w:cs="Calibri"/>
                <w:iCs/>
                <w:lang w:val="en-GB"/>
              </w:rPr>
              <w:t>border population, IDPs, and refugees</w:t>
            </w:r>
            <w:r w:rsidRPr="00976F66">
              <w:rPr>
                <w:rFonts w:ascii="Calibri" w:eastAsia="Times New Roman" w:hAnsi="Calibri" w:cs="Calibri"/>
                <w:iCs/>
                <w:lang w:val="en-GB"/>
              </w:rPr>
              <w:t>. Harmonization, adaptation, and expansion of the Boma health initiative to counties and areas with large numbers of zero dose children and improved collaboration among the three separate but intertwined departments at all leve</w:t>
            </w:r>
            <w:r w:rsidR="00FA09FE">
              <w:rPr>
                <w:rFonts w:ascii="Calibri" w:eastAsia="Times New Roman" w:hAnsi="Calibri" w:cs="Calibri"/>
                <w:iCs/>
                <w:lang w:val="en-GB"/>
              </w:rPr>
              <w:t>ls of MOH will provide the much-</w:t>
            </w:r>
            <w:r w:rsidRPr="00976F66">
              <w:rPr>
                <w:rFonts w:ascii="Calibri" w:eastAsia="Times New Roman" w:hAnsi="Calibri" w:cs="Calibri"/>
                <w:iCs/>
                <w:lang w:val="en-GB"/>
              </w:rPr>
              <w:t xml:space="preserve">needed linkage between the EPI and the communities. The community-facility performance score cards, the easy-to-use dashboard linked with the EPI accountability framework, </w:t>
            </w:r>
            <w:r w:rsidR="00FA09FE">
              <w:rPr>
                <w:rFonts w:ascii="Calibri" w:eastAsia="Times New Roman" w:hAnsi="Calibri" w:cs="Calibri"/>
                <w:iCs/>
                <w:lang w:val="en-GB"/>
              </w:rPr>
              <w:t xml:space="preserve">the </w:t>
            </w:r>
            <w:r w:rsidRPr="00976F66">
              <w:rPr>
                <w:rFonts w:ascii="Calibri" w:eastAsia="Times New Roman" w:hAnsi="Calibri" w:cs="Calibri"/>
                <w:iCs/>
                <w:lang w:val="en-GB"/>
              </w:rPr>
              <w:t xml:space="preserve">regular updating of the roll of facilities providing EPI services will improve program accountability and encourage </w:t>
            </w:r>
            <w:r w:rsidR="00FA09FE">
              <w:rPr>
                <w:rFonts w:ascii="Calibri" w:eastAsia="Times New Roman" w:hAnsi="Calibri" w:cs="Calibri"/>
                <w:iCs/>
                <w:lang w:val="en-GB"/>
              </w:rPr>
              <w:t xml:space="preserve">the </w:t>
            </w:r>
            <w:r w:rsidRPr="00976F66">
              <w:rPr>
                <w:rFonts w:ascii="Calibri" w:eastAsia="Times New Roman" w:hAnsi="Calibri" w:cs="Calibri"/>
                <w:iCs/>
                <w:lang w:val="en-GB"/>
              </w:rPr>
              <w:t xml:space="preserve">use of data for decision making. The scale up </w:t>
            </w:r>
            <w:r w:rsidR="00FA09FE">
              <w:rPr>
                <w:rFonts w:ascii="Calibri" w:eastAsia="Times New Roman" w:hAnsi="Calibri" w:cs="Calibri"/>
                <w:iCs/>
                <w:lang w:val="en-GB"/>
              </w:rPr>
              <w:t xml:space="preserve">of the SMT from national to </w:t>
            </w:r>
            <w:r w:rsidRPr="00976F66">
              <w:rPr>
                <w:rFonts w:ascii="Calibri" w:eastAsia="Times New Roman" w:hAnsi="Calibri" w:cs="Calibri"/>
                <w:iCs/>
                <w:lang w:val="en-GB"/>
              </w:rPr>
              <w:t>county levels and the adaptation of the DHIS commodity management module to make it interoperable with the SMT coupled with regular supportive supervision by the EPI officers will improve stock reporting and vaccine management at</w:t>
            </w:r>
            <w:r w:rsidR="00FA09FE">
              <w:rPr>
                <w:rFonts w:ascii="Calibri" w:eastAsia="Times New Roman" w:hAnsi="Calibri" w:cs="Calibri"/>
                <w:iCs/>
                <w:lang w:val="en-GB"/>
              </w:rPr>
              <w:t xml:space="preserve"> the</w:t>
            </w:r>
            <w:r w:rsidRPr="00976F66">
              <w:rPr>
                <w:rFonts w:ascii="Calibri" w:eastAsia="Times New Roman" w:hAnsi="Calibri" w:cs="Calibri"/>
                <w:iCs/>
                <w:lang w:val="en-GB"/>
              </w:rPr>
              <w:t xml:space="preserve"> sub-national level. In addition, the development of an easy-to-use systematic cold chain inventory tool to collect quarterly data on the functionality of the cold chain will improve </w:t>
            </w:r>
            <w:r w:rsidR="00FA09FE">
              <w:rPr>
                <w:rFonts w:ascii="Calibri" w:eastAsia="Times New Roman" w:hAnsi="Calibri" w:cs="Calibri"/>
                <w:iCs/>
                <w:lang w:val="en-GB"/>
              </w:rPr>
              <w:t xml:space="preserve">the </w:t>
            </w:r>
            <w:r w:rsidRPr="00976F66">
              <w:rPr>
                <w:rFonts w:ascii="Calibri" w:eastAsia="Times New Roman" w:hAnsi="Calibri" w:cs="Calibri"/>
                <w:iCs/>
                <w:lang w:val="en-GB"/>
              </w:rPr>
              <w:t xml:space="preserve">visibility of the cold chain investments by Gavi and other donors. The requested TCA will be used for </w:t>
            </w:r>
            <w:r w:rsidR="00FA09FE">
              <w:rPr>
                <w:rFonts w:ascii="Calibri" w:eastAsia="Times New Roman" w:hAnsi="Calibri" w:cs="Calibri"/>
                <w:iCs/>
                <w:lang w:val="en-GB"/>
              </w:rPr>
              <w:t>the introduction of the new vaccines</w:t>
            </w:r>
            <w:r w:rsidR="008809E1">
              <w:rPr>
                <w:rFonts w:ascii="Calibri" w:eastAsia="Times New Roman" w:hAnsi="Calibri" w:cs="Calibri"/>
                <w:iCs/>
                <w:lang w:val="en-GB"/>
              </w:rPr>
              <w:t xml:space="preserve"> (Rotavirus, Pneumococcal, and the second dose of measles containing vaccine)</w:t>
            </w:r>
            <w:r w:rsidR="00FA09FE">
              <w:rPr>
                <w:rFonts w:ascii="Calibri" w:eastAsia="Times New Roman" w:hAnsi="Calibri" w:cs="Calibri"/>
                <w:iCs/>
                <w:lang w:val="en-GB"/>
              </w:rPr>
              <w:t>.</w:t>
            </w:r>
            <w:r w:rsidRPr="00976F66">
              <w:rPr>
                <w:rFonts w:ascii="Calibri" w:eastAsia="Times New Roman" w:hAnsi="Calibri" w:cs="Calibri"/>
                <w:iCs/>
                <w:lang w:val="en-GB"/>
              </w:rPr>
              <w:t xml:space="preserve"> To ensure technical programmatic sustainability, all requested TCA will be embedded in the MOH to work alongside the MOH focal points for knowledge and skills exchange.</w:t>
            </w:r>
          </w:p>
        </w:tc>
      </w:tr>
      <w:tr w:rsidR="002E0882" w14:paraId="733DCE72" w14:textId="77777777" w:rsidTr="0286FA84">
        <w:tc>
          <w:tcPr>
            <w:tcW w:w="9192" w:type="dxa"/>
            <w:tcBorders>
              <w:top w:val="single" w:sz="4" w:space="0" w:color="auto"/>
              <w:bottom w:val="single" w:sz="4" w:space="0" w:color="auto"/>
            </w:tcBorders>
            <w:shd w:val="clear" w:color="auto" w:fill="F2F2F2" w:themeFill="background1" w:themeFillShade="F2"/>
          </w:tcPr>
          <w:p w14:paraId="39970F96" w14:textId="5B7ADA76" w:rsidR="002E0882" w:rsidRPr="00CF3BC4" w:rsidRDefault="002E0882" w:rsidP="007B53D1">
            <w:pPr>
              <w:pStyle w:val="ListParagraph"/>
              <w:spacing w:line="300" w:lineRule="exact"/>
              <w:ind w:left="0"/>
              <w:rPr>
                <w:b/>
                <w:bCs/>
                <w:i/>
                <w:iCs/>
                <w:color w:val="000000" w:themeColor="text1"/>
                <w:sz w:val="20"/>
                <w:szCs w:val="20"/>
              </w:rPr>
            </w:pPr>
            <w:r>
              <w:rPr>
                <w:b/>
                <w:bCs/>
                <w:i/>
                <w:iCs/>
                <w:sz w:val="20"/>
                <w:szCs w:val="20"/>
              </w:rPr>
              <w:t xml:space="preserve">2.3 </w:t>
            </w:r>
            <w:r w:rsidRPr="00CF3BC4">
              <w:rPr>
                <w:b/>
                <w:bCs/>
                <w:i/>
                <w:iCs/>
                <w:sz w:val="20"/>
                <w:szCs w:val="20"/>
              </w:rPr>
              <w:t xml:space="preserve">How will you use new vaccine introductions and campaigns planned during this period to further </w:t>
            </w:r>
            <w:r w:rsidR="00BE66F8">
              <w:rPr>
                <w:b/>
                <w:bCs/>
                <w:i/>
                <w:iCs/>
                <w:sz w:val="20"/>
                <w:szCs w:val="20"/>
              </w:rPr>
              <w:t>stre</w:t>
            </w:r>
            <w:r w:rsidR="00AF4BE7">
              <w:rPr>
                <w:b/>
                <w:bCs/>
                <w:i/>
                <w:iCs/>
                <w:sz w:val="20"/>
                <w:szCs w:val="20"/>
              </w:rPr>
              <w:t>ngthen the areas indicated under question 2.2?</w:t>
            </w:r>
            <w:r w:rsidR="00BE66F8">
              <w:rPr>
                <w:b/>
                <w:bCs/>
                <w:i/>
                <w:iCs/>
                <w:sz w:val="20"/>
                <w:szCs w:val="20"/>
              </w:rPr>
              <w:t xml:space="preserve"> </w:t>
            </w:r>
          </w:p>
        </w:tc>
      </w:tr>
      <w:tr w:rsidR="002E0882" w:rsidRPr="006A272B" w14:paraId="3B0C1B4D" w14:textId="77777777" w:rsidTr="0286FA84">
        <w:tc>
          <w:tcPr>
            <w:tcW w:w="9192" w:type="dxa"/>
            <w:tcBorders>
              <w:top w:val="single" w:sz="4" w:space="0" w:color="auto"/>
              <w:left w:val="single" w:sz="4" w:space="0" w:color="auto"/>
              <w:bottom w:val="single" w:sz="4" w:space="0" w:color="auto"/>
              <w:right w:val="single" w:sz="4" w:space="0" w:color="auto"/>
            </w:tcBorders>
          </w:tcPr>
          <w:p w14:paraId="5CD74C71" w14:textId="77777777" w:rsidR="00FA09FE" w:rsidRPr="00FA09FE" w:rsidRDefault="00FA09FE" w:rsidP="00FA09FE">
            <w:pPr>
              <w:jc w:val="both"/>
              <w:rPr>
                <w:bCs/>
                <w:iCs/>
                <w:sz w:val="20"/>
                <w:szCs w:val="20"/>
              </w:rPr>
            </w:pPr>
            <w:r w:rsidRPr="00FA09FE">
              <w:rPr>
                <w:bCs/>
                <w:iCs/>
                <w:sz w:val="20"/>
                <w:szCs w:val="20"/>
              </w:rPr>
              <w:t xml:space="preserve">The requested TA will support the new </w:t>
            </w:r>
            <w:proofErr w:type="gramStart"/>
            <w:r w:rsidRPr="00FA09FE">
              <w:rPr>
                <w:bCs/>
                <w:iCs/>
                <w:sz w:val="20"/>
                <w:szCs w:val="20"/>
              </w:rPr>
              <w:t>vaccines</w:t>
            </w:r>
            <w:proofErr w:type="gramEnd"/>
            <w:r w:rsidRPr="00FA09FE">
              <w:rPr>
                <w:bCs/>
                <w:iCs/>
                <w:sz w:val="20"/>
                <w:szCs w:val="20"/>
              </w:rPr>
              <w:t xml:space="preserve"> introduction and the planned campaign. Traditionally, the additional resources linked to new vaccine introduction have created opportunities to engage with the country leadership, engage with the community, create momentum for improved uptake of the existing vaccines, and strengthen the components of the EPI program. South Sudan is planning to </w:t>
            </w:r>
            <w:r w:rsidRPr="00FA09FE">
              <w:rPr>
                <w:bCs/>
                <w:iCs/>
                <w:sz w:val="20"/>
                <w:szCs w:val="20"/>
              </w:rPr>
              <w:lastRenderedPageBreak/>
              <w:t xml:space="preserve">conduct a follow-up measles campaign in 2023 and introduce the second dose of measles vaccine, pneumococcal, and rotavirus vaccines in the five years of this plan. </w:t>
            </w:r>
          </w:p>
          <w:p w14:paraId="4A9C84E3" w14:textId="77777777" w:rsidR="00FA09FE" w:rsidRPr="00FA09FE" w:rsidRDefault="00FA09FE" w:rsidP="00FA09FE">
            <w:pPr>
              <w:jc w:val="both"/>
              <w:rPr>
                <w:bCs/>
                <w:iCs/>
                <w:sz w:val="20"/>
                <w:szCs w:val="20"/>
              </w:rPr>
            </w:pPr>
            <w:r w:rsidRPr="00FA09FE">
              <w:rPr>
                <w:bCs/>
                <w:iCs/>
                <w:sz w:val="20"/>
                <w:szCs w:val="20"/>
              </w:rPr>
              <w:t xml:space="preserve">Local partners with experience working among the disadvantaged communities will be engaged directly or as subcontractors to manage the measles campaign. The multi-antigen “measles” campaign will be conducted in 33 counties with the largest numbers of measles zero dose children while data on missed populations and zero dose children will be collected in the remaining 47 counties. The collected data will be used to plan for the PIRI type of activities in the 47 counties to close the vaccination gap soon after the measles campaign. Further, the post-campaign evaluation will be used to identify the areas with zero-dose children for attention through the routine immunization. Demand generation activities leading to the measles campaign will be tailored to promote routine vaccination (specific messages to encourage caregivers to complete the vaccination schedule). In addition, vaccinators’ capacity for vaccine administration, storage, documentation, measles surveillance, and community engagement will be strengthened during the training before the campaign. Training and supervision for vaccine &amp; logistics management including vaccine accountability during the campaign are opportunities to further build on the </w:t>
            </w:r>
            <w:proofErr w:type="spellStart"/>
            <w:r w:rsidRPr="00FA09FE">
              <w:rPr>
                <w:bCs/>
                <w:iCs/>
                <w:sz w:val="20"/>
                <w:szCs w:val="20"/>
              </w:rPr>
              <w:t>iSC</w:t>
            </w:r>
            <w:proofErr w:type="spellEnd"/>
            <w:r w:rsidRPr="00FA09FE">
              <w:rPr>
                <w:bCs/>
                <w:iCs/>
                <w:sz w:val="20"/>
                <w:szCs w:val="20"/>
              </w:rPr>
              <w:t xml:space="preserve"> system. </w:t>
            </w:r>
          </w:p>
          <w:p w14:paraId="2525ED44" w14:textId="71A2D047" w:rsidR="002E0882" w:rsidRPr="006A272B" w:rsidRDefault="00FA09FE" w:rsidP="00FA09FE">
            <w:pPr>
              <w:spacing w:line="300" w:lineRule="exact"/>
              <w:rPr>
                <w:lang w:val="en-GB"/>
              </w:rPr>
            </w:pPr>
            <w:r w:rsidRPr="00FA09FE">
              <w:rPr>
                <w:bCs/>
                <w:iCs/>
                <w:sz w:val="20"/>
                <w:szCs w:val="20"/>
              </w:rPr>
              <w:t>The requested TA will support the country to prepare for the introduction of the new vaccines. The local partners will be used to create demand and implementation of the new vaccines among the disadvantaged populations. The meticulous bottoms-up micro planning for new vaccines, the training for frontline health workers, Boma-health workers, the EPI officers who conduct mentorship for the frontline health workers, the revision of the recording and reporting tools, revision of surveillance tools and the data elements in the DHIS 2, are additional opportunities to build the capacity of the EPI program in South Sudan.</w:t>
            </w:r>
          </w:p>
        </w:tc>
      </w:tr>
      <w:tr w:rsidR="00D353AF" w14:paraId="124CC764" w14:textId="77777777" w:rsidTr="0286FA84">
        <w:tc>
          <w:tcPr>
            <w:tcW w:w="9192" w:type="dxa"/>
            <w:tcBorders>
              <w:top w:val="single" w:sz="4" w:space="0" w:color="auto"/>
              <w:bottom w:val="single" w:sz="4" w:space="0" w:color="auto"/>
            </w:tcBorders>
            <w:shd w:val="clear" w:color="auto" w:fill="F2F2F2" w:themeFill="background1" w:themeFillShade="F2"/>
          </w:tcPr>
          <w:p w14:paraId="374B434F" w14:textId="56886AD9" w:rsidR="00D353AF" w:rsidRDefault="00D353AF" w:rsidP="007B53D1">
            <w:pPr>
              <w:spacing w:line="300" w:lineRule="exact"/>
              <w:rPr>
                <w:b/>
                <w:i/>
                <w:iCs/>
                <w:color w:val="000000" w:themeColor="text1"/>
                <w:sz w:val="20"/>
                <w:szCs w:val="20"/>
                <w:lang w:val="en-GB"/>
              </w:rPr>
            </w:pPr>
            <w:r>
              <w:rPr>
                <w:b/>
                <w:i/>
                <w:iCs/>
                <w:color w:val="000000" w:themeColor="text1"/>
                <w:sz w:val="20"/>
                <w:szCs w:val="20"/>
                <w:lang w:val="en-GB"/>
              </w:rPr>
              <w:lastRenderedPageBreak/>
              <w:t xml:space="preserve">2.4 </w:t>
            </w:r>
            <w:r w:rsidRPr="00EC7215">
              <w:rPr>
                <w:b/>
                <w:i/>
                <w:iCs/>
                <w:color w:val="000000" w:themeColor="text1"/>
                <w:sz w:val="20"/>
                <w:szCs w:val="20"/>
                <w:lang w:val="en-GB"/>
              </w:rPr>
              <w:t>Describe how the T</w:t>
            </w:r>
            <w:r>
              <w:rPr>
                <w:b/>
                <w:i/>
                <w:iCs/>
                <w:color w:val="000000" w:themeColor="text1"/>
                <w:sz w:val="20"/>
                <w:szCs w:val="20"/>
                <w:lang w:val="en-GB"/>
              </w:rPr>
              <w:t>C</w:t>
            </w:r>
            <w:r w:rsidRPr="00EC7215">
              <w:rPr>
                <w:b/>
                <w:i/>
                <w:iCs/>
                <w:color w:val="000000" w:themeColor="text1"/>
                <w:sz w:val="20"/>
                <w:szCs w:val="20"/>
                <w:lang w:val="en-GB"/>
              </w:rPr>
              <w:t xml:space="preserve">A </w:t>
            </w:r>
            <w:r w:rsidR="00C21E0A">
              <w:rPr>
                <w:b/>
                <w:i/>
                <w:iCs/>
                <w:color w:val="000000" w:themeColor="text1"/>
                <w:sz w:val="20"/>
                <w:szCs w:val="20"/>
                <w:lang w:val="en-GB"/>
              </w:rPr>
              <w:t>support</w:t>
            </w:r>
            <w:r w:rsidRPr="00EC7215">
              <w:rPr>
                <w:b/>
                <w:i/>
                <w:iCs/>
                <w:color w:val="000000" w:themeColor="text1"/>
                <w:sz w:val="20"/>
                <w:szCs w:val="20"/>
                <w:lang w:val="en-GB"/>
              </w:rPr>
              <w:t xml:space="preserve"> will help re-establish routine immunisation services and any other COVID-19 related recovery activities. </w:t>
            </w:r>
          </w:p>
          <w:p w14:paraId="5D61F6FA" w14:textId="77777777" w:rsidR="00D353AF" w:rsidRPr="0041751A" w:rsidRDefault="00D353AF" w:rsidP="007B53D1">
            <w:pPr>
              <w:spacing w:line="300" w:lineRule="exact"/>
              <w:rPr>
                <w:b/>
                <w:bCs/>
                <w:i/>
                <w:iCs/>
                <w:color w:val="70AD47" w:themeColor="accent6"/>
                <w:sz w:val="20"/>
                <w:szCs w:val="20"/>
                <w:lang w:val="en-GB"/>
              </w:rPr>
            </w:pPr>
            <w:r w:rsidRPr="006C01EA">
              <w:rPr>
                <w:bCs/>
                <w:i/>
                <w:iCs/>
                <w:color w:val="000000" w:themeColor="text1"/>
                <w:sz w:val="20"/>
                <w:szCs w:val="20"/>
                <w:lang w:val="en-GB"/>
              </w:rPr>
              <w:t>P</w:t>
            </w:r>
            <w:r w:rsidRPr="006C01EA">
              <w:rPr>
                <w:bCs/>
                <w:i/>
                <w:iCs/>
                <w:sz w:val="20"/>
                <w:szCs w:val="20"/>
                <w:lang w:val="en-GB"/>
              </w:rPr>
              <w:t>lease indicate any COVID-19 related reallocation that may have occurred for previous TCA funds (if applicable); does this reallocation remain relevant for this proposal.</w:t>
            </w:r>
          </w:p>
        </w:tc>
      </w:tr>
      <w:tr w:rsidR="00D353AF" w14:paraId="14D7F47D" w14:textId="77777777" w:rsidTr="0286FA84">
        <w:tc>
          <w:tcPr>
            <w:tcW w:w="9192" w:type="dxa"/>
            <w:tcBorders>
              <w:top w:val="single" w:sz="4" w:space="0" w:color="auto"/>
              <w:left w:val="single" w:sz="4" w:space="0" w:color="auto"/>
              <w:bottom w:val="single" w:sz="4" w:space="0" w:color="auto"/>
              <w:right w:val="single" w:sz="4" w:space="0" w:color="auto"/>
            </w:tcBorders>
          </w:tcPr>
          <w:p w14:paraId="2689F064" w14:textId="2F474364" w:rsidR="00D353AF" w:rsidRDefault="00782B17" w:rsidP="00782B17">
            <w:pPr>
              <w:spacing w:line="300" w:lineRule="exact"/>
              <w:rPr>
                <w:color w:val="92D050"/>
                <w:lang w:val="en-GB"/>
              </w:rPr>
            </w:pPr>
            <w:r w:rsidRPr="00782B17">
              <w:rPr>
                <w:bCs/>
                <w:iCs/>
                <w:sz w:val="20"/>
                <w:szCs w:val="20"/>
                <w:lang w:val="en-GB"/>
              </w:rPr>
              <w:t>Fortunately, the additional support from Gavi (T</w:t>
            </w:r>
            <w:r w:rsidR="00D218FC">
              <w:rPr>
                <w:bCs/>
                <w:iCs/>
                <w:sz w:val="20"/>
                <w:szCs w:val="20"/>
                <w:lang w:val="en-GB"/>
              </w:rPr>
              <w:t xml:space="preserve">CA &amp; CDS) and other donors </w:t>
            </w:r>
            <w:r w:rsidRPr="00782B17">
              <w:rPr>
                <w:bCs/>
                <w:iCs/>
                <w:sz w:val="20"/>
                <w:szCs w:val="20"/>
                <w:lang w:val="en-GB"/>
              </w:rPr>
              <w:t xml:space="preserve">mitigated the detrimental effects of covid pandemic and covid vaccination on routine vaccination (including TA). South Sudan's approach to covid vaccination is two </w:t>
            </w:r>
            <w:proofErr w:type="gramStart"/>
            <w:r w:rsidRPr="00782B17">
              <w:rPr>
                <w:bCs/>
                <w:iCs/>
                <w:sz w:val="20"/>
                <w:szCs w:val="20"/>
                <w:lang w:val="en-GB"/>
              </w:rPr>
              <w:t>prongs;</w:t>
            </w:r>
            <w:proofErr w:type="gramEnd"/>
            <w:r w:rsidRPr="00782B17">
              <w:rPr>
                <w:bCs/>
                <w:iCs/>
                <w:sz w:val="20"/>
                <w:szCs w:val="20"/>
                <w:lang w:val="en-GB"/>
              </w:rPr>
              <w:t xml:space="preserve"> mass vaccination and routine vaccination using fixed facilities and periodic outreach and mobile clinics. </w:t>
            </w:r>
            <w:r>
              <w:rPr>
                <w:bCs/>
                <w:iCs/>
                <w:sz w:val="20"/>
                <w:szCs w:val="20"/>
                <w:lang w:val="en-GB"/>
              </w:rPr>
              <w:t xml:space="preserve"> To preserve the RI, Additional TA and HRH were</w:t>
            </w:r>
            <w:r w:rsidRPr="00782B17">
              <w:rPr>
                <w:bCs/>
                <w:iCs/>
                <w:sz w:val="20"/>
                <w:szCs w:val="20"/>
                <w:lang w:val="en-GB"/>
              </w:rPr>
              <w:t xml:space="preserve"> recruited to support covid vaccination. </w:t>
            </w:r>
            <w:r>
              <w:rPr>
                <w:bCs/>
                <w:iCs/>
                <w:sz w:val="20"/>
                <w:szCs w:val="20"/>
                <w:lang w:val="en-GB"/>
              </w:rPr>
              <w:t>However, s</w:t>
            </w:r>
            <w:r w:rsidRPr="00782B17">
              <w:rPr>
                <w:bCs/>
                <w:iCs/>
                <w:sz w:val="20"/>
                <w:szCs w:val="20"/>
                <w:lang w:val="en-GB"/>
              </w:rPr>
              <w:t>ince the evolution of the covid pandemic is not clear, the country is taking careful steps to integrate the covid vaccination into routine immunization. The requested TCA will therefore support covid vaccination as an integrated component of the routine immunization.</w:t>
            </w:r>
          </w:p>
        </w:tc>
      </w:tr>
      <w:tr w:rsidR="00D353AF" w14:paraId="7CB90E66" w14:textId="77777777" w:rsidTr="0286FA84">
        <w:tc>
          <w:tcPr>
            <w:tcW w:w="9192" w:type="dxa"/>
            <w:tcBorders>
              <w:top w:val="single" w:sz="4" w:space="0" w:color="auto"/>
              <w:bottom w:val="single" w:sz="4" w:space="0" w:color="auto"/>
            </w:tcBorders>
            <w:shd w:val="clear" w:color="auto" w:fill="F2F2F2" w:themeFill="background1" w:themeFillShade="F2"/>
          </w:tcPr>
          <w:p w14:paraId="341DF7D2" w14:textId="20697518" w:rsidR="00D353AF" w:rsidRPr="00777960" w:rsidRDefault="00D353AF" w:rsidP="007B53D1">
            <w:pPr>
              <w:spacing w:line="300" w:lineRule="exact"/>
              <w:rPr>
                <w:bCs/>
                <w:i/>
                <w:iCs/>
                <w:sz w:val="20"/>
                <w:szCs w:val="20"/>
                <w:lang w:val="en-GB"/>
              </w:rPr>
            </w:pPr>
            <w:r>
              <w:rPr>
                <w:b/>
                <w:i/>
                <w:iCs/>
                <w:color w:val="000000" w:themeColor="text1"/>
                <w:sz w:val="20"/>
                <w:szCs w:val="20"/>
                <w:lang w:val="en-GB"/>
              </w:rPr>
              <w:t xml:space="preserve">2.5 </w:t>
            </w:r>
            <w:r w:rsidRPr="00777960">
              <w:rPr>
                <w:b/>
                <w:i/>
                <w:iCs/>
                <w:color w:val="000000" w:themeColor="text1"/>
                <w:sz w:val="20"/>
                <w:szCs w:val="20"/>
                <w:lang w:val="en-GB"/>
              </w:rPr>
              <w:t xml:space="preserve">Describe how the </w:t>
            </w:r>
            <w:r>
              <w:rPr>
                <w:b/>
                <w:i/>
                <w:iCs/>
                <w:color w:val="000000" w:themeColor="text1"/>
                <w:sz w:val="20"/>
                <w:szCs w:val="20"/>
                <w:lang w:val="en-GB"/>
              </w:rPr>
              <w:t>TCA</w:t>
            </w:r>
            <w:r w:rsidRPr="00777960">
              <w:rPr>
                <w:b/>
                <w:i/>
                <w:iCs/>
                <w:color w:val="000000" w:themeColor="text1"/>
                <w:sz w:val="20"/>
                <w:szCs w:val="20"/>
                <w:lang w:val="en-GB"/>
              </w:rPr>
              <w:t xml:space="preserve"> </w:t>
            </w:r>
            <w:r w:rsidR="00630A26">
              <w:rPr>
                <w:b/>
                <w:i/>
                <w:iCs/>
                <w:color w:val="000000" w:themeColor="text1"/>
                <w:sz w:val="20"/>
                <w:szCs w:val="20"/>
                <w:lang w:val="en-GB"/>
              </w:rPr>
              <w:t>support will</w:t>
            </w:r>
            <w:r w:rsidRPr="00777960">
              <w:rPr>
                <w:b/>
                <w:i/>
                <w:iCs/>
                <w:color w:val="000000" w:themeColor="text1"/>
                <w:sz w:val="20"/>
                <w:szCs w:val="20"/>
                <w:lang w:val="en-GB"/>
              </w:rPr>
              <w:t xml:space="preserve"> identif</w:t>
            </w:r>
            <w:r w:rsidR="00630A26">
              <w:rPr>
                <w:b/>
                <w:i/>
                <w:iCs/>
                <w:color w:val="000000" w:themeColor="text1"/>
                <w:sz w:val="20"/>
                <w:szCs w:val="20"/>
                <w:lang w:val="en-GB"/>
              </w:rPr>
              <w:t>y</w:t>
            </w:r>
            <w:r w:rsidRPr="00777960">
              <w:rPr>
                <w:b/>
                <w:i/>
                <w:iCs/>
                <w:color w:val="000000" w:themeColor="text1"/>
                <w:sz w:val="20"/>
                <w:szCs w:val="20"/>
                <w:lang w:val="en-GB"/>
              </w:rPr>
              <w:t xml:space="preserve"> and/or overcome already known gender-related </w:t>
            </w:r>
            <w:r>
              <w:rPr>
                <w:b/>
                <w:i/>
                <w:iCs/>
                <w:color w:val="000000" w:themeColor="text1"/>
                <w:sz w:val="20"/>
                <w:szCs w:val="20"/>
                <w:lang w:val="en-GB"/>
              </w:rPr>
              <w:t xml:space="preserve">or other </w:t>
            </w:r>
            <w:r w:rsidRPr="00777960">
              <w:rPr>
                <w:b/>
                <w:i/>
                <w:iCs/>
                <w:color w:val="000000" w:themeColor="text1"/>
                <w:sz w:val="20"/>
                <w:szCs w:val="20"/>
                <w:lang w:val="en-GB"/>
              </w:rPr>
              <w:t xml:space="preserve">barriers to immunisation activities. Please respond </w:t>
            </w:r>
            <w:r w:rsidR="00A733BF">
              <w:rPr>
                <w:b/>
                <w:i/>
                <w:iCs/>
                <w:color w:val="000000" w:themeColor="text1"/>
                <w:sz w:val="20"/>
                <w:szCs w:val="20"/>
                <w:lang w:val="en-GB"/>
              </w:rPr>
              <w:t xml:space="preserve">to </w:t>
            </w:r>
            <w:r w:rsidRPr="00777960">
              <w:rPr>
                <w:b/>
                <w:i/>
                <w:iCs/>
                <w:color w:val="000000" w:themeColor="text1"/>
                <w:sz w:val="20"/>
                <w:szCs w:val="20"/>
                <w:lang w:val="en-GB"/>
              </w:rPr>
              <w:t>how each partner can help address this.</w:t>
            </w:r>
          </w:p>
        </w:tc>
      </w:tr>
      <w:tr w:rsidR="00D353AF" w14:paraId="251D4101" w14:textId="77777777" w:rsidTr="0286FA84">
        <w:trPr>
          <w:trHeight w:val="103"/>
        </w:trPr>
        <w:tc>
          <w:tcPr>
            <w:tcW w:w="9192" w:type="dxa"/>
            <w:tcBorders>
              <w:top w:val="single" w:sz="4" w:space="0" w:color="auto"/>
              <w:left w:val="single" w:sz="4" w:space="0" w:color="auto"/>
              <w:bottom w:val="single" w:sz="4" w:space="0" w:color="auto"/>
              <w:right w:val="single" w:sz="4" w:space="0" w:color="auto"/>
            </w:tcBorders>
            <w:shd w:val="clear" w:color="auto" w:fill="auto"/>
          </w:tcPr>
          <w:p w14:paraId="35C65328" w14:textId="37526BC9" w:rsidR="00782B17" w:rsidRPr="00782B17" w:rsidRDefault="00782B17" w:rsidP="00782B17">
            <w:pPr>
              <w:jc w:val="both"/>
              <w:rPr>
                <w:iCs/>
                <w:color w:val="000000" w:themeColor="text1"/>
                <w:sz w:val="20"/>
                <w:szCs w:val="20"/>
                <w:lang w:val="en-GB"/>
              </w:rPr>
            </w:pPr>
            <w:r w:rsidRPr="00782B17">
              <w:rPr>
                <w:iCs/>
                <w:color w:val="000000" w:themeColor="text1"/>
                <w:sz w:val="20"/>
                <w:szCs w:val="20"/>
                <w:lang w:val="en-GB"/>
              </w:rPr>
              <w:t xml:space="preserve">As stated earlier, only 44% of the South Sudan population has access to health services. Geographical inaccessibility is therefore the main challenge facing EPI services. Long distances have been cited in many reports as an overwhelming barrier to accessing EPI services in South Sudan. Although </w:t>
            </w:r>
            <w:proofErr w:type="gramStart"/>
            <w:r w:rsidRPr="00782B17">
              <w:rPr>
                <w:iCs/>
                <w:color w:val="000000" w:themeColor="text1"/>
                <w:sz w:val="20"/>
                <w:szCs w:val="20"/>
                <w:lang w:val="en-GB"/>
              </w:rPr>
              <w:t>child care</w:t>
            </w:r>
            <w:proofErr w:type="gramEnd"/>
            <w:r w:rsidRPr="00782B17">
              <w:rPr>
                <w:iCs/>
                <w:color w:val="000000" w:themeColor="text1"/>
                <w:sz w:val="20"/>
                <w:szCs w:val="20"/>
                <w:lang w:val="en-GB"/>
              </w:rPr>
              <w:t xml:space="preserve"> is a responsibility of the female caregivers, the decision-making and economic power in most communities in South Sudan are with the male caregiver/heads of the family. </w:t>
            </w:r>
            <w:r w:rsidR="004F79F7">
              <w:rPr>
                <w:iCs/>
                <w:color w:val="000000" w:themeColor="text1"/>
                <w:sz w:val="20"/>
                <w:szCs w:val="20"/>
                <w:lang w:val="en-GB"/>
              </w:rPr>
              <w:t xml:space="preserve">An overwhelming majority of vaccinators and the Boma health workers are male. Low literacy levels and low motivation among female have been cited as possible reasons for the few </w:t>
            </w:r>
            <w:proofErr w:type="gramStart"/>
            <w:r w:rsidR="004F79F7">
              <w:rPr>
                <w:iCs/>
                <w:color w:val="000000" w:themeColor="text1"/>
                <w:sz w:val="20"/>
                <w:szCs w:val="20"/>
                <w:lang w:val="en-GB"/>
              </w:rPr>
              <w:t>female</w:t>
            </w:r>
            <w:proofErr w:type="gramEnd"/>
            <w:r w:rsidR="004F79F7">
              <w:rPr>
                <w:iCs/>
                <w:color w:val="000000" w:themeColor="text1"/>
                <w:sz w:val="20"/>
                <w:szCs w:val="20"/>
                <w:lang w:val="en-GB"/>
              </w:rPr>
              <w:t xml:space="preserve"> serving as health workers. Focus group discussions conducted to understand the low uptake of covid vaccines among females identified the male–dominated services as a barrier to accessing services.  </w:t>
            </w:r>
            <w:r w:rsidRPr="00782B17">
              <w:rPr>
                <w:iCs/>
                <w:color w:val="000000" w:themeColor="text1"/>
                <w:sz w:val="20"/>
                <w:szCs w:val="20"/>
                <w:lang w:val="en-GB"/>
              </w:rPr>
              <w:t xml:space="preserve">Lack of knowledge (importance of </w:t>
            </w:r>
            <w:r w:rsidRPr="00782B17">
              <w:rPr>
                <w:iCs/>
                <w:color w:val="000000" w:themeColor="text1"/>
                <w:sz w:val="20"/>
                <w:szCs w:val="20"/>
                <w:lang w:val="en-GB"/>
              </w:rPr>
              <w:lastRenderedPageBreak/>
              <w:t>vaccination services, when and where to get services, fear of side effects of vaccines) are contributors to the low uptake of vaccination services. Conflict resulting in the displacement of communities coupled with the high economic inflation rates makes vaccination a lesser priority to the caregivers. Inconvenient working hours for the urban poor and caregivers with other demanding livelihood priorities are barriers to vaccination.</w:t>
            </w:r>
          </w:p>
          <w:p w14:paraId="626A5A76" w14:textId="28CB3147" w:rsidR="00D353AF" w:rsidRPr="00CF3BC4" w:rsidRDefault="00782B17" w:rsidP="009607D9">
            <w:pPr>
              <w:spacing w:line="300" w:lineRule="exact"/>
              <w:rPr>
                <w:b/>
                <w:bCs/>
                <w:i/>
                <w:iCs/>
                <w:sz w:val="20"/>
                <w:szCs w:val="20"/>
              </w:rPr>
            </w:pPr>
            <w:r w:rsidRPr="00782B17">
              <w:rPr>
                <w:iCs/>
                <w:color w:val="000000" w:themeColor="text1"/>
                <w:sz w:val="20"/>
                <w:szCs w:val="20"/>
                <w:lang w:val="en-GB"/>
              </w:rPr>
              <w:t xml:space="preserve">The requested TA will support the expansion of the Boma health initiative focusing on areas with large numbers of zero-dose </w:t>
            </w:r>
            <w:proofErr w:type="spellStart"/>
            <w:proofErr w:type="gramStart"/>
            <w:r w:rsidRPr="00782B17">
              <w:rPr>
                <w:iCs/>
                <w:color w:val="000000" w:themeColor="text1"/>
                <w:sz w:val="20"/>
                <w:szCs w:val="20"/>
                <w:lang w:val="en-GB"/>
              </w:rPr>
              <w:t>children.</w:t>
            </w:r>
            <w:r w:rsidR="00A449AC">
              <w:rPr>
                <w:iCs/>
                <w:color w:val="000000" w:themeColor="text1"/>
                <w:sz w:val="20"/>
                <w:szCs w:val="20"/>
                <w:lang w:val="en-GB"/>
              </w:rPr>
              <w:t>In</w:t>
            </w:r>
            <w:proofErr w:type="spellEnd"/>
            <w:proofErr w:type="gramEnd"/>
            <w:r w:rsidR="00A449AC">
              <w:rPr>
                <w:iCs/>
                <w:color w:val="000000" w:themeColor="text1"/>
                <w:sz w:val="20"/>
                <w:szCs w:val="20"/>
                <w:lang w:val="en-GB"/>
              </w:rPr>
              <w:t xml:space="preserve"> addition, t</w:t>
            </w:r>
            <w:r w:rsidR="004F79F7">
              <w:rPr>
                <w:iCs/>
                <w:color w:val="000000" w:themeColor="text1"/>
                <w:sz w:val="20"/>
                <w:szCs w:val="20"/>
                <w:lang w:val="en-GB"/>
              </w:rPr>
              <w:t xml:space="preserve">he TA will assist MOH to </w:t>
            </w:r>
            <w:r w:rsidR="00A449AC">
              <w:rPr>
                <w:iCs/>
                <w:color w:val="000000" w:themeColor="text1"/>
                <w:sz w:val="20"/>
                <w:szCs w:val="20"/>
                <w:lang w:val="en-GB"/>
              </w:rPr>
              <w:t xml:space="preserve">identify gender-related barriers and develop gender responsive strategies for them. </w:t>
            </w:r>
            <w:r w:rsidRPr="00782B17">
              <w:rPr>
                <w:iCs/>
                <w:color w:val="000000" w:themeColor="text1"/>
                <w:sz w:val="20"/>
                <w:szCs w:val="20"/>
                <w:lang w:val="en-GB"/>
              </w:rPr>
              <w:t xml:space="preserve"> The community dialogue meetings, the monthly facility-BHW meetings, and the quarterly Boma health committees-facility meetings will provide opportunities to better understand the needs of the community, identify barriers, and jointly plan to overcome them. The local partners have extensive experience working with disadvantaged communities. The country would leverage its community competency to overcome the barriers to immunization services. Timely, complete, and quality data, use of dashboards (improved interpretation of data during performance review meetings), and use of score cards at the facility and the community level will improve the capacity of the county health teams and the BHWs to identify missed communities and areas with large numbers of zero dose children for attention. </w:t>
            </w:r>
            <w:proofErr w:type="spellStart"/>
            <w:r w:rsidRPr="00782B17">
              <w:rPr>
                <w:iCs/>
                <w:color w:val="000000" w:themeColor="text1"/>
                <w:sz w:val="20"/>
                <w:szCs w:val="20"/>
                <w:lang w:val="en-GB"/>
              </w:rPr>
              <w:t>iSC</w:t>
            </w:r>
            <w:proofErr w:type="spellEnd"/>
            <w:r w:rsidRPr="00782B17">
              <w:rPr>
                <w:iCs/>
                <w:color w:val="000000" w:themeColor="text1"/>
                <w:sz w:val="20"/>
                <w:szCs w:val="20"/>
                <w:lang w:val="en-GB"/>
              </w:rPr>
              <w:t xml:space="preserve"> TCA will help design a comprehensive vaccine supply strategy (including an effective vaccine visibility platform) that will address among other things the last mile delivery to minimize stockouts (and overstocking) of vaccines that result in missed opportunities for vaccination. </w:t>
            </w:r>
          </w:p>
        </w:tc>
      </w:tr>
      <w:tr w:rsidR="00D353AF" w14:paraId="2605CFC3" w14:textId="77777777" w:rsidTr="0286FA84">
        <w:tc>
          <w:tcPr>
            <w:tcW w:w="9192" w:type="dxa"/>
            <w:tcBorders>
              <w:top w:val="single" w:sz="4" w:space="0" w:color="auto"/>
              <w:bottom w:val="single" w:sz="4" w:space="0" w:color="auto"/>
            </w:tcBorders>
            <w:shd w:val="clear" w:color="auto" w:fill="F2F2F2" w:themeFill="background1" w:themeFillShade="F2"/>
          </w:tcPr>
          <w:p w14:paraId="71D225EC" w14:textId="23CD8FD6" w:rsidR="00D353AF" w:rsidRPr="008C7464" w:rsidRDefault="00D353AF" w:rsidP="007B53D1">
            <w:pPr>
              <w:spacing w:line="300" w:lineRule="exact"/>
              <w:rPr>
                <w:b/>
                <w:bCs/>
                <w:color w:val="92D050"/>
                <w:lang w:val="en-GB"/>
              </w:rPr>
            </w:pPr>
            <w:r>
              <w:rPr>
                <w:b/>
                <w:bCs/>
                <w:i/>
                <w:iCs/>
                <w:sz w:val="20"/>
                <w:szCs w:val="20"/>
              </w:rPr>
              <w:lastRenderedPageBreak/>
              <w:t xml:space="preserve">2.6 </w:t>
            </w:r>
            <w:r w:rsidRPr="00CF3BC4">
              <w:rPr>
                <w:b/>
                <w:bCs/>
                <w:i/>
                <w:iCs/>
                <w:sz w:val="20"/>
                <w:szCs w:val="20"/>
              </w:rPr>
              <w:t xml:space="preserve">Describe </w:t>
            </w:r>
            <w:r>
              <w:rPr>
                <w:b/>
                <w:bCs/>
                <w:i/>
                <w:iCs/>
                <w:sz w:val="20"/>
                <w:szCs w:val="20"/>
              </w:rPr>
              <w:t xml:space="preserve">how </w:t>
            </w:r>
            <w:r w:rsidRPr="00CF3BC4">
              <w:rPr>
                <w:b/>
                <w:bCs/>
                <w:i/>
                <w:iCs/>
                <w:sz w:val="20"/>
                <w:szCs w:val="20"/>
              </w:rPr>
              <w:t xml:space="preserve">you </w:t>
            </w:r>
            <w:proofErr w:type="spellStart"/>
            <w:r w:rsidRPr="00CF3BC4">
              <w:rPr>
                <w:b/>
                <w:bCs/>
                <w:i/>
                <w:iCs/>
                <w:sz w:val="20"/>
                <w:szCs w:val="20"/>
              </w:rPr>
              <w:t>prioritise</w:t>
            </w:r>
            <w:r>
              <w:rPr>
                <w:b/>
                <w:bCs/>
                <w:i/>
                <w:iCs/>
                <w:sz w:val="20"/>
                <w:szCs w:val="20"/>
              </w:rPr>
              <w:t>d</w:t>
            </w:r>
            <w:proofErr w:type="spellEnd"/>
            <w:r w:rsidRPr="00CF3BC4">
              <w:rPr>
                <w:b/>
                <w:bCs/>
                <w:i/>
                <w:iCs/>
                <w:sz w:val="20"/>
                <w:szCs w:val="20"/>
              </w:rPr>
              <w:t xml:space="preserve"> the interventions to be supported by Gavi</w:t>
            </w:r>
            <w:r w:rsidR="008839F8">
              <w:rPr>
                <w:b/>
                <w:bCs/>
                <w:i/>
                <w:iCs/>
                <w:sz w:val="20"/>
                <w:szCs w:val="20"/>
              </w:rPr>
              <w:t xml:space="preserve"> under requested TCA support</w:t>
            </w:r>
            <w:r>
              <w:rPr>
                <w:b/>
                <w:bCs/>
                <w:i/>
                <w:iCs/>
                <w:sz w:val="20"/>
                <w:szCs w:val="20"/>
              </w:rPr>
              <w:t>.</w:t>
            </w:r>
          </w:p>
        </w:tc>
      </w:tr>
      <w:tr w:rsidR="00D353AF" w14:paraId="4C4783D9" w14:textId="77777777" w:rsidTr="0286FA84">
        <w:tc>
          <w:tcPr>
            <w:tcW w:w="9192" w:type="dxa"/>
            <w:tcBorders>
              <w:top w:val="single" w:sz="4" w:space="0" w:color="auto"/>
              <w:left w:val="single" w:sz="4" w:space="0" w:color="auto"/>
              <w:bottom w:val="single" w:sz="4" w:space="0" w:color="auto"/>
              <w:right w:val="single" w:sz="4" w:space="0" w:color="auto"/>
            </w:tcBorders>
          </w:tcPr>
          <w:p w14:paraId="48003D96" w14:textId="7EA3603B" w:rsidR="00D353AF" w:rsidRDefault="5A910447" w:rsidP="009607D9">
            <w:pPr>
              <w:spacing w:line="300" w:lineRule="exact"/>
              <w:rPr>
                <w:color w:val="92D050"/>
                <w:lang w:val="en-GB"/>
              </w:rPr>
            </w:pPr>
            <w:r w:rsidRPr="0286FA84">
              <w:rPr>
                <w:sz w:val="20"/>
                <w:szCs w:val="20"/>
              </w:rPr>
              <w:t>The requested TCA support is based on the proposed Gavi’s investments in the</w:t>
            </w:r>
            <w:r w:rsidR="75AF027C" w:rsidRPr="0286FA84">
              <w:rPr>
                <w:sz w:val="20"/>
                <w:szCs w:val="20"/>
              </w:rPr>
              <w:t xml:space="preserve"> F</w:t>
            </w:r>
            <w:r w:rsidR="04A9EC15" w:rsidRPr="0286FA84">
              <w:rPr>
                <w:sz w:val="20"/>
                <w:szCs w:val="20"/>
              </w:rPr>
              <w:t>ull Portfolio Planning</w:t>
            </w:r>
            <w:r w:rsidR="75AF027C" w:rsidRPr="0286FA84">
              <w:rPr>
                <w:sz w:val="20"/>
                <w:szCs w:val="20"/>
              </w:rPr>
              <w:t xml:space="preserve"> T</w:t>
            </w:r>
            <w:r w:rsidR="04A9EC15" w:rsidRPr="0286FA84">
              <w:rPr>
                <w:sz w:val="20"/>
                <w:szCs w:val="20"/>
              </w:rPr>
              <w:t xml:space="preserve">heory of Change (FPP </w:t>
            </w:r>
            <w:proofErr w:type="spellStart"/>
            <w:r w:rsidR="04A9EC15" w:rsidRPr="0286FA84">
              <w:rPr>
                <w:sz w:val="20"/>
                <w:szCs w:val="20"/>
              </w:rPr>
              <w:t>T</w:t>
            </w:r>
            <w:r w:rsidR="75AF027C" w:rsidRPr="0286FA84">
              <w:rPr>
                <w:sz w:val="20"/>
                <w:szCs w:val="20"/>
              </w:rPr>
              <w:t>oC</w:t>
            </w:r>
            <w:proofErr w:type="spellEnd"/>
            <w:r w:rsidR="04A9EC15" w:rsidRPr="0286FA84">
              <w:rPr>
                <w:sz w:val="20"/>
                <w:szCs w:val="20"/>
              </w:rPr>
              <w:t>)</w:t>
            </w:r>
            <w:r w:rsidR="75AF027C" w:rsidRPr="0286FA84">
              <w:rPr>
                <w:sz w:val="20"/>
                <w:szCs w:val="20"/>
              </w:rPr>
              <w:t xml:space="preserve"> and Workplan</w:t>
            </w:r>
            <w:r w:rsidRPr="0286FA84">
              <w:rPr>
                <w:sz w:val="20"/>
                <w:szCs w:val="20"/>
              </w:rPr>
              <w:t>. Only TCA that addresses the gaps identified in the situation assessment was prioritized. Priority was given to interventions that will have the greatest impact in terms of reaching more children and women, especially in areas with large numbers of zero-dose children. The best combination of TCA to achieve the program objective was prioritized.</w:t>
            </w:r>
          </w:p>
        </w:tc>
      </w:tr>
    </w:tbl>
    <w:p w14:paraId="4DAF51E8" w14:textId="0B86255A" w:rsidR="007172E8" w:rsidRDefault="007172E8"/>
    <w:p w14:paraId="058C1B7B" w14:textId="4CE56EFB" w:rsidR="007172E8" w:rsidRPr="00264FC1" w:rsidRDefault="007172E8" w:rsidP="00CE1F57">
      <w:pPr>
        <w:pStyle w:val="ListParagraph"/>
        <w:numPr>
          <w:ilvl w:val="0"/>
          <w:numId w:val="4"/>
        </w:numPr>
        <w:spacing w:line="300" w:lineRule="exact"/>
        <w:ind w:left="426"/>
        <w:rPr>
          <w:b/>
          <w:bCs/>
          <w:color w:val="70AD47" w:themeColor="accent6"/>
          <w:sz w:val="26"/>
          <w:szCs w:val="26"/>
          <w:lang w:val="en-GB"/>
        </w:rPr>
      </w:pPr>
      <w:r w:rsidRPr="00264FC1">
        <w:rPr>
          <w:b/>
          <w:bCs/>
          <w:color w:val="70AD47" w:themeColor="accent6"/>
          <w:sz w:val="26"/>
          <w:szCs w:val="26"/>
          <w:lang w:val="en-GB"/>
        </w:rPr>
        <w:t>Partner di</w:t>
      </w:r>
      <w:r w:rsidR="00067D86" w:rsidRPr="00264FC1">
        <w:rPr>
          <w:b/>
          <w:bCs/>
          <w:color w:val="70AD47" w:themeColor="accent6"/>
          <w:sz w:val="26"/>
          <w:szCs w:val="26"/>
          <w:lang w:val="en-GB"/>
        </w:rPr>
        <w:t>versification</w:t>
      </w:r>
      <w:r w:rsidR="0033192A">
        <w:rPr>
          <w:b/>
          <w:bCs/>
          <w:color w:val="70AD47" w:themeColor="accent6"/>
          <w:sz w:val="26"/>
          <w:szCs w:val="26"/>
          <w:lang w:val="en-GB"/>
        </w:rPr>
        <w:t xml:space="preserve"> (0.5 page)</w:t>
      </w: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gridCol w:w="22"/>
      </w:tblGrid>
      <w:tr w:rsidR="00E80A44" w14:paraId="3D086D68" w14:textId="77777777" w:rsidTr="171964E3">
        <w:trPr>
          <w:gridAfter w:val="1"/>
          <w:wAfter w:w="22" w:type="dxa"/>
          <w:trHeight w:val="846"/>
        </w:trPr>
        <w:tc>
          <w:tcPr>
            <w:tcW w:w="9170" w:type="dxa"/>
            <w:shd w:val="clear" w:color="auto" w:fill="F2F2F2" w:themeFill="background1" w:themeFillShade="F2"/>
          </w:tcPr>
          <w:p w14:paraId="642D6855" w14:textId="4912D86F" w:rsidR="00E80A44" w:rsidRDefault="5DC5FCD4" w:rsidP="00E80A44">
            <w:pPr>
              <w:spacing w:line="300" w:lineRule="exact"/>
              <w:rPr>
                <w:color w:val="92D050"/>
                <w:lang w:val="en-GB"/>
              </w:rPr>
            </w:pPr>
            <w:r w:rsidRPr="171964E3">
              <w:rPr>
                <w:b/>
                <w:bCs/>
                <w:i/>
                <w:iCs/>
                <w:color w:val="000000" w:themeColor="text1"/>
                <w:sz w:val="20"/>
                <w:szCs w:val="20"/>
                <w:lang w:val="en-GB"/>
              </w:rPr>
              <w:t>3.1</w:t>
            </w:r>
            <w:r w:rsidR="575F96EB" w:rsidRPr="171964E3">
              <w:rPr>
                <w:b/>
                <w:bCs/>
                <w:i/>
                <w:iCs/>
                <w:color w:val="000000" w:themeColor="text1"/>
                <w:sz w:val="20"/>
                <w:szCs w:val="20"/>
                <w:lang w:val="en-GB"/>
              </w:rPr>
              <w:t xml:space="preserve"> Describe which partners you have already </w:t>
            </w:r>
            <w:r w:rsidR="040D3F71" w:rsidRPr="171964E3">
              <w:rPr>
                <w:b/>
                <w:bCs/>
                <w:i/>
                <w:iCs/>
                <w:color w:val="000000" w:themeColor="text1"/>
                <w:sz w:val="20"/>
                <w:szCs w:val="20"/>
                <w:lang w:val="en-GB"/>
              </w:rPr>
              <w:t>mapped</w:t>
            </w:r>
            <w:r w:rsidR="575F96EB" w:rsidRPr="171964E3">
              <w:rPr>
                <w:b/>
                <w:bCs/>
                <w:i/>
                <w:iCs/>
                <w:color w:val="000000" w:themeColor="text1"/>
                <w:sz w:val="20"/>
                <w:szCs w:val="20"/>
                <w:lang w:val="en-GB"/>
              </w:rPr>
              <w:t xml:space="preserve">, including Alliance and Expanded partners </w:t>
            </w:r>
            <w:r w:rsidR="68734C3B" w:rsidRPr="171964E3">
              <w:rPr>
                <w:b/>
                <w:bCs/>
                <w:i/>
                <w:iCs/>
                <w:color w:val="000000" w:themeColor="text1"/>
                <w:sz w:val="20"/>
                <w:szCs w:val="20"/>
                <w:lang w:val="en-GB"/>
              </w:rPr>
              <w:t xml:space="preserve">(including </w:t>
            </w:r>
            <w:r w:rsidR="6B1B2548" w:rsidRPr="171964E3">
              <w:rPr>
                <w:b/>
                <w:bCs/>
                <w:i/>
                <w:iCs/>
                <w:color w:val="000000" w:themeColor="text1"/>
                <w:sz w:val="20"/>
                <w:szCs w:val="20"/>
                <w:lang w:val="en-GB"/>
              </w:rPr>
              <w:t>Global Partners,</w:t>
            </w:r>
            <w:r w:rsidR="68734C3B" w:rsidRPr="171964E3">
              <w:rPr>
                <w:b/>
                <w:bCs/>
                <w:i/>
                <w:iCs/>
                <w:color w:val="000000" w:themeColor="text1"/>
                <w:sz w:val="20"/>
                <w:szCs w:val="20"/>
                <w:lang w:val="en-GB"/>
              </w:rPr>
              <w:t xml:space="preserve"> </w:t>
            </w:r>
            <w:r w:rsidR="575F96EB" w:rsidRPr="171964E3">
              <w:rPr>
                <w:b/>
                <w:bCs/>
                <w:i/>
                <w:iCs/>
                <w:color w:val="000000" w:themeColor="text1"/>
                <w:sz w:val="20"/>
                <w:szCs w:val="20"/>
                <w:lang w:val="en-GB"/>
              </w:rPr>
              <w:t>Local Partners</w:t>
            </w:r>
            <w:r w:rsidR="68734C3B" w:rsidRPr="171964E3">
              <w:rPr>
                <w:b/>
                <w:bCs/>
                <w:i/>
                <w:iCs/>
                <w:color w:val="000000" w:themeColor="text1"/>
                <w:sz w:val="20"/>
                <w:szCs w:val="20"/>
                <w:lang w:val="en-GB"/>
              </w:rPr>
              <w:t xml:space="preserve"> and</w:t>
            </w:r>
            <w:r w:rsidR="575F96EB" w:rsidRPr="171964E3">
              <w:rPr>
                <w:b/>
                <w:bCs/>
                <w:i/>
                <w:iCs/>
                <w:color w:val="000000" w:themeColor="text1"/>
                <w:sz w:val="20"/>
                <w:szCs w:val="20"/>
                <w:lang w:val="en-GB"/>
              </w:rPr>
              <w:t xml:space="preserve"> CSOs</w:t>
            </w:r>
            <w:r w:rsidR="68734C3B" w:rsidRPr="171964E3">
              <w:rPr>
                <w:b/>
                <w:bCs/>
                <w:i/>
                <w:iCs/>
                <w:color w:val="000000" w:themeColor="text1"/>
                <w:sz w:val="20"/>
                <w:szCs w:val="20"/>
                <w:lang w:val="en-GB"/>
              </w:rPr>
              <w:t>)</w:t>
            </w:r>
            <w:r w:rsidR="575F96EB" w:rsidRPr="171964E3">
              <w:rPr>
                <w:b/>
                <w:bCs/>
                <w:i/>
                <w:iCs/>
                <w:color w:val="000000" w:themeColor="text1"/>
                <w:sz w:val="20"/>
                <w:szCs w:val="20"/>
                <w:lang w:val="en-GB"/>
              </w:rPr>
              <w:t xml:space="preserve"> to support the activit</w:t>
            </w:r>
            <w:r w:rsidR="157271BB" w:rsidRPr="171964E3">
              <w:rPr>
                <w:b/>
                <w:bCs/>
                <w:i/>
                <w:iCs/>
                <w:color w:val="000000" w:themeColor="text1"/>
                <w:sz w:val="20"/>
                <w:szCs w:val="20"/>
                <w:lang w:val="en-GB"/>
              </w:rPr>
              <w:t>ies</w:t>
            </w:r>
            <w:r w:rsidR="575F96EB" w:rsidRPr="171964E3">
              <w:rPr>
                <w:b/>
                <w:bCs/>
                <w:i/>
                <w:iCs/>
                <w:color w:val="000000" w:themeColor="text1"/>
                <w:sz w:val="20"/>
                <w:szCs w:val="20"/>
                <w:lang w:val="en-GB"/>
              </w:rPr>
              <w:t xml:space="preserve"> implementation?</w:t>
            </w:r>
            <w:r w:rsidR="5FEE39C0" w:rsidRPr="171964E3">
              <w:rPr>
                <w:b/>
                <w:bCs/>
                <w:i/>
                <w:iCs/>
                <w:sz w:val="20"/>
                <w:szCs w:val="20"/>
                <w:lang w:val="en-GB"/>
              </w:rPr>
              <w:t xml:space="preserve"> (Refer to the</w:t>
            </w:r>
            <w:r w:rsidR="132F7B01" w:rsidRPr="171964E3">
              <w:rPr>
                <w:b/>
                <w:bCs/>
                <w:i/>
                <w:iCs/>
                <w:sz w:val="20"/>
                <w:szCs w:val="20"/>
                <w:lang w:val="en-GB"/>
              </w:rPr>
              <w:t xml:space="preserve"> </w:t>
            </w:r>
            <w:hyperlink r:id="rId14">
              <w:r w:rsidR="132F7B01" w:rsidRPr="171964E3">
                <w:rPr>
                  <w:rStyle w:val="Hyperlink"/>
                  <w:b/>
                  <w:bCs/>
                  <w:i/>
                  <w:iCs/>
                  <w:sz w:val="20"/>
                  <w:szCs w:val="20"/>
                  <w:lang w:val="en-GB"/>
                </w:rPr>
                <w:t>PEF Targeted Country Assistance (TCA) Guidance for 2022-2025 Multi-Year Planning</w:t>
              </w:r>
            </w:hyperlink>
            <w:r w:rsidR="5FEE39C0" w:rsidRPr="171964E3">
              <w:rPr>
                <w:b/>
                <w:bCs/>
                <w:i/>
                <w:iCs/>
                <w:sz w:val="20"/>
                <w:szCs w:val="20"/>
                <w:lang w:val="en-GB"/>
              </w:rPr>
              <w:t xml:space="preserve"> for the type of institutions considered global versus local partners and CSOs.)</w:t>
            </w:r>
          </w:p>
        </w:tc>
      </w:tr>
      <w:tr w:rsidR="00520598" w14:paraId="62BDF2A5" w14:textId="77777777" w:rsidTr="171964E3">
        <w:tc>
          <w:tcPr>
            <w:tcW w:w="9170" w:type="dxa"/>
            <w:gridSpan w:val="2"/>
            <w:tcBorders>
              <w:top w:val="single" w:sz="4" w:space="0" w:color="auto"/>
              <w:left w:val="single" w:sz="4" w:space="0" w:color="auto"/>
              <w:bottom w:val="single" w:sz="4" w:space="0" w:color="auto"/>
              <w:right w:val="single" w:sz="4" w:space="0" w:color="auto"/>
            </w:tcBorders>
          </w:tcPr>
          <w:p w14:paraId="18AA925F" w14:textId="7B6BE984" w:rsidR="00520598" w:rsidRDefault="00782B17" w:rsidP="009607D9">
            <w:pPr>
              <w:spacing w:line="300" w:lineRule="exact"/>
              <w:rPr>
                <w:color w:val="92D050"/>
                <w:lang w:val="en-GB"/>
              </w:rPr>
            </w:pPr>
            <w:r w:rsidRPr="00782B17">
              <w:rPr>
                <w:bCs/>
                <w:iCs/>
                <w:sz w:val="20"/>
                <w:szCs w:val="20"/>
              </w:rPr>
              <w:t>W</w:t>
            </w:r>
            <w:r w:rsidR="00A449AC">
              <w:rPr>
                <w:bCs/>
                <w:iCs/>
                <w:sz w:val="20"/>
                <w:szCs w:val="20"/>
              </w:rPr>
              <w:t>orld Health Organization</w:t>
            </w:r>
            <w:r w:rsidRPr="00782B17">
              <w:rPr>
                <w:bCs/>
                <w:iCs/>
                <w:sz w:val="20"/>
                <w:szCs w:val="20"/>
              </w:rPr>
              <w:t>, U</w:t>
            </w:r>
            <w:r w:rsidR="00A449AC">
              <w:rPr>
                <w:bCs/>
                <w:iCs/>
                <w:sz w:val="20"/>
                <w:szCs w:val="20"/>
              </w:rPr>
              <w:t xml:space="preserve">nited </w:t>
            </w:r>
            <w:r w:rsidRPr="00782B17">
              <w:rPr>
                <w:bCs/>
                <w:iCs/>
                <w:sz w:val="20"/>
                <w:szCs w:val="20"/>
              </w:rPr>
              <w:t>N</w:t>
            </w:r>
            <w:r w:rsidR="00A449AC">
              <w:rPr>
                <w:bCs/>
                <w:iCs/>
                <w:sz w:val="20"/>
                <w:szCs w:val="20"/>
              </w:rPr>
              <w:t xml:space="preserve">ations International </w:t>
            </w:r>
            <w:r w:rsidRPr="00782B17">
              <w:rPr>
                <w:bCs/>
                <w:iCs/>
                <w:sz w:val="20"/>
                <w:szCs w:val="20"/>
              </w:rPr>
              <w:t>C</w:t>
            </w:r>
            <w:r w:rsidR="00A449AC">
              <w:rPr>
                <w:bCs/>
                <w:iCs/>
                <w:sz w:val="20"/>
                <w:szCs w:val="20"/>
              </w:rPr>
              <w:t xml:space="preserve">hildren’s Emergency </w:t>
            </w:r>
            <w:r w:rsidRPr="00782B17">
              <w:rPr>
                <w:bCs/>
                <w:iCs/>
                <w:sz w:val="20"/>
                <w:szCs w:val="20"/>
              </w:rPr>
              <w:t>F</w:t>
            </w:r>
            <w:r w:rsidR="00A449AC">
              <w:rPr>
                <w:bCs/>
                <w:iCs/>
                <w:sz w:val="20"/>
                <w:szCs w:val="20"/>
              </w:rPr>
              <w:t>und</w:t>
            </w:r>
            <w:r w:rsidRPr="00782B17">
              <w:rPr>
                <w:bCs/>
                <w:iCs/>
                <w:sz w:val="20"/>
                <w:szCs w:val="20"/>
              </w:rPr>
              <w:t>, I</w:t>
            </w:r>
            <w:r w:rsidR="00A449AC">
              <w:rPr>
                <w:bCs/>
                <w:iCs/>
                <w:sz w:val="20"/>
                <w:szCs w:val="20"/>
              </w:rPr>
              <w:t xml:space="preserve">nternational </w:t>
            </w:r>
            <w:r w:rsidRPr="00782B17">
              <w:rPr>
                <w:bCs/>
                <w:iCs/>
                <w:sz w:val="20"/>
                <w:szCs w:val="20"/>
              </w:rPr>
              <w:t>O</w:t>
            </w:r>
            <w:r w:rsidR="00A449AC">
              <w:rPr>
                <w:bCs/>
                <w:iCs/>
                <w:sz w:val="20"/>
                <w:szCs w:val="20"/>
              </w:rPr>
              <w:t xml:space="preserve">rganization for </w:t>
            </w:r>
            <w:r w:rsidRPr="00782B17">
              <w:rPr>
                <w:bCs/>
                <w:iCs/>
                <w:sz w:val="20"/>
                <w:szCs w:val="20"/>
              </w:rPr>
              <w:t>M</w:t>
            </w:r>
            <w:r w:rsidR="00A449AC">
              <w:rPr>
                <w:bCs/>
                <w:iCs/>
                <w:sz w:val="20"/>
                <w:szCs w:val="20"/>
              </w:rPr>
              <w:t>igrants</w:t>
            </w:r>
            <w:r w:rsidRPr="00782B17">
              <w:rPr>
                <w:bCs/>
                <w:iCs/>
                <w:sz w:val="20"/>
                <w:szCs w:val="20"/>
              </w:rPr>
              <w:t>, H</w:t>
            </w:r>
            <w:r w:rsidR="00A449AC">
              <w:rPr>
                <w:bCs/>
                <w:iCs/>
                <w:sz w:val="20"/>
                <w:szCs w:val="20"/>
              </w:rPr>
              <w:t xml:space="preserve">ealth </w:t>
            </w:r>
            <w:r w:rsidRPr="00782B17">
              <w:rPr>
                <w:bCs/>
                <w:iCs/>
                <w:sz w:val="20"/>
                <w:szCs w:val="20"/>
              </w:rPr>
              <w:t>P</w:t>
            </w:r>
            <w:r w:rsidR="00A449AC">
              <w:rPr>
                <w:bCs/>
                <w:iCs/>
                <w:sz w:val="20"/>
                <w:szCs w:val="20"/>
              </w:rPr>
              <w:t xml:space="preserve">ooled </w:t>
            </w:r>
            <w:r w:rsidRPr="00782B17">
              <w:rPr>
                <w:bCs/>
                <w:iCs/>
                <w:sz w:val="20"/>
                <w:szCs w:val="20"/>
              </w:rPr>
              <w:t>F</w:t>
            </w:r>
            <w:r w:rsidR="00A449AC">
              <w:rPr>
                <w:bCs/>
                <w:iCs/>
                <w:sz w:val="20"/>
                <w:szCs w:val="20"/>
              </w:rPr>
              <w:t>und</w:t>
            </w:r>
            <w:r w:rsidRPr="00782B17">
              <w:rPr>
                <w:bCs/>
                <w:iCs/>
                <w:sz w:val="20"/>
                <w:szCs w:val="20"/>
              </w:rPr>
              <w:t>, Crown Agent, A</w:t>
            </w:r>
            <w:r w:rsidR="00A449AC">
              <w:rPr>
                <w:bCs/>
                <w:iCs/>
                <w:sz w:val="20"/>
                <w:szCs w:val="20"/>
              </w:rPr>
              <w:t xml:space="preserve">frican Field Epidemiology </w:t>
            </w:r>
            <w:proofErr w:type="gramStart"/>
            <w:r w:rsidR="00A449AC">
              <w:rPr>
                <w:bCs/>
                <w:iCs/>
                <w:sz w:val="20"/>
                <w:szCs w:val="20"/>
              </w:rPr>
              <w:t xml:space="preserve">Network </w:t>
            </w:r>
            <w:r w:rsidRPr="00782B17">
              <w:rPr>
                <w:bCs/>
                <w:iCs/>
                <w:sz w:val="20"/>
                <w:szCs w:val="20"/>
              </w:rPr>
              <w:t>,</w:t>
            </w:r>
            <w:proofErr w:type="gramEnd"/>
            <w:r w:rsidRPr="00782B17">
              <w:rPr>
                <w:bCs/>
                <w:iCs/>
                <w:sz w:val="20"/>
                <w:szCs w:val="20"/>
              </w:rPr>
              <w:t xml:space="preserve"> J</w:t>
            </w:r>
            <w:r w:rsidR="00A449AC">
              <w:rPr>
                <w:bCs/>
                <w:iCs/>
                <w:sz w:val="20"/>
                <w:szCs w:val="20"/>
              </w:rPr>
              <w:t xml:space="preserve">ohn </w:t>
            </w:r>
            <w:r w:rsidRPr="00782B17">
              <w:rPr>
                <w:bCs/>
                <w:iCs/>
                <w:sz w:val="20"/>
                <w:szCs w:val="20"/>
              </w:rPr>
              <w:t>S</w:t>
            </w:r>
            <w:r w:rsidR="00A449AC">
              <w:rPr>
                <w:bCs/>
                <w:iCs/>
                <w:sz w:val="20"/>
                <w:szCs w:val="20"/>
              </w:rPr>
              <w:t xml:space="preserve">now </w:t>
            </w:r>
            <w:r w:rsidRPr="00782B17">
              <w:rPr>
                <w:bCs/>
                <w:iCs/>
                <w:sz w:val="20"/>
                <w:szCs w:val="20"/>
              </w:rPr>
              <w:t>I</w:t>
            </w:r>
            <w:r w:rsidR="00A449AC">
              <w:rPr>
                <w:bCs/>
                <w:iCs/>
                <w:sz w:val="20"/>
                <w:szCs w:val="20"/>
              </w:rPr>
              <w:t>nc</w:t>
            </w:r>
            <w:r w:rsidRPr="00782B17">
              <w:rPr>
                <w:bCs/>
                <w:iCs/>
                <w:sz w:val="20"/>
                <w:szCs w:val="20"/>
              </w:rPr>
              <w:t>, A</w:t>
            </w:r>
            <w:r w:rsidR="00A449AC">
              <w:rPr>
                <w:bCs/>
                <w:iCs/>
                <w:sz w:val="20"/>
                <w:szCs w:val="20"/>
              </w:rPr>
              <w:t xml:space="preserve">ccess </w:t>
            </w:r>
            <w:r w:rsidRPr="00782B17">
              <w:rPr>
                <w:bCs/>
                <w:iCs/>
                <w:sz w:val="20"/>
                <w:szCs w:val="20"/>
              </w:rPr>
              <w:t>F</w:t>
            </w:r>
            <w:r w:rsidR="00A449AC">
              <w:rPr>
                <w:bCs/>
                <w:iCs/>
                <w:sz w:val="20"/>
                <w:szCs w:val="20"/>
              </w:rPr>
              <w:t xml:space="preserve">or </w:t>
            </w:r>
            <w:r w:rsidRPr="00782B17">
              <w:rPr>
                <w:bCs/>
                <w:iCs/>
                <w:sz w:val="20"/>
                <w:szCs w:val="20"/>
              </w:rPr>
              <w:t>H</w:t>
            </w:r>
            <w:r w:rsidR="00A449AC">
              <w:rPr>
                <w:bCs/>
                <w:iCs/>
                <w:sz w:val="20"/>
                <w:szCs w:val="20"/>
              </w:rPr>
              <w:t>umanity</w:t>
            </w:r>
          </w:p>
        </w:tc>
      </w:tr>
      <w:tr w:rsidR="00520598" w14:paraId="72481A8B" w14:textId="77777777" w:rsidTr="171964E3">
        <w:trPr>
          <w:trHeight w:val="845"/>
        </w:trPr>
        <w:tc>
          <w:tcPr>
            <w:tcW w:w="9170" w:type="dxa"/>
            <w:gridSpan w:val="2"/>
            <w:shd w:val="clear" w:color="auto" w:fill="F2F2F2" w:themeFill="background1" w:themeFillShade="F2"/>
          </w:tcPr>
          <w:p w14:paraId="29991F07" w14:textId="3033826F" w:rsidR="00520598" w:rsidRPr="00520598" w:rsidRDefault="57992AEF" w:rsidP="171964E3">
            <w:pPr>
              <w:spacing w:line="300" w:lineRule="exact"/>
              <w:rPr>
                <w:b/>
                <w:bCs/>
                <w:i/>
                <w:iCs/>
                <w:color w:val="000000" w:themeColor="text1"/>
                <w:sz w:val="20"/>
                <w:szCs w:val="20"/>
                <w:lang w:val="en-GB"/>
              </w:rPr>
            </w:pPr>
            <w:r w:rsidRPr="171964E3">
              <w:rPr>
                <w:b/>
                <w:bCs/>
                <w:i/>
                <w:iCs/>
                <w:sz w:val="20"/>
                <w:szCs w:val="20"/>
                <w:lang w:val="en-GB"/>
              </w:rPr>
              <w:t>3.2 Please indicate how exactly you plan to collaborate with Local Partners</w:t>
            </w:r>
            <w:r w:rsidR="5B35BCB4" w:rsidRPr="171964E3">
              <w:rPr>
                <w:b/>
                <w:bCs/>
                <w:i/>
                <w:iCs/>
                <w:sz w:val="20"/>
                <w:szCs w:val="20"/>
                <w:lang w:val="en-GB"/>
              </w:rPr>
              <w:t>.</w:t>
            </w:r>
          </w:p>
        </w:tc>
      </w:tr>
      <w:tr w:rsidR="00E80A44" w14:paraId="5B4D7083" w14:textId="77777777" w:rsidTr="171964E3">
        <w:trPr>
          <w:gridAfter w:val="1"/>
          <w:wAfter w:w="22" w:type="dxa"/>
        </w:trPr>
        <w:tc>
          <w:tcPr>
            <w:tcW w:w="9170" w:type="dxa"/>
            <w:tcBorders>
              <w:top w:val="single" w:sz="4" w:space="0" w:color="auto"/>
              <w:left w:val="single" w:sz="4" w:space="0" w:color="auto"/>
              <w:bottom w:val="single" w:sz="4" w:space="0" w:color="auto"/>
              <w:right w:val="single" w:sz="4" w:space="0" w:color="auto"/>
            </w:tcBorders>
          </w:tcPr>
          <w:p w14:paraId="166ADF6C" w14:textId="1F584C25" w:rsidR="001C7484" w:rsidRPr="001C7484" w:rsidRDefault="001C7484" w:rsidP="001C7484">
            <w:pPr>
              <w:jc w:val="both"/>
              <w:rPr>
                <w:bCs/>
                <w:iCs/>
                <w:sz w:val="20"/>
                <w:szCs w:val="20"/>
              </w:rPr>
            </w:pPr>
            <w:r w:rsidRPr="001C7484">
              <w:rPr>
                <w:bCs/>
                <w:iCs/>
                <w:sz w:val="20"/>
                <w:szCs w:val="20"/>
              </w:rPr>
              <w:t>In South Sudan, PHC services including EPI services are implemented by a network of local and international CSOs</w:t>
            </w:r>
            <w:r w:rsidR="007C7850">
              <w:rPr>
                <w:bCs/>
                <w:iCs/>
                <w:sz w:val="20"/>
                <w:szCs w:val="20"/>
              </w:rPr>
              <w:t xml:space="preserve"> (see annex 1 below)</w:t>
            </w:r>
            <w:r w:rsidRPr="001C7484">
              <w:rPr>
                <w:bCs/>
                <w:iCs/>
                <w:sz w:val="20"/>
                <w:szCs w:val="20"/>
              </w:rPr>
              <w:t xml:space="preserve">. The CSOs are contracted by either the Health Pooled Fund (HPF) or UNICEF to provide EPI services in 1008 health facilities. Also, community engagement activities are implemented by the same CSOs. Additional local partners with demonstrated experience working among the disadvantaged populations will be engaged directly or as a subcontractor to support </w:t>
            </w:r>
            <w:r w:rsidRPr="001C7484">
              <w:rPr>
                <w:bCs/>
                <w:iCs/>
                <w:sz w:val="20"/>
                <w:szCs w:val="20"/>
              </w:rPr>
              <w:lastRenderedPageBreak/>
              <w:t xml:space="preserve">service delivery and/or community engagement activities.  However, of note, the country is already dealing with too many partners, posing serious challenges to coordination. </w:t>
            </w:r>
          </w:p>
          <w:p w14:paraId="6420D9B9" w14:textId="1D09E5B6" w:rsidR="00E80A44" w:rsidRDefault="001C7484" w:rsidP="001C7484">
            <w:pPr>
              <w:jc w:val="both"/>
              <w:rPr>
                <w:color w:val="92D050"/>
                <w:lang w:val="en-GB"/>
              </w:rPr>
            </w:pPr>
            <w:r w:rsidRPr="001C7484">
              <w:rPr>
                <w:bCs/>
                <w:iCs/>
                <w:sz w:val="20"/>
                <w:szCs w:val="20"/>
              </w:rPr>
              <w:tab/>
            </w:r>
          </w:p>
        </w:tc>
      </w:tr>
      <w:tr w:rsidR="38F5364C" w14:paraId="5D1DCA18" w14:textId="77777777" w:rsidTr="171964E3">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2AE6E4DA" w:rsidR="2F92698C" w:rsidRDefault="3D5C2947" w:rsidP="704B32F1">
            <w:pPr>
              <w:spacing w:line="300" w:lineRule="exact"/>
              <w:rPr>
                <w:b/>
                <w:bCs/>
                <w:i/>
                <w:iCs/>
                <w:color w:val="000000" w:themeColor="text1"/>
                <w:sz w:val="20"/>
                <w:szCs w:val="20"/>
              </w:rPr>
            </w:pPr>
            <w:r w:rsidRPr="704B32F1">
              <w:rPr>
                <w:b/>
                <w:bCs/>
                <w:i/>
                <w:iCs/>
                <w:color w:val="000000" w:themeColor="text1"/>
                <w:sz w:val="20"/>
                <w:szCs w:val="20"/>
              </w:rPr>
              <w:lastRenderedPageBreak/>
              <w:t>3.</w:t>
            </w:r>
            <w:r w:rsidR="00520598">
              <w:rPr>
                <w:b/>
                <w:bCs/>
                <w:i/>
                <w:iCs/>
                <w:color w:val="000000" w:themeColor="text1"/>
                <w:sz w:val="20"/>
                <w:szCs w:val="20"/>
              </w:rPr>
              <w:t>3</w:t>
            </w:r>
            <w:r w:rsidRPr="704B32F1">
              <w:rPr>
                <w:b/>
                <w:bCs/>
                <w:i/>
                <w:iCs/>
                <w:color w:val="000000" w:themeColor="text1"/>
                <w:sz w:val="20"/>
                <w:szCs w:val="20"/>
              </w:rPr>
              <w:t xml:space="preserve"> </w:t>
            </w:r>
            <w:r w:rsidR="64431148" w:rsidRPr="704B32F1">
              <w:rPr>
                <w:b/>
                <w:bCs/>
                <w:i/>
                <w:iCs/>
                <w:color w:val="000000" w:themeColor="text1"/>
                <w:sz w:val="20"/>
                <w:szCs w:val="20"/>
              </w:rPr>
              <w:t xml:space="preserve">Please note the allocation of TCA to </w:t>
            </w:r>
            <w:r w:rsidR="009F19F8">
              <w:rPr>
                <w:b/>
                <w:bCs/>
                <w:i/>
                <w:iCs/>
                <w:color w:val="000000" w:themeColor="text1"/>
                <w:sz w:val="20"/>
                <w:szCs w:val="20"/>
              </w:rPr>
              <w:t>Local Partners</w:t>
            </w:r>
            <w:r w:rsidR="00B664EF">
              <w:rPr>
                <w:b/>
                <w:bCs/>
                <w:i/>
                <w:iCs/>
                <w:color w:val="000000" w:themeColor="text1"/>
                <w:sz w:val="20"/>
                <w:szCs w:val="20"/>
              </w:rPr>
              <w:t xml:space="preserve"> (only)</w:t>
            </w:r>
            <w:r w:rsidR="64431148" w:rsidRPr="704B32F1">
              <w:rPr>
                <w:b/>
                <w:bCs/>
                <w:i/>
                <w:iCs/>
                <w:color w:val="000000" w:themeColor="text1"/>
                <w:sz w:val="20"/>
                <w:szCs w:val="20"/>
              </w:rPr>
              <w:t xml:space="preserve"> and describe the approach you will use to comply with the </w:t>
            </w:r>
            <w:r w:rsidR="004E2955">
              <w:rPr>
                <w:b/>
                <w:bCs/>
                <w:i/>
                <w:iCs/>
                <w:color w:val="000000" w:themeColor="text1"/>
                <w:sz w:val="20"/>
                <w:szCs w:val="20"/>
              </w:rPr>
              <w:t>recommendation</w:t>
            </w:r>
            <w:r w:rsidR="64431148" w:rsidRPr="704B32F1">
              <w:rPr>
                <w:b/>
                <w:bCs/>
                <w:i/>
                <w:iCs/>
                <w:color w:val="000000" w:themeColor="text1"/>
                <w:sz w:val="20"/>
                <w:szCs w:val="20"/>
              </w:rPr>
              <w:t xml:space="preserve"> of allocating </w:t>
            </w:r>
            <w:r w:rsidR="004E2955">
              <w:rPr>
                <w:b/>
                <w:bCs/>
                <w:i/>
                <w:iCs/>
                <w:color w:val="000000" w:themeColor="text1"/>
                <w:sz w:val="20"/>
                <w:szCs w:val="20"/>
              </w:rPr>
              <w:t>30</w:t>
            </w:r>
            <w:r w:rsidR="64431148" w:rsidRPr="704B32F1">
              <w:rPr>
                <w:b/>
                <w:bCs/>
                <w:i/>
                <w:iCs/>
                <w:color w:val="000000" w:themeColor="text1"/>
                <w:sz w:val="20"/>
                <w:szCs w:val="20"/>
              </w:rPr>
              <w:t xml:space="preserve">% of TCA </w:t>
            </w:r>
            <w:r w:rsidR="004E2955">
              <w:rPr>
                <w:b/>
                <w:bCs/>
                <w:i/>
                <w:iCs/>
                <w:color w:val="000000" w:themeColor="text1"/>
                <w:sz w:val="20"/>
                <w:szCs w:val="20"/>
              </w:rPr>
              <w:t>to Local Partners</w:t>
            </w:r>
            <w:r w:rsidR="00D603BC">
              <w:rPr>
                <w:b/>
                <w:bCs/>
                <w:i/>
                <w:iCs/>
                <w:color w:val="000000" w:themeColor="text1"/>
                <w:sz w:val="20"/>
                <w:szCs w:val="20"/>
              </w:rPr>
              <w:t xml:space="preserve"> over the course of 2022-25</w:t>
            </w:r>
            <w:r w:rsidR="00704813">
              <w:rPr>
                <w:b/>
                <w:bCs/>
                <w:i/>
                <w:iCs/>
                <w:color w:val="000000" w:themeColor="text1"/>
                <w:sz w:val="20"/>
                <w:szCs w:val="20"/>
              </w:rPr>
              <w:t>.</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38F5364C" w14:paraId="094E7639" w14:textId="77777777" w:rsidTr="171964E3">
        <w:tc>
          <w:tcPr>
            <w:tcW w:w="9192" w:type="dxa"/>
            <w:gridSpan w:val="2"/>
            <w:tcBorders>
              <w:top w:val="single" w:sz="4" w:space="0" w:color="auto"/>
              <w:left w:val="single" w:sz="4" w:space="0" w:color="auto"/>
              <w:bottom w:val="single" w:sz="4" w:space="0" w:color="auto"/>
              <w:right w:val="single" w:sz="4" w:space="0" w:color="auto"/>
            </w:tcBorders>
          </w:tcPr>
          <w:p w14:paraId="64958F87" w14:textId="192D31AB" w:rsidR="38F5364C" w:rsidRDefault="00963C6E" w:rsidP="38F5364C">
            <w:pPr>
              <w:spacing w:line="300" w:lineRule="exact"/>
              <w:rPr>
                <w:lang w:val="en-GB"/>
              </w:rPr>
            </w:pPr>
            <w:r w:rsidRPr="00963C6E">
              <w:rPr>
                <w:bCs/>
                <w:iCs/>
                <w:sz w:val="20"/>
                <w:szCs w:val="20"/>
              </w:rPr>
              <w:t xml:space="preserve">Allocation to local partners will be on an incremental and staggered basis to allow monitoring </w:t>
            </w:r>
            <w:proofErr w:type="gramStart"/>
            <w:r w:rsidRPr="00963C6E">
              <w:rPr>
                <w:bCs/>
                <w:iCs/>
                <w:sz w:val="20"/>
                <w:szCs w:val="20"/>
              </w:rPr>
              <w:t>of  performance</w:t>
            </w:r>
            <w:proofErr w:type="gramEnd"/>
            <w:r w:rsidRPr="00963C6E">
              <w:rPr>
                <w:bCs/>
                <w:iCs/>
                <w:sz w:val="20"/>
                <w:szCs w:val="20"/>
              </w:rPr>
              <w:t xml:space="preserve"> of the local partners. Over the period 2022-2025, the allocation to </w:t>
            </w:r>
            <w:proofErr w:type="spellStart"/>
            <w:r w:rsidR="001C7484">
              <w:rPr>
                <w:bCs/>
                <w:iCs/>
                <w:sz w:val="20"/>
                <w:szCs w:val="20"/>
              </w:rPr>
              <w:t>exisitng</w:t>
            </w:r>
            <w:proofErr w:type="spellEnd"/>
            <w:r w:rsidR="001C7484">
              <w:rPr>
                <w:bCs/>
                <w:iCs/>
                <w:sz w:val="20"/>
                <w:szCs w:val="20"/>
              </w:rPr>
              <w:t xml:space="preserve"> and new </w:t>
            </w:r>
            <w:r w:rsidRPr="00963C6E">
              <w:rPr>
                <w:bCs/>
                <w:iCs/>
                <w:sz w:val="20"/>
                <w:szCs w:val="20"/>
              </w:rPr>
              <w:t>local partners will have reached 30%.</w:t>
            </w:r>
          </w:p>
        </w:tc>
      </w:tr>
      <w:tr w:rsidR="009F19F8" w14:paraId="3821C077" w14:textId="77777777" w:rsidTr="171964E3">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799CFD5C" w:rsidR="009F19F8" w:rsidRDefault="009F19F8" w:rsidP="00752CEA">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4</w:t>
            </w:r>
            <w:r w:rsidRPr="704B32F1">
              <w:rPr>
                <w:b/>
                <w:bCs/>
                <w:i/>
                <w:iCs/>
                <w:color w:val="000000" w:themeColor="text1"/>
                <w:sz w:val="20"/>
                <w:szCs w:val="20"/>
              </w:rPr>
              <w:t xml:space="preserve"> Please note the allocation of TCA to CSOs</w:t>
            </w:r>
            <w:r w:rsidR="008F50F8">
              <w:rPr>
                <w:b/>
                <w:bCs/>
                <w:i/>
                <w:iCs/>
                <w:color w:val="000000" w:themeColor="text1"/>
                <w:sz w:val="20"/>
                <w:szCs w:val="20"/>
              </w:rPr>
              <w:t xml:space="preserve"> only</w:t>
            </w:r>
            <w:r w:rsidRPr="704B32F1">
              <w:rPr>
                <w:b/>
                <w:bCs/>
                <w:i/>
                <w:iCs/>
                <w:color w:val="000000" w:themeColor="text1"/>
                <w:sz w:val="20"/>
                <w:szCs w:val="20"/>
              </w:rPr>
              <w:t xml:space="preserve"> (either Global or Local Expanded Partners) and describe the approach you will use to comply with the requirement of allocating 10% of combined TCA, EAF and HSS ceilings for CSO implementation (</w:t>
            </w:r>
            <w:proofErr w:type="gramStart"/>
            <w:r w:rsidRPr="704B32F1">
              <w:rPr>
                <w:b/>
                <w:bCs/>
                <w:i/>
                <w:iCs/>
                <w:color w:val="000000" w:themeColor="text1"/>
                <w:sz w:val="20"/>
                <w:szCs w:val="20"/>
              </w:rPr>
              <w:t>e.g</w:t>
            </w:r>
            <w:r w:rsidR="00A733BF">
              <w:rPr>
                <w:b/>
                <w:bCs/>
                <w:i/>
                <w:iCs/>
                <w:color w:val="000000" w:themeColor="text1"/>
                <w:sz w:val="20"/>
                <w:szCs w:val="20"/>
              </w:rPr>
              <w:t>.</w:t>
            </w:r>
            <w:proofErr w:type="gramEnd"/>
            <w:r w:rsidRPr="704B32F1">
              <w:rPr>
                <w:b/>
                <w:bCs/>
                <w:i/>
                <w:iCs/>
                <w:color w:val="000000" w:themeColor="text1"/>
                <w:sz w:val="20"/>
                <w:szCs w:val="20"/>
              </w:rPr>
              <w:t xml:space="preserve"> if less than 10% of TCA funding is allocated to CSOs, please indicate how this will be compensated through </w:t>
            </w:r>
            <w:r w:rsidR="00A733BF">
              <w:rPr>
                <w:b/>
                <w:bCs/>
                <w:i/>
                <w:iCs/>
                <w:color w:val="000000" w:themeColor="text1"/>
                <w:sz w:val="20"/>
                <w:szCs w:val="20"/>
              </w:rPr>
              <w:t xml:space="preserve">the </w:t>
            </w:r>
            <w:r w:rsidRPr="704B32F1">
              <w:rPr>
                <w:b/>
                <w:bCs/>
                <w:i/>
                <w:iCs/>
                <w:color w:val="000000" w:themeColor="text1"/>
                <w:sz w:val="20"/>
                <w:szCs w:val="20"/>
              </w:rPr>
              <w:t>allocation of HSS and EAF funding to CSOs).</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009F19F8" w14:paraId="3F43E4A9" w14:textId="77777777" w:rsidTr="171964E3">
        <w:tc>
          <w:tcPr>
            <w:tcW w:w="9192" w:type="dxa"/>
            <w:gridSpan w:val="2"/>
            <w:tcBorders>
              <w:top w:val="single" w:sz="4" w:space="0" w:color="auto"/>
              <w:left w:val="single" w:sz="4" w:space="0" w:color="auto"/>
              <w:bottom w:val="single" w:sz="4" w:space="0" w:color="auto"/>
              <w:right w:val="single" w:sz="4" w:space="0" w:color="auto"/>
            </w:tcBorders>
          </w:tcPr>
          <w:p w14:paraId="7CD04997" w14:textId="77777777" w:rsidR="00B47D25" w:rsidRPr="001E14C4" w:rsidRDefault="00B47D25" w:rsidP="00963C6E">
            <w:pPr>
              <w:spacing w:line="300" w:lineRule="exact"/>
              <w:rPr>
                <w:bCs/>
                <w:iCs/>
                <w:sz w:val="20"/>
                <w:szCs w:val="20"/>
                <w:lang w:val="en-US"/>
              </w:rPr>
            </w:pPr>
          </w:p>
          <w:p w14:paraId="7CF043A5" w14:textId="75EA68E2" w:rsidR="00B47D25" w:rsidRPr="001E14C4" w:rsidRDefault="00B47D25" w:rsidP="00963C6E">
            <w:pPr>
              <w:spacing w:line="300" w:lineRule="exact"/>
              <w:rPr>
                <w:bCs/>
                <w:iCs/>
                <w:sz w:val="20"/>
                <w:szCs w:val="20"/>
                <w:lang w:val="en-US"/>
              </w:rPr>
            </w:pPr>
            <w:r w:rsidRPr="001E14C4">
              <w:rPr>
                <w:bCs/>
                <w:iCs/>
                <w:sz w:val="20"/>
                <w:szCs w:val="20"/>
                <w:lang w:val="en-US"/>
              </w:rPr>
              <w:t xml:space="preserve">As mentioned above 80% of </w:t>
            </w:r>
            <w:proofErr w:type="spellStart"/>
            <w:r w:rsidRPr="001E14C4">
              <w:rPr>
                <w:bCs/>
                <w:iCs/>
                <w:sz w:val="20"/>
                <w:szCs w:val="20"/>
                <w:lang w:val="en-US"/>
              </w:rPr>
              <w:t>funcitioal</w:t>
            </w:r>
            <w:proofErr w:type="spellEnd"/>
            <w:r w:rsidRPr="001E14C4">
              <w:rPr>
                <w:bCs/>
                <w:iCs/>
                <w:sz w:val="20"/>
                <w:szCs w:val="20"/>
                <w:lang w:val="en-US"/>
              </w:rPr>
              <w:t xml:space="preserve"> health facilities receive support from </w:t>
            </w:r>
            <w:proofErr w:type="spellStart"/>
            <w:r w:rsidRPr="001E14C4">
              <w:rPr>
                <w:bCs/>
                <w:iCs/>
                <w:sz w:val="20"/>
                <w:szCs w:val="20"/>
                <w:lang w:val="en-US"/>
              </w:rPr>
              <w:t>implelenting</w:t>
            </w:r>
            <w:proofErr w:type="spellEnd"/>
            <w:r w:rsidRPr="001E14C4">
              <w:rPr>
                <w:bCs/>
                <w:iCs/>
                <w:sz w:val="20"/>
                <w:szCs w:val="20"/>
                <w:lang w:val="en-US"/>
              </w:rPr>
              <w:t xml:space="preserve"> partners who are </w:t>
            </w:r>
            <w:proofErr w:type="spellStart"/>
            <w:r w:rsidRPr="001E14C4">
              <w:rPr>
                <w:bCs/>
                <w:iCs/>
                <w:sz w:val="20"/>
                <w:szCs w:val="20"/>
                <w:lang w:val="en-US"/>
              </w:rPr>
              <w:t>cooridnated</w:t>
            </w:r>
            <w:proofErr w:type="spellEnd"/>
            <w:r w:rsidRPr="001E14C4">
              <w:rPr>
                <w:bCs/>
                <w:iCs/>
                <w:sz w:val="20"/>
                <w:szCs w:val="20"/>
                <w:lang w:val="en-US"/>
              </w:rPr>
              <w:t xml:space="preserve"> under </w:t>
            </w:r>
            <w:r w:rsidR="001E14C4" w:rsidRPr="001E14C4">
              <w:rPr>
                <w:bCs/>
                <w:iCs/>
                <w:sz w:val="20"/>
                <w:szCs w:val="20"/>
                <w:lang w:val="en-US"/>
              </w:rPr>
              <w:t>HPF</w:t>
            </w:r>
            <w:r w:rsidR="00D218FC">
              <w:rPr>
                <w:bCs/>
                <w:iCs/>
                <w:sz w:val="20"/>
                <w:szCs w:val="20"/>
                <w:lang w:val="en-US"/>
              </w:rPr>
              <w:t xml:space="preserve"> </w:t>
            </w:r>
            <w:r w:rsidR="001E14C4" w:rsidRPr="001E14C4">
              <w:rPr>
                <w:bCs/>
                <w:iCs/>
                <w:sz w:val="20"/>
                <w:szCs w:val="20"/>
                <w:lang w:val="en-US"/>
              </w:rPr>
              <w:t>(796 health facilities)</w:t>
            </w:r>
            <w:r w:rsidRPr="001E14C4">
              <w:rPr>
                <w:bCs/>
                <w:iCs/>
                <w:sz w:val="20"/>
                <w:szCs w:val="20"/>
                <w:lang w:val="en-US"/>
              </w:rPr>
              <w:t xml:space="preserve"> and </w:t>
            </w:r>
            <w:proofErr w:type="gramStart"/>
            <w:r w:rsidR="001E14C4" w:rsidRPr="001E14C4">
              <w:rPr>
                <w:bCs/>
                <w:iCs/>
                <w:sz w:val="20"/>
                <w:szCs w:val="20"/>
                <w:lang w:val="en-US"/>
              </w:rPr>
              <w:t>UNICEF(</w:t>
            </w:r>
            <w:proofErr w:type="gramEnd"/>
            <w:r w:rsidR="001E14C4" w:rsidRPr="001E14C4">
              <w:rPr>
                <w:bCs/>
                <w:iCs/>
                <w:sz w:val="20"/>
                <w:szCs w:val="20"/>
                <w:lang w:val="en-US"/>
              </w:rPr>
              <w:t>191 health facilities)</w:t>
            </w:r>
            <w:r w:rsidRPr="001E14C4">
              <w:rPr>
                <w:bCs/>
                <w:iCs/>
                <w:sz w:val="20"/>
                <w:szCs w:val="20"/>
                <w:lang w:val="en-US"/>
              </w:rPr>
              <w:t xml:space="preserve">. </w:t>
            </w:r>
          </w:p>
          <w:p w14:paraId="01E16748" w14:textId="28AAF555" w:rsidR="009F19F8" w:rsidRPr="001E14C4" w:rsidRDefault="00963C6E" w:rsidP="009607D9">
            <w:pPr>
              <w:spacing w:line="300" w:lineRule="exact"/>
              <w:rPr>
                <w:lang w:val="en-GB"/>
              </w:rPr>
            </w:pPr>
            <w:r w:rsidRPr="001E14C4">
              <w:rPr>
                <w:bCs/>
                <w:iCs/>
                <w:sz w:val="20"/>
                <w:szCs w:val="20"/>
                <w:lang w:val="en-US"/>
              </w:rPr>
              <w:t xml:space="preserve">In the South Sudan, </w:t>
            </w:r>
            <w:r w:rsidR="00A8757F" w:rsidRPr="001E14C4">
              <w:rPr>
                <w:bCs/>
                <w:iCs/>
                <w:sz w:val="20"/>
                <w:szCs w:val="20"/>
                <w:lang w:val="en-US"/>
              </w:rPr>
              <w:t xml:space="preserve">if the current approach of providing PHC interventions is maintained, </w:t>
            </w:r>
            <w:r w:rsidRPr="001E14C4">
              <w:rPr>
                <w:bCs/>
                <w:iCs/>
                <w:sz w:val="20"/>
                <w:szCs w:val="20"/>
                <w:lang w:val="en-US"/>
              </w:rPr>
              <w:t xml:space="preserve">the allocation of 10% to </w:t>
            </w:r>
            <w:proofErr w:type="gramStart"/>
            <w:r w:rsidRPr="001E14C4">
              <w:rPr>
                <w:bCs/>
                <w:iCs/>
                <w:sz w:val="20"/>
                <w:szCs w:val="20"/>
                <w:lang w:val="en-US"/>
              </w:rPr>
              <w:t>CSOs  is</w:t>
            </w:r>
            <w:proofErr w:type="gramEnd"/>
            <w:r w:rsidRPr="001E14C4">
              <w:rPr>
                <w:bCs/>
                <w:iCs/>
                <w:sz w:val="20"/>
                <w:szCs w:val="20"/>
                <w:lang w:val="en-US"/>
              </w:rPr>
              <w:t xml:space="preserve"> already achieved and surp</w:t>
            </w:r>
            <w:r w:rsidR="002B4176">
              <w:rPr>
                <w:bCs/>
                <w:iCs/>
                <w:sz w:val="20"/>
                <w:szCs w:val="20"/>
                <w:lang w:val="en-US"/>
              </w:rPr>
              <w:t>as</w:t>
            </w:r>
            <w:r w:rsidRPr="001E14C4">
              <w:rPr>
                <w:bCs/>
                <w:iCs/>
                <w:sz w:val="20"/>
                <w:szCs w:val="20"/>
                <w:lang w:val="en-US"/>
              </w:rPr>
              <w:t xml:space="preserve">sed. </w:t>
            </w:r>
            <w:r w:rsidR="009607D9">
              <w:rPr>
                <w:bCs/>
                <w:iCs/>
                <w:sz w:val="20"/>
                <w:szCs w:val="20"/>
                <w:lang w:val="en-US"/>
              </w:rPr>
              <w:t>Over 60% of the FPP funds will be utilized by the CSOs.</w:t>
            </w:r>
            <w:r w:rsidR="009607D9" w:rsidRPr="001E14C4">
              <w:rPr>
                <w:bCs/>
                <w:iCs/>
                <w:sz w:val="20"/>
                <w:szCs w:val="20"/>
                <w:lang w:val="en-US"/>
              </w:rPr>
              <w:t xml:space="preserve"> </w:t>
            </w:r>
            <w:proofErr w:type="gramStart"/>
            <w:r w:rsidR="009607D9" w:rsidRPr="001E14C4">
              <w:rPr>
                <w:bCs/>
                <w:iCs/>
                <w:sz w:val="20"/>
                <w:szCs w:val="20"/>
                <w:lang w:val="en-US"/>
              </w:rPr>
              <w:t>See  list</w:t>
            </w:r>
            <w:proofErr w:type="gramEnd"/>
            <w:r w:rsidR="009607D9" w:rsidRPr="001E14C4">
              <w:rPr>
                <w:bCs/>
                <w:iCs/>
                <w:sz w:val="20"/>
                <w:szCs w:val="20"/>
                <w:lang w:val="en-US"/>
              </w:rPr>
              <w:t xml:space="preserve"> of CSOs under UNICEF and HPF as Annex.</w:t>
            </w:r>
          </w:p>
        </w:tc>
      </w:tr>
    </w:tbl>
    <w:p w14:paraId="0FF1AB89" w14:textId="77777777" w:rsidR="00372D1F" w:rsidRPr="009F19F8" w:rsidRDefault="00372D1F" w:rsidP="00372D1F">
      <w:pPr>
        <w:pStyle w:val="ListParagraph"/>
        <w:spacing w:line="300" w:lineRule="exact"/>
        <w:ind w:left="0"/>
        <w:jc w:val="right"/>
        <w:rPr>
          <w:b/>
          <w:color w:val="70AD47" w:themeColor="accent6"/>
          <w:sz w:val="26"/>
          <w:szCs w:val="26"/>
        </w:rPr>
      </w:pPr>
    </w:p>
    <w:p w14:paraId="79848434" w14:textId="5CA61DE4" w:rsidR="009F0292" w:rsidRPr="0033192A" w:rsidRDefault="009F0292" w:rsidP="00CE1F57">
      <w:pPr>
        <w:pStyle w:val="ListParagraph"/>
        <w:numPr>
          <w:ilvl w:val="0"/>
          <w:numId w:val="4"/>
        </w:numPr>
        <w:spacing w:line="300" w:lineRule="exact"/>
        <w:rPr>
          <w:b/>
          <w:color w:val="84C650"/>
          <w:sz w:val="26"/>
          <w:szCs w:val="26"/>
          <w:lang w:val="en-GB"/>
        </w:rPr>
      </w:pPr>
      <w:r w:rsidRPr="0033192A">
        <w:rPr>
          <w:b/>
          <w:color w:val="70AD47" w:themeColor="accent6"/>
          <w:sz w:val="26"/>
          <w:szCs w:val="26"/>
          <w:lang w:val="en-GB"/>
        </w:rPr>
        <w:t>Lessons learnt from past TA experience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9F0292" w14:paraId="3F8B0CB5" w14:textId="77777777" w:rsidTr="00DD391A">
        <w:tc>
          <w:tcPr>
            <w:tcW w:w="9192" w:type="dxa"/>
            <w:tcBorders>
              <w:bottom w:val="single" w:sz="4" w:space="0" w:color="auto"/>
            </w:tcBorders>
            <w:shd w:val="clear" w:color="auto" w:fill="F2F2F2" w:themeFill="background1" w:themeFillShade="F2"/>
          </w:tcPr>
          <w:p w14:paraId="6BD0AD08" w14:textId="376F045C" w:rsidR="009F0292" w:rsidRPr="00B614D7" w:rsidRDefault="0033192A" w:rsidP="00871FCF">
            <w:pPr>
              <w:spacing w:line="300" w:lineRule="exact"/>
              <w:rPr>
                <w:b/>
                <w:bCs/>
                <w:color w:val="92D050"/>
                <w:lang w:val="en-GB"/>
              </w:rPr>
            </w:pPr>
            <w:r>
              <w:rPr>
                <w:b/>
                <w:bCs/>
                <w:i/>
                <w:iCs/>
                <w:color w:val="000000" w:themeColor="text1"/>
                <w:sz w:val="20"/>
                <w:szCs w:val="20"/>
                <w:lang w:val="en-GB"/>
              </w:rPr>
              <w:t>4.</w:t>
            </w:r>
            <w:r w:rsidR="009F0292">
              <w:rPr>
                <w:b/>
                <w:bCs/>
                <w:i/>
                <w:iCs/>
                <w:color w:val="000000" w:themeColor="text1"/>
                <w:sz w:val="20"/>
                <w:szCs w:val="20"/>
                <w:lang w:val="en-GB"/>
              </w:rPr>
              <w:t xml:space="preserve">1 </w:t>
            </w:r>
            <w:r w:rsidR="009F0292" w:rsidRPr="00B614D7">
              <w:rPr>
                <w:b/>
                <w:bCs/>
                <w:i/>
                <w:iCs/>
                <w:color w:val="000000" w:themeColor="text1"/>
                <w:sz w:val="20"/>
                <w:szCs w:val="20"/>
                <w:lang w:val="en-GB"/>
              </w:rPr>
              <w:t xml:space="preserve">Please explain how the </w:t>
            </w:r>
            <w:r w:rsidR="009F0292">
              <w:rPr>
                <w:b/>
                <w:bCs/>
                <w:i/>
                <w:iCs/>
                <w:color w:val="000000" w:themeColor="text1"/>
                <w:sz w:val="20"/>
                <w:szCs w:val="20"/>
                <w:lang w:val="en-GB"/>
              </w:rPr>
              <w:t>TCA</w:t>
            </w:r>
            <w:r w:rsidR="009F0292" w:rsidRPr="00B614D7">
              <w:rPr>
                <w:b/>
                <w:bCs/>
                <w:i/>
                <w:iCs/>
                <w:color w:val="000000" w:themeColor="text1"/>
                <w:sz w:val="20"/>
                <w:szCs w:val="20"/>
                <w:lang w:val="en-GB"/>
              </w:rPr>
              <w:t xml:space="preserve"> plan will build on previous performance, lessons learned, and best practices of TCA activities from your previous </w:t>
            </w:r>
            <w:r w:rsidR="009F0292">
              <w:rPr>
                <w:b/>
                <w:bCs/>
                <w:i/>
                <w:iCs/>
                <w:color w:val="000000" w:themeColor="text1"/>
                <w:sz w:val="20"/>
                <w:szCs w:val="20"/>
                <w:lang w:val="en-GB"/>
              </w:rPr>
              <w:t>T</w:t>
            </w:r>
            <w:r w:rsidR="009F0292" w:rsidRPr="00B614D7">
              <w:rPr>
                <w:b/>
                <w:bCs/>
                <w:i/>
                <w:iCs/>
                <w:color w:val="000000" w:themeColor="text1"/>
                <w:sz w:val="20"/>
                <w:szCs w:val="20"/>
                <w:lang w:val="en-GB"/>
              </w:rPr>
              <w:t>CA plan</w:t>
            </w:r>
            <w:r w:rsidR="0048676E">
              <w:rPr>
                <w:b/>
                <w:bCs/>
                <w:i/>
                <w:iCs/>
                <w:color w:val="000000" w:themeColor="text1"/>
                <w:sz w:val="20"/>
                <w:szCs w:val="20"/>
                <w:lang w:val="en-GB"/>
              </w:rPr>
              <w:t>, including</w:t>
            </w:r>
            <w:r w:rsidR="009D07BA">
              <w:rPr>
                <w:b/>
                <w:bCs/>
                <w:i/>
                <w:iCs/>
                <w:color w:val="000000" w:themeColor="text1"/>
                <w:sz w:val="20"/>
                <w:szCs w:val="20"/>
                <w:lang w:val="en-GB"/>
              </w:rPr>
              <w:t xml:space="preserve"> </w:t>
            </w:r>
            <w:r w:rsidR="006E0314">
              <w:rPr>
                <w:b/>
                <w:bCs/>
                <w:i/>
                <w:iCs/>
                <w:color w:val="000000" w:themeColor="text1"/>
                <w:sz w:val="20"/>
                <w:szCs w:val="20"/>
                <w:lang w:val="en-GB"/>
              </w:rPr>
              <w:t xml:space="preserve">contributions to the national programme and </w:t>
            </w:r>
            <w:r w:rsidR="00C9453B">
              <w:rPr>
                <w:b/>
                <w:bCs/>
                <w:i/>
                <w:iCs/>
                <w:color w:val="000000" w:themeColor="text1"/>
                <w:sz w:val="20"/>
                <w:szCs w:val="20"/>
                <w:lang w:val="en-GB"/>
              </w:rPr>
              <w:t xml:space="preserve">knowledge/skill </w:t>
            </w:r>
            <w:r w:rsidR="009C20B6">
              <w:rPr>
                <w:b/>
                <w:bCs/>
                <w:i/>
                <w:iCs/>
                <w:color w:val="000000" w:themeColor="text1"/>
                <w:sz w:val="20"/>
                <w:szCs w:val="20"/>
                <w:lang w:val="en-GB"/>
              </w:rPr>
              <w:t>building,</w:t>
            </w:r>
            <w:r w:rsidR="00652E87">
              <w:rPr>
                <w:b/>
                <w:bCs/>
                <w:i/>
                <w:iCs/>
                <w:color w:val="000000" w:themeColor="text1"/>
                <w:sz w:val="20"/>
                <w:szCs w:val="20"/>
                <w:lang w:val="en-GB"/>
              </w:rPr>
              <w:t xml:space="preserve"> and how this has been </w:t>
            </w:r>
            <w:proofErr w:type="gramStart"/>
            <w:r w:rsidR="00652E87">
              <w:rPr>
                <w:b/>
                <w:bCs/>
                <w:i/>
                <w:iCs/>
                <w:color w:val="000000" w:themeColor="text1"/>
                <w:sz w:val="20"/>
                <w:szCs w:val="20"/>
                <w:lang w:val="en-GB"/>
              </w:rPr>
              <w:t>taken into account</w:t>
            </w:r>
            <w:proofErr w:type="gramEnd"/>
            <w:r w:rsidR="00652E87">
              <w:rPr>
                <w:b/>
                <w:bCs/>
                <w:i/>
                <w:iCs/>
                <w:color w:val="000000" w:themeColor="text1"/>
                <w:sz w:val="20"/>
                <w:szCs w:val="20"/>
                <w:lang w:val="en-GB"/>
              </w:rPr>
              <w:t xml:space="preserve"> in </w:t>
            </w:r>
            <w:r w:rsidR="00FA04B1">
              <w:rPr>
                <w:b/>
                <w:bCs/>
                <w:i/>
                <w:iCs/>
                <w:color w:val="000000" w:themeColor="text1"/>
                <w:sz w:val="20"/>
                <w:szCs w:val="20"/>
                <w:lang w:val="en-GB"/>
              </w:rPr>
              <w:t>this TCA planning and prioritisation</w:t>
            </w:r>
            <w:r w:rsidR="009F0292" w:rsidRPr="00B614D7">
              <w:rPr>
                <w:b/>
                <w:bCs/>
                <w:i/>
                <w:iCs/>
                <w:color w:val="000000" w:themeColor="text1"/>
                <w:sz w:val="20"/>
                <w:szCs w:val="20"/>
                <w:lang w:val="en-GB"/>
              </w:rPr>
              <w:t xml:space="preserve">. </w:t>
            </w:r>
            <w:r w:rsidR="009F0292" w:rsidRPr="00B614D7">
              <w:rPr>
                <w:b/>
                <w:bCs/>
                <w:i/>
                <w:iCs/>
                <w:sz w:val="20"/>
                <w:szCs w:val="20"/>
              </w:rPr>
              <w:t xml:space="preserve"> </w:t>
            </w:r>
          </w:p>
        </w:tc>
      </w:tr>
      <w:tr w:rsidR="009F0292" w14:paraId="690BE9DA" w14:textId="77777777" w:rsidTr="00DD391A">
        <w:tc>
          <w:tcPr>
            <w:tcW w:w="9192" w:type="dxa"/>
            <w:tcBorders>
              <w:top w:val="single" w:sz="4" w:space="0" w:color="auto"/>
              <w:left w:val="single" w:sz="4" w:space="0" w:color="auto"/>
              <w:bottom w:val="single" w:sz="4" w:space="0" w:color="auto"/>
              <w:right w:val="single" w:sz="4" w:space="0" w:color="auto"/>
            </w:tcBorders>
          </w:tcPr>
          <w:p w14:paraId="25458323" w14:textId="5B6622F0" w:rsidR="001C7484" w:rsidRPr="001C7484" w:rsidRDefault="001C7484" w:rsidP="009D5DD1">
            <w:pPr>
              <w:pStyle w:val="NoSpacing"/>
              <w:numPr>
                <w:ilvl w:val="0"/>
                <w:numId w:val="7"/>
              </w:numPr>
              <w:rPr>
                <w:bCs/>
                <w:iCs/>
                <w:sz w:val="20"/>
                <w:szCs w:val="20"/>
                <w:lang w:val="en-US"/>
              </w:rPr>
            </w:pPr>
            <w:r w:rsidRPr="001C7484">
              <w:rPr>
                <w:bCs/>
                <w:iCs/>
                <w:sz w:val="20"/>
                <w:szCs w:val="20"/>
                <w:lang w:val="en-US"/>
              </w:rPr>
              <w:t xml:space="preserve"> The requested TCA will build on and improve the outputs of the previous TA plans. In the past TCA plans, agencies with comparative advantage and demonstrated results were engaged to assist with the program; </w:t>
            </w:r>
            <w:r w:rsidR="00B47D25">
              <w:rPr>
                <w:bCs/>
                <w:iCs/>
                <w:sz w:val="20"/>
                <w:szCs w:val="20"/>
                <w:lang w:val="en-US"/>
              </w:rPr>
              <w:t>I</w:t>
            </w:r>
            <w:r w:rsidR="001E14C4">
              <w:rPr>
                <w:bCs/>
                <w:iCs/>
                <w:sz w:val="20"/>
                <w:szCs w:val="20"/>
                <w:lang w:val="en-US"/>
              </w:rPr>
              <w:t>n</w:t>
            </w:r>
            <w:r w:rsidR="00B47D25">
              <w:rPr>
                <w:bCs/>
                <w:iCs/>
                <w:sz w:val="20"/>
                <w:szCs w:val="20"/>
                <w:lang w:val="en-US"/>
              </w:rPr>
              <w:t xml:space="preserve"> Oct 2009 </w:t>
            </w:r>
            <w:r w:rsidRPr="001C7484">
              <w:rPr>
                <w:bCs/>
                <w:iCs/>
                <w:sz w:val="20"/>
                <w:szCs w:val="20"/>
                <w:lang w:val="en-US"/>
              </w:rPr>
              <w:t xml:space="preserve">IOM was contracted to assist with reaching the internally displaced populations in the </w:t>
            </w:r>
            <w:r w:rsidR="001E14C4">
              <w:rPr>
                <w:bCs/>
                <w:iCs/>
                <w:sz w:val="20"/>
                <w:szCs w:val="20"/>
                <w:lang w:val="en-US"/>
              </w:rPr>
              <w:t xml:space="preserve">six </w:t>
            </w:r>
            <w:r w:rsidRPr="001C7484">
              <w:rPr>
                <w:bCs/>
                <w:iCs/>
                <w:sz w:val="20"/>
                <w:szCs w:val="20"/>
                <w:lang w:val="en-US"/>
              </w:rPr>
              <w:t>protection of</w:t>
            </w:r>
            <w:r w:rsidR="00B47D25">
              <w:rPr>
                <w:bCs/>
                <w:iCs/>
                <w:sz w:val="20"/>
                <w:szCs w:val="20"/>
                <w:lang w:val="en-US"/>
              </w:rPr>
              <w:t xml:space="preserve"> </w:t>
            </w:r>
            <w:r w:rsidRPr="001C7484">
              <w:rPr>
                <w:bCs/>
                <w:iCs/>
                <w:sz w:val="20"/>
                <w:szCs w:val="20"/>
                <w:lang w:val="en-US"/>
              </w:rPr>
              <w:t xml:space="preserve">civilian sites and integrated IDPs in the neighboring communities. The </w:t>
            </w:r>
            <w:proofErr w:type="gramStart"/>
            <w:r w:rsidRPr="001C7484">
              <w:rPr>
                <w:bCs/>
                <w:iCs/>
                <w:sz w:val="20"/>
                <w:szCs w:val="20"/>
                <w:lang w:val="en-US"/>
              </w:rPr>
              <w:t>Health</w:t>
            </w:r>
            <w:proofErr w:type="gramEnd"/>
            <w:r w:rsidRPr="001C7484">
              <w:rPr>
                <w:bCs/>
                <w:iCs/>
                <w:sz w:val="20"/>
                <w:szCs w:val="20"/>
                <w:lang w:val="en-US"/>
              </w:rPr>
              <w:t xml:space="preserve"> pooled fund and UNICEF subcontracted CSO to provide services among the urban populations in Juba &amp; Wau and remote populations in Jonglei &amp; Upper Nile states. This TCA request proposes to expand and improve the service provision among these disadvantaged populations. While some progress has been realized in the two populations, reaching the fishing population in Jonglei and the Upper Nile and the nomadic populations has not been satisfactory. The country is proposing to engage a partner with experience in providing health services among the nomadic and fishing </w:t>
            </w:r>
            <w:proofErr w:type="gramStart"/>
            <w:r w:rsidRPr="001C7484">
              <w:rPr>
                <w:bCs/>
                <w:iCs/>
                <w:sz w:val="20"/>
                <w:szCs w:val="20"/>
                <w:lang w:val="en-US"/>
              </w:rPr>
              <w:t>populations.</w:t>
            </w:r>
            <w:r w:rsidR="009D5DD1" w:rsidRPr="009D5DD1">
              <w:rPr>
                <w:bCs/>
                <w:iCs/>
                <w:sz w:val="20"/>
                <w:szCs w:val="20"/>
                <w:lang w:val="en-US"/>
              </w:rPr>
              <w:t>.</w:t>
            </w:r>
            <w:proofErr w:type="gramEnd"/>
            <w:r w:rsidR="009D5DD1" w:rsidRPr="009D5DD1">
              <w:rPr>
                <w:bCs/>
                <w:iCs/>
                <w:sz w:val="20"/>
                <w:szCs w:val="20"/>
                <w:lang w:val="en-US"/>
              </w:rPr>
              <w:t xml:space="preserve"> Previous TA plan invested in embedded TA in the EPI office to build in house capacity to steer the program. Notably through this support, the EPI team led by the EPI manager has developed yearly annual operational plans that have guided the EPI program, strengthened the capacity of the EPI manager to monitor the implementation of the annual work plans and provided feedback to the partners. The biannual national and state EPI performance review meetings have happened. In the previous TA plans, an EPI program accountability framework was developed. The above best practices could be improved further in the coming TCA. For instance, to further improve the EPI program stewardship and oversight, the EPI team with support from embedded TA will use the new AF to monitor the implementation of EPI plans. </w:t>
            </w:r>
            <w:r w:rsidRPr="001C7484">
              <w:rPr>
                <w:bCs/>
                <w:iCs/>
                <w:sz w:val="20"/>
                <w:szCs w:val="20"/>
                <w:lang w:val="en-US"/>
              </w:rPr>
              <w:t xml:space="preserve">CDC and WHO developed a data quality improvement plan and </w:t>
            </w:r>
            <w:proofErr w:type="gramStart"/>
            <w:r w:rsidRPr="001C7484">
              <w:rPr>
                <w:bCs/>
                <w:iCs/>
                <w:sz w:val="20"/>
                <w:szCs w:val="20"/>
                <w:lang w:val="en-US"/>
              </w:rPr>
              <w:t>provided assistance to</w:t>
            </w:r>
            <w:proofErr w:type="gramEnd"/>
            <w:r w:rsidRPr="001C7484">
              <w:rPr>
                <w:bCs/>
                <w:iCs/>
                <w:sz w:val="20"/>
                <w:szCs w:val="20"/>
                <w:lang w:val="en-US"/>
              </w:rPr>
              <w:t xml:space="preserve"> train subnational M&amp;E officers on the use of DHIS 2. Though the collection of routine EPI service delivery data has improved in recent years, the use of </w:t>
            </w:r>
            <w:r w:rsidRPr="001C7484">
              <w:rPr>
                <w:bCs/>
                <w:iCs/>
                <w:sz w:val="20"/>
                <w:szCs w:val="20"/>
                <w:lang w:val="en-US"/>
              </w:rPr>
              <w:lastRenderedPageBreak/>
              <w:t xml:space="preserve">data remains limited, and there is little capacity to use data for health systems improvements. To further improve data management, the country proposes to engage TCA to build the capacity of the EPI team on the use of data for decision making by developing simple EPI performance dashboards and regular score cards that will be used at the facility and community levels. </w:t>
            </w:r>
            <w:r w:rsidR="001E14C4">
              <w:rPr>
                <w:bCs/>
                <w:iCs/>
                <w:sz w:val="20"/>
                <w:szCs w:val="20"/>
                <w:lang w:val="en-US"/>
              </w:rPr>
              <w:t xml:space="preserve">AFENET has supported to build the capacity of </w:t>
            </w:r>
            <w:r w:rsidR="00E62AC9">
              <w:rPr>
                <w:bCs/>
                <w:iCs/>
                <w:sz w:val="20"/>
                <w:szCs w:val="20"/>
                <w:lang w:val="en-US"/>
              </w:rPr>
              <w:t xml:space="preserve">32 </w:t>
            </w:r>
            <w:r w:rsidR="001E14C4">
              <w:rPr>
                <w:bCs/>
                <w:iCs/>
                <w:sz w:val="20"/>
                <w:szCs w:val="20"/>
                <w:lang w:val="en-US"/>
              </w:rPr>
              <w:t xml:space="preserve">counties in five states to develop facility level </w:t>
            </w:r>
            <w:proofErr w:type="spellStart"/>
            <w:r w:rsidR="001E14C4">
              <w:rPr>
                <w:bCs/>
                <w:iCs/>
                <w:sz w:val="20"/>
                <w:szCs w:val="20"/>
                <w:lang w:val="en-US"/>
              </w:rPr>
              <w:t>microplans</w:t>
            </w:r>
            <w:proofErr w:type="spellEnd"/>
            <w:r w:rsidR="00E62AC9">
              <w:rPr>
                <w:bCs/>
                <w:iCs/>
                <w:sz w:val="20"/>
                <w:szCs w:val="20"/>
                <w:lang w:val="en-US"/>
              </w:rPr>
              <w:t xml:space="preserve">; using the community </w:t>
            </w:r>
            <w:proofErr w:type="spellStart"/>
            <w:r w:rsidR="00E62AC9">
              <w:rPr>
                <w:bCs/>
                <w:iCs/>
                <w:sz w:val="20"/>
                <w:szCs w:val="20"/>
                <w:lang w:val="en-US"/>
              </w:rPr>
              <w:t>centred</w:t>
            </w:r>
            <w:proofErr w:type="spellEnd"/>
            <w:r w:rsidR="00E62AC9">
              <w:rPr>
                <w:bCs/>
                <w:iCs/>
                <w:sz w:val="20"/>
                <w:szCs w:val="20"/>
                <w:lang w:val="en-US"/>
              </w:rPr>
              <w:t xml:space="preserve"> approach; institutionalized quarterly county performance review meetings in 32 counties, and strengthened state led mentorship of counties and frontline health workers. These best practices should be taken to scale across the country. </w:t>
            </w:r>
            <w:r w:rsidRPr="001C7484">
              <w:rPr>
                <w:bCs/>
                <w:iCs/>
                <w:sz w:val="20"/>
                <w:szCs w:val="20"/>
                <w:lang w:val="en-US"/>
              </w:rPr>
              <w:t xml:space="preserve">The use of Stock management tools (SMT) and </w:t>
            </w:r>
            <w:proofErr w:type="gramStart"/>
            <w:r w:rsidRPr="001C7484">
              <w:rPr>
                <w:bCs/>
                <w:iCs/>
                <w:sz w:val="20"/>
                <w:szCs w:val="20"/>
                <w:lang w:val="en-US"/>
              </w:rPr>
              <w:t>Vivo</w:t>
            </w:r>
            <w:proofErr w:type="gramEnd"/>
            <w:r w:rsidRPr="001C7484">
              <w:rPr>
                <w:bCs/>
                <w:iCs/>
                <w:sz w:val="20"/>
                <w:szCs w:val="20"/>
                <w:lang w:val="en-US"/>
              </w:rPr>
              <w:t xml:space="preserve"> for stock management at the national level and the recent decentralization of the SMT to state levels have significantly improved vaccine visibility at national and state levels. The country plans to further decentralize the vaccine accountability efforts to county and health facility levels. The SMT will be scaled up to all county stores and improve on the monthly reporting of stock levels at the facility level through the DHIS 2. While embedding staff in previous plans developed Government capacity, there is room for improvement. All TA assistance will be embedded in MOH to ensure knowledge transfer to the MOH counterparts. </w:t>
            </w:r>
          </w:p>
          <w:p w14:paraId="54735EE2" w14:textId="78572DCC" w:rsidR="009F0292" w:rsidRDefault="009F0292" w:rsidP="0031148C">
            <w:pPr>
              <w:spacing w:line="300" w:lineRule="exact"/>
              <w:rPr>
                <w:color w:val="92D050"/>
                <w:lang w:val="en-GB"/>
              </w:rPr>
            </w:pPr>
          </w:p>
        </w:tc>
      </w:tr>
    </w:tbl>
    <w:p w14:paraId="4B96F6BD" w14:textId="77777777" w:rsidR="009F0292" w:rsidRDefault="009F0292" w:rsidP="00372D1F">
      <w:pPr>
        <w:pStyle w:val="ListParagraph"/>
        <w:spacing w:line="300" w:lineRule="exact"/>
        <w:ind w:left="0"/>
        <w:jc w:val="right"/>
        <w:rPr>
          <w:b/>
          <w:color w:val="70AD47" w:themeColor="accent6"/>
          <w:sz w:val="26"/>
          <w:szCs w:val="26"/>
          <w:lang w:val="en-GB"/>
        </w:rPr>
      </w:pPr>
    </w:p>
    <w:p w14:paraId="11BFC6A9" w14:textId="753345FA" w:rsidR="00610D71" w:rsidRPr="00A957C9" w:rsidRDefault="003F0221" w:rsidP="00CE1F57">
      <w:pPr>
        <w:pStyle w:val="ListParagraph"/>
        <w:numPr>
          <w:ilvl w:val="0"/>
          <w:numId w:val="4"/>
        </w:numPr>
        <w:spacing w:line="300" w:lineRule="exact"/>
        <w:rPr>
          <w:b/>
          <w:bCs/>
          <w:color w:val="84C650"/>
          <w:sz w:val="26"/>
          <w:szCs w:val="26"/>
          <w:lang w:val="en-GB"/>
        </w:rPr>
      </w:pPr>
      <w:r w:rsidRPr="08473C56">
        <w:rPr>
          <w:b/>
          <w:bCs/>
          <w:color w:val="70AD47" w:themeColor="accent6"/>
          <w:sz w:val="26"/>
          <w:szCs w:val="26"/>
          <w:lang w:val="en-GB"/>
        </w:rPr>
        <w:t>Align</w:t>
      </w:r>
      <w:r w:rsidR="000A3F37" w:rsidRPr="08473C56">
        <w:rPr>
          <w:b/>
          <w:bCs/>
          <w:color w:val="70AD47" w:themeColor="accent6"/>
          <w:sz w:val="26"/>
          <w:szCs w:val="26"/>
          <w:lang w:val="en-GB"/>
        </w:rPr>
        <w:t xml:space="preserve">ment of </w:t>
      </w:r>
      <w:r w:rsidR="000A6AC3" w:rsidRPr="08473C56">
        <w:rPr>
          <w:b/>
          <w:bCs/>
          <w:color w:val="70AD47" w:themeColor="accent6"/>
          <w:sz w:val="26"/>
          <w:szCs w:val="26"/>
          <w:lang w:val="en-GB"/>
        </w:rPr>
        <w:t>the</w:t>
      </w:r>
      <w:r w:rsidR="000A3F37" w:rsidRPr="08473C56">
        <w:rPr>
          <w:b/>
          <w:bCs/>
          <w:color w:val="70AD47" w:themeColor="accent6"/>
          <w:sz w:val="26"/>
          <w:szCs w:val="26"/>
          <w:lang w:val="en-GB"/>
        </w:rPr>
        <w:t xml:space="preserve"> One T</w:t>
      </w:r>
      <w:r w:rsidR="002510AA" w:rsidRPr="08473C56">
        <w:rPr>
          <w:b/>
          <w:bCs/>
          <w:color w:val="70AD47" w:themeColor="accent6"/>
          <w:sz w:val="26"/>
          <w:szCs w:val="26"/>
          <w:lang w:val="en-GB"/>
        </w:rPr>
        <w:t>C</w:t>
      </w:r>
      <w:r w:rsidR="000A3F37" w:rsidRPr="08473C56">
        <w:rPr>
          <w:b/>
          <w:bCs/>
          <w:color w:val="70AD47" w:themeColor="accent6"/>
          <w:sz w:val="26"/>
          <w:szCs w:val="26"/>
          <w:lang w:val="en-GB"/>
        </w:rPr>
        <w:t xml:space="preserve">A plan with </w:t>
      </w:r>
      <w:r w:rsidR="00106608" w:rsidRPr="08473C56">
        <w:rPr>
          <w:b/>
          <w:bCs/>
          <w:color w:val="70AD47" w:themeColor="accent6"/>
          <w:sz w:val="26"/>
          <w:szCs w:val="26"/>
          <w:lang w:val="en-GB"/>
        </w:rPr>
        <w:t xml:space="preserve">future </w:t>
      </w:r>
      <w:r w:rsidR="00600378">
        <w:rPr>
          <w:b/>
          <w:bCs/>
          <w:color w:val="70AD47" w:themeColor="accent6"/>
          <w:sz w:val="26"/>
          <w:szCs w:val="26"/>
          <w:lang w:val="en-GB"/>
        </w:rPr>
        <w:t xml:space="preserve">Gavi </w:t>
      </w:r>
      <w:r w:rsidR="00106608" w:rsidRPr="08473C56">
        <w:rPr>
          <w:b/>
          <w:bCs/>
          <w:color w:val="70AD47" w:themeColor="accent6"/>
          <w:sz w:val="26"/>
          <w:szCs w:val="26"/>
          <w:lang w:val="en-GB"/>
        </w:rPr>
        <w:t>planned investments</w:t>
      </w:r>
      <w:r w:rsidR="005747F6" w:rsidRPr="08473C56">
        <w:rPr>
          <w:b/>
          <w:bCs/>
          <w:color w:val="70AD47" w:themeColor="accent6"/>
          <w:sz w:val="26"/>
          <w:szCs w:val="26"/>
          <w:lang w:val="en-GB"/>
        </w:rPr>
        <w:t xml:space="preserv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A957C9" w14:paraId="3F6BA8B3" w14:textId="77777777" w:rsidTr="005F26FC">
        <w:tc>
          <w:tcPr>
            <w:tcW w:w="9192" w:type="dxa"/>
            <w:tcBorders>
              <w:bottom w:val="single" w:sz="4" w:space="0" w:color="auto"/>
            </w:tcBorders>
            <w:shd w:val="clear" w:color="auto" w:fill="F2F2F2" w:themeFill="background1" w:themeFillShade="F2"/>
          </w:tcPr>
          <w:p w14:paraId="518A3DA4" w14:textId="2C18AF85" w:rsidR="00A957C9" w:rsidRPr="00CF3BC4" w:rsidRDefault="007476F9" w:rsidP="00FC4A11">
            <w:pPr>
              <w:pStyle w:val="ListParagraph"/>
              <w:spacing w:line="300" w:lineRule="exact"/>
              <w:ind w:left="0"/>
              <w:rPr>
                <w:b/>
                <w:bCs/>
                <w:i/>
                <w:iCs/>
                <w:color w:val="84C650"/>
                <w:sz w:val="26"/>
                <w:szCs w:val="26"/>
                <w:lang w:val="en-GB"/>
              </w:rPr>
            </w:pPr>
            <w:r>
              <w:rPr>
                <w:b/>
                <w:bCs/>
                <w:i/>
                <w:iCs/>
                <w:sz w:val="20"/>
                <w:szCs w:val="20"/>
              </w:rPr>
              <w:t>5</w:t>
            </w:r>
            <w:r w:rsidR="00B80406">
              <w:rPr>
                <w:b/>
                <w:bCs/>
                <w:i/>
                <w:iCs/>
                <w:sz w:val="20"/>
                <w:szCs w:val="20"/>
              </w:rPr>
              <w:t xml:space="preserve">.1 </w:t>
            </w:r>
            <w:r w:rsidR="00A957C9" w:rsidRPr="00CF3BC4">
              <w:rPr>
                <w:b/>
                <w:bCs/>
                <w:i/>
                <w:iCs/>
                <w:sz w:val="20"/>
                <w:szCs w:val="20"/>
              </w:rPr>
              <w:t xml:space="preserve">Please list all planned upcoming Gavi investments (e.g.  </w:t>
            </w:r>
            <w:r w:rsidR="00016A9B">
              <w:rPr>
                <w:b/>
                <w:bCs/>
                <w:i/>
                <w:iCs/>
                <w:sz w:val="20"/>
                <w:szCs w:val="20"/>
              </w:rPr>
              <w:t>new vaccine support</w:t>
            </w:r>
            <w:r w:rsidR="00A957C9" w:rsidRPr="00CF3BC4">
              <w:rPr>
                <w:b/>
                <w:bCs/>
                <w:i/>
                <w:iCs/>
                <w:sz w:val="20"/>
                <w:szCs w:val="20"/>
              </w:rPr>
              <w:t xml:space="preserve">, CCEOP) that would require TA support within the planned period, including Full Portfolio Planning process and describe how the </w:t>
            </w:r>
            <w:r w:rsidR="00372D1F">
              <w:rPr>
                <w:b/>
                <w:bCs/>
                <w:i/>
                <w:iCs/>
                <w:sz w:val="20"/>
                <w:szCs w:val="20"/>
              </w:rPr>
              <w:t>TCA</w:t>
            </w:r>
            <w:r w:rsidR="00A957C9" w:rsidRPr="00CF3BC4">
              <w:rPr>
                <w:b/>
                <w:bCs/>
                <w:i/>
                <w:iCs/>
                <w:sz w:val="20"/>
                <w:szCs w:val="20"/>
              </w:rPr>
              <w:t xml:space="preserve"> plan will be aligned with the ongoing and/or planned investments made by Gavi</w:t>
            </w:r>
            <w:r w:rsidR="005F6AD5">
              <w:rPr>
                <w:b/>
                <w:bCs/>
                <w:i/>
                <w:iCs/>
                <w:sz w:val="20"/>
                <w:szCs w:val="20"/>
              </w:rPr>
              <w:t>.</w:t>
            </w:r>
          </w:p>
        </w:tc>
      </w:tr>
      <w:tr w:rsidR="00A957C9" w:rsidRPr="006A272B" w14:paraId="7B4C9334" w14:textId="77777777" w:rsidTr="005F26FC">
        <w:trPr>
          <w:trHeight w:val="50"/>
        </w:trPr>
        <w:tc>
          <w:tcPr>
            <w:tcW w:w="9192" w:type="dxa"/>
            <w:tcBorders>
              <w:top w:val="single" w:sz="4" w:space="0" w:color="auto"/>
              <w:left w:val="single" w:sz="4" w:space="0" w:color="auto"/>
              <w:bottom w:val="single" w:sz="4" w:space="0" w:color="auto"/>
              <w:right w:val="single" w:sz="4" w:space="0" w:color="auto"/>
            </w:tcBorders>
          </w:tcPr>
          <w:p w14:paraId="6959329B" w14:textId="77777777" w:rsidR="00B93EB2" w:rsidRPr="00B93EB2" w:rsidRDefault="00B93EB2" w:rsidP="00B93EB2">
            <w:pPr>
              <w:jc w:val="both"/>
              <w:rPr>
                <w:bCs/>
                <w:iCs/>
                <w:sz w:val="20"/>
                <w:szCs w:val="20"/>
              </w:rPr>
            </w:pPr>
            <w:r w:rsidRPr="00B93EB2">
              <w:rPr>
                <w:bCs/>
                <w:iCs/>
                <w:sz w:val="20"/>
                <w:szCs w:val="20"/>
              </w:rPr>
              <w:t xml:space="preserve">The planned Gavi investments in the planned period (2022-2025) </w:t>
            </w:r>
            <w:proofErr w:type="gramStart"/>
            <w:r w:rsidRPr="00B93EB2">
              <w:rPr>
                <w:bCs/>
                <w:iCs/>
                <w:sz w:val="20"/>
                <w:szCs w:val="20"/>
              </w:rPr>
              <w:t>are;</w:t>
            </w:r>
            <w:proofErr w:type="gramEnd"/>
          </w:p>
          <w:p w14:paraId="1DF742CC" w14:textId="7E8F8902" w:rsidR="00B93EB2" w:rsidRPr="00B93EB2" w:rsidRDefault="00B93EB2" w:rsidP="00B93EB2">
            <w:pPr>
              <w:pStyle w:val="ListParagraph"/>
              <w:numPr>
                <w:ilvl w:val="0"/>
                <w:numId w:val="8"/>
              </w:numPr>
              <w:jc w:val="both"/>
              <w:rPr>
                <w:bCs/>
                <w:iCs/>
                <w:sz w:val="20"/>
                <w:szCs w:val="20"/>
              </w:rPr>
            </w:pPr>
            <w:r w:rsidRPr="00B93EB2">
              <w:rPr>
                <w:bCs/>
                <w:iCs/>
                <w:sz w:val="20"/>
                <w:szCs w:val="20"/>
              </w:rPr>
              <w:t>Full Portfolio</w:t>
            </w:r>
            <w:r w:rsidR="00B47D25">
              <w:rPr>
                <w:bCs/>
                <w:iCs/>
                <w:sz w:val="20"/>
                <w:szCs w:val="20"/>
              </w:rPr>
              <w:t>/HSS St</w:t>
            </w:r>
            <w:r w:rsidR="00F14D0B">
              <w:rPr>
                <w:bCs/>
                <w:iCs/>
                <w:sz w:val="20"/>
                <w:szCs w:val="20"/>
              </w:rPr>
              <w:t xml:space="preserve">rategy </w:t>
            </w:r>
            <w:r w:rsidRPr="00B93EB2">
              <w:rPr>
                <w:bCs/>
                <w:iCs/>
                <w:sz w:val="20"/>
                <w:szCs w:val="20"/>
              </w:rPr>
              <w:t>implementation</w:t>
            </w:r>
          </w:p>
          <w:p w14:paraId="31CA4176" w14:textId="77777777" w:rsidR="00B93EB2" w:rsidRPr="00B93EB2" w:rsidRDefault="00B93EB2" w:rsidP="00B93EB2">
            <w:pPr>
              <w:pStyle w:val="ListParagraph"/>
              <w:numPr>
                <w:ilvl w:val="0"/>
                <w:numId w:val="8"/>
              </w:numPr>
              <w:jc w:val="both"/>
              <w:rPr>
                <w:bCs/>
                <w:iCs/>
                <w:sz w:val="20"/>
                <w:szCs w:val="20"/>
              </w:rPr>
            </w:pPr>
            <w:r w:rsidRPr="00B93EB2">
              <w:rPr>
                <w:bCs/>
                <w:iCs/>
                <w:sz w:val="20"/>
                <w:szCs w:val="20"/>
              </w:rPr>
              <w:t>Measles campaign</w:t>
            </w:r>
          </w:p>
          <w:p w14:paraId="7A6C2879" w14:textId="77777777" w:rsidR="00B93EB2" w:rsidRPr="00B93EB2" w:rsidRDefault="00B93EB2" w:rsidP="00B93EB2">
            <w:pPr>
              <w:pStyle w:val="ListParagraph"/>
              <w:numPr>
                <w:ilvl w:val="0"/>
                <w:numId w:val="8"/>
              </w:numPr>
              <w:jc w:val="both"/>
              <w:rPr>
                <w:bCs/>
                <w:iCs/>
                <w:sz w:val="20"/>
                <w:szCs w:val="20"/>
              </w:rPr>
            </w:pPr>
            <w:r w:rsidRPr="00B93EB2">
              <w:rPr>
                <w:bCs/>
                <w:iCs/>
                <w:sz w:val="20"/>
                <w:szCs w:val="20"/>
              </w:rPr>
              <w:t>CCEOP</w:t>
            </w:r>
          </w:p>
          <w:p w14:paraId="373E0BEF" w14:textId="31EB87DB" w:rsidR="00B93EB2" w:rsidRDefault="00B93EB2" w:rsidP="00B93EB2">
            <w:pPr>
              <w:pStyle w:val="ListParagraph"/>
              <w:numPr>
                <w:ilvl w:val="0"/>
                <w:numId w:val="8"/>
              </w:numPr>
              <w:jc w:val="both"/>
              <w:rPr>
                <w:bCs/>
                <w:iCs/>
                <w:sz w:val="20"/>
                <w:szCs w:val="20"/>
              </w:rPr>
            </w:pPr>
            <w:r w:rsidRPr="00B93EB2">
              <w:rPr>
                <w:bCs/>
                <w:iCs/>
                <w:sz w:val="20"/>
                <w:szCs w:val="20"/>
              </w:rPr>
              <w:t xml:space="preserve">New </w:t>
            </w:r>
            <w:proofErr w:type="gramStart"/>
            <w:r w:rsidRPr="00B93EB2">
              <w:rPr>
                <w:bCs/>
                <w:iCs/>
                <w:sz w:val="20"/>
                <w:szCs w:val="20"/>
              </w:rPr>
              <w:t>vaccines</w:t>
            </w:r>
            <w:proofErr w:type="gramEnd"/>
            <w:r w:rsidRPr="00B93EB2">
              <w:rPr>
                <w:bCs/>
                <w:iCs/>
                <w:sz w:val="20"/>
                <w:szCs w:val="20"/>
              </w:rPr>
              <w:t xml:space="preserve"> introduction</w:t>
            </w:r>
          </w:p>
          <w:p w14:paraId="33C7BB7E" w14:textId="0F4524FD" w:rsidR="00F14D0B" w:rsidRPr="00B93EB2" w:rsidRDefault="00F14D0B" w:rsidP="00B93EB2">
            <w:pPr>
              <w:pStyle w:val="ListParagraph"/>
              <w:numPr>
                <w:ilvl w:val="0"/>
                <w:numId w:val="8"/>
              </w:numPr>
              <w:jc w:val="both"/>
              <w:rPr>
                <w:bCs/>
                <w:iCs/>
                <w:sz w:val="20"/>
                <w:szCs w:val="20"/>
              </w:rPr>
            </w:pPr>
            <w:r>
              <w:rPr>
                <w:bCs/>
                <w:iCs/>
                <w:sz w:val="20"/>
                <w:szCs w:val="20"/>
              </w:rPr>
              <w:t xml:space="preserve">Outbreak response </w:t>
            </w:r>
          </w:p>
          <w:p w14:paraId="13E37E9A" w14:textId="1D06EC5B" w:rsidR="00B93EB2" w:rsidRPr="00B93EB2" w:rsidRDefault="00B93EB2" w:rsidP="00B93EB2">
            <w:pPr>
              <w:jc w:val="both"/>
              <w:rPr>
                <w:bCs/>
                <w:iCs/>
                <w:sz w:val="20"/>
                <w:szCs w:val="20"/>
              </w:rPr>
            </w:pPr>
            <w:r w:rsidRPr="00B93EB2">
              <w:rPr>
                <w:bCs/>
                <w:iCs/>
                <w:sz w:val="20"/>
                <w:szCs w:val="20"/>
              </w:rPr>
              <w:t xml:space="preserve">As stated earlier on, the requested TCA will accommodate the assistance needs based on the investments by years. For instance, the country will engage a consultant for pneumococcal and </w:t>
            </w:r>
            <w:proofErr w:type="spellStart"/>
            <w:r w:rsidRPr="00B93EB2">
              <w:rPr>
                <w:bCs/>
                <w:iCs/>
                <w:sz w:val="20"/>
                <w:szCs w:val="20"/>
              </w:rPr>
              <w:t>rota</w:t>
            </w:r>
            <w:proofErr w:type="spellEnd"/>
            <w:r w:rsidRPr="00B93EB2">
              <w:rPr>
                <w:bCs/>
                <w:iCs/>
                <w:sz w:val="20"/>
                <w:szCs w:val="20"/>
              </w:rPr>
              <w:t xml:space="preserve"> </w:t>
            </w:r>
            <w:proofErr w:type="gramStart"/>
            <w:r w:rsidRPr="00B93EB2">
              <w:rPr>
                <w:bCs/>
                <w:iCs/>
                <w:sz w:val="20"/>
                <w:szCs w:val="20"/>
              </w:rPr>
              <w:t>vaccines</w:t>
            </w:r>
            <w:proofErr w:type="gramEnd"/>
            <w:r w:rsidRPr="00B93EB2">
              <w:rPr>
                <w:bCs/>
                <w:iCs/>
                <w:sz w:val="20"/>
                <w:szCs w:val="20"/>
              </w:rPr>
              <w:t xml:space="preserve"> introduction in 2024 when the vaccines will be introduced. The duration of the assistance will vary based on the scope of work. Of note, the country would prefer to use sustained (long term) embedded TA to support more than one Gavi investments rather than using short term consultant.</w:t>
            </w:r>
          </w:p>
          <w:p w14:paraId="2033B8FD" w14:textId="77777777" w:rsidR="00A957C9" w:rsidRPr="006A272B" w:rsidRDefault="00A957C9" w:rsidP="00FC4A11">
            <w:pPr>
              <w:spacing w:line="300" w:lineRule="exact"/>
              <w:rPr>
                <w:lang w:val="en-GB"/>
              </w:rPr>
            </w:pPr>
          </w:p>
        </w:tc>
      </w:tr>
    </w:tbl>
    <w:p w14:paraId="658606AB" w14:textId="77777777" w:rsidR="0090123D" w:rsidRDefault="0090123D" w:rsidP="00FC4A11">
      <w:pPr>
        <w:spacing w:line="300" w:lineRule="exact"/>
        <w:rPr>
          <w:b/>
          <w:color w:val="70AD47" w:themeColor="accent6"/>
          <w:sz w:val="26"/>
          <w:szCs w:val="26"/>
          <w:lang w:val="en-GB"/>
        </w:rPr>
      </w:pPr>
    </w:p>
    <w:p w14:paraId="1A7FCC98" w14:textId="47F91448" w:rsidR="00603CB9" w:rsidRPr="0090123D" w:rsidRDefault="00672E21" w:rsidP="00CE1F57">
      <w:pPr>
        <w:pStyle w:val="ListParagraph"/>
        <w:numPr>
          <w:ilvl w:val="0"/>
          <w:numId w:val="4"/>
        </w:numPr>
        <w:spacing w:line="300" w:lineRule="exact"/>
        <w:ind w:left="426"/>
        <w:rPr>
          <w:lang w:val="en-GB"/>
        </w:rPr>
      </w:pPr>
      <w:r>
        <w:rPr>
          <w:b/>
          <w:bCs/>
          <w:color w:val="70AD47" w:themeColor="accent6"/>
          <w:sz w:val="26"/>
          <w:szCs w:val="26"/>
          <w:lang w:val="en-GB"/>
        </w:rPr>
        <w:t>TCA Monitoring</w:t>
      </w:r>
      <w:r w:rsidR="00D14702" w:rsidRPr="08473C56">
        <w:rPr>
          <w:b/>
          <w:bCs/>
          <w:color w:val="70AD47" w:themeColor="accent6"/>
          <w:sz w:val="26"/>
          <w:szCs w:val="26"/>
          <w:lang w:val="en-GB"/>
        </w:rPr>
        <w:t xml:space="preserve"> (</w:t>
      </w:r>
      <w:r w:rsidR="0023395F">
        <w:rPr>
          <w:b/>
          <w:bCs/>
          <w:color w:val="70AD47" w:themeColor="accent6"/>
          <w:sz w:val="26"/>
          <w:szCs w:val="26"/>
          <w:lang w:val="en-GB"/>
        </w:rPr>
        <w:t>1</w:t>
      </w:r>
      <w:r w:rsidR="00D14702" w:rsidRPr="08473C56">
        <w:rPr>
          <w:b/>
          <w:bCs/>
          <w:color w:val="70AD47" w:themeColor="accent6"/>
          <w:sz w:val="26"/>
          <w:szCs w:val="26"/>
          <w:lang w:val="en-GB"/>
        </w:rPr>
        <w:t xml:space="preserve"> page)</w:t>
      </w:r>
    </w:p>
    <w:p w14:paraId="603C9386" w14:textId="77777777" w:rsidR="00AB4B2D" w:rsidRPr="00A26F75" w:rsidRDefault="00AB4B2D" w:rsidP="00FC4A11">
      <w:pPr>
        <w:pStyle w:val="ListParagraph"/>
        <w:spacing w:line="300" w:lineRule="exact"/>
        <w:ind w:left="0"/>
        <w:rPr>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957C9" w:rsidRPr="00A957C9" w14:paraId="4BFA7B74" w14:textId="77777777" w:rsidTr="007612C6">
        <w:tc>
          <w:tcPr>
            <w:tcW w:w="9214" w:type="dxa"/>
            <w:tcBorders>
              <w:bottom w:val="single" w:sz="4" w:space="0" w:color="auto"/>
            </w:tcBorders>
            <w:shd w:val="clear" w:color="auto" w:fill="F2F2F2" w:themeFill="background1" w:themeFillShade="F2"/>
          </w:tcPr>
          <w:p w14:paraId="4522328F" w14:textId="19D81915" w:rsidR="00AB4B2D" w:rsidRPr="00A957C9" w:rsidRDefault="0023395F" w:rsidP="00FC4A11">
            <w:pPr>
              <w:pStyle w:val="ListParagraph"/>
              <w:spacing w:line="300" w:lineRule="exact"/>
              <w:ind w:left="0"/>
              <w:rPr>
                <w:b/>
                <w:sz w:val="26"/>
                <w:szCs w:val="26"/>
              </w:rPr>
            </w:pPr>
            <w:r>
              <w:rPr>
                <w:b/>
                <w:bCs/>
                <w:i/>
                <w:iCs/>
                <w:sz w:val="20"/>
                <w:szCs w:val="20"/>
              </w:rPr>
              <w:t>6</w:t>
            </w:r>
            <w:r w:rsidR="005876B5">
              <w:rPr>
                <w:b/>
                <w:bCs/>
                <w:i/>
                <w:iCs/>
                <w:sz w:val="20"/>
                <w:szCs w:val="20"/>
              </w:rPr>
              <w:t xml:space="preserve">.1 </w:t>
            </w:r>
            <w:r w:rsidR="00C47384" w:rsidRPr="00A957C9">
              <w:rPr>
                <w:b/>
                <w:bCs/>
                <w:i/>
                <w:iCs/>
                <w:sz w:val="20"/>
                <w:szCs w:val="20"/>
              </w:rPr>
              <w:t xml:space="preserve">Please provide an outline of the </w:t>
            </w:r>
            <w:proofErr w:type="gramStart"/>
            <w:r w:rsidR="00C47384" w:rsidRPr="00A957C9">
              <w:rPr>
                <w:b/>
                <w:bCs/>
                <w:i/>
                <w:iCs/>
                <w:sz w:val="20"/>
                <w:szCs w:val="20"/>
              </w:rPr>
              <w:t>TCA</w:t>
            </w:r>
            <w:r w:rsidR="0023057A">
              <w:rPr>
                <w:b/>
                <w:bCs/>
                <w:i/>
                <w:iCs/>
                <w:sz w:val="20"/>
                <w:szCs w:val="20"/>
              </w:rPr>
              <w:t xml:space="preserve">  in</w:t>
            </w:r>
            <w:proofErr w:type="gramEnd"/>
            <w:r w:rsidR="0023057A">
              <w:rPr>
                <w:b/>
                <w:bCs/>
                <w:i/>
                <w:iCs/>
                <w:sz w:val="20"/>
                <w:szCs w:val="20"/>
              </w:rPr>
              <w:t>-country</w:t>
            </w:r>
            <w:r w:rsidR="00C47384" w:rsidRPr="00A957C9">
              <w:rPr>
                <w:b/>
                <w:bCs/>
                <w:i/>
                <w:iCs/>
                <w:sz w:val="20"/>
                <w:szCs w:val="20"/>
              </w:rPr>
              <w:t xml:space="preserve"> </w:t>
            </w:r>
            <w:r w:rsidR="00D57494">
              <w:rPr>
                <w:b/>
                <w:bCs/>
                <w:i/>
                <w:iCs/>
                <w:sz w:val="20"/>
                <w:szCs w:val="20"/>
              </w:rPr>
              <w:t xml:space="preserve">mechanism </w:t>
            </w:r>
            <w:r w:rsidR="00C47384" w:rsidRPr="00A957C9">
              <w:rPr>
                <w:b/>
                <w:bCs/>
                <w:i/>
                <w:iCs/>
                <w:sz w:val="20"/>
                <w:szCs w:val="20"/>
              </w:rPr>
              <w:t xml:space="preserve">to jointly monitor and track implementation progress and generation of results of the </w:t>
            </w:r>
            <w:r w:rsidR="00372D1F">
              <w:rPr>
                <w:b/>
                <w:bCs/>
                <w:i/>
                <w:iCs/>
                <w:sz w:val="20"/>
                <w:szCs w:val="20"/>
              </w:rPr>
              <w:t>TCA</w:t>
            </w:r>
            <w:r w:rsidR="00C47384" w:rsidRPr="00A957C9">
              <w:rPr>
                <w:b/>
                <w:bCs/>
                <w:i/>
                <w:iCs/>
                <w:sz w:val="20"/>
                <w:szCs w:val="20"/>
              </w:rPr>
              <w:t xml:space="preserve"> plan as a whole</w:t>
            </w:r>
            <w:r w:rsidR="00564856">
              <w:rPr>
                <w:b/>
                <w:bCs/>
                <w:i/>
                <w:iCs/>
                <w:sz w:val="20"/>
                <w:szCs w:val="20"/>
              </w:rPr>
              <w:t xml:space="preserve">. </w:t>
            </w:r>
            <w:r w:rsidR="00564856" w:rsidRPr="00A957C9">
              <w:rPr>
                <w:b/>
                <w:bCs/>
                <w:i/>
                <w:iCs/>
                <w:sz w:val="20"/>
                <w:szCs w:val="20"/>
              </w:rPr>
              <w:t>How will that information be used to adjust and improve programme implementation?</w:t>
            </w:r>
            <w:r w:rsidR="00DD391A" w:rsidRPr="00A957C9">
              <w:rPr>
                <w:b/>
                <w:bCs/>
                <w:i/>
                <w:iCs/>
                <w:sz w:val="20"/>
                <w:szCs w:val="20"/>
              </w:rPr>
              <w:t xml:space="preserve"> How frequently are data reviewed and used and who will be responsible to ensure that review and learning occurs?</w:t>
            </w:r>
          </w:p>
        </w:tc>
      </w:tr>
      <w:tr w:rsidR="00A957C9" w:rsidRPr="006A272B" w14:paraId="4CAB625F" w14:textId="77777777" w:rsidTr="007612C6">
        <w:tc>
          <w:tcPr>
            <w:tcW w:w="9214" w:type="dxa"/>
            <w:tcBorders>
              <w:top w:val="single" w:sz="4" w:space="0" w:color="auto"/>
              <w:left w:val="single" w:sz="4" w:space="0" w:color="auto"/>
              <w:bottom w:val="single" w:sz="4" w:space="0" w:color="auto"/>
              <w:right w:val="single" w:sz="4" w:space="0" w:color="auto"/>
            </w:tcBorders>
          </w:tcPr>
          <w:p w14:paraId="5083BABF" w14:textId="61B3CAF4" w:rsidR="001C7484" w:rsidRPr="001C7484" w:rsidRDefault="001C7484" w:rsidP="001C7484">
            <w:pPr>
              <w:jc w:val="both"/>
              <w:rPr>
                <w:bCs/>
                <w:iCs/>
                <w:sz w:val="20"/>
                <w:szCs w:val="20"/>
                <w:lang w:val="en-US"/>
              </w:rPr>
            </w:pPr>
            <w:r w:rsidRPr="001C7484">
              <w:rPr>
                <w:bCs/>
                <w:iCs/>
                <w:sz w:val="20"/>
                <w:szCs w:val="20"/>
                <w:lang w:val="en-US"/>
              </w:rPr>
              <w:t xml:space="preserve">In the previous TA plans, the country conducted ALL partners' quarterly performance review meetings chaired by the Director General of Primary health care to monitor and track the implementation of the TCA plan. The partners presented their achievements based on the agreed milestones and indicators in the PEF-TCA plan. The achievements </w:t>
            </w:r>
            <w:r w:rsidR="009D5DD1">
              <w:rPr>
                <w:bCs/>
                <w:iCs/>
                <w:sz w:val="20"/>
                <w:szCs w:val="20"/>
                <w:lang w:val="en-US"/>
              </w:rPr>
              <w:t>were</w:t>
            </w:r>
            <w:r w:rsidRPr="001C7484">
              <w:rPr>
                <w:bCs/>
                <w:iCs/>
                <w:sz w:val="20"/>
                <w:szCs w:val="20"/>
                <w:lang w:val="en-US"/>
              </w:rPr>
              <w:t xml:space="preserve"> compared against performance data in the DHIS 2 for accuracy and impact. The recently concluded accountability framework will form the basis of discussions in these meetings going forward. The activities, milestones, outputs, and indicators by </w:t>
            </w:r>
            <w:r w:rsidRPr="001C7484">
              <w:rPr>
                <w:bCs/>
                <w:iCs/>
                <w:sz w:val="20"/>
                <w:szCs w:val="20"/>
                <w:lang w:val="en-US"/>
              </w:rPr>
              <w:lastRenderedPageBreak/>
              <w:t>partner, budget utilization rates, and the EPI performance data by states and counties will all be reviewed in this meeting and will be updated in the AF every quarter. Discussions will center on how to make the TCA more effective and make recommendations for implementation in the next quarter. The EPI manager will generate a report to be shared with ALL partners and Gavi quarterly. The embedded TA will assist the EPI manager to compile and disseminate the report. </w:t>
            </w:r>
          </w:p>
          <w:p w14:paraId="635EF35F" w14:textId="77777777" w:rsidR="00AB4B2D" w:rsidRPr="006A272B" w:rsidRDefault="00AB4B2D" w:rsidP="00FC4A11">
            <w:pPr>
              <w:spacing w:line="300" w:lineRule="exact"/>
              <w:rPr>
                <w:lang w:val="en-GB"/>
              </w:rPr>
            </w:pPr>
          </w:p>
        </w:tc>
      </w:tr>
    </w:tbl>
    <w:p w14:paraId="146AE6CC" w14:textId="77777777" w:rsidR="007612C6" w:rsidRDefault="007612C6" w:rsidP="00FC4A11">
      <w:pPr>
        <w:spacing w:line="300" w:lineRule="exact"/>
        <w:rPr>
          <w:lang w:val="en-GB"/>
        </w:rPr>
      </w:pPr>
    </w:p>
    <w:p w14:paraId="2381EEAA" w14:textId="77777777" w:rsidR="00A47248" w:rsidRDefault="00A47248" w:rsidP="00FC4A11">
      <w:pPr>
        <w:spacing w:line="300" w:lineRule="exact"/>
        <w:rPr>
          <w:lang w:val="en-GB"/>
        </w:rPr>
      </w:pPr>
    </w:p>
    <w:p w14:paraId="0691F5FA" w14:textId="47114D33" w:rsidR="00A47248" w:rsidRPr="009607D9" w:rsidRDefault="00A47248" w:rsidP="00FC4A11">
      <w:pPr>
        <w:spacing w:line="300" w:lineRule="exact"/>
        <w:rPr>
          <w:b/>
          <w:bCs/>
          <w:u w:val="single"/>
          <w:lang w:val="en-GB"/>
        </w:rPr>
      </w:pPr>
      <w:r w:rsidRPr="009607D9">
        <w:rPr>
          <w:b/>
          <w:bCs/>
          <w:u w:val="single"/>
          <w:lang w:val="en-GB"/>
        </w:rPr>
        <w:t>Annex 1:</w:t>
      </w:r>
    </w:p>
    <w:p w14:paraId="28C59CF8" w14:textId="3E5F6FBC" w:rsidR="00D218FC" w:rsidRDefault="009607D9" w:rsidP="00FC4A11">
      <w:pPr>
        <w:spacing w:line="300" w:lineRule="exact"/>
        <w:rPr>
          <w:lang w:val="en-GB"/>
        </w:rPr>
      </w:pPr>
      <w:r>
        <w:rPr>
          <w:lang w:val="en-GB"/>
        </w:rPr>
        <w:t>T</w:t>
      </w:r>
      <w:r w:rsidR="007B3783">
        <w:rPr>
          <w:lang w:val="en-GB"/>
        </w:rPr>
        <w:t xml:space="preserve">he List of CSO </w:t>
      </w:r>
      <w:r w:rsidR="00FF4568">
        <w:rPr>
          <w:lang w:val="en-GB"/>
        </w:rPr>
        <w:t xml:space="preserve">coordinated by </w:t>
      </w:r>
      <w:r>
        <w:rPr>
          <w:lang w:val="en-GB"/>
        </w:rPr>
        <w:t xml:space="preserve">HPF and </w:t>
      </w:r>
      <w:r w:rsidR="00FF4568">
        <w:rPr>
          <w:lang w:val="en-GB"/>
        </w:rPr>
        <w:t xml:space="preserve">UNICEF for an integrated health package including immunisation </w:t>
      </w:r>
    </w:p>
    <w:tbl>
      <w:tblPr>
        <w:tblStyle w:val="TableGrid"/>
        <w:tblW w:w="9265" w:type="dxa"/>
        <w:tblLook w:val="04A0" w:firstRow="1" w:lastRow="0" w:firstColumn="1" w:lastColumn="0" w:noHBand="0" w:noVBand="1"/>
      </w:tblPr>
      <w:tblGrid>
        <w:gridCol w:w="2965"/>
        <w:gridCol w:w="4770"/>
        <w:gridCol w:w="1530"/>
      </w:tblGrid>
      <w:tr w:rsidR="009607D9" w14:paraId="19DADE55" w14:textId="3803838B" w:rsidTr="009607D9">
        <w:tc>
          <w:tcPr>
            <w:tcW w:w="2965" w:type="dxa"/>
          </w:tcPr>
          <w:p w14:paraId="68EF92AA" w14:textId="1C68A404" w:rsidR="009607D9" w:rsidRPr="00D218FC" w:rsidRDefault="009607D9" w:rsidP="00FC4A11">
            <w:pPr>
              <w:spacing w:line="300" w:lineRule="exact"/>
              <w:rPr>
                <w:b/>
                <w:lang w:val="en-GB"/>
              </w:rPr>
            </w:pPr>
            <w:r w:rsidRPr="00D218FC">
              <w:rPr>
                <w:b/>
                <w:lang w:val="en-GB"/>
              </w:rPr>
              <w:t>Fund Manager</w:t>
            </w:r>
          </w:p>
        </w:tc>
        <w:tc>
          <w:tcPr>
            <w:tcW w:w="4770" w:type="dxa"/>
          </w:tcPr>
          <w:p w14:paraId="49DA7978" w14:textId="573E7174" w:rsidR="009607D9" w:rsidRPr="00D218FC" w:rsidRDefault="009607D9" w:rsidP="00FC4A11">
            <w:pPr>
              <w:spacing w:line="300" w:lineRule="exact"/>
              <w:rPr>
                <w:b/>
                <w:lang w:val="en-GB"/>
              </w:rPr>
            </w:pPr>
            <w:r w:rsidRPr="00D218FC">
              <w:rPr>
                <w:b/>
                <w:lang w:val="en-GB"/>
              </w:rPr>
              <w:t>Name</w:t>
            </w:r>
          </w:p>
        </w:tc>
        <w:tc>
          <w:tcPr>
            <w:tcW w:w="1530" w:type="dxa"/>
          </w:tcPr>
          <w:p w14:paraId="5D72D825" w14:textId="11935DAA" w:rsidR="009607D9" w:rsidRPr="00D218FC" w:rsidRDefault="009607D9" w:rsidP="00FC4A11">
            <w:pPr>
              <w:spacing w:line="300" w:lineRule="exact"/>
              <w:rPr>
                <w:b/>
                <w:lang w:val="en-GB"/>
              </w:rPr>
            </w:pPr>
            <w:r w:rsidRPr="00D218FC">
              <w:rPr>
                <w:b/>
                <w:lang w:val="en-GB"/>
              </w:rPr>
              <w:t>Type</w:t>
            </w:r>
          </w:p>
        </w:tc>
      </w:tr>
      <w:tr w:rsidR="009607D9" w14:paraId="34D99584" w14:textId="5F49732D" w:rsidTr="009607D9">
        <w:tc>
          <w:tcPr>
            <w:tcW w:w="2965" w:type="dxa"/>
          </w:tcPr>
          <w:p w14:paraId="7C902304" w14:textId="5FFCED58" w:rsidR="009607D9" w:rsidRDefault="009607D9" w:rsidP="00FC4A11">
            <w:pPr>
              <w:spacing w:line="300" w:lineRule="exact"/>
              <w:rPr>
                <w:lang w:val="en-GB"/>
              </w:rPr>
            </w:pPr>
            <w:r>
              <w:rPr>
                <w:lang w:val="en-GB"/>
              </w:rPr>
              <w:t>Health Pooled Fund</w:t>
            </w:r>
          </w:p>
        </w:tc>
        <w:tc>
          <w:tcPr>
            <w:tcW w:w="4770" w:type="dxa"/>
          </w:tcPr>
          <w:p w14:paraId="409C3CE0" w14:textId="1D8952C6" w:rsidR="009607D9" w:rsidRDefault="009607D9" w:rsidP="00FC4A11">
            <w:pPr>
              <w:spacing w:line="300" w:lineRule="exact"/>
              <w:rPr>
                <w:lang w:val="en-GB"/>
              </w:rPr>
            </w:pPr>
            <w:r>
              <w:rPr>
                <w:lang w:val="en-GB"/>
              </w:rPr>
              <w:t>AMREF</w:t>
            </w:r>
          </w:p>
        </w:tc>
        <w:tc>
          <w:tcPr>
            <w:tcW w:w="1530" w:type="dxa"/>
          </w:tcPr>
          <w:p w14:paraId="44D830EC" w14:textId="38393878" w:rsidR="009607D9" w:rsidRDefault="009607D9" w:rsidP="00FC4A11">
            <w:pPr>
              <w:spacing w:line="300" w:lineRule="exact"/>
              <w:rPr>
                <w:lang w:val="en-GB"/>
              </w:rPr>
            </w:pPr>
            <w:r>
              <w:rPr>
                <w:lang w:val="en-GB"/>
              </w:rPr>
              <w:t>Regional</w:t>
            </w:r>
          </w:p>
        </w:tc>
      </w:tr>
      <w:tr w:rsidR="009607D9" w14:paraId="1EE782C9" w14:textId="33CA09CA" w:rsidTr="009607D9">
        <w:tc>
          <w:tcPr>
            <w:tcW w:w="2965" w:type="dxa"/>
          </w:tcPr>
          <w:p w14:paraId="1A49C33F" w14:textId="4CDE5467" w:rsidR="009607D9" w:rsidRDefault="009607D9" w:rsidP="000C5A0C">
            <w:pPr>
              <w:spacing w:line="300" w:lineRule="exact"/>
              <w:rPr>
                <w:lang w:val="en-GB"/>
              </w:rPr>
            </w:pPr>
            <w:r w:rsidRPr="000C5A0C">
              <w:rPr>
                <w:lang w:val="en-GB"/>
              </w:rPr>
              <w:t>Health Pooled Fund</w:t>
            </w:r>
          </w:p>
        </w:tc>
        <w:tc>
          <w:tcPr>
            <w:tcW w:w="4770" w:type="dxa"/>
            <w:tcBorders>
              <w:top w:val="nil"/>
              <w:left w:val="nil"/>
              <w:bottom w:val="single" w:sz="8" w:space="0" w:color="auto"/>
              <w:right w:val="single" w:sz="8" w:space="0" w:color="auto"/>
            </w:tcBorders>
            <w:shd w:val="clear" w:color="000000" w:fill="FFFFFF"/>
            <w:vAlign w:val="center"/>
          </w:tcPr>
          <w:p w14:paraId="1AD3F6A5" w14:textId="0D8D44E6" w:rsidR="009607D9" w:rsidRDefault="009607D9" w:rsidP="000C5A0C">
            <w:pPr>
              <w:spacing w:line="300" w:lineRule="exact"/>
              <w:rPr>
                <w:lang w:val="en-GB"/>
              </w:rPr>
            </w:pPr>
            <w:r>
              <w:rPr>
                <w:color w:val="000000"/>
              </w:rPr>
              <w:t>CCM</w:t>
            </w:r>
          </w:p>
        </w:tc>
        <w:tc>
          <w:tcPr>
            <w:tcW w:w="1530" w:type="dxa"/>
          </w:tcPr>
          <w:p w14:paraId="50A9D89B" w14:textId="1B341DE7" w:rsidR="009607D9" w:rsidRDefault="009607D9" w:rsidP="000C5A0C">
            <w:pPr>
              <w:spacing w:line="300" w:lineRule="exact"/>
              <w:rPr>
                <w:lang w:val="en-GB"/>
              </w:rPr>
            </w:pPr>
            <w:r>
              <w:rPr>
                <w:lang w:val="en-GB"/>
              </w:rPr>
              <w:t>International</w:t>
            </w:r>
          </w:p>
        </w:tc>
      </w:tr>
      <w:tr w:rsidR="000C5A0C" w14:paraId="6FF7DA99" w14:textId="77777777" w:rsidTr="009607D9">
        <w:tc>
          <w:tcPr>
            <w:tcW w:w="2965" w:type="dxa"/>
          </w:tcPr>
          <w:p w14:paraId="32910FA5" w14:textId="7A15B1DD" w:rsidR="000C5A0C" w:rsidRDefault="000C5A0C" w:rsidP="000C5A0C">
            <w:pPr>
              <w:spacing w:line="300" w:lineRule="exact"/>
              <w:rPr>
                <w:lang w:val="en-GB"/>
              </w:rPr>
            </w:pPr>
            <w:r w:rsidRPr="000C5A0C">
              <w:rPr>
                <w:lang w:val="en-GB"/>
              </w:rPr>
              <w:t>Health Pooled Fund</w:t>
            </w:r>
          </w:p>
        </w:tc>
        <w:tc>
          <w:tcPr>
            <w:tcW w:w="4770" w:type="dxa"/>
            <w:tcBorders>
              <w:top w:val="nil"/>
              <w:left w:val="nil"/>
              <w:bottom w:val="single" w:sz="8" w:space="0" w:color="auto"/>
              <w:right w:val="single" w:sz="8" w:space="0" w:color="auto"/>
            </w:tcBorders>
            <w:shd w:val="clear" w:color="000000" w:fill="FFFFFF"/>
            <w:vAlign w:val="center"/>
          </w:tcPr>
          <w:p w14:paraId="0211F062" w14:textId="2615CE90" w:rsidR="000C5A0C" w:rsidRDefault="000C5A0C" w:rsidP="000C5A0C">
            <w:pPr>
              <w:spacing w:line="300" w:lineRule="exact"/>
              <w:rPr>
                <w:lang w:val="en-GB"/>
              </w:rPr>
            </w:pPr>
            <w:r>
              <w:rPr>
                <w:color w:val="000000"/>
              </w:rPr>
              <w:t>CORDAID</w:t>
            </w:r>
          </w:p>
        </w:tc>
        <w:tc>
          <w:tcPr>
            <w:tcW w:w="1530" w:type="dxa"/>
          </w:tcPr>
          <w:p w14:paraId="053F7F00" w14:textId="396BE868" w:rsidR="000C5A0C" w:rsidRDefault="000C5A0C" w:rsidP="000C5A0C">
            <w:pPr>
              <w:spacing w:line="300" w:lineRule="exact"/>
              <w:rPr>
                <w:lang w:val="en-GB"/>
              </w:rPr>
            </w:pPr>
            <w:r>
              <w:rPr>
                <w:lang w:val="en-GB"/>
              </w:rPr>
              <w:t>International</w:t>
            </w:r>
          </w:p>
        </w:tc>
      </w:tr>
      <w:tr w:rsidR="000C5A0C" w14:paraId="0110D3E5" w14:textId="77777777" w:rsidTr="009607D9">
        <w:tc>
          <w:tcPr>
            <w:tcW w:w="2965" w:type="dxa"/>
          </w:tcPr>
          <w:p w14:paraId="128A07E0" w14:textId="57FB49F8" w:rsidR="000C5A0C" w:rsidRDefault="000C5A0C" w:rsidP="000C5A0C">
            <w:pPr>
              <w:spacing w:line="300" w:lineRule="exact"/>
              <w:rPr>
                <w:lang w:val="en-GB"/>
              </w:rPr>
            </w:pPr>
            <w:r w:rsidRPr="000C5A0C">
              <w:rPr>
                <w:lang w:val="en-GB"/>
              </w:rPr>
              <w:t>Health Pooled Fund</w:t>
            </w:r>
          </w:p>
        </w:tc>
        <w:tc>
          <w:tcPr>
            <w:tcW w:w="4770" w:type="dxa"/>
            <w:tcBorders>
              <w:top w:val="nil"/>
              <w:left w:val="nil"/>
              <w:bottom w:val="single" w:sz="8" w:space="0" w:color="auto"/>
              <w:right w:val="single" w:sz="8" w:space="0" w:color="auto"/>
            </w:tcBorders>
            <w:shd w:val="clear" w:color="000000" w:fill="FFFFFF"/>
            <w:vAlign w:val="center"/>
          </w:tcPr>
          <w:p w14:paraId="545CE115" w14:textId="43E6EBCF" w:rsidR="000C5A0C" w:rsidRDefault="000C5A0C" w:rsidP="000C5A0C">
            <w:pPr>
              <w:spacing w:line="300" w:lineRule="exact"/>
              <w:rPr>
                <w:lang w:val="en-GB"/>
              </w:rPr>
            </w:pPr>
            <w:r>
              <w:rPr>
                <w:color w:val="000000"/>
              </w:rPr>
              <w:t>CUAMM</w:t>
            </w:r>
          </w:p>
        </w:tc>
        <w:tc>
          <w:tcPr>
            <w:tcW w:w="1530" w:type="dxa"/>
          </w:tcPr>
          <w:p w14:paraId="0A33D220" w14:textId="7BBFAE2D" w:rsidR="000C5A0C" w:rsidRDefault="000C5A0C" w:rsidP="000C5A0C">
            <w:pPr>
              <w:spacing w:line="300" w:lineRule="exact"/>
              <w:rPr>
                <w:lang w:val="en-GB"/>
              </w:rPr>
            </w:pPr>
            <w:r>
              <w:rPr>
                <w:lang w:val="en-GB"/>
              </w:rPr>
              <w:t>International</w:t>
            </w:r>
          </w:p>
        </w:tc>
      </w:tr>
      <w:tr w:rsidR="000C5A0C" w14:paraId="7E121644" w14:textId="77777777" w:rsidTr="009607D9">
        <w:tc>
          <w:tcPr>
            <w:tcW w:w="2965" w:type="dxa"/>
          </w:tcPr>
          <w:p w14:paraId="5BBD497F" w14:textId="5E40EC70" w:rsidR="000C5A0C" w:rsidRDefault="000C5A0C" w:rsidP="000C5A0C">
            <w:pPr>
              <w:spacing w:line="300" w:lineRule="exact"/>
              <w:rPr>
                <w:lang w:val="en-GB"/>
              </w:rPr>
            </w:pPr>
            <w:r w:rsidRPr="000C5A0C">
              <w:rPr>
                <w:lang w:val="en-GB"/>
              </w:rPr>
              <w:t>Health Pooled Fund</w:t>
            </w:r>
          </w:p>
        </w:tc>
        <w:tc>
          <w:tcPr>
            <w:tcW w:w="4770" w:type="dxa"/>
            <w:tcBorders>
              <w:top w:val="nil"/>
              <w:left w:val="nil"/>
              <w:bottom w:val="single" w:sz="8" w:space="0" w:color="auto"/>
              <w:right w:val="single" w:sz="8" w:space="0" w:color="auto"/>
            </w:tcBorders>
            <w:shd w:val="clear" w:color="000000" w:fill="FFFFFF"/>
            <w:vAlign w:val="center"/>
          </w:tcPr>
          <w:p w14:paraId="07B9621C" w14:textId="7DB69925" w:rsidR="000C5A0C" w:rsidRDefault="000C5A0C" w:rsidP="000C5A0C">
            <w:pPr>
              <w:spacing w:line="300" w:lineRule="exact"/>
              <w:rPr>
                <w:lang w:val="en-GB"/>
              </w:rPr>
            </w:pPr>
            <w:proofErr w:type="spellStart"/>
            <w:r>
              <w:rPr>
                <w:color w:val="000000"/>
              </w:rPr>
              <w:t>Healthlink</w:t>
            </w:r>
            <w:proofErr w:type="spellEnd"/>
          </w:p>
        </w:tc>
        <w:tc>
          <w:tcPr>
            <w:tcW w:w="1530" w:type="dxa"/>
          </w:tcPr>
          <w:p w14:paraId="6DF57EE5" w14:textId="0389F0BC" w:rsidR="000C5A0C" w:rsidRDefault="000C5A0C" w:rsidP="000C5A0C">
            <w:pPr>
              <w:spacing w:line="300" w:lineRule="exact"/>
              <w:rPr>
                <w:lang w:val="en-GB"/>
              </w:rPr>
            </w:pPr>
            <w:r>
              <w:rPr>
                <w:lang w:val="en-GB"/>
              </w:rPr>
              <w:t>National</w:t>
            </w:r>
          </w:p>
        </w:tc>
      </w:tr>
      <w:tr w:rsidR="000C5A0C" w14:paraId="2F135414" w14:textId="77777777" w:rsidTr="009607D9">
        <w:tc>
          <w:tcPr>
            <w:tcW w:w="2965" w:type="dxa"/>
          </w:tcPr>
          <w:p w14:paraId="68E33E15" w14:textId="5CF3E0E6" w:rsidR="000C5A0C" w:rsidRDefault="000C5A0C" w:rsidP="000C5A0C">
            <w:pPr>
              <w:spacing w:line="300" w:lineRule="exact"/>
              <w:rPr>
                <w:lang w:val="en-GB"/>
              </w:rPr>
            </w:pPr>
            <w:r w:rsidRPr="000C5A0C">
              <w:rPr>
                <w:lang w:val="en-GB"/>
              </w:rPr>
              <w:t>Health Pooled Fund</w:t>
            </w:r>
          </w:p>
        </w:tc>
        <w:tc>
          <w:tcPr>
            <w:tcW w:w="4770" w:type="dxa"/>
            <w:tcBorders>
              <w:top w:val="nil"/>
              <w:left w:val="nil"/>
              <w:bottom w:val="single" w:sz="8" w:space="0" w:color="auto"/>
              <w:right w:val="single" w:sz="8" w:space="0" w:color="auto"/>
            </w:tcBorders>
            <w:shd w:val="clear" w:color="000000" w:fill="FFFFFF"/>
            <w:vAlign w:val="center"/>
          </w:tcPr>
          <w:p w14:paraId="70D1A0E4" w14:textId="74FF7736" w:rsidR="000C5A0C" w:rsidRDefault="000C5A0C" w:rsidP="000C5A0C">
            <w:pPr>
              <w:spacing w:line="300" w:lineRule="exact"/>
              <w:rPr>
                <w:lang w:val="en-GB"/>
              </w:rPr>
            </w:pPr>
            <w:r>
              <w:rPr>
                <w:color w:val="000000"/>
              </w:rPr>
              <w:t>Healthnet TPO</w:t>
            </w:r>
          </w:p>
        </w:tc>
        <w:tc>
          <w:tcPr>
            <w:tcW w:w="1530" w:type="dxa"/>
          </w:tcPr>
          <w:p w14:paraId="35162EEF" w14:textId="5DE4FD7D" w:rsidR="000C5A0C" w:rsidRDefault="000C5A0C" w:rsidP="000C5A0C">
            <w:pPr>
              <w:spacing w:line="300" w:lineRule="exact"/>
              <w:rPr>
                <w:lang w:val="en-GB"/>
              </w:rPr>
            </w:pPr>
            <w:r>
              <w:rPr>
                <w:lang w:val="en-GB"/>
              </w:rPr>
              <w:t>International</w:t>
            </w:r>
          </w:p>
        </w:tc>
      </w:tr>
      <w:tr w:rsidR="000C5A0C" w14:paraId="55D6E5A2" w14:textId="77777777" w:rsidTr="009607D9">
        <w:tc>
          <w:tcPr>
            <w:tcW w:w="2965" w:type="dxa"/>
          </w:tcPr>
          <w:p w14:paraId="1340B784" w14:textId="5E723D14" w:rsidR="000C5A0C" w:rsidRDefault="000C5A0C" w:rsidP="000C5A0C">
            <w:pPr>
              <w:spacing w:line="300" w:lineRule="exact"/>
              <w:rPr>
                <w:lang w:val="en-GB"/>
              </w:rPr>
            </w:pPr>
            <w:r w:rsidRPr="000C5A0C">
              <w:rPr>
                <w:lang w:val="en-GB"/>
              </w:rPr>
              <w:t>Health Pooled Fund</w:t>
            </w:r>
          </w:p>
        </w:tc>
        <w:tc>
          <w:tcPr>
            <w:tcW w:w="4770" w:type="dxa"/>
            <w:tcBorders>
              <w:top w:val="nil"/>
              <w:left w:val="nil"/>
              <w:bottom w:val="single" w:sz="8" w:space="0" w:color="auto"/>
              <w:right w:val="single" w:sz="8" w:space="0" w:color="auto"/>
            </w:tcBorders>
            <w:shd w:val="clear" w:color="000000" w:fill="FFFFFF"/>
            <w:vAlign w:val="center"/>
          </w:tcPr>
          <w:p w14:paraId="34CCF8E7" w14:textId="532AD9FC" w:rsidR="000C5A0C" w:rsidRDefault="000C5A0C" w:rsidP="000C5A0C">
            <w:pPr>
              <w:spacing w:line="300" w:lineRule="exact"/>
              <w:rPr>
                <w:lang w:val="en-GB"/>
              </w:rPr>
            </w:pPr>
            <w:r>
              <w:rPr>
                <w:color w:val="000000"/>
              </w:rPr>
              <w:t>IRC</w:t>
            </w:r>
          </w:p>
        </w:tc>
        <w:tc>
          <w:tcPr>
            <w:tcW w:w="1530" w:type="dxa"/>
          </w:tcPr>
          <w:p w14:paraId="3675875E" w14:textId="34DD9028" w:rsidR="000C5A0C" w:rsidRDefault="000C5A0C" w:rsidP="000C5A0C">
            <w:pPr>
              <w:spacing w:line="300" w:lineRule="exact"/>
              <w:rPr>
                <w:lang w:val="en-GB"/>
              </w:rPr>
            </w:pPr>
            <w:r>
              <w:rPr>
                <w:lang w:val="en-GB"/>
              </w:rPr>
              <w:t>International</w:t>
            </w:r>
          </w:p>
        </w:tc>
      </w:tr>
      <w:tr w:rsidR="000C5A0C" w14:paraId="3C484962" w14:textId="77777777" w:rsidTr="009607D9">
        <w:tc>
          <w:tcPr>
            <w:tcW w:w="2965" w:type="dxa"/>
          </w:tcPr>
          <w:p w14:paraId="475E511D" w14:textId="6B02E38D" w:rsidR="000C5A0C" w:rsidRDefault="000C5A0C" w:rsidP="000C5A0C">
            <w:pPr>
              <w:spacing w:line="300" w:lineRule="exact"/>
              <w:rPr>
                <w:lang w:val="en-GB"/>
              </w:rPr>
            </w:pPr>
            <w:r w:rsidRPr="000C5A0C">
              <w:rPr>
                <w:lang w:val="en-GB"/>
              </w:rPr>
              <w:t>Health Pooled Fund</w:t>
            </w:r>
          </w:p>
        </w:tc>
        <w:tc>
          <w:tcPr>
            <w:tcW w:w="4770" w:type="dxa"/>
            <w:tcBorders>
              <w:top w:val="nil"/>
              <w:left w:val="nil"/>
              <w:bottom w:val="single" w:sz="8" w:space="0" w:color="auto"/>
              <w:right w:val="single" w:sz="8" w:space="0" w:color="auto"/>
            </w:tcBorders>
            <w:shd w:val="clear" w:color="000000" w:fill="FFFFFF"/>
            <w:vAlign w:val="center"/>
          </w:tcPr>
          <w:p w14:paraId="085AAE5D" w14:textId="5649EA44" w:rsidR="000C5A0C" w:rsidRDefault="000C5A0C" w:rsidP="000C5A0C">
            <w:pPr>
              <w:spacing w:line="300" w:lineRule="exact"/>
              <w:rPr>
                <w:lang w:val="en-GB"/>
              </w:rPr>
            </w:pPr>
            <w:r>
              <w:rPr>
                <w:color w:val="000000"/>
              </w:rPr>
              <w:t>Malaria Consortium</w:t>
            </w:r>
          </w:p>
        </w:tc>
        <w:tc>
          <w:tcPr>
            <w:tcW w:w="1530" w:type="dxa"/>
          </w:tcPr>
          <w:p w14:paraId="19DFDDAF" w14:textId="32F03004" w:rsidR="000C5A0C" w:rsidRDefault="000C5A0C" w:rsidP="000C5A0C">
            <w:pPr>
              <w:spacing w:line="300" w:lineRule="exact"/>
              <w:rPr>
                <w:lang w:val="en-GB"/>
              </w:rPr>
            </w:pPr>
            <w:r>
              <w:rPr>
                <w:lang w:val="en-GB"/>
              </w:rPr>
              <w:t>International</w:t>
            </w:r>
          </w:p>
        </w:tc>
      </w:tr>
      <w:tr w:rsidR="000C5A0C" w14:paraId="02CC5A0E" w14:textId="77777777" w:rsidTr="009607D9">
        <w:tc>
          <w:tcPr>
            <w:tcW w:w="2965" w:type="dxa"/>
          </w:tcPr>
          <w:p w14:paraId="55D0F636" w14:textId="313E5F09" w:rsidR="000C5A0C" w:rsidRDefault="000C5A0C" w:rsidP="000C5A0C">
            <w:pPr>
              <w:spacing w:line="300" w:lineRule="exact"/>
              <w:rPr>
                <w:lang w:val="en-GB"/>
              </w:rPr>
            </w:pPr>
            <w:r w:rsidRPr="000C5A0C">
              <w:rPr>
                <w:lang w:val="en-GB"/>
              </w:rPr>
              <w:t>Health Pooled Fund</w:t>
            </w:r>
          </w:p>
        </w:tc>
        <w:tc>
          <w:tcPr>
            <w:tcW w:w="4770" w:type="dxa"/>
            <w:tcBorders>
              <w:top w:val="nil"/>
              <w:left w:val="nil"/>
              <w:bottom w:val="single" w:sz="8" w:space="0" w:color="auto"/>
              <w:right w:val="single" w:sz="8" w:space="0" w:color="auto"/>
            </w:tcBorders>
            <w:shd w:val="clear" w:color="000000" w:fill="FFFFFF"/>
            <w:vAlign w:val="center"/>
          </w:tcPr>
          <w:p w14:paraId="4C824E8E" w14:textId="1E194CE5" w:rsidR="000C5A0C" w:rsidRDefault="000C5A0C" w:rsidP="000C5A0C">
            <w:pPr>
              <w:spacing w:line="300" w:lineRule="exact"/>
              <w:rPr>
                <w:lang w:val="en-GB"/>
              </w:rPr>
            </w:pPr>
            <w:r>
              <w:rPr>
                <w:color w:val="000000"/>
              </w:rPr>
              <w:t>SSUHA</w:t>
            </w:r>
          </w:p>
        </w:tc>
        <w:tc>
          <w:tcPr>
            <w:tcW w:w="1530" w:type="dxa"/>
          </w:tcPr>
          <w:p w14:paraId="3E0C8EBA" w14:textId="436EC8FE" w:rsidR="000C5A0C" w:rsidRDefault="000C5A0C" w:rsidP="000C5A0C">
            <w:pPr>
              <w:spacing w:line="300" w:lineRule="exact"/>
              <w:rPr>
                <w:lang w:val="en-GB"/>
              </w:rPr>
            </w:pPr>
            <w:r>
              <w:rPr>
                <w:lang w:val="en-GB"/>
              </w:rPr>
              <w:t>National</w:t>
            </w:r>
          </w:p>
        </w:tc>
      </w:tr>
      <w:tr w:rsidR="000C5A0C" w14:paraId="11E05E95" w14:textId="77777777" w:rsidTr="009607D9">
        <w:tc>
          <w:tcPr>
            <w:tcW w:w="2965" w:type="dxa"/>
          </w:tcPr>
          <w:p w14:paraId="37346D85" w14:textId="5D780FCA" w:rsidR="000C5A0C" w:rsidRDefault="000C5A0C" w:rsidP="000C5A0C">
            <w:pPr>
              <w:spacing w:line="300" w:lineRule="exact"/>
              <w:rPr>
                <w:lang w:val="en-GB"/>
              </w:rPr>
            </w:pPr>
            <w:r w:rsidRPr="000C5A0C">
              <w:rPr>
                <w:lang w:val="en-GB"/>
              </w:rPr>
              <w:t>Health Pooled Fund</w:t>
            </w:r>
          </w:p>
        </w:tc>
        <w:tc>
          <w:tcPr>
            <w:tcW w:w="4770" w:type="dxa"/>
            <w:tcBorders>
              <w:top w:val="nil"/>
              <w:left w:val="nil"/>
              <w:bottom w:val="single" w:sz="8" w:space="0" w:color="auto"/>
              <w:right w:val="single" w:sz="8" w:space="0" w:color="auto"/>
            </w:tcBorders>
            <w:shd w:val="clear" w:color="000000" w:fill="FFFFFF"/>
            <w:vAlign w:val="center"/>
          </w:tcPr>
          <w:p w14:paraId="715A4E7F" w14:textId="1E5D5432" w:rsidR="000C5A0C" w:rsidRDefault="000C5A0C" w:rsidP="000C5A0C">
            <w:pPr>
              <w:spacing w:line="300" w:lineRule="exact"/>
              <w:rPr>
                <w:lang w:val="en-GB"/>
              </w:rPr>
            </w:pPr>
            <w:r>
              <w:rPr>
                <w:color w:val="000000"/>
              </w:rPr>
              <w:t>World Vision</w:t>
            </w:r>
          </w:p>
        </w:tc>
        <w:tc>
          <w:tcPr>
            <w:tcW w:w="1530" w:type="dxa"/>
          </w:tcPr>
          <w:p w14:paraId="30824D68" w14:textId="0C219351" w:rsidR="000C5A0C" w:rsidRDefault="000C5A0C" w:rsidP="000C5A0C">
            <w:pPr>
              <w:spacing w:line="300" w:lineRule="exact"/>
              <w:rPr>
                <w:lang w:val="en-GB"/>
              </w:rPr>
            </w:pPr>
            <w:proofErr w:type="spellStart"/>
            <w:r>
              <w:rPr>
                <w:lang w:val="en-GB"/>
              </w:rPr>
              <w:t>Internation</w:t>
            </w:r>
            <w:proofErr w:type="spellEnd"/>
          </w:p>
        </w:tc>
      </w:tr>
      <w:tr w:rsidR="00BC3D48" w14:paraId="2601330F" w14:textId="77777777" w:rsidTr="009607D9">
        <w:tc>
          <w:tcPr>
            <w:tcW w:w="2965" w:type="dxa"/>
          </w:tcPr>
          <w:p w14:paraId="3B2D5144" w14:textId="2E917CB6" w:rsidR="00BC3D48" w:rsidRPr="000C5A0C"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54937990" w14:textId="63590C12" w:rsidR="00BC3D48" w:rsidRDefault="00BC3D48" w:rsidP="00AD255F">
            <w:pPr>
              <w:spacing w:line="300" w:lineRule="exact"/>
              <w:rPr>
                <w:color w:val="000000"/>
              </w:rPr>
            </w:pPr>
            <w:r w:rsidRPr="00BC3D48">
              <w:rPr>
                <w:lang w:val="en-GB"/>
              </w:rPr>
              <w:t>Catholic Organization for Relief and Develo</w:t>
            </w:r>
            <w:r>
              <w:rPr>
                <w:lang w:val="en-GB"/>
              </w:rPr>
              <w:t>pment Aid CORDAID</w:t>
            </w:r>
          </w:p>
        </w:tc>
        <w:tc>
          <w:tcPr>
            <w:tcW w:w="1530" w:type="dxa"/>
          </w:tcPr>
          <w:p w14:paraId="38AB7DAD" w14:textId="48F84C86" w:rsidR="00BC3D48" w:rsidRDefault="00BC3D48" w:rsidP="000C5A0C">
            <w:pPr>
              <w:spacing w:line="300" w:lineRule="exact"/>
              <w:rPr>
                <w:lang w:val="en-GB"/>
              </w:rPr>
            </w:pPr>
            <w:r>
              <w:rPr>
                <w:lang w:val="en-GB"/>
              </w:rPr>
              <w:t>International</w:t>
            </w:r>
          </w:p>
        </w:tc>
      </w:tr>
      <w:tr w:rsidR="00BC3D48" w14:paraId="7E479ABB" w14:textId="77777777" w:rsidTr="009607D9">
        <w:tc>
          <w:tcPr>
            <w:tcW w:w="2965" w:type="dxa"/>
          </w:tcPr>
          <w:p w14:paraId="57154CA4" w14:textId="6A3101B4" w:rsidR="00BC3D48" w:rsidRPr="000C5A0C" w:rsidRDefault="00AD255F"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672A15DA" w14:textId="6C164DF0" w:rsidR="00BC3D48" w:rsidRDefault="00BC3D48" w:rsidP="00AD255F">
            <w:pPr>
              <w:spacing w:line="300" w:lineRule="exact"/>
              <w:rPr>
                <w:color w:val="000000"/>
              </w:rPr>
            </w:pPr>
            <w:r w:rsidRPr="00BC3D48">
              <w:rPr>
                <w:lang w:val="en-GB"/>
              </w:rPr>
              <w:t xml:space="preserve">Children Aid </w:t>
            </w:r>
            <w:proofErr w:type="gramStart"/>
            <w:r w:rsidRPr="00BC3D48">
              <w:rPr>
                <w:lang w:val="en-GB"/>
              </w:rPr>
              <w:t>south Sudan</w:t>
            </w:r>
            <w:proofErr w:type="gramEnd"/>
            <w:r w:rsidRPr="00BC3D48">
              <w:rPr>
                <w:lang w:val="en-GB"/>
              </w:rPr>
              <w:t xml:space="preserve"> CASS</w:t>
            </w:r>
          </w:p>
        </w:tc>
        <w:tc>
          <w:tcPr>
            <w:tcW w:w="1530" w:type="dxa"/>
          </w:tcPr>
          <w:p w14:paraId="54954A13" w14:textId="03901167" w:rsidR="00BC3D48" w:rsidRDefault="00BC3D48" w:rsidP="000C5A0C">
            <w:pPr>
              <w:spacing w:line="300" w:lineRule="exact"/>
              <w:rPr>
                <w:lang w:val="en-GB"/>
              </w:rPr>
            </w:pPr>
            <w:r>
              <w:rPr>
                <w:lang w:val="en-GB"/>
              </w:rPr>
              <w:t>Local</w:t>
            </w:r>
          </w:p>
        </w:tc>
      </w:tr>
      <w:tr w:rsidR="00BC3D48" w14:paraId="3A4EA24A" w14:textId="77777777" w:rsidTr="009607D9">
        <w:tc>
          <w:tcPr>
            <w:tcW w:w="2965" w:type="dxa"/>
          </w:tcPr>
          <w:p w14:paraId="1154097D" w14:textId="789C7BAE" w:rsidR="00BC3D48" w:rsidRPr="000C5A0C"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5FFCAD97" w14:textId="2EB8ECCB" w:rsidR="00BC3D48" w:rsidRDefault="00BC3D48" w:rsidP="00AD255F">
            <w:pPr>
              <w:spacing w:line="300" w:lineRule="exact"/>
              <w:rPr>
                <w:color w:val="000000"/>
              </w:rPr>
            </w:pPr>
            <w:r w:rsidRPr="00BC3D48">
              <w:rPr>
                <w:lang w:val="en-GB"/>
              </w:rPr>
              <w:t>Relief International RI</w:t>
            </w:r>
          </w:p>
        </w:tc>
        <w:tc>
          <w:tcPr>
            <w:tcW w:w="1530" w:type="dxa"/>
          </w:tcPr>
          <w:p w14:paraId="7B9C67FF" w14:textId="19FCB870" w:rsidR="00BC3D48" w:rsidRDefault="00BC3D48" w:rsidP="000C5A0C">
            <w:pPr>
              <w:spacing w:line="300" w:lineRule="exact"/>
              <w:rPr>
                <w:lang w:val="en-GB"/>
              </w:rPr>
            </w:pPr>
            <w:r>
              <w:rPr>
                <w:lang w:val="en-GB"/>
              </w:rPr>
              <w:t>International</w:t>
            </w:r>
          </w:p>
        </w:tc>
      </w:tr>
      <w:tr w:rsidR="00BC3D48" w14:paraId="044162FC" w14:textId="77777777" w:rsidTr="009607D9">
        <w:tc>
          <w:tcPr>
            <w:tcW w:w="2965" w:type="dxa"/>
          </w:tcPr>
          <w:p w14:paraId="0F3A8C1A" w14:textId="5B7F1B49" w:rsidR="00BC3D48"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541D71A0" w14:textId="5AC4DAB7" w:rsidR="00BC3D48" w:rsidRDefault="00BC3D48" w:rsidP="00BC3D48">
            <w:pPr>
              <w:spacing w:line="300" w:lineRule="exact"/>
              <w:rPr>
                <w:color w:val="000000"/>
              </w:rPr>
            </w:pPr>
            <w:r w:rsidRPr="00BC3D48">
              <w:rPr>
                <w:lang w:val="en-GB"/>
              </w:rPr>
              <w:t>World Vision South Sudan WV</w:t>
            </w:r>
          </w:p>
        </w:tc>
        <w:tc>
          <w:tcPr>
            <w:tcW w:w="1530" w:type="dxa"/>
          </w:tcPr>
          <w:p w14:paraId="089CD91A" w14:textId="75FA2F7D" w:rsidR="00BC3D48" w:rsidRDefault="00BC3D48" w:rsidP="000C5A0C">
            <w:pPr>
              <w:spacing w:line="300" w:lineRule="exact"/>
              <w:rPr>
                <w:lang w:val="en-GB"/>
              </w:rPr>
            </w:pPr>
            <w:r>
              <w:rPr>
                <w:lang w:val="en-GB"/>
              </w:rPr>
              <w:t>International</w:t>
            </w:r>
          </w:p>
        </w:tc>
      </w:tr>
      <w:tr w:rsidR="00BC3D48" w14:paraId="07F7EEBA" w14:textId="77777777" w:rsidTr="009607D9">
        <w:tc>
          <w:tcPr>
            <w:tcW w:w="2965" w:type="dxa"/>
          </w:tcPr>
          <w:p w14:paraId="61011699" w14:textId="3646B323" w:rsidR="00BC3D48"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7DCC1671" w14:textId="77777777" w:rsidR="00BC3D48" w:rsidRPr="00BC3D48" w:rsidRDefault="00BC3D48" w:rsidP="00BC3D48">
            <w:pPr>
              <w:spacing w:line="300" w:lineRule="exact"/>
              <w:rPr>
                <w:lang w:val="en-GB"/>
              </w:rPr>
            </w:pPr>
            <w:r w:rsidRPr="00BC3D48">
              <w:rPr>
                <w:lang w:val="en-GB"/>
              </w:rPr>
              <w:t>International Medical Corps IMC</w:t>
            </w:r>
          </w:p>
          <w:p w14:paraId="01CCCC3E" w14:textId="77777777" w:rsidR="00BC3D48" w:rsidRDefault="00BC3D48" w:rsidP="000C5A0C">
            <w:pPr>
              <w:spacing w:line="300" w:lineRule="exact"/>
              <w:rPr>
                <w:color w:val="000000"/>
              </w:rPr>
            </w:pPr>
          </w:p>
        </w:tc>
        <w:tc>
          <w:tcPr>
            <w:tcW w:w="1530" w:type="dxa"/>
          </w:tcPr>
          <w:p w14:paraId="28C42624" w14:textId="25382543" w:rsidR="00BC3D48" w:rsidRDefault="00BC3D48" w:rsidP="000C5A0C">
            <w:pPr>
              <w:spacing w:line="300" w:lineRule="exact"/>
              <w:rPr>
                <w:lang w:val="en-GB"/>
              </w:rPr>
            </w:pPr>
            <w:r>
              <w:rPr>
                <w:lang w:val="en-GB"/>
              </w:rPr>
              <w:t>International</w:t>
            </w:r>
          </w:p>
        </w:tc>
      </w:tr>
      <w:tr w:rsidR="00BC3D48" w14:paraId="4290B314" w14:textId="77777777" w:rsidTr="009607D9">
        <w:tc>
          <w:tcPr>
            <w:tcW w:w="2965" w:type="dxa"/>
          </w:tcPr>
          <w:p w14:paraId="3ED602C1" w14:textId="5153039B" w:rsidR="00BC3D48"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333482F3" w14:textId="5DFB6DB6" w:rsidR="00BC3D48" w:rsidRDefault="00BC3D48" w:rsidP="00AD255F">
            <w:pPr>
              <w:spacing w:line="300" w:lineRule="exact"/>
              <w:rPr>
                <w:color w:val="000000"/>
              </w:rPr>
            </w:pPr>
            <w:r w:rsidRPr="00BC3D48">
              <w:rPr>
                <w:lang w:val="en-GB"/>
              </w:rPr>
              <w:t>Nile Initiativ</w:t>
            </w:r>
            <w:r w:rsidR="00AD255F">
              <w:rPr>
                <w:lang w:val="en-GB"/>
              </w:rPr>
              <w:t>e Development Organization NIDO</w:t>
            </w:r>
          </w:p>
        </w:tc>
        <w:tc>
          <w:tcPr>
            <w:tcW w:w="1530" w:type="dxa"/>
          </w:tcPr>
          <w:p w14:paraId="00908025" w14:textId="4AEA9A8E" w:rsidR="00BC3D48" w:rsidRDefault="00BC3D48" w:rsidP="000C5A0C">
            <w:pPr>
              <w:spacing w:line="300" w:lineRule="exact"/>
              <w:rPr>
                <w:lang w:val="en-GB"/>
              </w:rPr>
            </w:pPr>
            <w:r>
              <w:rPr>
                <w:lang w:val="en-GB"/>
              </w:rPr>
              <w:t>Local</w:t>
            </w:r>
          </w:p>
        </w:tc>
      </w:tr>
      <w:tr w:rsidR="00BC3D48" w14:paraId="0EE6D68B" w14:textId="77777777" w:rsidTr="009607D9">
        <w:tc>
          <w:tcPr>
            <w:tcW w:w="2965" w:type="dxa"/>
          </w:tcPr>
          <w:p w14:paraId="7E965537" w14:textId="77FBA561" w:rsidR="00BC3D48"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68501EA8" w14:textId="03D016D0" w:rsidR="00BC3D48" w:rsidRDefault="00BC3D48" w:rsidP="00BC3D48">
            <w:pPr>
              <w:spacing w:line="300" w:lineRule="exact"/>
              <w:rPr>
                <w:color w:val="000000"/>
              </w:rPr>
            </w:pPr>
            <w:r w:rsidRPr="00BC3D48">
              <w:rPr>
                <w:lang w:val="en-GB"/>
              </w:rPr>
              <w:t>South Sudan Agenc</w:t>
            </w:r>
            <w:r>
              <w:rPr>
                <w:lang w:val="en-GB"/>
              </w:rPr>
              <w:t>y for Internal Development SSAID</w:t>
            </w:r>
          </w:p>
        </w:tc>
        <w:tc>
          <w:tcPr>
            <w:tcW w:w="1530" w:type="dxa"/>
          </w:tcPr>
          <w:p w14:paraId="64B500A6" w14:textId="6107ED25" w:rsidR="00BC3D48" w:rsidRDefault="00BC3D48" w:rsidP="000C5A0C">
            <w:pPr>
              <w:spacing w:line="300" w:lineRule="exact"/>
              <w:rPr>
                <w:lang w:val="en-GB"/>
              </w:rPr>
            </w:pPr>
            <w:r>
              <w:rPr>
                <w:lang w:val="en-GB"/>
              </w:rPr>
              <w:t>Local</w:t>
            </w:r>
          </w:p>
        </w:tc>
      </w:tr>
      <w:tr w:rsidR="00BC3D48" w14:paraId="4D885FCD" w14:textId="77777777" w:rsidTr="009607D9">
        <w:tc>
          <w:tcPr>
            <w:tcW w:w="2965" w:type="dxa"/>
          </w:tcPr>
          <w:p w14:paraId="3220C0CA" w14:textId="7D60BAF3" w:rsidR="00BC3D48"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2D90E1D9" w14:textId="3E92E456" w:rsidR="00BC3D48" w:rsidRPr="00BC3D48" w:rsidRDefault="00BC3D48" w:rsidP="00BC3D48">
            <w:pPr>
              <w:spacing w:line="300" w:lineRule="exact"/>
              <w:rPr>
                <w:lang w:val="en-GB"/>
              </w:rPr>
            </w:pPr>
            <w:r w:rsidRPr="00BC3D48">
              <w:rPr>
                <w:lang w:val="en-GB"/>
              </w:rPr>
              <w:t xml:space="preserve">Universal Network </w:t>
            </w:r>
            <w:proofErr w:type="gramStart"/>
            <w:r w:rsidRPr="00BC3D48">
              <w:rPr>
                <w:lang w:val="en-GB"/>
              </w:rPr>
              <w:t>For</w:t>
            </w:r>
            <w:proofErr w:type="gramEnd"/>
            <w:r w:rsidRPr="00BC3D48">
              <w:rPr>
                <w:lang w:val="en-GB"/>
              </w:rPr>
              <w:t xml:space="preserve"> Knowled</w:t>
            </w:r>
            <w:r>
              <w:rPr>
                <w:lang w:val="en-GB"/>
              </w:rPr>
              <w:t>ge and Empowerment Agency UNKEA</w:t>
            </w:r>
          </w:p>
        </w:tc>
        <w:tc>
          <w:tcPr>
            <w:tcW w:w="1530" w:type="dxa"/>
          </w:tcPr>
          <w:p w14:paraId="2A34FADB" w14:textId="24A5880A" w:rsidR="00BC3D48" w:rsidRDefault="00BC3D48" w:rsidP="000C5A0C">
            <w:pPr>
              <w:spacing w:line="300" w:lineRule="exact"/>
              <w:rPr>
                <w:lang w:val="en-GB"/>
              </w:rPr>
            </w:pPr>
            <w:r>
              <w:rPr>
                <w:lang w:val="en-GB"/>
              </w:rPr>
              <w:t>Local</w:t>
            </w:r>
          </w:p>
        </w:tc>
      </w:tr>
      <w:tr w:rsidR="00BC3D48" w14:paraId="43EF8A4A" w14:textId="77777777" w:rsidTr="009607D9">
        <w:tc>
          <w:tcPr>
            <w:tcW w:w="2965" w:type="dxa"/>
          </w:tcPr>
          <w:p w14:paraId="060F8192" w14:textId="38E4DA2E" w:rsidR="00BC3D48"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1BEA6348" w14:textId="244E97FA" w:rsidR="00BC3D48" w:rsidRPr="00BC3D48" w:rsidRDefault="00BC3D48" w:rsidP="00BC3D48">
            <w:pPr>
              <w:spacing w:line="300" w:lineRule="exact"/>
              <w:rPr>
                <w:lang w:val="en-GB"/>
              </w:rPr>
            </w:pPr>
            <w:r w:rsidRPr="00BC3D48">
              <w:rPr>
                <w:lang w:val="en-GB"/>
              </w:rPr>
              <w:t>Christ</w:t>
            </w:r>
            <w:r>
              <w:rPr>
                <w:lang w:val="en-GB"/>
              </w:rPr>
              <w:t>ian Mission for Development CMD</w:t>
            </w:r>
          </w:p>
        </w:tc>
        <w:tc>
          <w:tcPr>
            <w:tcW w:w="1530" w:type="dxa"/>
          </w:tcPr>
          <w:p w14:paraId="09EF7F33" w14:textId="1EA19BDB" w:rsidR="00BC3D48" w:rsidRDefault="00BC3D48" w:rsidP="000C5A0C">
            <w:pPr>
              <w:spacing w:line="300" w:lineRule="exact"/>
              <w:rPr>
                <w:lang w:val="en-GB"/>
              </w:rPr>
            </w:pPr>
            <w:r>
              <w:rPr>
                <w:lang w:val="en-GB"/>
              </w:rPr>
              <w:t>Local</w:t>
            </w:r>
          </w:p>
        </w:tc>
      </w:tr>
      <w:tr w:rsidR="00BC3D48" w14:paraId="7AEA8B6B" w14:textId="77777777" w:rsidTr="009607D9">
        <w:tc>
          <w:tcPr>
            <w:tcW w:w="2965" w:type="dxa"/>
          </w:tcPr>
          <w:p w14:paraId="67C879A9" w14:textId="7B013F1E" w:rsidR="00BC3D48"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10F026BC" w14:textId="6838D2CD" w:rsidR="00BC3D48" w:rsidRPr="00BC3D48" w:rsidRDefault="00BC3D48" w:rsidP="00BC3D48">
            <w:pPr>
              <w:spacing w:line="300" w:lineRule="exact"/>
              <w:rPr>
                <w:lang w:val="en-GB"/>
              </w:rPr>
            </w:pPr>
            <w:r>
              <w:rPr>
                <w:lang w:val="en-GB"/>
              </w:rPr>
              <w:t>Episcopal Development Aid EDA</w:t>
            </w:r>
          </w:p>
        </w:tc>
        <w:tc>
          <w:tcPr>
            <w:tcW w:w="1530" w:type="dxa"/>
          </w:tcPr>
          <w:p w14:paraId="680AA1B5" w14:textId="63475660" w:rsidR="00BC3D48" w:rsidRDefault="00BC3D48" w:rsidP="000C5A0C">
            <w:pPr>
              <w:spacing w:line="300" w:lineRule="exact"/>
              <w:rPr>
                <w:lang w:val="en-GB"/>
              </w:rPr>
            </w:pPr>
            <w:r>
              <w:rPr>
                <w:lang w:val="en-GB"/>
              </w:rPr>
              <w:t>Local</w:t>
            </w:r>
          </w:p>
        </w:tc>
      </w:tr>
      <w:tr w:rsidR="00BC3D48" w14:paraId="614A8797" w14:textId="77777777" w:rsidTr="009607D9">
        <w:tc>
          <w:tcPr>
            <w:tcW w:w="2965" w:type="dxa"/>
          </w:tcPr>
          <w:p w14:paraId="637A973D" w14:textId="657D5D47" w:rsidR="00BC3D48"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7108E2E3" w14:textId="4EF6AC32" w:rsidR="00BC3D48" w:rsidRDefault="00BC3D48" w:rsidP="00BC3D48">
            <w:pPr>
              <w:spacing w:line="300" w:lineRule="exact"/>
              <w:rPr>
                <w:lang w:val="en-GB"/>
              </w:rPr>
            </w:pPr>
            <w:r w:rsidRPr="00BC3D48">
              <w:rPr>
                <w:lang w:val="en-GB"/>
              </w:rPr>
              <w:t xml:space="preserve">Health Care Foundation </w:t>
            </w:r>
            <w:r>
              <w:rPr>
                <w:lang w:val="en-GB"/>
              </w:rPr>
              <w:t>Organisation HFO</w:t>
            </w:r>
          </w:p>
        </w:tc>
        <w:tc>
          <w:tcPr>
            <w:tcW w:w="1530" w:type="dxa"/>
          </w:tcPr>
          <w:p w14:paraId="7CF51599" w14:textId="436FA5C0" w:rsidR="00BC3D48" w:rsidRDefault="00BC3D48" w:rsidP="000C5A0C">
            <w:pPr>
              <w:spacing w:line="300" w:lineRule="exact"/>
              <w:rPr>
                <w:lang w:val="en-GB"/>
              </w:rPr>
            </w:pPr>
            <w:r>
              <w:rPr>
                <w:lang w:val="en-GB"/>
              </w:rPr>
              <w:t>Local</w:t>
            </w:r>
          </w:p>
        </w:tc>
      </w:tr>
      <w:tr w:rsidR="00BC3D48" w14:paraId="1DA28CB9" w14:textId="77777777" w:rsidTr="009607D9">
        <w:tc>
          <w:tcPr>
            <w:tcW w:w="2965" w:type="dxa"/>
          </w:tcPr>
          <w:p w14:paraId="4AA6A347" w14:textId="1570644E" w:rsidR="00BC3D48"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75D2AA97" w14:textId="6C428509" w:rsidR="00BC3D48" w:rsidRDefault="00BC3D48" w:rsidP="00BC3D48">
            <w:pPr>
              <w:spacing w:line="300" w:lineRule="exact"/>
              <w:rPr>
                <w:lang w:val="en-GB"/>
              </w:rPr>
            </w:pPr>
            <w:r>
              <w:rPr>
                <w:lang w:val="en-GB"/>
              </w:rPr>
              <w:t>CARE International CARE</w:t>
            </w:r>
          </w:p>
        </w:tc>
        <w:tc>
          <w:tcPr>
            <w:tcW w:w="1530" w:type="dxa"/>
          </w:tcPr>
          <w:p w14:paraId="2DE74DDB" w14:textId="2D368461" w:rsidR="00BC3D48" w:rsidRDefault="00BC3D48" w:rsidP="000C5A0C">
            <w:pPr>
              <w:spacing w:line="300" w:lineRule="exact"/>
              <w:rPr>
                <w:lang w:val="en-GB"/>
              </w:rPr>
            </w:pPr>
            <w:r>
              <w:rPr>
                <w:lang w:val="en-GB"/>
              </w:rPr>
              <w:t>International</w:t>
            </w:r>
          </w:p>
        </w:tc>
      </w:tr>
      <w:tr w:rsidR="00BC3D48" w14:paraId="55DAD8EA" w14:textId="77777777" w:rsidTr="009607D9">
        <w:tc>
          <w:tcPr>
            <w:tcW w:w="2965" w:type="dxa"/>
          </w:tcPr>
          <w:p w14:paraId="6579824D" w14:textId="13C4D350" w:rsidR="00BC3D48"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0188AE73" w14:textId="2BFAA94B" w:rsidR="00BC3D48" w:rsidRDefault="00BC3D48" w:rsidP="00BC3D48">
            <w:pPr>
              <w:spacing w:line="300" w:lineRule="exact"/>
              <w:rPr>
                <w:lang w:val="en-GB"/>
              </w:rPr>
            </w:pPr>
            <w:r w:rsidRPr="00BC3D48">
              <w:rPr>
                <w:lang w:val="en-GB"/>
              </w:rPr>
              <w:t>Save the Children</w:t>
            </w:r>
          </w:p>
        </w:tc>
        <w:tc>
          <w:tcPr>
            <w:tcW w:w="1530" w:type="dxa"/>
          </w:tcPr>
          <w:p w14:paraId="73992985" w14:textId="1F81379C" w:rsidR="00BC3D48" w:rsidRDefault="00BC3D48" w:rsidP="000C5A0C">
            <w:pPr>
              <w:spacing w:line="300" w:lineRule="exact"/>
              <w:rPr>
                <w:lang w:val="en-GB"/>
              </w:rPr>
            </w:pPr>
            <w:r>
              <w:rPr>
                <w:lang w:val="en-GB"/>
              </w:rPr>
              <w:t>International</w:t>
            </w:r>
          </w:p>
        </w:tc>
      </w:tr>
      <w:tr w:rsidR="00BC3D48" w14:paraId="2D79EE9E" w14:textId="77777777" w:rsidTr="009607D9">
        <w:tc>
          <w:tcPr>
            <w:tcW w:w="2965" w:type="dxa"/>
          </w:tcPr>
          <w:p w14:paraId="6138D5A0" w14:textId="00EB68C7" w:rsidR="00BC3D48"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5C6848F8" w14:textId="0A3846A4" w:rsidR="00BC3D48" w:rsidRPr="00BC3D48" w:rsidRDefault="00BC3D48" w:rsidP="00BC3D48">
            <w:pPr>
              <w:spacing w:line="300" w:lineRule="exact"/>
              <w:rPr>
                <w:lang w:val="en-GB"/>
              </w:rPr>
            </w:pPr>
            <w:r>
              <w:rPr>
                <w:lang w:val="en-GB"/>
              </w:rPr>
              <w:t>Christian Mission Aid CMA</w:t>
            </w:r>
          </w:p>
        </w:tc>
        <w:tc>
          <w:tcPr>
            <w:tcW w:w="1530" w:type="dxa"/>
          </w:tcPr>
          <w:p w14:paraId="27C436E0" w14:textId="3B3F2241" w:rsidR="00BC3D48" w:rsidRDefault="00BC3D48" w:rsidP="000C5A0C">
            <w:pPr>
              <w:spacing w:line="300" w:lineRule="exact"/>
              <w:rPr>
                <w:lang w:val="en-GB"/>
              </w:rPr>
            </w:pPr>
            <w:r>
              <w:rPr>
                <w:lang w:val="en-GB"/>
              </w:rPr>
              <w:t>International</w:t>
            </w:r>
          </w:p>
        </w:tc>
      </w:tr>
      <w:tr w:rsidR="00BC3D48" w14:paraId="4F1ABE0A" w14:textId="77777777" w:rsidTr="009607D9">
        <w:tc>
          <w:tcPr>
            <w:tcW w:w="2965" w:type="dxa"/>
          </w:tcPr>
          <w:p w14:paraId="790CDEF5" w14:textId="621F3D0F" w:rsidR="00BC3D48"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7DD26020" w14:textId="25E13FD5" w:rsidR="00BC3D48" w:rsidRPr="00BC3D48" w:rsidRDefault="00BC3D48" w:rsidP="00BC3D48">
            <w:pPr>
              <w:spacing w:line="300" w:lineRule="exact"/>
              <w:rPr>
                <w:lang w:val="en-GB"/>
              </w:rPr>
            </w:pPr>
            <w:r>
              <w:rPr>
                <w:lang w:val="en-GB"/>
              </w:rPr>
              <w:t xml:space="preserve">John </w:t>
            </w:r>
            <w:proofErr w:type="spellStart"/>
            <w:r>
              <w:rPr>
                <w:lang w:val="en-GB"/>
              </w:rPr>
              <w:t>Dau</w:t>
            </w:r>
            <w:proofErr w:type="spellEnd"/>
            <w:r>
              <w:rPr>
                <w:lang w:val="en-GB"/>
              </w:rPr>
              <w:t xml:space="preserve"> Foundation JDF</w:t>
            </w:r>
          </w:p>
        </w:tc>
        <w:tc>
          <w:tcPr>
            <w:tcW w:w="1530" w:type="dxa"/>
          </w:tcPr>
          <w:p w14:paraId="0ABEA709" w14:textId="70DFCA78" w:rsidR="00BC3D48" w:rsidRDefault="00BC3D48" w:rsidP="000C5A0C">
            <w:pPr>
              <w:spacing w:line="300" w:lineRule="exact"/>
              <w:rPr>
                <w:lang w:val="en-GB"/>
              </w:rPr>
            </w:pPr>
            <w:r>
              <w:rPr>
                <w:lang w:val="en-GB"/>
              </w:rPr>
              <w:t>Local</w:t>
            </w:r>
          </w:p>
        </w:tc>
      </w:tr>
      <w:tr w:rsidR="00BC3D48" w14:paraId="34DCC30E" w14:textId="77777777" w:rsidTr="009607D9">
        <w:tc>
          <w:tcPr>
            <w:tcW w:w="2965" w:type="dxa"/>
          </w:tcPr>
          <w:p w14:paraId="38BF8230" w14:textId="63764D14" w:rsidR="00BC3D48"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25F23B63" w14:textId="6A69B59F" w:rsidR="00BC3D48" w:rsidRDefault="00BC3D48" w:rsidP="00BC3D48">
            <w:pPr>
              <w:spacing w:line="300" w:lineRule="exact"/>
              <w:rPr>
                <w:lang w:val="en-GB"/>
              </w:rPr>
            </w:pPr>
            <w:r>
              <w:rPr>
                <w:lang w:val="en-GB"/>
              </w:rPr>
              <w:t>Livewell South Sudan</w:t>
            </w:r>
          </w:p>
        </w:tc>
        <w:tc>
          <w:tcPr>
            <w:tcW w:w="1530" w:type="dxa"/>
          </w:tcPr>
          <w:p w14:paraId="58DD1789" w14:textId="0011F581" w:rsidR="00BC3D48" w:rsidRDefault="00BC3D48" w:rsidP="000C5A0C">
            <w:pPr>
              <w:spacing w:line="300" w:lineRule="exact"/>
              <w:rPr>
                <w:lang w:val="en-GB"/>
              </w:rPr>
            </w:pPr>
            <w:r>
              <w:rPr>
                <w:lang w:val="en-GB"/>
              </w:rPr>
              <w:t>Local</w:t>
            </w:r>
          </w:p>
        </w:tc>
      </w:tr>
      <w:tr w:rsidR="00BC3D48" w14:paraId="75D02F5D" w14:textId="77777777" w:rsidTr="009607D9">
        <w:tc>
          <w:tcPr>
            <w:tcW w:w="2965" w:type="dxa"/>
          </w:tcPr>
          <w:p w14:paraId="3B06656B" w14:textId="4C77DB65" w:rsidR="00BC3D48" w:rsidRDefault="00BC3D48" w:rsidP="000C5A0C">
            <w:pPr>
              <w:spacing w:line="300" w:lineRule="exact"/>
              <w:rPr>
                <w:lang w:val="en-GB"/>
              </w:rPr>
            </w:pPr>
            <w:r>
              <w:rPr>
                <w:lang w:val="en-GB"/>
              </w:rPr>
              <w:lastRenderedPageBreak/>
              <w:t>UNICEF</w:t>
            </w:r>
          </w:p>
        </w:tc>
        <w:tc>
          <w:tcPr>
            <w:tcW w:w="4770" w:type="dxa"/>
            <w:tcBorders>
              <w:top w:val="nil"/>
              <w:left w:val="nil"/>
              <w:bottom w:val="single" w:sz="8" w:space="0" w:color="auto"/>
              <w:right w:val="single" w:sz="8" w:space="0" w:color="auto"/>
            </w:tcBorders>
            <w:shd w:val="clear" w:color="000000" w:fill="FFFFFF"/>
            <w:vAlign w:val="center"/>
          </w:tcPr>
          <w:p w14:paraId="7F6D9CFF" w14:textId="4AAE2BD6" w:rsidR="00BC3D48" w:rsidRDefault="00BC3D48" w:rsidP="00BC3D48">
            <w:pPr>
              <w:spacing w:line="300" w:lineRule="exact"/>
              <w:rPr>
                <w:lang w:val="en-GB"/>
              </w:rPr>
            </w:pPr>
            <w:r w:rsidRPr="00BC3D48">
              <w:rPr>
                <w:lang w:val="en-GB"/>
              </w:rPr>
              <w:t>Medicos del Mundo</w:t>
            </w:r>
            <w:r>
              <w:rPr>
                <w:lang w:val="en-GB"/>
              </w:rPr>
              <w:t xml:space="preserve"> </w:t>
            </w:r>
            <w:proofErr w:type="spellStart"/>
            <w:r>
              <w:rPr>
                <w:lang w:val="en-GB"/>
              </w:rPr>
              <w:t>MdM</w:t>
            </w:r>
            <w:proofErr w:type="spellEnd"/>
          </w:p>
        </w:tc>
        <w:tc>
          <w:tcPr>
            <w:tcW w:w="1530" w:type="dxa"/>
          </w:tcPr>
          <w:p w14:paraId="2B2CEEC1" w14:textId="4C03F9D4" w:rsidR="00BC3D48" w:rsidRDefault="00BC3D48" w:rsidP="000C5A0C">
            <w:pPr>
              <w:spacing w:line="300" w:lineRule="exact"/>
              <w:rPr>
                <w:lang w:val="en-GB"/>
              </w:rPr>
            </w:pPr>
            <w:r>
              <w:rPr>
                <w:lang w:val="en-GB"/>
              </w:rPr>
              <w:t>International</w:t>
            </w:r>
          </w:p>
        </w:tc>
      </w:tr>
      <w:tr w:rsidR="00BC3D48" w14:paraId="688B11B7" w14:textId="77777777" w:rsidTr="009607D9">
        <w:tc>
          <w:tcPr>
            <w:tcW w:w="2965" w:type="dxa"/>
          </w:tcPr>
          <w:p w14:paraId="4298549C" w14:textId="2D289772" w:rsidR="00BC3D48" w:rsidRDefault="00BC3D48" w:rsidP="000C5A0C">
            <w:pPr>
              <w:spacing w:line="300" w:lineRule="exact"/>
              <w:rPr>
                <w:lang w:val="en-GB"/>
              </w:rPr>
            </w:pPr>
            <w:r>
              <w:rPr>
                <w:lang w:val="en-GB"/>
              </w:rPr>
              <w:t>UNICEF</w:t>
            </w:r>
          </w:p>
        </w:tc>
        <w:tc>
          <w:tcPr>
            <w:tcW w:w="4770" w:type="dxa"/>
            <w:tcBorders>
              <w:top w:val="nil"/>
              <w:left w:val="nil"/>
              <w:bottom w:val="single" w:sz="8" w:space="0" w:color="auto"/>
              <w:right w:val="single" w:sz="8" w:space="0" w:color="auto"/>
            </w:tcBorders>
            <w:shd w:val="clear" w:color="000000" w:fill="FFFFFF"/>
            <w:vAlign w:val="center"/>
          </w:tcPr>
          <w:p w14:paraId="68F2C76D" w14:textId="284160B5" w:rsidR="00BC3D48" w:rsidRDefault="00BC3D48" w:rsidP="00BC3D48">
            <w:pPr>
              <w:spacing w:line="300" w:lineRule="exact"/>
              <w:rPr>
                <w:lang w:val="en-GB"/>
              </w:rPr>
            </w:pPr>
            <w:r>
              <w:rPr>
                <w:lang w:val="en-GB"/>
              </w:rPr>
              <w:t>Sudan Medical Care SMC</w:t>
            </w:r>
          </w:p>
        </w:tc>
        <w:tc>
          <w:tcPr>
            <w:tcW w:w="1530" w:type="dxa"/>
          </w:tcPr>
          <w:p w14:paraId="44D989DF" w14:textId="4F941B0C" w:rsidR="00BC3D48" w:rsidRDefault="00BC3D48" w:rsidP="000C5A0C">
            <w:pPr>
              <w:spacing w:line="300" w:lineRule="exact"/>
              <w:rPr>
                <w:lang w:val="en-GB"/>
              </w:rPr>
            </w:pPr>
            <w:r>
              <w:rPr>
                <w:lang w:val="en-GB"/>
              </w:rPr>
              <w:t>Local</w:t>
            </w:r>
          </w:p>
        </w:tc>
      </w:tr>
    </w:tbl>
    <w:p w14:paraId="40239974" w14:textId="77777777" w:rsidR="00D218FC" w:rsidRDefault="00D218FC" w:rsidP="00FC4A11">
      <w:pPr>
        <w:spacing w:line="300" w:lineRule="exact"/>
        <w:rPr>
          <w:lang w:val="en-GB"/>
        </w:rPr>
      </w:pPr>
    </w:p>
    <w:sectPr w:rsidR="00D218FC" w:rsidSect="007612C6">
      <w:headerReference w:type="even" r:id="rId15"/>
      <w:headerReference w:type="default" r:id="rId16"/>
      <w:footerReference w:type="even" r:id="rId17"/>
      <w:footerReference w:type="default" r:id="rId18"/>
      <w:headerReference w:type="first" r:id="rId19"/>
      <w:footerReference w:type="first" r:id="rId20"/>
      <w:pgSz w:w="12240" w:h="15840"/>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4D0C7" w14:textId="77777777" w:rsidR="00CF652A" w:rsidRDefault="00CF652A" w:rsidP="00431CA9">
      <w:pPr>
        <w:spacing w:line="240" w:lineRule="auto"/>
      </w:pPr>
      <w:r>
        <w:separator/>
      </w:r>
    </w:p>
  </w:endnote>
  <w:endnote w:type="continuationSeparator" w:id="0">
    <w:p w14:paraId="324D5ADE" w14:textId="77777777" w:rsidR="00CF652A" w:rsidRDefault="00CF652A" w:rsidP="00431CA9">
      <w:pPr>
        <w:spacing w:line="240" w:lineRule="auto"/>
      </w:pPr>
      <w:r>
        <w:continuationSeparator/>
      </w:r>
    </w:p>
  </w:endnote>
  <w:endnote w:type="continuationNotice" w:id="1">
    <w:p w14:paraId="103AC2D9" w14:textId="77777777" w:rsidR="00CF652A" w:rsidRDefault="00CF65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2471" w14:textId="77777777" w:rsidR="00A449AC" w:rsidRDefault="00A44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14:paraId="25F050AA" w14:textId="59C85FE8" w:rsidR="00A449AC" w:rsidRDefault="00A449AC">
        <w:pPr>
          <w:pStyle w:val="Footer"/>
        </w:pPr>
        <w:r w:rsidRPr="00DA777C">
          <w:rPr>
            <w:sz w:val="20"/>
            <w:szCs w:val="20"/>
          </w:rPr>
          <w:fldChar w:fldCharType="begin"/>
        </w:r>
        <w:r w:rsidRPr="00DA777C">
          <w:rPr>
            <w:sz w:val="20"/>
            <w:szCs w:val="20"/>
          </w:rPr>
          <w:instrText xml:space="preserve"> PAGE   \* MERGEFORMAT </w:instrText>
        </w:r>
        <w:r w:rsidRPr="00DA777C">
          <w:rPr>
            <w:sz w:val="20"/>
            <w:szCs w:val="20"/>
          </w:rPr>
          <w:fldChar w:fldCharType="separate"/>
        </w:r>
        <w:r w:rsidR="009607D9">
          <w:rPr>
            <w:noProof/>
            <w:sz w:val="20"/>
            <w:szCs w:val="20"/>
          </w:rPr>
          <w:t>14</w:t>
        </w:r>
        <w:r w:rsidRPr="00DA777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D567" w14:textId="77777777" w:rsidR="00A449AC" w:rsidRDefault="00A4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AB0C" w14:textId="77777777" w:rsidR="00CF652A" w:rsidRDefault="00CF652A" w:rsidP="00431CA9">
      <w:pPr>
        <w:spacing w:line="240" w:lineRule="auto"/>
      </w:pPr>
      <w:r>
        <w:separator/>
      </w:r>
    </w:p>
  </w:footnote>
  <w:footnote w:type="continuationSeparator" w:id="0">
    <w:p w14:paraId="2191BB81" w14:textId="77777777" w:rsidR="00CF652A" w:rsidRDefault="00CF652A" w:rsidP="00431CA9">
      <w:pPr>
        <w:spacing w:line="240" w:lineRule="auto"/>
      </w:pPr>
      <w:r>
        <w:continuationSeparator/>
      </w:r>
    </w:p>
  </w:footnote>
  <w:footnote w:type="continuationNotice" w:id="1">
    <w:p w14:paraId="334FBDC3" w14:textId="77777777" w:rsidR="00CF652A" w:rsidRDefault="00CF65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08DC" w14:textId="77777777" w:rsidR="00A449AC" w:rsidRDefault="00A44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A449AC" w:rsidRDefault="00A449AC">
    <w:pPr>
      <w:pStyle w:val="Header"/>
    </w:pPr>
    <w:r w:rsidRPr="00892432">
      <w:rPr>
        <w:noProof/>
        <w:lang w:val="en-US" w:eastAsia="en-US"/>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A449AC" w:rsidRDefault="00A449AC" w:rsidP="00055BF9">
                          <w:pPr>
                            <w:rPr>
                              <w:b/>
                              <w:bCs/>
                              <w:color w:val="0070C0"/>
                              <w:sz w:val="24"/>
                              <w:szCs w:val="24"/>
                              <w:lang w:val="en-US"/>
                            </w:rPr>
                          </w:pPr>
                          <w:r>
                            <w:rPr>
                              <w:b/>
                              <w:bCs/>
                              <w:color w:val="0070C0"/>
                              <w:sz w:val="24"/>
                              <w:szCs w:val="24"/>
                              <w:lang w:val="en-US"/>
                            </w:rPr>
                            <w:t xml:space="preserve">PEF Targeted Country Assistance Narrative  </w:t>
                          </w:r>
                        </w:p>
                        <w:p w14:paraId="4599C1BA" w14:textId="1E37035E" w:rsidR="00A449AC" w:rsidRPr="00C4436D" w:rsidRDefault="00A449AC" w:rsidP="00055BF9">
                          <w:pPr>
                            <w:rPr>
                              <w:color w:val="0070C0"/>
                            </w:rPr>
                          </w:pPr>
                          <w:r>
                            <w:rPr>
                              <w:color w:val="0070C0"/>
                            </w:rPr>
                            <w:t>April</w:t>
                          </w:r>
                          <w:r w:rsidRPr="00BD1FEE">
                            <w:rPr>
                              <w:color w:val="0070C0"/>
                            </w:rPr>
                            <w:t xml:space="preserve"> </w:t>
                          </w:r>
                          <w:r w:rsidRPr="00C4436D">
                            <w:rPr>
                              <w:color w:val="0070C0"/>
                            </w:rPr>
                            <w:t>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dec="http://schemas.microsoft.com/office/drawing/2017/decorative" xmlns:a14="http://schemas.microsoft.com/office/drawing/2010/main" xmlns:a="http://schemas.openxmlformats.org/drawingml/2006/main">
          <w:pict>
            <v:shapetype id="_x0000_t202" coordsize="21600,21600" o:spt="202" path="m,l,21600r21600,l21600,xe" w14:anchorId="5C072E57">
              <v:stroke joinstyle="miter"/>
              <v:path gradientshapeok="t" o:connecttype="rect"/>
            </v:shapetype>
            <v:shape id="Text Box 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spid="_x0000_s1026" filled="f" stroked="f" strokecolor="#0070c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v:textbox>
                <w:txbxContent>
                  <w:p w:rsidR="00F5607D" w:rsidP="00055BF9" w:rsidRDefault="00F5607D" w14:paraId="70F2D3FD" w14:textId="30B324B9">
                    <w:pPr>
                      <w:rPr>
                        <w:b/>
                        <w:bCs/>
                        <w:color w:val="0070C0"/>
                        <w:sz w:val="24"/>
                        <w:szCs w:val="24"/>
                        <w:lang w:val="en-US"/>
                      </w:rPr>
                    </w:pPr>
                    <w:r>
                      <w:rPr>
                        <w:b/>
                        <w:bCs/>
                        <w:color w:val="0070C0"/>
                        <w:sz w:val="24"/>
                        <w:szCs w:val="24"/>
                        <w:lang w:val="en-US"/>
                      </w:rPr>
                      <w:t xml:space="preserve">PEF Targeted Country Assistance Narrative  </w:t>
                    </w:r>
                  </w:p>
                  <w:p w:rsidRPr="00C4436D" w:rsidR="00F5607D" w:rsidP="00055BF9" w:rsidRDefault="00F5607D" w14:paraId="4599C1BA" w14:textId="1E37035E">
                    <w:pPr>
                      <w:rPr>
                        <w:color w:val="0070C0"/>
                      </w:rPr>
                    </w:pPr>
                    <w:r>
                      <w:rPr>
                        <w:color w:val="0070C0"/>
                      </w:rPr>
                      <w:t>April</w:t>
                    </w:r>
                    <w:r w:rsidRPr="00BD1FEE">
                      <w:rPr>
                        <w:color w:val="0070C0"/>
                      </w:rPr>
                      <w:t xml:space="preserve"> </w:t>
                    </w:r>
                    <w:r w:rsidRPr="00C4436D">
                      <w:rPr>
                        <w:color w:val="0070C0"/>
                      </w:rPr>
                      <w:t>2022</w:t>
                    </w:r>
                  </w:p>
                </w:txbxContent>
              </v:textbox>
              <w10:wrap anchorx="page" anchory="margin"/>
            </v:shape>
          </w:pict>
        </mc:Fallback>
      </mc:AlternateContent>
    </w:r>
    <w:r w:rsidRPr="00892432">
      <w:rPr>
        <w:noProof/>
        <w:lang w:val="en-US" w:eastAsia="en-US"/>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adec="http://schemas.microsoft.com/office/drawing/2017/decorative" xmlns:pic="http://schemas.openxmlformats.org/drawingml/2006/picture">
          <w:pict>
            <v:line id="Straight Connector 14"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5b9bd5 [3208]" from="43.4pt,15.55pt" to="43.4pt,50.15pt" w14:anchorId="0C9B3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v:stroke joinstyle="miter"/>
              <o:lock v:ext="edit" shapetype="f"/>
              <w10:wrap anchory="page"/>
            </v:line>
          </w:pict>
        </mc:Fallback>
      </mc:AlternateContent>
    </w:r>
    <w:r w:rsidRPr="00892432">
      <w:rPr>
        <w:noProof/>
        <w:lang w:val="en-US" w:eastAsia="en-US"/>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A449AC" w:rsidRDefault="00A449AC"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dec="http://schemas.microsoft.com/office/drawing/2017/decorative" xmlns:a14="http://schemas.microsoft.com/office/drawing/2010/main" xmlns:a="http://schemas.openxmlformats.org/drawingml/2006/main">
          <w:pict>
            <v:rect id="Rectangle 8"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7" fillcolor="#f2f2f1" stroked="f" strokeweight=".5pt" w14:anchorId="3333C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v:textbox>
                <w:txbxContent>
                  <w:p w:rsidR="00F5607D" w:rsidP="00892432" w:rsidRDefault="00F5607D" w14:paraId="3DB0E3A5" w14:textId="77777777">
                    <w:pPr>
                      <w:jc w:val="center"/>
                    </w:pPr>
                  </w:p>
                </w:txbxContent>
              </v:textbox>
              <w10:wrap anchorx="page" anchory="page"/>
            </v:rect>
          </w:pict>
        </mc:Fallback>
      </mc:AlternateContent>
    </w:r>
    <w:r w:rsidRPr="00892432">
      <w:rPr>
        <w:noProof/>
        <w:lang w:val="en-US" w:eastAsia="en-US"/>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3856" w14:textId="77777777" w:rsidR="00A449AC" w:rsidRDefault="00A44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33E58"/>
    <w:multiLevelType w:val="hybridMultilevel"/>
    <w:tmpl w:val="4768E0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454B14A5"/>
    <w:multiLevelType w:val="multilevel"/>
    <w:tmpl w:val="76C2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6" w15:restartNumberingAfterBreak="0">
    <w:nsid w:val="4E1127DF"/>
    <w:multiLevelType w:val="multilevel"/>
    <w:tmpl w:val="BF8E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7861C9"/>
    <w:multiLevelType w:val="hybridMultilevel"/>
    <w:tmpl w:val="66C632CE"/>
    <w:lvl w:ilvl="0" w:tplc="2E861096">
      <w:start w:val="1"/>
      <w:numFmt w:val="bullet"/>
      <w:lvlText w:val=""/>
      <w:lvlJc w:val="left"/>
      <w:pPr>
        <w:ind w:left="864" w:hanging="144"/>
      </w:pPr>
      <w:rPr>
        <w:rFonts w:ascii="Wingdings" w:hAnsi="Wingdings"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8" w15:restartNumberingAfterBreak="0">
    <w:nsid w:val="696469B1"/>
    <w:multiLevelType w:val="hybridMultilevel"/>
    <w:tmpl w:val="ED4C0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5E02FD"/>
    <w:multiLevelType w:val="hybridMultilevel"/>
    <w:tmpl w:val="D8ACF29C"/>
    <w:lvl w:ilvl="0" w:tplc="2CBA21B6">
      <w:start w:val="1"/>
      <w:numFmt w:val="decimal"/>
      <w:lvlText w:val="%1."/>
      <w:lvlJc w:val="left"/>
      <w:pPr>
        <w:ind w:left="0" w:hanging="576"/>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1409">
    <w:abstractNumId w:val="9"/>
  </w:num>
  <w:num w:numId="2" w16cid:durableId="173227850">
    <w:abstractNumId w:val="2"/>
  </w:num>
  <w:num w:numId="3" w16cid:durableId="545530100">
    <w:abstractNumId w:val="1"/>
  </w:num>
  <w:num w:numId="4" w16cid:durableId="809397130">
    <w:abstractNumId w:val="3"/>
  </w:num>
  <w:num w:numId="5" w16cid:durableId="2115397912">
    <w:abstractNumId w:val="5"/>
  </w:num>
  <w:num w:numId="6" w16cid:durableId="461768613">
    <w:abstractNumId w:val="0"/>
  </w:num>
  <w:num w:numId="7" w16cid:durableId="1279993014">
    <w:abstractNumId w:val="10"/>
  </w:num>
  <w:num w:numId="8" w16cid:durableId="897399935">
    <w:abstractNumId w:val="8"/>
  </w:num>
  <w:num w:numId="9" w16cid:durableId="921178187">
    <w:abstractNumId w:val="7"/>
  </w:num>
  <w:num w:numId="10" w16cid:durableId="1791169652">
    <w:abstractNumId w:val="6"/>
  </w:num>
  <w:num w:numId="11" w16cid:durableId="133372565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szAwNQGSlqamlko6SsGpxcWZ+XkgBYaWtQC5HfxoLQAAAA=="/>
  </w:docVars>
  <w:rsids>
    <w:rsidRoot w:val="00BD4BCE"/>
    <w:rsid w:val="00001E94"/>
    <w:rsid w:val="0000278E"/>
    <w:rsid w:val="00002CAE"/>
    <w:rsid w:val="00002D07"/>
    <w:rsid w:val="00003862"/>
    <w:rsid w:val="0000542A"/>
    <w:rsid w:val="0000599F"/>
    <w:rsid w:val="00005F0A"/>
    <w:rsid w:val="00006962"/>
    <w:rsid w:val="0000717A"/>
    <w:rsid w:val="00007EAE"/>
    <w:rsid w:val="0001063F"/>
    <w:rsid w:val="00011B02"/>
    <w:rsid w:val="00011B86"/>
    <w:rsid w:val="0001244B"/>
    <w:rsid w:val="00012FFC"/>
    <w:rsid w:val="00014AFF"/>
    <w:rsid w:val="00014F67"/>
    <w:rsid w:val="00015D31"/>
    <w:rsid w:val="00016A9B"/>
    <w:rsid w:val="00016C3F"/>
    <w:rsid w:val="00017B4E"/>
    <w:rsid w:val="00017FBF"/>
    <w:rsid w:val="00020272"/>
    <w:rsid w:val="00023D98"/>
    <w:rsid w:val="00024F57"/>
    <w:rsid w:val="000251A6"/>
    <w:rsid w:val="00025589"/>
    <w:rsid w:val="00025BBE"/>
    <w:rsid w:val="00025C70"/>
    <w:rsid w:val="00027322"/>
    <w:rsid w:val="00027D74"/>
    <w:rsid w:val="000301CD"/>
    <w:rsid w:val="00030751"/>
    <w:rsid w:val="000313E1"/>
    <w:rsid w:val="00031A36"/>
    <w:rsid w:val="0003251B"/>
    <w:rsid w:val="0003462A"/>
    <w:rsid w:val="00034931"/>
    <w:rsid w:val="000357F6"/>
    <w:rsid w:val="000369C9"/>
    <w:rsid w:val="00037694"/>
    <w:rsid w:val="000378BB"/>
    <w:rsid w:val="00037BE6"/>
    <w:rsid w:val="000400A6"/>
    <w:rsid w:val="00040A2E"/>
    <w:rsid w:val="00041E9B"/>
    <w:rsid w:val="00042592"/>
    <w:rsid w:val="0004304D"/>
    <w:rsid w:val="000439C4"/>
    <w:rsid w:val="00043A07"/>
    <w:rsid w:val="00044437"/>
    <w:rsid w:val="000449D1"/>
    <w:rsid w:val="000449DE"/>
    <w:rsid w:val="00046D23"/>
    <w:rsid w:val="00051114"/>
    <w:rsid w:val="000511DA"/>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D86"/>
    <w:rsid w:val="00071836"/>
    <w:rsid w:val="00071E35"/>
    <w:rsid w:val="000728A2"/>
    <w:rsid w:val="000728B2"/>
    <w:rsid w:val="00072D93"/>
    <w:rsid w:val="000731C0"/>
    <w:rsid w:val="000759BE"/>
    <w:rsid w:val="00076373"/>
    <w:rsid w:val="000779B1"/>
    <w:rsid w:val="00077FE0"/>
    <w:rsid w:val="0008165C"/>
    <w:rsid w:val="0008192A"/>
    <w:rsid w:val="000820EE"/>
    <w:rsid w:val="000840D7"/>
    <w:rsid w:val="0008474E"/>
    <w:rsid w:val="00085506"/>
    <w:rsid w:val="00085C9D"/>
    <w:rsid w:val="0008622F"/>
    <w:rsid w:val="0008793A"/>
    <w:rsid w:val="00090755"/>
    <w:rsid w:val="00091225"/>
    <w:rsid w:val="000915AC"/>
    <w:rsid w:val="000923FB"/>
    <w:rsid w:val="0009314C"/>
    <w:rsid w:val="00094439"/>
    <w:rsid w:val="000A22D4"/>
    <w:rsid w:val="000A2FAE"/>
    <w:rsid w:val="000A3F37"/>
    <w:rsid w:val="000A4B39"/>
    <w:rsid w:val="000A5C09"/>
    <w:rsid w:val="000A6141"/>
    <w:rsid w:val="000A6514"/>
    <w:rsid w:val="000A6AC3"/>
    <w:rsid w:val="000A7C47"/>
    <w:rsid w:val="000B0314"/>
    <w:rsid w:val="000B1003"/>
    <w:rsid w:val="000B136D"/>
    <w:rsid w:val="000B179D"/>
    <w:rsid w:val="000B4252"/>
    <w:rsid w:val="000B519F"/>
    <w:rsid w:val="000B57CE"/>
    <w:rsid w:val="000B6F36"/>
    <w:rsid w:val="000B7057"/>
    <w:rsid w:val="000B752A"/>
    <w:rsid w:val="000B7B44"/>
    <w:rsid w:val="000C00DA"/>
    <w:rsid w:val="000C1057"/>
    <w:rsid w:val="000C118A"/>
    <w:rsid w:val="000C25DD"/>
    <w:rsid w:val="000C25E7"/>
    <w:rsid w:val="000C5A0C"/>
    <w:rsid w:val="000C5A6A"/>
    <w:rsid w:val="000C5F16"/>
    <w:rsid w:val="000C7FB1"/>
    <w:rsid w:val="000D0267"/>
    <w:rsid w:val="000D048D"/>
    <w:rsid w:val="000D3849"/>
    <w:rsid w:val="000D4A27"/>
    <w:rsid w:val="000D4C95"/>
    <w:rsid w:val="000D5DEA"/>
    <w:rsid w:val="000D5E7B"/>
    <w:rsid w:val="000D7667"/>
    <w:rsid w:val="000E08AF"/>
    <w:rsid w:val="000E092B"/>
    <w:rsid w:val="000E0FA6"/>
    <w:rsid w:val="000E16B2"/>
    <w:rsid w:val="000E28EF"/>
    <w:rsid w:val="000E2A0C"/>
    <w:rsid w:val="000E387E"/>
    <w:rsid w:val="000E45DD"/>
    <w:rsid w:val="000E5047"/>
    <w:rsid w:val="000E6346"/>
    <w:rsid w:val="000E68BF"/>
    <w:rsid w:val="000E69CF"/>
    <w:rsid w:val="000E6BC0"/>
    <w:rsid w:val="000F1AA4"/>
    <w:rsid w:val="000F309B"/>
    <w:rsid w:val="000F34D2"/>
    <w:rsid w:val="000F494D"/>
    <w:rsid w:val="000F4B25"/>
    <w:rsid w:val="000F51E0"/>
    <w:rsid w:val="000F62B5"/>
    <w:rsid w:val="000F7405"/>
    <w:rsid w:val="000F74FF"/>
    <w:rsid w:val="000F7CEA"/>
    <w:rsid w:val="0010039E"/>
    <w:rsid w:val="00100A48"/>
    <w:rsid w:val="00102D7C"/>
    <w:rsid w:val="001052BA"/>
    <w:rsid w:val="0010613E"/>
    <w:rsid w:val="00106608"/>
    <w:rsid w:val="00106CE4"/>
    <w:rsid w:val="001072A0"/>
    <w:rsid w:val="00107C52"/>
    <w:rsid w:val="00107D9F"/>
    <w:rsid w:val="00112041"/>
    <w:rsid w:val="00112228"/>
    <w:rsid w:val="00112852"/>
    <w:rsid w:val="0011324C"/>
    <w:rsid w:val="0011340A"/>
    <w:rsid w:val="001135FC"/>
    <w:rsid w:val="001140EF"/>
    <w:rsid w:val="001151FB"/>
    <w:rsid w:val="00115DB0"/>
    <w:rsid w:val="00116509"/>
    <w:rsid w:val="00120084"/>
    <w:rsid w:val="00120220"/>
    <w:rsid w:val="00120AAE"/>
    <w:rsid w:val="0012478F"/>
    <w:rsid w:val="001252AD"/>
    <w:rsid w:val="00125F79"/>
    <w:rsid w:val="00131FD5"/>
    <w:rsid w:val="00133193"/>
    <w:rsid w:val="001360DB"/>
    <w:rsid w:val="00136630"/>
    <w:rsid w:val="00136A3B"/>
    <w:rsid w:val="001409AB"/>
    <w:rsid w:val="00140BF0"/>
    <w:rsid w:val="001416C5"/>
    <w:rsid w:val="00142231"/>
    <w:rsid w:val="0014327F"/>
    <w:rsid w:val="00143CCE"/>
    <w:rsid w:val="0014527F"/>
    <w:rsid w:val="00146789"/>
    <w:rsid w:val="001472C1"/>
    <w:rsid w:val="001477C4"/>
    <w:rsid w:val="00147F9B"/>
    <w:rsid w:val="00150D82"/>
    <w:rsid w:val="0015170E"/>
    <w:rsid w:val="00151B12"/>
    <w:rsid w:val="001543AD"/>
    <w:rsid w:val="00155110"/>
    <w:rsid w:val="00160C34"/>
    <w:rsid w:val="00161593"/>
    <w:rsid w:val="00162C55"/>
    <w:rsid w:val="00162F02"/>
    <w:rsid w:val="001634CF"/>
    <w:rsid w:val="00163B04"/>
    <w:rsid w:val="00163F8E"/>
    <w:rsid w:val="00163FA5"/>
    <w:rsid w:val="0016435C"/>
    <w:rsid w:val="001651AF"/>
    <w:rsid w:val="001665A3"/>
    <w:rsid w:val="00166D25"/>
    <w:rsid w:val="001708D2"/>
    <w:rsid w:val="001711B8"/>
    <w:rsid w:val="0017125B"/>
    <w:rsid w:val="00171C81"/>
    <w:rsid w:val="00171FC5"/>
    <w:rsid w:val="0017292E"/>
    <w:rsid w:val="00173991"/>
    <w:rsid w:val="00174D23"/>
    <w:rsid w:val="00175B5E"/>
    <w:rsid w:val="00180F6B"/>
    <w:rsid w:val="00181B12"/>
    <w:rsid w:val="001821EA"/>
    <w:rsid w:val="001822DB"/>
    <w:rsid w:val="00182F5F"/>
    <w:rsid w:val="00183082"/>
    <w:rsid w:val="00183CE0"/>
    <w:rsid w:val="00184FFA"/>
    <w:rsid w:val="00185093"/>
    <w:rsid w:val="001850E7"/>
    <w:rsid w:val="00185112"/>
    <w:rsid w:val="00185924"/>
    <w:rsid w:val="00186FF8"/>
    <w:rsid w:val="001903BE"/>
    <w:rsid w:val="0019040A"/>
    <w:rsid w:val="00190B08"/>
    <w:rsid w:val="00190C9A"/>
    <w:rsid w:val="00190D29"/>
    <w:rsid w:val="00191568"/>
    <w:rsid w:val="00191597"/>
    <w:rsid w:val="001919B1"/>
    <w:rsid w:val="001921A9"/>
    <w:rsid w:val="001925CC"/>
    <w:rsid w:val="00192953"/>
    <w:rsid w:val="00192FE8"/>
    <w:rsid w:val="001930A7"/>
    <w:rsid w:val="00193633"/>
    <w:rsid w:val="00194067"/>
    <w:rsid w:val="00194786"/>
    <w:rsid w:val="0019681F"/>
    <w:rsid w:val="0019737F"/>
    <w:rsid w:val="00197BA9"/>
    <w:rsid w:val="001A0F42"/>
    <w:rsid w:val="001A1634"/>
    <w:rsid w:val="001A1C1A"/>
    <w:rsid w:val="001A2B4F"/>
    <w:rsid w:val="001A2BBC"/>
    <w:rsid w:val="001A2C5C"/>
    <w:rsid w:val="001A378C"/>
    <w:rsid w:val="001A4060"/>
    <w:rsid w:val="001A42A3"/>
    <w:rsid w:val="001A585C"/>
    <w:rsid w:val="001A6804"/>
    <w:rsid w:val="001A69D7"/>
    <w:rsid w:val="001A701E"/>
    <w:rsid w:val="001B0284"/>
    <w:rsid w:val="001B032E"/>
    <w:rsid w:val="001B0487"/>
    <w:rsid w:val="001B0F6A"/>
    <w:rsid w:val="001B12D7"/>
    <w:rsid w:val="001B197D"/>
    <w:rsid w:val="001B19F2"/>
    <w:rsid w:val="001B2DC5"/>
    <w:rsid w:val="001B31AC"/>
    <w:rsid w:val="001B6E82"/>
    <w:rsid w:val="001B7196"/>
    <w:rsid w:val="001B790D"/>
    <w:rsid w:val="001C0D2D"/>
    <w:rsid w:val="001C1877"/>
    <w:rsid w:val="001C1D82"/>
    <w:rsid w:val="001C2586"/>
    <w:rsid w:val="001C259F"/>
    <w:rsid w:val="001C2745"/>
    <w:rsid w:val="001C3904"/>
    <w:rsid w:val="001C3A94"/>
    <w:rsid w:val="001C3D34"/>
    <w:rsid w:val="001C3EC1"/>
    <w:rsid w:val="001C406E"/>
    <w:rsid w:val="001C467D"/>
    <w:rsid w:val="001C4DB8"/>
    <w:rsid w:val="001C731A"/>
    <w:rsid w:val="001C7484"/>
    <w:rsid w:val="001C77D7"/>
    <w:rsid w:val="001D1572"/>
    <w:rsid w:val="001D18B0"/>
    <w:rsid w:val="001D3CC6"/>
    <w:rsid w:val="001D4CBA"/>
    <w:rsid w:val="001D540C"/>
    <w:rsid w:val="001D591E"/>
    <w:rsid w:val="001D5ACA"/>
    <w:rsid w:val="001D5C6A"/>
    <w:rsid w:val="001D61BB"/>
    <w:rsid w:val="001D6E9E"/>
    <w:rsid w:val="001D7402"/>
    <w:rsid w:val="001E14C4"/>
    <w:rsid w:val="001E1AB1"/>
    <w:rsid w:val="001E1B7F"/>
    <w:rsid w:val="001E1C11"/>
    <w:rsid w:val="001E1E64"/>
    <w:rsid w:val="001E3FED"/>
    <w:rsid w:val="001E6363"/>
    <w:rsid w:val="001E7090"/>
    <w:rsid w:val="001E7F8D"/>
    <w:rsid w:val="001F1286"/>
    <w:rsid w:val="001F3298"/>
    <w:rsid w:val="001F56B2"/>
    <w:rsid w:val="001F5945"/>
    <w:rsid w:val="001F7004"/>
    <w:rsid w:val="001F7E34"/>
    <w:rsid w:val="0020034E"/>
    <w:rsid w:val="00203B04"/>
    <w:rsid w:val="00204900"/>
    <w:rsid w:val="00206145"/>
    <w:rsid w:val="00206C09"/>
    <w:rsid w:val="002074A9"/>
    <w:rsid w:val="00207BBE"/>
    <w:rsid w:val="002101DE"/>
    <w:rsid w:val="002117C8"/>
    <w:rsid w:val="00212F37"/>
    <w:rsid w:val="00213F13"/>
    <w:rsid w:val="00214406"/>
    <w:rsid w:val="00214B69"/>
    <w:rsid w:val="00214CAA"/>
    <w:rsid w:val="002157CF"/>
    <w:rsid w:val="0021646F"/>
    <w:rsid w:val="00217C23"/>
    <w:rsid w:val="00217FE5"/>
    <w:rsid w:val="002205D1"/>
    <w:rsid w:val="002214F0"/>
    <w:rsid w:val="0022163D"/>
    <w:rsid w:val="00222FD0"/>
    <w:rsid w:val="00224526"/>
    <w:rsid w:val="0022530F"/>
    <w:rsid w:val="00225EDA"/>
    <w:rsid w:val="002274E0"/>
    <w:rsid w:val="002279A5"/>
    <w:rsid w:val="00227BBB"/>
    <w:rsid w:val="0023057A"/>
    <w:rsid w:val="0023071D"/>
    <w:rsid w:val="00232758"/>
    <w:rsid w:val="0023299A"/>
    <w:rsid w:val="0023395F"/>
    <w:rsid w:val="00235256"/>
    <w:rsid w:val="00235947"/>
    <w:rsid w:val="0023766B"/>
    <w:rsid w:val="00237E1D"/>
    <w:rsid w:val="002430BB"/>
    <w:rsid w:val="00244787"/>
    <w:rsid w:val="00245E87"/>
    <w:rsid w:val="00246A98"/>
    <w:rsid w:val="002510AA"/>
    <w:rsid w:val="002518B4"/>
    <w:rsid w:val="002535AB"/>
    <w:rsid w:val="00253B51"/>
    <w:rsid w:val="00254FF2"/>
    <w:rsid w:val="00255484"/>
    <w:rsid w:val="00255A57"/>
    <w:rsid w:val="002571F1"/>
    <w:rsid w:val="00257A1B"/>
    <w:rsid w:val="00260780"/>
    <w:rsid w:val="00261C06"/>
    <w:rsid w:val="00261E2E"/>
    <w:rsid w:val="00262241"/>
    <w:rsid w:val="00262983"/>
    <w:rsid w:val="00262EAF"/>
    <w:rsid w:val="00263283"/>
    <w:rsid w:val="00263335"/>
    <w:rsid w:val="002639F3"/>
    <w:rsid w:val="00263D91"/>
    <w:rsid w:val="00264286"/>
    <w:rsid w:val="00264C96"/>
    <w:rsid w:val="00264FC1"/>
    <w:rsid w:val="002659D4"/>
    <w:rsid w:val="00267ABF"/>
    <w:rsid w:val="00267D2E"/>
    <w:rsid w:val="002703E1"/>
    <w:rsid w:val="00270AE6"/>
    <w:rsid w:val="00270FC9"/>
    <w:rsid w:val="002721B7"/>
    <w:rsid w:val="002733FB"/>
    <w:rsid w:val="00273B72"/>
    <w:rsid w:val="00274298"/>
    <w:rsid w:val="00274F89"/>
    <w:rsid w:val="0027606E"/>
    <w:rsid w:val="002768B0"/>
    <w:rsid w:val="00276EFF"/>
    <w:rsid w:val="00276FD7"/>
    <w:rsid w:val="0028001A"/>
    <w:rsid w:val="00280B5B"/>
    <w:rsid w:val="00282C24"/>
    <w:rsid w:val="00282E76"/>
    <w:rsid w:val="002840C8"/>
    <w:rsid w:val="00284412"/>
    <w:rsid w:val="00284A22"/>
    <w:rsid w:val="002857C1"/>
    <w:rsid w:val="002859B6"/>
    <w:rsid w:val="00285A19"/>
    <w:rsid w:val="00285B59"/>
    <w:rsid w:val="00285B73"/>
    <w:rsid w:val="002901E0"/>
    <w:rsid w:val="002908F9"/>
    <w:rsid w:val="00291921"/>
    <w:rsid w:val="00291E7D"/>
    <w:rsid w:val="00292233"/>
    <w:rsid w:val="00293BA5"/>
    <w:rsid w:val="00294171"/>
    <w:rsid w:val="00294306"/>
    <w:rsid w:val="00294C50"/>
    <w:rsid w:val="00296E78"/>
    <w:rsid w:val="00297346"/>
    <w:rsid w:val="002977CA"/>
    <w:rsid w:val="00297D0F"/>
    <w:rsid w:val="002A0F02"/>
    <w:rsid w:val="002A2C17"/>
    <w:rsid w:val="002A44A9"/>
    <w:rsid w:val="002A46AE"/>
    <w:rsid w:val="002A4F84"/>
    <w:rsid w:val="002A5CBE"/>
    <w:rsid w:val="002A5CE7"/>
    <w:rsid w:val="002A791F"/>
    <w:rsid w:val="002B0630"/>
    <w:rsid w:val="002B0C61"/>
    <w:rsid w:val="002B1AC5"/>
    <w:rsid w:val="002B1B80"/>
    <w:rsid w:val="002B3ECA"/>
    <w:rsid w:val="002B4176"/>
    <w:rsid w:val="002B6243"/>
    <w:rsid w:val="002B63B0"/>
    <w:rsid w:val="002B6D64"/>
    <w:rsid w:val="002B6DCF"/>
    <w:rsid w:val="002B7309"/>
    <w:rsid w:val="002C00AC"/>
    <w:rsid w:val="002C0185"/>
    <w:rsid w:val="002C0581"/>
    <w:rsid w:val="002C0F5F"/>
    <w:rsid w:val="002C1CAC"/>
    <w:rsid w:val="002C2EF7"/>
    <w:rsid w:val="002C3C49"/>
    <w:rsid w:val="002C42E8"/>
    <w:rsid w:val="002C6AD3"/>
    <w:rsid w:val="002C6F61"/>
    <w:rsid w:val="002C728E"/>
    <w:rsid w:val="002C73F5"/>
    <w:rsid w:val="002D31D5"/>
    <w:rsid w:val="002D5862"/>
    <w:rsid w:val="002D6BED"/>
    <w:rsid w:val="002D7B91"/>
    <w:rsid w:val="002E03AD"/>
    <w:rsid w:val="002E0882"/>
    <w:rsid w:val="002E0983"/>
    <w:rsid w:val="002E0A55"/>
    <w:rsid w:val="002E3451"/>
    <w:rsid w:val="002E38C1"/>
    <w:rsid w:val="002E5FF8"/>
    <w:rsid w:val="002E652B"/>
    <w:rsid w:val="002E71FA"/>
    <w:rsid w:val="002F1D8C"/>
    <w:rsid w:val="002F5CD9"/>
    <w:rsid w:val="002F61AD"/>
    <w:rsid w:val="002F62C0"/>
    <w:rsid w:val="002F736A"/>
    <w:rsid w:val="002F7947"/>
    <w:rsid w:val="002F799C"/>
    <w:rsid w:val="00301307"/>
    <w:rsid w:val="0030149C"/>
    <w:rsid w:val="003028EB"/>
    <w:rsid w:val="003036DC"/>
    <w:rsid w:val="003043B2"/>
    <w:rsid w:val="00304ACD"/>
    <w:rsid w:val="003060DE"/>
    <w:rsid w:val="00306D02"/>
    <w:rsid w:val="00306F64"/>
    <w:rsid w:val="00306F8D"/>
    <w:rsid w:val="00307D24"/>
    <w:rsid w:val="0031007B"/>
    <w:rsid w:val="0031009F"/>
    <w:rsid w:val="0031148C"/>
    <w:rsid w:val="0031153A"/>
    <w:rsid w:val="003124F7"/>
    <w:rsid w:val="00314A20"/>
    <w:rsid w:val="00315E25"/>
    <w:rsid w:val="003161B5"/>
    <w:rsid w:val="00316220"/>
    <w:rsid w:val="00316DE0"/>
    <w:rsid w:val="00317A88"/>
    <w:rsid w:val="00317ECE"/>
    <w:rsid w:val="0032033D"/>
    <w:rsid w:val="00320689"/>
    <w:rsid w:val="00321652"/>
    <w:rsid w:val="00322A79"/>
    <w:rsid w:val="00322FAC"/>
    <w:rsid w:val="003239B9"/>
    <w:rsid w:val="0032454D"/>
    <w:rsid w:val="00325B21"/>
    <w:rsid w:val="003268D0"/>
    <w:rsid w:val="00330401"/>
    <w:rsid w:val="0033136F"/>
    <w:rsid w:val="00331590"/>
    <w:rsid w:val="0033192A"/>
    <w:rsid w:val="003325BE"/>
    <w:rsid w:val="0033266B"/>
    <w:rsid w:val="00332ACA"/>
    <w:rsid w:val="00332E3F"/>
    <w:rsid w:val="003333A3"/>
    <w:rsid w:val="00334629"/>
    <w:rsid w:val="00334887"/>
    <w:rsid w:val="00334BDE"/>
    <w:rsid w:val="00336291"/>
    <w:rsid w:val="0034188F"/>
    <w:rsid w:val="003427FA"/>
    <w:rsid w:val="00342EB5"/>
    <w:rsid w:val="00343A42"/>
    <w:rsid w:val="003449D6"/>
    <w:rsid w:val="00344FEB"/>
    <w:rsid w:val="0034521B"/>
    <w:rsid w:val="003452F4"/>
    <w:rsid w:val="003454A5"/>
    <w:rsid w:val="00346234"/>
    <w:rsid w:val="00346802"/>
    <w:rsid w:val="0034776E"/>
    <w:rsid w:val="003503D1"/>
    <w:rsid w:val="00352AE9"/>
    <w:rsid w:val="00352FA5"/>
    <w:rsid w:val="003536EC"/>
    <w:rsid w:val="00353728"/>
    <w:rsid w:val="0035504E"/>
    <w:rsid w:val="00356B27"/>
    <w:rsid w:val="00356C0F"/>
    <w:rsid w:val="00356CDE"/>
    <w:rsid w:val="00357A29"/>
    <w:rsid w:val="00360703"/>
    <w:rsid w:val="00360B97"/>
    <w:rsid w:val="00364218"/>
    <w:rsid w:val="003649C6"/>
    <w:rsid w:val="00364C4B"/>
    <w:rsid w:val="003658FC"/>
    <w:rsid w:val="00367AE5"/>
    <w:rsid w:val="00367BF6"/>
    <w:rsid w:val="003707B5"/>
    <w:rsid w:val="00372C37"/>
    <w:rsid w:val="00372D1F"/>
    <w:rsid w:val="003741E6"/>
    <w:rsid w:val="0037484A"/>
    <w:rsid w:val="003753AB"/>
    <w:rsid w:val="0037595F"/>
    <w:rsid w:val="0037615E"/>
    <w:rsid w:val="003814E6"/>
    <w:rsid w:val="003816F7"/>
    <w:rsid w:val="00381F32"/>
    <w:rsid w:val="003822DF"/>
    <w:rsid w:val="00382DB2"/>
    <w:rsid w:val="00383F2B"/>
    <w:rsid w:val="00385206"/>
    <w:rsid w:val="003873AF"/>
    <w:rsid w:val="00387639"/>
    <w:rsid w:val="003901C3"/>
    <w:rsid w:val="003905D3"/>
    <w:rsid w:val="00390EC4"/>
    <w:rsid w:val="0039120B"/>
    <w:rsid w:val="003914E6"/>
    <w:rsid w:val="00392496"/>
    <w:rsid w:val="00393332"/>
    <w:rsid w:val="00393D45"/>
    <w:rsid w:val="00393E88"/>
    <w:rsid w:val="0039400D"/>
    <w:rsid w:val="003940CD"/>
    <w:rsid w:val="003954DD"/>
    <w:rsid w:val="003957C0"/>
    <w:rsid w:val="00395D29"/>
    <w:rsid w:val="00396A81"/>
    <w:rsid w:val="00397AF0"/>
    <w:rsid w:val="00397BD4"/>
    <w:rsid w:val="003A0D3A"/>
    <w:rsid w:val="003A1795"/>
    <w:rsid w:val="003A1BAB"/>
    <w:rsid w:val="003A1CD0"/>
    <w:rsid w:val="003A28B9"/>
    <w:rsid w:val="003A55C8"/>
    <w:rsid w:val="003A583B"/>
    <w:rsid w:val="003A678D"/>
    <w:rsid w:val="003A7036"/>
    <w:rsid w:val="003A7614"/>
    <w:rsid w:val="003B1B93"/>
    <w:rsid w:val="003B1E3B"/>
    <w:rsid w:val="003B2284"/>
    <w:rsid w:val="003B2419"/>
    <w:rsid w:val="003B28B9"/>
    <w:rsid w:val="003B4433"/>
    <w:rsid w:val="003B4A72"/>
    <w:rsid w:val="003B5750"/>
    <w:rsid w:val="003B5C01"/>
    <w:rsid w:val="003B5FC8"/>
    <w:rsid w:val="003B66D3"/>
    <w:rsid w:val="003C048B"/>
    <w:rsid w:val="003C13C9"/>
    <w:rsid w:val="003C19A5"/>
    <w:rsid w:val="003C19FE"/>
    <w:rsid w:val="003C450D"/>
    <w:rsid w:val="003C5E20"/>
    <w:rsid w:val="003C66EE"/>
    <w:rsid w:val="003C6773"/>
    <w:rsid w:val="003C77E0"/>
    <w:rsid w:val="003D0156"/>
    <w:rsid w:val="003D0473"/>
    <w:rsid w:val="003D0D8C"/>
    <w:rsid w:val="003D16BF"/>
    <w:rsid w:val="003D2384"/>
    <w:rsid w:val="003D2828"/>
    <w:rsid w:val="003D431C"/>
    <w:rsid w:val="003D4323"/>
    <w:rsid w:val="003D545D"/>
    <w:rsid w:val="003E289A"/>
    <w:rsid w:val="003E28A0"/>
    <w:rsid w:val="003E52F0"/>
    <w:rsid w:val="003F0221"/>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34F2"/>
    <w:rsid w:val="004039BD"/>
    <w:rsid w:val="00406338"/>
    <w:rsid w:val="00406DAA"/>
    <w:rsid w:val="0041092A"/>
    <w:rsid w:val="00412BE5"/>
    <w:rsid w:val="004145FE"/>
    <w:rsid w:val="00414627"/>
    <w:rsid w:val="004151A0"/>
    <w:rsid w:val="004161CC"/>
    <w:rsid w:val="0041751A"/>
    <w:rsid w:val="00420376"/>
    <w:rsid w:val="00421904"/>
    <w:rsid w:val="00423711"/>
    <w:rsid w:val="00423A70"/>
    <w:rsid w:val="00423DFC"/>
    <w:rsid w:val="004240CD"/>
    <w:rsid w:val="00424360"/>
    <w:rsid w:val="004249A7"/>
    <w:rsid w:val="00424A13"/>
    <w:rsid w:val="00425A3C"/>
    <w:rsid w:val="004264ED"/>
    <w:rsid w:val="00426D6B"/>
    <w:rsid w:val="00427165"/>
    <w:rsid w:val="0043175C"/>
    <w:rsid w:val="00431CA9"/>
    <w:rsid w:val="004327BC"/>
    <w:rsid w:val="00432D4F"/>
    <w:rsid w:val="004333D4"/>
    <w:rsid w:val="00433D48"/>
    <w:rsid w:val="00434C26"/>
    <w:rsid w:val="004400C8"/>
    <w:rsid w:val="004410AD"/>
    <w:rsid w:val="004435AF"/>
    <w:rsid w:val="00444495"/>
    <w:rsid w:val="00444F75"/>
    <w:rsid w:val="0044714D"/>
    <w:rsid w:val="00451FC2"/>
    <w:rsid w:val="00452C3B"/>
    <w:rsid w:val="00453430"/>
    <w:rsid w:val="004534BC"/>
    <w:rsid w:val="00453CB5"/>
    <w:rsid w:val="00454285"/>
    <w:rsid w:val="0045525C"/>
    <w:rsid w:val="00455E02"/>
    <w:rsid w:val="0045621C"/>
    <w:rsid w:val="004574D6"/>
    <w:rsid w:val="0046030E"/>
    <w:rsid w:val="0046062C"/>
    <w:rsid w:val="00460674"/>
    <w:rsid w:val="00460A66"/>
    <w:rsid w:val="00461F42"/>
    <w:rsid w:val="00463249"/>
    <w:rsid w:val="00463C66"/>
    <w:rsid w:val="00464113"/>
    <w:rsid w:val="00465598"/>
    <w:rsid w:val="00466DBC"/>
    <w:rsid w:val="00467632"/>
    <w:rsid w:val="00470005"/>
    <w:rsid w:val="004703FE"/>
    <w:rsid w:val="004718A7"/>
    <w:rsid w:val="00471A7D"/>
    <w:rsid w:val="00471B91"/>
    <w:rsid w:val="0047204E"/>
    <w:rsid w:val="00472199"/>
    <w:rsid w:val="00472667"/>
    <w:rsid w:val="00472FB1"/>
    <w:rsid w:val="004745FD"/>
    <w:rsid w:val="0047570D"/>
    <w:rsid w:val="00476BC6"/>
    <w:rsid w:val="00477627"/>
    <w:rsid w:val="00480B35"/>
    <w:rsid w:val="0048253E"/>
    <w:rsid w:val="00482A9D"/>
    <w:rsid w:val="00482E7C"/>
    <w:rsid w:val="0048306F"/>
    <w:rsid w:val="00483273"/>
    <w:rsid w:val="0048350E"/>
    <w:rsid w:val="004843BC"/>
    <w:rsid w:val="00484668"/>
    <w:rsid w:val="004849BD"/>
    <w:rsid w:val="00485F2C"/>
    <w:rsid w:val="00486519"/>
    <w:rsid w:val="0048676E"/>
    <w:rsid w:val="00486A4E"/>
    <w:rsid w:val="00486FE9"/>
    <w:rsid w:val="004876C7"/>
    <w:rsid w:val="00487E95"/>
    <w:rsid w:val="004905F8"/>
    <w:rsid w:val="00493B22"/>
    <w:rsid w:val="00493FAD"/>
    <w:rsid w:val="00494980"/>
    <w:rsid w:val="00495278"/>
    <w:rsid w:val="00495355"/>
    <w:rsid w:val="004954E9"/>
    <w:rsid w:val="00496961"/>
    <w:rsid w:val="00497815"/>
    <w:rsid w:val="004979CC"/>
    <w:rsid w:val="004A0005"/>
    <w:rsid w:val="004A0816"/>
    <w:rsid w:val="004A171F"/>
    <w:rsid w:val="004A2F87"/>
    <w:rsid w:val="004A4825"/>
    <w:rsid w:val="004A4CA1"/>
    <w:rsid w:val="004A4D76"/>
    <w:rsid w:val="004A6165"/>
    <w:rsid w:val="004B42B7"/>
    <w:rsid w:val="004B47C0"/>
    <w:rsid w:val="004B4BBC"/>
    <w:rsid w:val="004B632A"/>
    <w:rsid w:val="004B7F95"/>
    <w:rsid w:val="004C0594"/>
    <w:rsid w:val="004C0A98"/>
    <w:rsid w:val="004C158F"/>
    <w:rsid w:val="004C1E1C"/>
    <w:rsid w:val="004C5FEA"/>
    <w:rsid w:val="004C6B53"/>
    <w:rsid w:val="004C7286"/>
    <w:rsid w:val="004C728C"/>
    <w:rsid w:val="004D044B"/>
    <w:rsid w:val="004D0C16"/>
    <w:rsid w:val="004D1017"/>
    <w:rsid w:val="004D14AB"/>
    <w:rsid w:val="004D2D29"/>
    <w:rsid w:val="004D3289"/>
    <w:rsid w:val="004D3E3C"/>
    <w:rsid w:val="004D43C1"/>
    <w:rsid w:val="004D4AB2"/>
    <w:rsid w:val="004D4F17"/>
    <w:rsid w:val="004D4F34"/>
    <w:rsid w:val="004D5408"/>
    <w:rsid w:val="004D6C66"/>
    <w:rsid w:val="004D7715"/>
    <w:rsid w:val="004D7AF2"/>
    <w:rsid w:val="004E088E"/>
    <w:rsid w:val="004E1A4F"/>
    <w:rsid w:val="004E2247"/>
    <w:rsid w:val="004E2955"/>
    <w:rsid w:val="004E2AE6"/>
    <w:rsid w:val="004E356B"/>
    <w:rsid w:val="004E4361"/>
    <w:rsid w:val="004E467F"/>
    <w:rsid w:val="004E4DD0"/>
    <w:rsid w:val="004E5A90"/>
    <w:rsid w:val="004E6249"/>
    <w:rsid w:val="004E6CFE"/>
    <w:rsid w:val="004E6E54"/>
    <w:rsid w:val="004F0591"/>
    <w:rsid w:val="004F0A8F"/>
    <w:rsid w:val="004F1203"/>
    <w:rsid w:val="004F3B7A"/>
    <w:rsid w:val="004F3C18"/>
    <w:rsid w:val="004F42B6"/>
    <w:rsid w:val="004F450A"/>
    <w:rsid w:val="004F4B1C"/>
    <w:rsid w:val="004F5915"/>
    <w:rsid w:val="004F6829"/>
    <w:rsid w:val="004F79F7"/>
    <w:rsid w:val="00500509"/>
    <w:rsid w:val="00500E2A"/>
    <w:rsid w:val="0050279C"/>
    <w:rsid w:val="00504F79"/>
    <w:rsid w:val="00505896"/>
    <w:rsid w:val="005062C6"/>
    <w:rsid w:val="00506684"/>
    <w:rsid w:val="005067E6"/>
    <w:rsid w:val="00507313"/>
    <w:rsid w:val="005077A3"/>
    <w:rsid w:val="005101DC"/>
    <w:rsid w:val="00510C80"/>
    <w:rsid w:val="005113A3"/>
    <w:rsid w:val="00511402"/>
    <w:rsid w:val="0051199B"/>
    <w:rsid w:val="005134D4"/>
    <w:rsid w:val="00513757"/>
    <w:rsid w:val="00513C55"/>
    <w:rsid w:val="00514461"/>
    <w:rsid w:val="0051581E"/>
    <w:rsid w:val="00516796"/>
    <w:rsid w:val="00516B63"/>
    <w:rsid w:val="00516F22"/>
    <w:rsid w:val="0051704F"/>
    <w:rsid w:val="00517328"/>
    <w:rsid w:val="00520598"/>
    <w:rsid w:val="00520D45"/>
    <w:rsid w:val="00522400"/>
    <w:rsid w:val="005224B0"/>
    <w:rsid w:val="005232B1"/>
    <w:rsid w:val="0052352C"/>
    <w:rsid w:val="005243A8"/>
    <w:rsid w:val="005244E2"/>
    <w:rsid w:val="005248FE"/>
    <w:rsid w:val="00525F66"/>
    <w:rsid w:val="0053127B"/>
    <w:rsid w:val="005314B0"/>
    <w:rsid w:val="00531545"/>
    <w:rsid w:val="00532C21"/>
    <w:rsid w:val="00532C23"/>
    <w:rsid w:val="0053378F"/>
    <w:rsid w:val="00534259"/>
    <w:rsid w:val="00534F85"/>
    <w:rsid w:val="00535915"/>
    <w:rsid w:val="00535E76"/>
    <w:rsid w:val="005369FC"/>
    <w:rsid w:val="00536C3A"/>
    <w:rsid w:val="005374BC"/>
    <w:rsid w:val="0053755B"/>
    <w:rsid w:val="00540197"/>
    <w:rsid w:val="00540A06"/>
    <w:rsid w:val="00543846"/>
    <w:rsid w:val="00544D9B"/>
    <w:rsid w:val="00544DBF"/>
    <w:rsid w:val="00545688"/>
    <w:rsid w:val="005472AB"/>
    <w:rsid w:val="00547752"/>
    <w:rsid w:val="0054784D"/>
    <w:rsid w:val="00550B90"/>
    <w:rsid w:val="005516FE"/>
    <w:rsid w:val="00551D5F"/>
    <w:rsid w:val="00552F51"/>
    <w:rsid w:val="00553C62"/>
    <w:rsid w:val="0055427F"/>
    <w:rsid w:val="00554377"/>
    <w:rsid w:val="00554633"/>
    <w:rsid w:val="00554C81"/>
    <w:rsid w:val="00555A71"/>
    <w:rsid w:val="0055632E"/>
    <w:rsid w:val="0056073B"/>
    <w:rsid w:val="00562F30"/>
    <w:rsid w:val="005640D8"/>
    <w:rsid w:val="00564856"/>
    <w:rsid w:val="005654A4"/>
    <w:rsid w:val="005656E2"/>
    <w:rsid w:val="00565B2C"/>
    <w:rsid w:val="00565DD4"/>
    <w:rsid w:val="00565E37"/>
    <w:rsid w:val="005663CD"/>
    <w:rsid w:val="00566538"/>
    <w:rsid w:val="005672DA"/>
    <w:rsid w:val="0056779A"/>
    <w:rsid w:val="00567DC2"/>
    <w:rsid w:val="00571E26"/>
    <w:rsid w:val="00573627"/>
    <w:rsid w:val="00573C30"/>
    <w:rsid w:val="0057409D"/>
    <w:rsid w:val="005747C1"/>
    <w:rsid w:val="005747F6"/>
    <w:rsid w:val="005757FA"/>
    <w:rsid w:val="00577B41"/>
    <w:rsid w:val="00580063"/>
    <w:rsid w:val="00580F57"/>
    <w:rsid w:val="00581E16"/>
    <w:rsid w:val="005832C3"/>
    <w:rsid w:val="0058345B"/>
    <w:rsid w:val="005838AC"/>
    <w:rsid w:val="00584D15"/>
    <w:rsid w:val="00584D47"/>
    <w:rsid w:val="005857FE"/>
    <w:rsid w:val="00585AE8"/>
    <w:rsid w:val="00585D4A"/>
    <w:rsid w:val="00585E34"/>
    <w:rsid w:val="0058636E"/>
    <w:rsid w:val="0058661C"/>
    <w:rsid w:val="005876B5"/>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2CF2"/>
    <w:rsid w:val="005A341E"/>
    <w:rsid w:val="005A37E3"/>
    <w:rsid w:val="005A38B5"/>
    <w:rsid w:val="005A5036"/>
    <w:rsid w:val="005A53C2"/>
    <w:rsid w:val="005A5414"/>
    <w:rsid w:val="005A6518"/>
    <w:rsid w:val="005A6689"/>
    <w:rsid w:val="005B054F"/>
    <w:rsid w:val="005B0899"/>
    <w:rsid w:val="005B154B"/>
    <w:rsid w:val="005B2B1A"/>
    <w:rsid w:val="005B340A"/>
    <w:rsid w:val="005B3633"/>
    <w:rsid w:val="005B4481"/>
    <w:rsid w:val="005B46BB"/>
    <w:rsid w:val="005B5997"/>
    <w:rsid w:val="005C0DFC"/>
    <w:rsid w:val="005C0EB2"/>
    <w:rsid w:val="005C15CE"/>
    <w:rsid w:val="005C22EA"/>
    <w:rsid w:val="005C25AF"/>
    <w:rsid w:val="005C2A9E"/>
    <w:rsid w:val="005C3EFD"/>
    <w:rsid w:val="005C4118"/>
    <w:rsid w:val="005C4ADC"/>
    <w:rsid w:val="005C6289"/>
    <w:rsid w:val="005D02A2"/>
    <w:rsid w:val="005D0F9E"/>
    <w:rsid w:val="005D20D8"/>
    <w:rsid w:val="005D23B7"/>
    <w:rsid w:val="005D520B"/>
    <w:rsid w:val="005D6304"/>
    <w:rsid w:val="005D694A"/>
    <w:rsid w:val="005D752C"/>
    <w:rsid w:val="005E0072"/>
    <w:rsid w:val="005E0593"/>
    <w:rsid w:val="005E0C17"/>
    <w:rsid w:val="005E1B90"/>
    <w:rsid w:val="005E1EB9"/>
    <w:rsid w:val="005E2A50"/>
    <w:rsid w:val="005E2B5E"/>
    <w:rsid w:val="005E457B"/>
    <w:rsid w:val="005E4623"/>
    <w:rsid w:val="005E4B32"/>
    <w:rsid w:val="005E54E1"/>
    <w:rsid w:val="005E55F4"/>
    <w:rsid w:val="005E5647"/>
    <w:rsid w:val="005E564C"/>
    <w:rsid w:val="005E639D"/>
    <w:rsid w:val="005E728F"/>
    <w:rsid w:val="005E77C8"/>
    <w:rsid w:val="005F0001"/>
    <w:rsid w:val="005F0401"/>
    <w:rsid w:val="005F0DDE"/>
    <w:rsid w:val="005F0F57"/>
    <w:rsid w:val="005F1B86"/>
    <w:rsid w:val="005F1E73"/>
    <w:rsid w:val="005F2060"/>
    <w:rsid w:val="005F26FC"/>
    <w:rsid w:val="005F478A"/>
    <w:rsid w:val="005F59D5"/>
    <w:rsid w:val="005F5D55"/>
    <w:rsid w:val="005F644C"/>
    <w:rsid w:val="005F6AD5"/>
    <w:rsid w:val="005F77C5"/>
    <w:rsid w:val="005F793E"/>
    <w:rsid w:val="00600378"/>
    <w:rsid w:val="0060363A"/>
    <w:rsid w:val="00603CB9"/>
    <w:rsid w:val="0060544E"/>
    <w:rsid w:val="006071F2"/>
    <w:rsid w:val="00607536"/>
    <w:rsid w:val="00607CB7"/>
    <w:rsid w:val="00610D71"/>
    <w:rsid w:val="00610E21"/>
    <w:rsid w:val="00610E68"/>
    <w:rsid w:val="00611995"/>
    <w:rsid w:val="00611D39"/>
    <w:rsid w:val="00611F92"/>
    <w:rsid w:val="00613368"/>
    <w:rsid w:val="00614F7D"/>
    <w:rsid w:val="0061573A"/>
    <w:rsid w:val="00615B5C"/>
    <w:rsid w:val="00617429"/>
    <w:rsid w:val="00620417"/>
    <w:rsid w:val="0062156F"/>
    <w:rsid w:val="00621D99"/>
    <w:rsid w:val="00623B11"/>
    <w:rsid w:val="006251FE"/>
    <w:rsid w:val="006258BD"/>
    <w:rsid w:val="00625987"/>
    <w:rsid w:val="00625D8E"/>
    <w:rsid w:val="00625E24"/>
    <w:rsid w:val="00625E52"/>
    <w:rsid w:val="0062744B"/>
    <w:rsid w:val="00627F55"/>
    <w:rsid w:val="006303D1"/>
    <w:rsid w:val="00630859"/>
    <w:rsid w:val="00630A26"/>
    <w:rsid w:val="00632F5E"/>
    <w:rsid w:val="00634874"/>
    <w:rsid w:val="00635575"/>
    <w:rsid w:val="006361FF"/>
    <w:rsid w:val="00636C2A"/>
    <w:rsid w:val="00636D45"/>
    <w:rsid w:val="006371B7"/>
    <w:rsid w:val="00640091"/>
    <w:rsid w:val="0064099D"/>
    <w:rsid w:val="00641187"/>
    <w:rsid w:val="006412E7"/>
    <w:rsid w:val="00641B37"/>
    <w:rsid w:val="0064338F"/>
    <w:rsid w:val="0064386B"/>
    <w:rsid w:val="00643AAD"/>
    <w:rsid w:val="00643F51"/>
    <w:rsid w:val="00645F0B"/>
    <w:rsid w:val="00646BBB"/>
    <w:rsid w:val="00647693"/>
    <w:rsid w:val="00650576"/>
    <w:rsid w:val="00650EB6"/>
    <w:rsid w:val="00652197"/>
    <w:rsid w:val="00652297"/>
    <w:rsid w:val="00652E87"/>
    <w:rsid w:val="0065351E"/>
    <w:rsid w:val="00653522"/>
    <w:rsid w:val="00654BBD"/>
    <w:rsid w:val="00655D56"/>
    <w:rsid w:val="0065655B"/>
    <w:rsid w:val="00656ECA"/>
    <w:rsid w:val="006600FD"/>
    <w:rsid w:val="006615C2"/>
    <w:rsid w:val="00661FAD"/>
    <w:rsid w:val="00662ACF"/>
    <w:rsid w:val="00664DD8"/>
    <w:rsid w:val="00665019"/>
    <w:rsid w:val="00665CC3"/>
    <w:rsid w:val="00667C35"/>
    <w:rsid w:val="00670384"/>
    <w:rsid w:val="00670738"/>
    <w:rsid w:val="00671D7C"/>
    <w:rsid w:val="00672E21"/>
    <w:rsid w:val="00672E58"/>
    <w:rsid w:val="0067359C"/>
    <w:rsid w:val="00673D74"/>
    <w:rsid w:val="00673E18"/>
    <w:rsid w:val="006753F3"/>
    <w:rsid w:val="006759A7"/>
    <w:rsid w:val="00676509"/>
    <w:rsid w:val="006771AB"/>
    <w:rsid w:val="00680F5A"/>
    <w:rsid w:val="00682F34"/>
    <w:rsid w:val="00682FE0"/>
    <w:rsid w:val="006837CE"/>
    <w:rsid w:val="00684504"/>
    <w:rsid w:val="00685B65"/>
    <w:rsid w:val="006868B9"/>
    <w:rsid w:val="00687CD8"/>
    <w:rsid w:val="006904AE"/>
    <w:rsid w:val="00691302"/>
    <w:rsid w:val="00691486"/>
    <w:rsid w:val="00691A7C"/>
    <w:rsid w:val="00692022"/>
    <w:rsid w:val="00692D14"/>
    <w:rsid w:val="00694DE8"/>
    <w:rsid w:val="00695034"/>
    <w:rsid w:val="006972FB"/>
    <w:rsid w:val="00697AD0"/>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79C5"/>
    <w:rsid w:val="006B090C"/>
    <w:rsid w:val="006B0F9B"/>
    <w:rsid w:val="006B1FBD"/>
    <w:rsid w:val="006B4EDC"/>
    <w:rsid w:val="006B4F8F"/>
    <w:rsid w:val="006B7C73"/>
    <w:rsid w:val="006C01EA"/>
    <w:rsid w:val="006C10B8"/>
    <w:rsid w:val="006C1146"/>
    <w:rsid w:val="006C1ABF"/>
    <w:rsid w:val="006C1E0D"/>
    <w:rsid w:val="006C2E7C"/>
    <w:rsid w:val="006C39BF"/>
    <w:rsid w:val="006C41D0"/>
    <w:rsid w:val="006C47A8"/>
    <w:rsid w:val="006C566A"/>
    <w:rsid w:val="006C63B1"/>
    <w:rsid w:val="006C6B4C"/>
    <w:rsid w:val="006C700E"/>
    <w:rsid w:val="006D01E1"/>
    <w:rsid w:val="006D1F74"/>
    <w:rsid w:val="006D3657"/>
    <w:rsid w:val="006D37EB"/>
    <w:rsid w:val="006D4530"/>
    <w:rsid w:val="006D49D3"/>
    <w:rsid w:val="006D4F0A"/>
    <w:rsid w:val="006D5892"/>
    <w:rsid w:val="006D647D"/>
    <w:rsid w:val="006D76FF"/>
    <w:rsid w:val="006E0314"/>
    <w:rsid w:val="006E0F0D"/>
    <w:rsid w:val="006E2714"/>
    <w:rsid w:val="006E3A34"/>
    <w:rsid w:val="006E4116"/>
    <w:rsid w:val="006E44BE"/>
    <w:rsid w:val="006E52F6"/>
    <w:rsid w:val="006E7767"/>
    <w:rsid w:val="006E788B"/>
    <w:rsid w:val="006F39D8"/>
    <w:rsid w:val="006F3C12"/>
    <w:rsid w:val="006F61B1"/>
    <w:rsid w:val="006F6339"/>
    <w:rsid w:val="006F7610"/>
    <w:rsid w:val="00700CC3"/>
    <w:rsid w:val="0070125B"/>
    <w:rsid w:val="00702895"/>
    <w:rsid w:val="00704813"/>
    <w:rsid w:val="00705002"/>
    <w:rsid w:val="0070520E"/>
    <w:rsid w:val="007054E6"/>
    <w:rsid w:val="00706DEC"/>
    <w:rsid w:val="007122E8"/>
    <w:rsid w:val="007132AB"/>
    <w:rsid w:val="007134F7"/>
    <w:rsid w:val="0071437A"/>
    <w:rsid w:val="0071439C"/>
    <w:rsid w:val="007172E8"/>
    <w:rsid w:val="00717EEB"/>
    <w:rsid w:val="007203BA"/>
    <w:rsid w:val="00722948"/>
    <w:rsid w:val="00722F56"/>
    <w:rsid w:val="00723F80"/>
    <w:rsid w:val="00725AA6"/>
    <w:rsid w:val="00725AAF"/>
    <w:rsid w:val="00727B9A"/>
    <w:rsid w:val="00727D92"/>
    <w:rsid w:val="007319F9"/>
    <w:rsid w:val="00731B29"/>
    <w:rsid w:val="007327EA"/>
    <w:rsid w:val="0073302E"/>
    <w:rsid w:val="007330BC"/>
    <w:rsid w:val="00734900"/>
    <w:rsid w:val="00734C99"/>
    <w:rsid w:val="007353BF"/>
    <w:rsid w:val="00735D79"/>
    <w:rsid w:val="00736B6D"/>
    <w:rsid w:val="0073789E"/>
    <w:rsid w:val="0074043C"/>
    <w:rsid w:val="007419A9"/>
    <w:rsid w:val="007419F1"/>
    <w:rsid w:val="00741EDB"/>
    <w:rsid w:val="00743B3F"/>
    <w:rsid w:val="007454E0"/>
    <w:rsid w:val="00746130"/>
    <w:rsid w:val="00746E5E"/>
    <w:rsid w:val="007476F9"/>
    <w:rsid w:val="00750687"/>
    <w:rsid w:val="00750A22"/>
    <w:rsid w:val="00750C4F"/>
    <w:rsid w:val="00751093"/>
    <w:rsid w:val="00752561"/>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AA6"/>
    <w:rsid w:val="00760FCB"/>
    <w:rsid w:val="00761232"/>
    <w:rsid w:val="007612C6"/>
    <w:rsid w:val="007612EC"/>
    <w:rsid w:val="00761962"/>
    <w:rsid w:val="0076309A"/>
    <w:rsid w:val="00764768"/>
    <w:rsid w:val="00764781"/>
    <w:rsid w:val="00764EC4"/>
    <w:rsid w:val="007663ED"/>
    <w:rsid w:val="00766585"/>
    <w:rsid w:val="007665AF"/>
    <w:rsid w:val="007711D9"/>
    <w:rsid w:val="00771DA0"/>
    <w:rsid w:val="00771FC9"/>
    <w:rsid w:val="00773AA4"/>
    <w:rsid w:val="00773F49"/>
    <w:rsid w:val="00773F9D"/>
    <w:rsid w:val="00775AC8"/>
    <w:rsid w:val="00775FA2"/>
    <w:rsid w:val="00776B79"/>
    <w:rsid w:val="007770F8"/>
    <w:rsid w:val="007771F1"/>
    <w:rsid w:val="00777596"/>
    <w:rsid w:val="00777960"/>
    <w:rsid w:val="00780382"/>
    <w:rsid w:val="00780650"/>
    <w:rsid w:val="007828C0"/>
    <w:rsid w:val="00782B17"/>
    <w:rsid w:val="00785EC4"/>
    <w:rsid w:val="007860B6"/>
    <w:rsid w:val="00787014"/>
    <w:rsid w:val="007906EB"/>
    <w:rsid w:val="00791188"/>
    <w:rsid w:val="007920FE"/>
    <w:rsid w:val="0079410B"/>
    <w:rsid w:val="0079577C"/>
    <w:rsid w:val="00797CEE"/>
    <w:rsid w:val="007A01FE"/>
    <w:rsid w:val="007A03B7"/>
    <w:rsid w:val="007A0BE8"/>
    <w:rsid w:val="007A140D"/>
    <w:rsid w:val="007A286E"/>
    <w:rsid w:val="007A2907"/>
    <w:rsid w:val="007A3140"/>
    <w:rsid w:val="007A3D9B"/>
    <w:rsid w:val="007A3FC1"/>
    <w:rsid w:val="007A5A29"/>
    <w:rsid w:val="007A68ED"/>
    <w:rsid w:val="007A7B07"/>
    <w:rsid w:val="007B008C"/>
    <w:rsid w:val="007B0489"/>
    <w:rsid w:val="007B0839"/>
    <w:rsid w:val="007B0B7F"/>
    <w:rsid w:val="007B138C"/>
    <w:rsid w:val="007B2DAD"/>
    <w:rsid w:val="007B3783"/>
    <w:rsid w:val="007B3D50"/>
    <w:rsid w:val="007B42BF"/>
    <w:rsid w:val="007B4D35"/>
    <w:rsid w:val="007B53D1"/>
    <w:rsid w:val="007B57CE"/>
    <w:rsid w:val="007B6820"/>
    <w:rsid w:val="007B693C"/>
    <w:rsid w:val="007B6CDD"/>
    <w:rsid w:val="007C037E"/>
    <w:rsid w:val="007C0B45"/>
    <w:rsid w:val="007C1739"/>
    <w:rsid w:val="007C1FA0"/>
    <w:rsid w:val="007C4006"/>
    <w:rsid w:val="007C4268"/>
    <w:rsid w:val="007C5BD8"/>
    <w:rsid w:val="007C635F"/>
    <w:rsid w:val="007C7850"/>
    <w:rsid w:val="007D092D"/>
    <w:rsid w:val="007D192B"/>
    <w:rsid w:val="007D2035"/>
    <w:rsid w:val="007D22B4"/>
    <w:rsid w:val="007D28B7"/>
    <w:rsid w:val="007D3491"/>
    <w:rsid w:val="007D354C"/>
    <w:rsid w:val="007D3D6D"/>
    <w:rsid w:val="007D4363"/>
    <w:rsid w:val="007D48DC"/>
    <w:rsid w:val="007D5474"/>
    <w:rsid w:val="007E04D4"/>
    <w:rsid w:val="007E13CA"/>
    <w:rsid w:val="007E2A2A"/>
    <w:rsid w:val="007E38FB"/>
    <w:rsid w:val="007E45E5"/>
    <w:rsid w:val="007E5321"/>
    <w:rsid w:val="007F0C16"/>
    <w:rsid w:val="007F0EE6"/>
    <w:rsid w:val="007F1297"/>
    <w:rsid w:val="007F129C"/>
    <w:rsid w:val="007F2F8B"/>
    <w:rsid w:val="007F5746"/>
    <w:rsid w:val="007F6679"/>
    <w:rsid w:val="007F67C7"/>
    <w:rsid w:val="007F6CEF"/>
    <w:rsid w:val="007F6E37"/>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F0"/>
    <w:rsid w:val="00813F4B"/>
    <w:rsid w:val="00814B4D"/>
    <w:rsid w:val="0081613E"/>
    <w:rsid w:val="00817047"/>
    <w:rsid w:val="008177A2"/>
    <w:rsid w:val="0082176F"/>
    <w:rsid w:val="0082199C"/>
    <w:rsid w:val="008237C2"/>
    <w:rsid w:val="00825A5E"/>
    <w:rsid w:val="00826985"/>
    <w:rsid w:val="00826D88"/>
    <w:rsid w:val="00830620"/>
    <w:rsid w:val="00830DDC"/>
    <w:rsid w:val="00831282"/>
    <w:rsid w:val="0083230A"/>
    <w:rsid w:val="008323B2"/>
    <w:rsid w:val="008325AC"/>
    <w:rsid w:val="008331D2"/>
    <w:rsid w:val="008341B6"/>
    <w:rsid w:val="00834E25"/>
    <w:rsid w:val="00834F37"/>
    <w:rsid w:val="008361E1"/>
    <w:rsid w:val="00836211"/>
    <w:rsid w:val="00836389"/>
    <w:rsid w:val="00840591"/>
    <w:rsid w:val="0084111C"/>
    <w:rsid w:val="0084226D"/>
    <w:rsid w:val="00843074"/>
    <w:rsid w:val="00844137"/>
    <w:rsid w:val="008447E6"/>
    <w:rsid w:val="00845548"/>
    <w:rsid w:val="00845CF8"/>
    <w:rsid w:val="0084686E"/>
    <w:rsid w:val="00846A75"/>
    <w:rsid w:val="00847933"/>
    <w:rsid w:val="0085019F"/>
    <w:rsid w:val="008502A9"/>
    <w:rsid w:val="0085070C"/>
    <w:rsid w:val="0085207D"/>
    <w:rsid w:val="00852796"/>
    <w:rsid w:val="0085341F"/>
    <w:rsid w:val="00853875"/>
    <w:rsid w:val="0085389A"/>
    <w:rsid w:val="00854111"/>
    <w:rsid w:val="00854489"/>
    <w:rsid w:val="008551A7"/>
    <w:rsid w:val="00855992"/>
    <w:rsid w:val="0085754C"/>
    <w:rsid w:val="00860039"/>
    <w:rsid w:val="008606B9"/>
    <w:rsid w:val="00861752"/>
    <w:rsid w:val="00861B69"/>
    <w:rsid w:val="00861D56"/>
    <w:rsid w:val="00862143"/>
    <w:rsid w:val="00863767"/>
    <w:rsid w:val="00863A24"/>
    <w:rsid w:val="00863A71"/>
    <w:rsid w:val="00865910"/>
    <w:rsid w:val="00865EE9"/>
    <w:rsid w:val="008660D4"/>
    <w:rsid w:val="00870E1D"/>
    <w:rsid w:val="00871DA2"/>
    <w:rsid w:val="00871FCF"/>
    <w:rsid w:val="008721B8"/>
    <w:rsid w:val="008750A5"/>
    <w:rsid w:val="00876030"/>
    <w:rsid w:val="00876C4C"/>
    <w:rsid w:val="008779D5"/>
    <w:rsid w:val="0088037D"/>
    <w:rsid w:val="008809E1"/>
    <w:rsid w:val="00881023"/>
    <w:rsid w:val="008810FA"/>
    <w:rsid w:val="00881396"/>
    <w:rsid w:val="00881459"/>
    <w:rsid w:val="0088199F"/>
    <w:rsid w:val="00883710"/>
    <w:rsid w:val="00883783"/>
    <w:rsid w:val="008837F3"/>
    <w:rsid w:val="008839F8"/>
    <w:rsid w:val="008902E6"/>
    <w:rsid w:val="00890C73"/>
    <w:rsid w:val="00891051"/>
    <w:rsid w:val="00892432"/>
    <w:rsid w:val="00892829"/>
    <w:rsid w:val="008940AB"/>
    <w:rsid w:val="00894285"/>
    <w:rsid w:val="0089522A"/>
    <w:rsid w:val="008966DB"/>
    <w:rsid w:val="008975C2"/>
    <w:rsid w:val="008A13A1"/>
    <w:rsid w:val="008A5244"/>
    <w:rsid w:val="008A79C9"/>
    <w:rsid w:val="008B2F8A"/>
    <w:rsid w:val="008B3B43"/>
    <w:rsid w:val="008B3BA6"/>
    <w:rsid w:val="008B3F7B"/>
    <w:rsid w:val="008B5064"/>
    <w:rsid w:val="008B5523"/>
    <w:rsid w:val="008C20BC"/>
    <w:rsid w:val="008C2AE4"/>
    <w:rsid w:val="008C2F6D"/>
    <w:rsid w:val="008C343B"/>
    <w:rsid w:val="008C4702"/>
    <w:rsid w:val="008C50F9"/>
    <w:rsid w:val="008C5969"/>
    <w:rsid w:val="008C5B93"/>
    <w:rsid w:val="008C6A16"/>
    <w:rsid w:val="008C7464"/>
    <w:rsid w:val="008C753C"/>
    <w:rsid w:val="008C793E"/>
    <w:rsid w:val="008D1187"/>
    <w:rsid w:val="008D13DC"/>
    <w:rsid w:val="008D19E6"/>
    <w:rsid w:val="008D24DC"/>
    <w:rsid w:val="008D2934"/>
    <w:rsid w:val="008D34C1"/>
    <w:rsid w:val="008D3F16"/>
    <w:rsid w:val="008D3F8B"/>
    <w:rsid w:val="008D4BE6"/>
    <w:rsid w:val="008D4C22"/>
    <w:rsid w:val="008D62FA"/>
    <w:rsid w:val="008D64C9"/>
    <w:rsid w:val="008D7F55"/>
    <w:rsid w:val="008E1249"/>
    <w:rsid w:val="008E14DB"/>
    <w:rsid w:val="008E1B0F"/>
    <w:rsid w:val="008E21D7"/>
    <w:rsid w:val="008E2600"/>
    <w:rsid w:val="008E29B9"/>
    <w:rsid w:val="008E30ED"/>
    <w:rsid w:val="008E3202"/>
    <w:rsid w:val="008E517E"/>
    <w:rsid w:val="008E6030"/>
    <w:rsid w:val="008E6274"/>
    <w:rsid w:val="008F1E06"/>
    <w:rsid w:val="008F3180"/>
    <w:rsid w:val="008F35C0"/>
    <w:rsid w:val="008F3634"/>
    <w:rsid w:val="008F421E"/>
    <w:rsid w:val="008F422C"/>
    <w:rsid w:val="008F50F8"/>
    <w:rsid w:val="008F56BC"/>
    <w:rsid w:val="008F6B3C"/>
    <w:rsid w:val="008F78B6"/>
    <w:rsid w:val="0090123D"/>
    <w:rsid w:val="009017D7"/>
    <w:rsid w:val="00903D2C"/>
    <w:rsid w:val="00905BB2"/>
    <w:rsid w:val="00906672"/>
    <w:rsid w:val="00906989"/>
    <w:rsid w:val="00907DB1"/>
    <w:rsid w:val="009102E2"/>
    <w:rsid w:val="00911E33"/>
    <w:rsid w:val="009133D1"/>
    <w:rsid w:val="00914FFD"/>
    <w:rsid w:val="00915114"/>
    <w:rsid w:val="009151C0"/>
    <w:rsid w:val="0092126E"/>
    <w:rsid w:val="009213AB"/>
    <w:rsid w:val="00922B2F"/>
    <w:rsid w:val="0092449D"/>
    <w:rsid w:val="0092482D"/>
    <w:rsid w:val="0092551E"/>
    <w:rsid w:val="00925949"/>
    <w:rsid w:val="00925F5B"/>
    <w:rsid w:val="00925F94"/>
    <w:rsid w:val="0092713F"/>
    <w:rsid w:val="009304BF"/>
    <w:rsid w:val="009307D7"/>
    <w:rsid w:val="00930E42"/>
    <w:rsid w:val="00930E5E"/>
    <w:rsid w:val="009311BA"/>
    <w:rsid w:val="00931DE6"/>
    <w:rsid w:val="00932444"/>
    <w:rsid w:val="009330ED"/>
    <w:rsid w:val="009342E6"/>
    <w:rsid w:val="00934393"/>
    <w:rsid w:val="00934ACE"/>
    <w:rsid w:val="00935177"/>
    <w:rsid w:val="00936CAE"/>
    <w:rsid w:val="0094128B"/>
    <w:rsid w:val="009433FD"/>
    <w:rsid w:val="00943C34"/>
    <w:rsid w:val="00945993"/>
    <w:rsid w:val="0094628D"/>
    <w:rsid w:val="00946312"/>
    <w:rsid w:val="009469F4"/>
    <w:rsid w:val="00946C49"/>
    <w:rsid w:val="00947944"/>
    <w:rsid w:val="0095142E"/>
    <w:rsid w:val="0095370A"/>
    <w:rsid w:val="0095469D"/>
    <w:rsid w:val="00955158"/>
    <w:rsid w:val="009552CA"/>
    <w:rsid w:val="00955361"/>
    <w:rsid w:val="009569EF"/>
    <w:rsid w:val="00957085"/>
    <w:rsid w:val="009607D9"/>
    <w:rsid w:val="00960F99"/>
    <w:rsid w:val="00963AC6"/>
    <w:rsid w:val="00963C6E"/>
    <w:rsid w:val="0096492D"/>
    <w:rsid w:val="00964BBB"/>
    <w:rsid w:val="00964C87"/>
    <w:rsid w:val="00965030"/>
    <w:rsid w:val="00966312"/>
    <w:rsid w:val="0096631A"/>
    <w:rsid w:val="009667C4"/>
    <w:rsid w:val="00966ADA"/>
    <w:rsid w:val="00966BB1"/>
    <w:rsid w:val="00967CFF"/>
    <w:rsid w:val="009714C8"/>
    <w:rsid w:val="00971806"/>
    <w:rsid w:val="00971B8A"/>
    <w:rsid w:val="00972AF4"/>
    <w:rsid w:val="009731D8"/>
    <w:rsid w:val="00974727"/>
    <w:rsid w:val="0097530B"/>
    <w:rsid w:val="009756EF"/>
    <w:rsid w:val="00977070"/>
    <w:rsid w:val="009771ED"/>
    <w:rsid w:val="009772C9"/>
    <w:rsid w:val="009802A0"/>
    <w:rsid w:val="0098207C"/>
    <w:rsid w:val="009829EE"/>
    <w:rsid w:val="009834B5"/>
    <w:rsid w:val="0098415C"/>
    <w:rsid w:val="00984606"/>
    <w:rsid w:val="00984A76"/>
    <w:rsid w:val="009852F5"/>
    <w:rsid w:val="00985BDE"/>
    <w:rsid w:val="00985D25"/>
    <w:rsid w:val="00986433"/>
    <w:rsid w:val="00986D22"/>
    <w:rsid w:val="009912B7"/>
    <w:rsid w:val="009924CF"/>
    <w:rsid w:val="00992659"/>
    <w:rsid w:val="009928DD"/>
    <w:rsid w:val="00993015"/>
    <w:rsid w:val="009933D1"/>
    <w:rsid w:val="0099431C"/>
    <w:rsid w:val="00994470"/>
    <w:rsid w:val="009948E5"/>
    <w:rsid w:val="00994D6A"/>
    <w:rsid w:val="00994E9B"/>
    <w:rsid w:val="009A0033"/>
    <w:rsid w:val="009A13B4"/>
    <w:rsid w:val="009A19DB"/>
    <w:rsid w:val="009A1E47"/>
    <w:rsid w:val="009A2150"/>
    <w:rsid w:val="009A2D50"/>
    <w:rsid w:val="009A3C28"/>
    <w:rsid w:val="009A49B5"/>
    <w:rsid w:val="009A5EFC"/>
    <w:rsid w:val="009A5F3B"/>
    <w:rsid w:val="009B07F0"/>
    <w:rsid w:val="009B0BEA"/>
    <w:rsid w:val="009B1228"/>
    <w:rsid w:val="009B1FAA"/>
    <w:rsid w:val="009B21B5"/>
    <w:rsid w:val="009B3DBB"/>
    <w:rsid w:val="009B5438"/>
    <w:rsid w:val="009B5502"/>
    <w:rsid w:val="009B7A42"/>
    <w:rsid w:val="009B7CDD"/>
    <w:rsid w:val="009C08E7"/>
    <w:rsid w:val="009C0B87"/>
    <w:rsid w:val="009C1BB4"/>
    <w:rsid w:val="009C20B6"/>
    <w:rsid w:val="009C292C"/>
    <w:rsid w:val="009C2DB2"/>
    <w:rsid w:val="009C325F"/>
    <w:rsid w:val="009C4A4F"/>
    <w:rsid w:val="009C524E"/>
    <w:rsid w:val="009C62B6"/>
    <w:rsid w:val="009C6AC2"/>
    <w:rsid w:val="009C7A68"/>
    <w:rsid w:val="009C7BFC"/>
    <w:rsid w:val="009D01A4"/>
    <w:rsid w:val="009D07BA"/>
    <w:rsid w:val="009D0A48"/>
    <w:rsid w:val="009D1051"/>
    <w:rsid w:val="009D1E3E"/>
    <w:rsid w:val="009D2454"/>
    <w:rsid w:val="009D263A"/>
    <w:rsid w:val="009D2DBE"/>
    <w:rsid w:val="009D46F1"/>
    <w:rsid w:val="009D4A7C"/>
    <w:rsid w:val="009D4A88"/>
    <w:rsid w:val="009D5B80"/>
    <w:rsid w:val="009D5DD1"/>
    <w:rsid w:val="009D68F5"/>
    <w:rsid w:val="009D6E90"/>
    <w:rsid w:val="009D7988"/>
    <w:rsid w:val="009D7AE5"/>
    <w:rsid w:val="009E04F1"/>
    <w:rsid w:val="009E1A7E"/>
    <w:rsid w:val="009E251F"/>
    <w:rsid w:val="009E385D"/>
    <w:rsid w:val="009E57DA"/>
    <w:rsid w:val="009E5993"/>
    <w:rsid w:val="009E671B"/>
    <w:rsid w:val="009E67A7"/>
    <w:rsid w:val="009E78AA"/>
    <w:rsid w:val="009F0292"/>
    <w:rsid w:val="009F1795"/>
    <w:rsid w:val="009F19F8"/>
    <w:rsid w:val="009F3923"/>
    <w:rsid w:val="009F4958"/>
    <w:rsid w:val="009F6873"/>
    <w:rsid w:val="009F7930"/>
    <w:rsid w:val="00A00119"/>
    <w:rsid w:val="00A0065E"/>
    <w:rsid w:val="00A03A9E"/>
    <w:rsid w:val="00A03D2C"/>
    <w:rsid w:val="00A03E8B"/>
    <w:rsid w:val="00A04AAF"/>
    <w:rsid w:val="00A0555C"/>
    <w:rsid w:val="00A05A7D"/>
    <w:rsid w:val="00A06E5B"/>
    <w:rsid w:val="00A07150"/>
    <w:rsid w:val="00A0721C"/>
    <w:rsid w:val="00A107FA"/>
    <w:rsid w:val="00A1289D"/>
    <w:rsid w:val="00A13F0F"/>
    <w:rsid w:val="00A14542"/>
    <w:rsid w:val="00A1573C"/>
    <w:rsid w:val="00A204F4"/>
    <w:rsid w:val="00A213CA"/>
    <w:rsid w:val="00A22BA9"/>
    <w:rsid w:val="00A23E9F"/>
    <w:rsid w:val="00A26F75"/>
    <w:rsid w:val="00A27B13"/>
    <w:rsid w:val="00A3055C"/>
    <w:rsid w:val="00A30624"/>
    <w:rsid w:val="00A31D8E"/>
    <w:rsid w:val="00A31F0D"/>
    <w:rsid w:val="00A32072"/>
    <w:rsid w:val="00A334A7"/>
    <w:rsid w:val="00A33919"/>
    <w:rsid w:val="00A3485F"/>
    <w:rsid w:val="00A34FBD"/>
    <w:rsid w:val="00A362B8"/>
    <w:rsid w:val="00A36389"/>
    <w:rsid w:val="00A36B96"/>
    <w:rsid w:val="00A37A8C"/>
    <w:rsid w:val="00A4007B"/>
    <w:rsid w:val="00A40C69"/>
    <w:rsid w:val="00A42713"/>
    <w:rsid w:val="00A44774"/>
    <w:rsid w:val="00A449AC"/>
    <w:rsid w:val="00A47248"/>
    <w:rsid w:val="00A47FCF"/>
    <w:rsid w:val="00A50132"/>
    <w:rsid w:val="00A51143"/>
    <w:rsid w:val="00A5400A"/>
    <w:rsid w:val="00A5480B"/>
    <w:rsid w:val="00A5791E"/>
    <w:rsid w:val="00A61551"/>
    <w:rsid w:val="00A61D95"/>
    <w:rsid w:val="00A641D3"/>
    <w:rsid w:val="00A64E34"/>
    <w:rsid w:val="00A70C81"/>
    <w:rsid w:val="00A7282C"/>
    <w:rsid w:val="00A73334"/>
    <w:rsid w:val="00A733BF"/>
    <w:rsid w:val="00A741B9"/>
    <w:rsid w:val="00A74C51"/>
    <w:rsid w:val="00A77372"/>
    <w:rsid w:val="00A80397"/>
    <w:rsid w:val="00A81F6C"/>
    <w:rsid w:val="00A82597"/>
    <w:rsid w:val="00A82901"/>
    <w:rsid w:val="00A82F01"/>
    <w:rsid w:val="00A8339B"/>
    <w:rsid w:val="00A8620B"/>
    <w:rsid w:val="00A8757F"/>
    <w:rsid w:val="00A90E6D"/>
    <w:rsid w:val="00A9157A"/>
    <w:rsid w:val="00A919E9"/>
    <w:rsid w:val="00A93EDB"/>
    <w:rsid w:val="00A94C10"/>
    <w:rsid w:val="00A95102"/>
    <w:rsid w:val="00A957C9"/>
    <w:rsid w:val="00A95F01"/>
    <w:rsid w:val="00A971D1"/>
    <w:rsid w:val="00A97226"/>
    <w:rsid w:val="00A9737C"/>
    <w:rsid w:val="00AA12AB"/>
    <w:rsid w:val="00AA1505"/>
    <w:rsid w:val="00AA1CAE"/>
    <w:rsid w:val="00AA22E2"/>
    <w:rsid w:val="00AA32F8"/>
    <w:rsid w:val="00AA3768"/>
    <w:rsid w:val="00AA39CC"/>
    <w:rsid w:val="00AA41A0"/>
    <w:rsid w:val="00AA543E"/>
    <w:rsid w:val="00AA5E54"/>
    <w:rsid w:val="00AA6B9E"/>
    <w:rsid w:val="00AA6EB5"/>
    <w:rsid w:val="00AB3458"/>
    <w:rsid w:val="00AB4AEE"/>
    <w:rsid w:val="00AB4B2D"/>
    <w:rsid w:val="00AB5B93"/>
    <w:rsid w:val="00AB66DF"/>
    <w:rsid w:val="00AB6B19"/>
    <w:rsid w:val="00AB7056"/>
    <w:rsid w:val="00AB7F9F"/>
    <w:rsid w:val="00AC1D96"/>
    <w:rsid w:val="00AC1F31"/>
    <w:rsid w:val="00AC3BD9"/>
    <w:rsid w:val="00AC55EB"/>
    <w:rsid w:val="00AC57D0"/>
    <w:rsid w:val="00AC6605"/>
    <w:rsid w:val="00AC7583"/>
    <w:rsid w:val="00AC783B"/>
    <w:rsid w:val="00AD0A42"/>
    <w:rsid w:val="00AD10CE"/>
    <w:rsid w:val="00AD17F8"/>
    <w:rsid w:val="00AD255F"/>
    <w:rsid w:val="00AD2EDF"/>
    <w:rsid w:val="00AD4720"/>
    <w:rsid w:val="00AD4A4E"/>
    <w:rsid w:val="00AD5447"/>
    <w:rsid w:val="00AD656C"/>
    <w:rsid w:val="00AE07B9"/>
    <w:rsid w:val="00AE2304"/>
    <w:rsid w:val="00AE241B"/>
    <w:rsid w:val="00AE2D4D"/>
    <w:rsid w:val="00AE43EB"/>
    <w:rsid w:val="00AE4A7A"/>
    <w:rsid w:val="00AF0472"/>
    <w:rsid w:val="00AF0863"/>
    <w:rsid w:val="00AF103C"/>
    <w:rsid w:val="00AF226A"/>
    <w:rsid w:val="00AF4BE7"/>
    <w:rsid w:val="00AF78DB"/>
    <w:rsid w:val="00B00A2A"/>
    <w:rsid w:val="00B00E22"/>
    <w:rsid w:val="00B00F4C"/>
    <w:rsid w:val="00B015EE"/>
    <w:rsid w:val="00B01B27"/>
    <w:rsid w:val="00B0235E"/>
    <w:rsid w:val="00B037E3"/>
    <w:rsid w:val="00B040AC"/>
    <w:rsid w:val="00B05758"/>
    <w:rsid w:val="00B0585F"/>
    <w:rsid w:val="00B05E8E"/>
    <w:rsid w:val="00B06122"/>
    <w:rsid w:val="00B07323"/>
    <w:rsid w:val="00B07701"/>
    <w:rsid w:val="00B07B94"/>
    <w:rsid w:val="00B10AB6"/>
    <w:rsid w:val="00B10FF1"/>
    <w:rsid w:val="00B127C8"/>
    <w:rsid w:val="00B13769"/>
    <w:rsid w:val="00B1393A"/>
    <w:rsid w:val="00B153E5"/>
    <w:rsid w:val="00B16600"/>
    <w:rsid w:val="00B177EC"/>
    <w:rsid w:val="00B224F9"/>
    <w:rsid w:val="00B22F29"/>
    <w:rsid w:val="00B247AA"/>
    <w:rsid w:val="00B276DA"/>
    <w:rsid w:val="00B27A76"/>
    <w:rsid w:val="00B27DEC"/>
    <w:rsid w:val="00B29BBB"/>
    <w:rsid w:val="00B30348"/>
    <w:rsid w:val="00B315AD"/>
    <w:rsid w:val="00B330AE"/>
    <w:rsid w:val="00B3364C"/>
    <w:rsid w:val="00B33C79"/>
    <w:rsid w:val="00B33CA3"/>
    <w:rsid w:val="00B34599"/>
    <w:rsid w:val="00B36B73"/>
    <w:rsid w:val="00B4070C"/>
    <w:rsid w:val="00B41597"/>
    <w:rsid w:val="00B42E72"/>
    <w:rsid w:val="00B43CE1"/>
    <w:rsid w:val="00B43DEC"/>
    <w:rsid w:val="00B43F39"/>
    <w:rsid w:val="00B45BEE"/>
    <w:rsid w:val="00B47334"/>
    <w:rsid w:val="00B47A21"/>
    <w:rsid w:val="00B47D25"/>
    <w:rsid w:val="00B519E1"/>
    <w:rsid w:val="00B5279A"/>
    <w:rsid w:val="00B5323A"/>
    <w:rsid w:val="00B53AA3"/>
    <w:rsid w:val="00B56B46"/>
    <w:rsid w:val="00B56D41"/>
    <w:rsid w:val="00B57375"/>
    <w:rsid w:val="00B57E22"/>
    <w:rsid w:val="00B60765"/>
    <w:rsid w:val="00B614D7"/>
    <w:rsid w:val="00B61754"/>
    <w:rsid w:val="00B628BF"/>
    <w:rsid w:val="00B629E6"/>
    <w:rsid w:val="00B631B0"/>
    <w:rsid w:val="00B64A9D"/>
    <w:rsid w:val="00B657B1"/>
    <w:rsid w:val="00B65F1C"/>
    <w:rsid w:val="00B664EF"/>
    <w:rsid w:val="00B70E7E"/>
    <w:rsid w:val="00B7292F"/>
    <w:rsid w:val="00B735BA"/>
    <w:rsid w:val="00B7388D"/>
    <w:rsid w:val="00B738B0"/>
    <w:rsid w:val="00B741D0"/>
    <w:rsid w:val="00B74F8E"/>
    <w:rsid w:val="00B7503B"/>
    <w:rsid w:val="00B76951"/>
    <w:rsid w:val="00B77F09"/>
    <w:rsid w:val="00B80406"/>
    <w:rsid w:val="00B80521"/>
    <w:rsid w:val="00B80F5B"/>
    <w:rsid w:val="00B81CA4"/>
    <w:rsid w:val="00B8308C"/>
    <w:rsid w:val="00B8351A"/>
    <w:rsid w:val="00B83554"/>
    <w:rsid w:val="00B85287"/>
    <w:rsid w:val="00B85A76"/>
    <w:rsid w:val="00B87772"/>
    <w:rsid w:val="00B87DEF"/>
    <w:rsid w:val="00B90616"/>
    <w:rsid w:val="00B91314"/>
    <w:rsid w:val="00B91F37"/>
    <w:rsid w:val="00B920A1"/>
    <w:rsid w:val="00B92D45"/>
    <w:rsid w:val="00B9327B"/>
    <w:rsid w:val="00B93EB2"/>
    <w:rsid w:val="00B9516E"/>
    <w:rsid w:val="00B954F8"/>
    <w:rsid w:val="00B95590"/>
    <w:rsid w:val="00B962BB"/>
    <w:rsid w:val="00B96E0F"/>
    <w:rsid w:val="00BA0EF3"/>
    <w:rsid w:val="00BA2282"/>
    <w:rsid w:val="00BA2633"/>
    <w:rsid w:val="00BA38C9"/>
    <w:rsid w:val="00BA47C3"/>
    <w:rsid w:val="00BA5928"/>
    <w:rsid w:val="00BA5D62"/>
    <w:rsid w:val="00BA6719"/>
    <w:rsid w:val="00BA72E0"/>
    <w:rsid w:val="00BB3C52"/>
    <w:rsid w:val="00BB46C4"/>
    <w:rsid w:val="00BB4710"/>
    <w:rsid w:val="00BB4D47"/>
    <w:rsid w:val="00BB59CD"/>
    <w:rsid w:val="00BB5A9F"/>
    <w:rsid w:val="00BB600C"/>
    <w:rsid w:val="00BB6BB7"/>
    <w:rsid w:val="00BB7DFC"/>
    <w:rsid w:val="00BB7F65"/>
    <w:rsid w:val="00BC022A"/>
    <w:rsid w:val="00BC0E86"/>
    <w:rsid w:val="00BC14BC"/>
    <w:rsid w:val="00BC1F75"/>
    <w:rsid w:val="00BC3D1C"/>
    <w:rsid w:val="00BC3D48"/>
    <w:rsid w:val="00BC43FB"/>
    <w:rsid w:val="00BC5CF9"/>
    <w:rsid w:val="00BC6114"/>
    <w:rsid w:val="00BD0046"/>
    <w:rsid w:val="00BD080D"/>
    <w:rsid w:val="00BD0839"/>
    <w:rsid w:val="00BD0DBA"/>
    <w:rsid w:val="00BD172E"/>
    <w:rsid w:val="00BD1DE9"/>
    <w:rsid w:val="00BD1FEE"/>
    <w:rsid w:val="00BD237D"/>
    <w:rsid w:val="00BD2F19"/>
    <w:rsid w:val="00BD3894"/>
    <w:rsid w:val="00BD3BE4"/>
    <w:rsid w:val="00BD4BCE"/>
    <w:rsid w:val="00BD4E5D"/>
    <w:rsid w:val="00BD4EFD"/>
    <w:rsid w:val="00BD5EF9"/>
    <w:rsid w:val="00BD62EA"/>
    <w:rsid w:val="00BD6671"/>
    <w:rsid w:val="00BD7134"/>
    <w:rsid w:val="00BE01DD"/>
    <w:rsid w:val="00BE0DA0"/>
    <w:rsid w:val="00BE2AB1"/>
    <w:rsid w:val="00BE411F"/>
    <w:rsid w:val="00BE4270"/>
    <w:rsid w:val="00BE5C69"/>
    <w:rsid w:val="00BE66F8"/>
    <w:rsid w:val="00BE70FE"/>
    <w:rsid w:val="00BE715D"/>
    <w:rsid w:val="00BE7CDD"/>
    <w:rsid w:val="00BF04C1"/>
    <w:rsid w:val="00BF26E3"/>
    <w:rsid w:val="00BF2ABC"/>
    <w:rsid w:val="00BF431C"/>
    <w:rsid w:val="00BF442C"/>
    <w:rsid w:val="00BF4A4B"/>
    <w:rsid w:val="00BF4B13"/>
    <w:rsid w:val="00BF4D04"/>
    <w:rsid w:val="00BF6818"/>
    <w:rsid w:val="00BF6BFF"/>
    <w:rsid w:val="00C007F4"/>
    <w:rsid w:val="00C01C22"/>
    <w:rsid w:val="00C058BA"/>
    <w:rsid w:val="00C06BE6"/>
    <w:rsid w:val="00C078E2"/>
    <w:rsid w:val="00C07B99"/>
    <w:rsid w:val="00C101AB"/>
    <w:rsid w:val="00C1185B"/>
    <w:rsid w:val="00C12C54"/>
    <w:rsid w:val="00C13D39"/>
    <w:rsid w:val="00C14E8F"/>
    <w:rsid w:val="00C1617F"/>
    <w:rsid w:val="00C21E0A"/>
    <w:rsid w:val="00C21F4F"/>
    <w:rsid w:val="00C2241D"/>
    <w:rsid w:val="00C22B50"/>
    <w:rsid w:val="00C235A7"/>
    <w:rsid w:val="00C24068"/>
    <w:rsid w:val="00C24424"/>
    <w:rsid w:val="00C245E7"/>
    <w:rsid w:val="00C25AE2"/>
    <w:rsid w:val="00C26435"/>
    <w:rsid w:val="00C26B13"/>
    <w:rsid w:val="00C30EA5"/>
    <w:rsid w:val="00C31E67"/>
    <w:rsid w:val="00C327B6"/>
    <w:rsid w:val="00C32FE5"/>
    <w:rsid w:val="00C33B48"/>
    <w:rsid w:val="00C33EE7"/>
    <w:rsid w:val="00C3495D"/>
    <w:rsid w:val="00C34D1D"/>
    <w:rsid w:val="00C34D52"/>
    <w:rsid w:val="00C36406"/>
    <w:rsid w:val="00C36979"/>
    <w:rsid w:val="00C36C18"/>
    <w:rsid w:val="00C372DD"/>
    <w:rsid w:val="00C3792E"/>
    <w:rsid w:val="00C42CE1"/>
    <w:rsid w:val="00C43795"/>
    <w:rsid w:val="00C44092"/>
    <w:rsid w:val="00C4436D"/>
    <w:rsid w:val="00C44856"/>
    <w:rsid w:val="00C47384"/>
    <w:rsid w:val="00C4790D"/>
    <w:rsid w:val="00C47E15"/>
    <w:rsid w:val="00C503CA"/>
    <w:rsid w:val="00C509D9"/>
    <w:rsid w:val="00C517A1"/>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705BD"/>
    <w:rsid w:val="00C70BE6"/>
    <w:rsid w:val="00C722AA"/>
    <w:rsid w:val="00C7272D"/>
    <w:rsid w:val="00C74683"/>
    <w:rsid w:val="00C74B75"/>
    <w:rsid w:val="00C75F46"/>
    <w:rsid w:val="00C77EAA"/>
    <w:rsid w:val="00C824AD"/>
    <w:rsid w:val="00C8328F"/>
    <w:rsid w:val="00C8352F"/>
    <w:rsid w:val="00C8399B"/>
    <w:rsid w:val="00C86A98"/>
    <w:rsid w:val="00C905CF"/>
    <w:rsid w:val="00C90697"/>
    <w:rsid w:val="00C90AA3"/>
    <w:rsid w:val="00C932C9"/>
    <w:rsid w:val="00C934B5"/>
    <w:rsid w:val="00C93788"/>
    <w:rsid w:val="00C9453B"/>
    <w:rsid w:val="00C95FE6"/>
    <w:rsid w:val="00C96033"/>
    <w:rsid w:val="00C97F61"/>
    <w:rsid w:val="00CA07E1"/>
    <w:rsid w:val="00CA07EB"/>
    <w:rsid w:val="00CA2465"/>
    <w:rsid w:val="00CA328C"/>
    <w:rsid w:val="00CA3612"/>
    <w:rsid w:val="00CA3E7A"/>
    <w:rsid w:val="00CA4D5E"/>
    <w:rsid w:val="00CA5766"/>
    <w:rsid w:val="00CA6B8C"/>
    <w:rsid w:val="00CA7FED"/>
    <w:rsid w:val="00CB111D"/>
    <w:rsid w:val="00CB1544"/>
    <w:rsid w:val="00CB1764"/>
    <w:rsid w:val="00CB1BE3"/>
    <w:rsid w:val="00CB1F78"/>
    <w:rsid w:val="00CB2E8F"/>
    <w:rsid w:val="00CB38A5"/>
    <w:rsid w:val="00CB4531"/>
    <w:rsid w:val="00CB4A35"/>
    <w:rsid w:val="00CB5C26"/>
    <w:rsid w:val="00CB6930"/>
    <w:rsid w:val="00CB6D26"/>
    <w:rsid w:val="00CB72C7"/>
    <w:rsid w:val="00CB7C93"/>
    <w:rsid w:val="00CC05EA"/>
    <w:rsid w:val="00CC2B39"/>
    <w:rsid w:val="00CC2EFF"/>
    <w:rsid w:val="00CC33F7"/>
    <w:rsid w:val="00CC4071"/>
    <w:rsid w:val="00CC6960"/>
    <w:rsid w:val="00CC726B"/>
    <w:rsid w:val="00CD0801"/>
    <w:rsid w:val="00CD099E"/>
    <w:rsid w:val="00CD166C"/>
    <w:rsid w:val="00CD1980"/>
    <w:rsid w:val="00CD1A34"/>
    <w:rsid w:val="00CD1C0A"/>
    <w:rsid w:val="00CD1F99"/>
    <w:rsid w:val="00CD323D"/>
    <w:rsid w:val="00CD3E63"/>
    <w:rsid w:val="00CD4C26"/>
    <w:rsid w:val="00CD54EB"/>
    <w:rsid w:val="00CD587E"/>
    <w:rsid w:val="00CD598D"/>
    <w:rsid w:val="00CE0D54"/>
    <w:rsid w:val="00CE180C"/>
    <w:rsid w:val="00CE1E6C"/>
    <w:rsid w:val="00CE1F57"/>
    <w:rsid w:val="00CE2E2F"/>
    <w:rsid w:val="00CE3BD9"/>
    <w:rsid w:val="00CE3BF7"/>
    <w:rsid w:val="00CE4793"/>
    <w:rsid w:val="00CE5E0B"/>
    <w:rsid w:val="00CE610A"/>
    <w:rsid w:val="00CE643F"/>
    <w:rsid w:val="00CE6445"/>
    <w:rsid w:val="00CE6886"/>
    <w:rsid w:val="00CE7301"/>
    <w:rsid w:val="00CF1B86"/>
    <w:rsid w:val="00CF3BC4"/>
    <w:rsid w:val="00CF47BD"/>
    <w:rsid w:val="00CF4CFD"/>
    <w:rsid w:val="00CF5598"/>
    <w:rsid w:val="00CF60FF"/>
    <w:rsid w:val="00CF652A"/>
    <w:rsid w:val="00D02684"/>
    <w:rsid w:val="00D02A57"/>
    <w:rsid w:val="00D04EFA"/>
    <w:rsid w:val="00D05B3C"/>
    <w:rsid w:val="00D06096"/>
    <w:rsid w:val="00D110D7"/>
    <w:rsid w:val="00D117EE"/>
    <w:rsid w:val="00D11C6B"/>
    <w:rsid w:val="00D1237B"/>
    <w:rsid w:val="00D124FC"/>
    <w:rsid w:val="00D13E22"/>
    <w:rsid w:val="00D146BA"/>
    <w:rsid w:val="00D14702"/>
    <w:rsid w:val="00D15CB4"/>
    <w:rsid w:val="00D1760F"/>
    <w:rsid w:val="00D17E32"/>
    <w:rsid w:val="00D20DCB"/>
    <w:rsid w:val="00D20DF4"/>
    <w:rsid w:val="00D2109B"/>
    <w:rsid w:val="00D218FC"/>
    <w:rsid w:val="00D21A5D"/>
    <w:rsid w:val="00D229FB"/>
    <w:rsid w:val="00D22E59"/>
    <w:rsid w:val="00D23EB7"/>
    <w:rsid w:val="00D26F3F"/>
    <w:rsid w:val="00D312C1"/>
    <w:rsid w:val="00D31784"/>
    <w:rsid w:val="00D33290"/>
    <w:rsid w:val="00D338B0"/>
    <w:rsid w:val="00D344CB"/>
    <w:rsid w:val="00D3460D"/>
    <w:rsid w:val="00D346E8"/>
    <w:rsid w:val="00D34A80"/>
    <w:rsid w:val="00D353AF"/>
    <w:rsid w:val="00D359F1"/>
    <w:rsid w:val="00D35D47"/>
    <w:rsid w:val="00D369A3"/>
    <w:rsid w:val="00D37417"/>
    <w:rsid w:val="00D374B6"/>
    <w:rsid w:val="00D407BD"/>
    <w:rsid w:val="00D41E9E"/>
    <w:rsid w:val="00D430A2"/>
    <w:rsid w:val="00D44D03"/>
    <w:rsid w:val="00D44FBD"/>
    <w:rsid w:val="00D45AF2"/>
    <w:rsid w:val="00D4639E"/>
    <w:rsid w:val="00D47702"/>
    <w:rsid w:val="00D503CB"/>
    <w:rsid w:val="00D5081F"/>
    <w:rsid w:val="00D533B6"/>
    <w:rsid w:val="00D53E62"/>
    <w:rsid w:val="00D542F2"/>
    <w:rsid w:val="00D5485E"/>
    <w:rsid w:val="00D54AE9"/>
    <w:rsid w:val="00D5697F"/>
    <w:rsid w:val="00D57494"/>
    <w:rsid w:val="00D57AF5"/>
    <w:rsid w:val="00D57F9D"/>
    <w:rsid w:val="00D5C6D6"/>
    <w:rsid w:val="00D60262"/>
    <w:rsid w:val="00D603BC"/>
    <w:rsid w:val="00D60E8C"/>
    <w:rsid w:val="00D62D44"/>
    <w:rsid w:val="00D634C1"/>
    <w:rsid w:val="00D67985"/>
    <w:rsid w:val="00D706E5"/>
    <w:rsid w:val="00D71E33"/>
    <w:rsid w:val="00D72665"/>
    <w:rsid w:val="00D739D5"/>
    <w:rsid w:val="00D740FF"/>
    <w:rsid w:val="00D77BD9"/>
    <w:rsid w:val="00D810A9"/>
    <w:rsid w:val="00D812A2"/>
    <w:rsid w:val="00D81EE2"/>
    <w:rsid w:val="00D8344B"/>
    <w:rsid w:val="00D86723"/>
    <w:rsid w:val="00D8693B"/>
    <w:rsid w:val="00D86950"/>
    <w:rsid w:val="00D86FD6"/>
    <w:rsid w:val="00D8775C"/>
    <w:rsid w:val="00D87A24"/>
    <w:rsid w:val="00D87E53"/>
    <w:rsid w:val="00D90799"/>
    <w:rsid w:val="00D938D4"/>
    <w:rsid w:val="00D93986"/>
    <w:rsid w:val="00D95683"/>
    <w:rsid w:val="00D963B1"/>
    <w:rsid w:val="00D9703F"/>
    <w:rsid w:val="00D9723A"/>
    <w:rsid w:val="00DA0D20"/>
    <w:rsid w:val="00DA3172"/>
    <w:rsid w:val="00DA43B8"/>
    <w:rsid w:val="00DA488C"/>
    <w:rsid w:val="00DA4C59"/>
    <w:rsid w:val="00DA6323"/>
    <w:rsid w:val="00DA650B"/>
    <w:rsid w:val="00DA777C"/>
    <w:rsid w:val="00DA7E56"/>
    <w:rsid w:val="00DB14B3"/>
    <w:rsid w:val="00DB1C62"/>
    <w:rsid w:val="00DB2D75"/>
    <w:rsid w:val="00DB3EDA"/>
    <w:rsid w:val="00DB41DD"/>
    <w:rsid w:val="00DB585A"/>
    <w:rsid w:val="00DB594A"/>
    <w:rsid w:val="00DB7620"/>
    <w:rsid w:val="00DC0C9D"/>
    <w:rsid w:val="00DC1A8D"/>
    <w:rsid w:val="00DC26D7"/>
    <w:rsid w:val="00DC271B"/>
    <w:rsid w:val="00DC2D5A"/>
    <w:rsid w:val="00DC3133"/>
    <w:rsid w:val="00DC403E"/>
    <w:rsid w:val="00DC4D30"/>
    <w:rsid w:val="00DC7614"/>
    <w:rsid w:val="00DC791F"/>
    <w:rsid w:val="00DC7FF7"/>
    <w:rsid w:val="00DD1A2A"/>
    <w:rsid w:val="00DD2766"/>
    <w:rsid w:val="00DD2899"/>
    <w:rsid w:val="00DD391A"/>
    <w:rsid w:val="00DD55D2"/>
    <w:rsid w:val="00DD56F7"/>
    <w:rsid w:val="00DD5888"/>
    <w:rsid w:val="00DD6A66"/>
    <w:rsid w:val="00DD7030"/>
    <w:rsid w:val="00DE0688"/>
    <w:rsid w:val="00DE0955"/>
    <w:rsid w:val="00DE166A"/>
    <w:rsid w:val="00DE24F0"/>
    <w:rsid w:val="00DE3352"/>
    <w:rsid w:val="00DE3474"/>
    <w:rsid w:val="00DE4592"/>
    <w:rsid w:val="00DE4627"/>
    <w:rsid w:val="00DE4D0F"/>
    <w:rsid w:val="00DE4D1D"/>
    <w:rsid w:val="00DE5525"/>
    <w:rsid w:val="00DE5AFD"/>
    <w:rsid w:val="00DE5E3E"/>
    <w:rsid w:val="00DE6F78"/>
    <w:rsid w:val="00DF12FC"/>
    <w:rsid w:val="00DF310C"/>
    <w:rsid w:val="00DF5364"/>
    <w:rsid w:val="00DF5556"/>
    <w:rsid w:val="00DF5786"/>
    <w:rsid w:val="00DF620C"/>
    <w:rsid w:val="00DF666C"/>
    <w:rsid w:val="00DF6BD8"/>
    <w:rsid w:val="00DF76B5"/>
    <w:rsid w:val="00E00C2F"/>
    <w:rsid w:val="00E019BA"/>
    <w:rsid w:val="00E02B9C"/>
    <w:rsid w:val="00E03DAD"/>
    <w:rsid w:val="00E040FC"/>
    <w:rsid w:val="00E047E9"/>
    <w:rsid w:val="00E04E95"/>
    <w:rsid w:val="00E0590A"/>
    <w:rsid w:val="00E05D16"/>
    <w:rsid w:val="00E065D7"/>
    <w:rsid w:val="00E06C83"/>
    <w:rsid w:val="00E10AB9"/>
    <w:rsid w:val="00E1116B"/>
    <w:rsid w:val="00E11E27"/>
    <w:rsid w:val="00E125AC"/>
    <w:rsid w:val="00E13397"/>
    <w:rsid w:val="00E14236"/>
    <w:rsid w:val="00E14E31"/>
    <w:rsid w:val="00E152B4"/>
    <w:rsid w:val="00E165B4"/>
    <w:rsid w:val="00E16B31"/>
    <w:rsid w:val="00E20111"/>
    <w:rsid w:val="00E21200"/>
    <w:rsid w:val="00E2368E"/>
    <w:rsid w:val="00E27DDF"/>
    <w:rsid w:val="00E301B9"/>
    <w:rsid w:val="00E31CCA"/>
    <w:rsid w:val="00E325CB"/>
    <w:rsid w:val="00E334DD"/>
    <w:rsid w:val="00E3372F"/>
    <w:rsid w:val="00E350B1"/>
    <w:rsid w:val="00E35401"/>
    <w:rsid w:val="00E35E91"/>
    <w:rsid w:val="00E36C1A"/>
    <w:rsid w:val="00E409AE"/>
    <w:rsid w:val="00E40D15"/>
    <w:rsid w:val="00E411A6"/>
    <w:rsid w:val="00E41678"/>
    <w:rsid w:val="00E42186"/>
    <w:rsid w:val="00E42B24"/>
    <w:rsid w:val="00E4535E"/>
    <w:rsid w:val="00E45644"/>
    <w:rsid w:val="00E45B47"/>
    <w:rsid w:val="00E45BF0"/>
    <w:rsid w:val="00E4643C"/>
    <w:rsid w:val="00E47E48"/>
    <w:rsid w:val="00E50185"/>
    <w:rsid w:val="00E50D7D"/>
    <w:rsid w:val="00E5302A"/>
    <w:rsid w:val="00E53DEE"/>
    <w:rsid w:val="00E5405A"/>
    <w:rsid w:val="00E54974"/>
    <w:rsid w:val="00E54F0E"/>
    <w:rsid w:val="00E5596D"/>
    <w:rsid w:val="00E559E2"/>
    <w:rsid w:val="00E55CFA"/>
    <w:rsid w:val="00E560BA"/>
    <w:rsid w:val="00E57E81"/>
    <w:rsid w:val="00E6011C"/>
    <w:rsid w:val="00E612D0"/>
    <w:rsid w:val="00E62AC9"/>
    <w:rsid w:val="00E62FE0"/>
    <w:rsid w:val="00E646CA"/>
    <w:rsid w:val="00E65BFB"/>
    <w:rsid w:val="00E66C80"/>
    <w:rsid w:val="00E6756F"/>
    <w:rsid w:val="00E707CA"/>
    <w:rsid w:val="00E7088E"/>
    <w:rsid w:val="00E711A3"/>
    <w:rsid w:val="00E72955"/>
    <w:rsid w:val="00E730C9"/>
    <w:rsid w:val="00E7392A"/>
    <w:rsid w:val="00E749E3"/>
    <w:rsid w:val="00E74BD5"/>
    <w:rsid w:val="00E74D02"/>
    <w:rsid w:val="00E74E32"/>
    <w:rsid w:val="00E75139"/>
    <w:rsid w:val="00E761FE"/>
    <w:rsid w:val="00E77DE7"/>
    <w:rsid w:val="00E802EF"/>
    <w:rsid w:val="00E80A44"/>
    <w:rsid w:val="00E82CF0"/>
    <w:rsid w:val="00E85E40"/>
    <w:rsid w:val="00E86A94"/>
    <w:rsid w:val="00E87819"/>
    <w:rsid w:val="00E90265"/>
    <w:rsid w:val="00E90615"/>
    <w:rsid w:val="00E91C65"/>
    <w:rsid w:val="00E940B9"/>
    <w:rsid w:val="00E9452A"/>
    <w:rsid w:val="00E94841"/>
    <w:rsid w:val="00E94D13"/>
    <w:rsid w:val="00E95219"/>
    <w:rsid w:val="00E9798D"/>
    <w:rsid w:val="00EA0CEE"/>
    <w:rsid w:val="00EA0E8B"/>
    <w:rsid w:val="00EA1792"/>
    <w:rsid w:val="00EA31F6"/>
    <w:rsid w:val="00EA335A"/>
    <w:rsid w:val="00EA3669"/>
    <w:rsid w:val="00EA4DE2"/>
    <w:rsid w:val="00EA552E"/>
    <w:rsid w:val="00EA5601"/>
    <w:rsid w:val="00EA70FD"/>
    <w:rsid w:val="00EA7614"/>
    <w:rsid w:val="00EA76B2"/>
    <w:rsid w:val="00EB0A8B"/>
    <w:rsid w:val="00EB2414"/>
    <w:rsid w:val="00EB3BA9"/>
    <w:rsid w:val="00EB52EA"/>
    <w:rsid w:val="00EB5619"/>
    <w:rsid w:val="00EB65C1"/>
    <w:rsid w:val="00EB74F8"/>
    <w:rsid w:val="00EB769C"/>
    <w:rsid w:val="00EC0A18"/>
    <w:rsid w:val="00EC1023"/>
    <w:rsid w:val="00EC2386"/>
    <w:rsid w:val="00EC26AC"/>
    <w:rsid w:val="00EC2702"/>
    <w:rsid w:val="00EC2A95"/>
    <w:rsid w:val="00EC2EA5"/>
    <w:rsid w:val="00EC339A"/>
    <w:rsid w:val="00EC3A56"/>
    <w:rsid w:val="00EC3DE8"/>
    <w:rsid w:val="00EC5390"/>
    <w:rsid w:val="00EC589D"/>
    <w:rsid w:val="00EC6BB0"/>
    <w:rsid w:val="00EC7215"/>
    <w:rsid w:val="00EC7231"/>
    <w:rsid w:val="00EC7322"/>
    <w:rsid w:val="00EC7C17"/>
    <w:rsid w:val="00ED0818"/>
    <w:rsid w:val="00ED081D"/>
    <w:rsid w:val="00ED1252"/>
    <w:rsid w:val="00ED1332"/>
    <w:rsid w:val="00ED2634"/>
    <w:rsid w:val="00ED2A79"/>
    <w:rsid w:val="00ED6218"/>
    <w:rsid w:val="00ED6C0E"/>
    <w:rsid w:val="00ED6D3A"/>
    <w:rsid w:val="00ED6DE9"/>
    <w:rsid w:val="00ED7372"/>
    <w:rsid w:val="00EE13B6"/>
    <w:rsid w:val="00EE2AA0"/>
    <w:rsid w:val="00EE4729"/>
    <w:rsid w:val="00EE566A"/>
    <w:rsid w:val="00EE5EF0"/>
    <w:rsid w:val="00EF03AD"/>
    <w:rsid w:val="00EF113D"/>
    <w:rsid w:val="00EF23F6"/>
    <w:rsid w:val="00EF2FBD"/>
    <w:rsid w:val="00EF41C8"/>
    <w:rsid w:val="00EF4894"/>
    <w:rsid w:val="00EF52EE"/>
    <w:rsid w:val="00EF56A6"/>
    <w:rsid w:val="00EF7B57"/>
    <w:rsid w:val="00F005FE"/>
    <w:rsid w:val="00F00D89"/>
    <w:rsid w:val="00F025EC"/>
    <w:rsid w:val="00F02CD4"/>
    <w:rsid w:val="00F03B4C"/>
    <w:rsid w:val="00F05612"/>
    <w:rsid w:val="00F0655E"/>
    <w:rsid w:val="00F10203"/>
    <w:rsid w:val="00F10DE4"/>
    <w:rsid w:val="00F12878"/>
    <w:rsid w:val="00F12B71"/>
    <w:rsid w:val="00F13976"/>
    <w:rsid w:val="00F14791"/>
    <w:rsid w:val="00F14D0B"/>
    <w:rsid w:val="00F171DD"/>
    <w:rsid w:val="00F173AF"/>
    <w:rsid w:val="00F2096C"/>
    <w:rsid w:val="00F20DC1"/>
    <w:rsid w:val="00F21D2A"/>
    <w:rsid w:val="00F233E7"/>
    <w:rsid w:val="00F23535"/>
    <w:rsid w:val="00F23ECB"/>
    <w:rsid w:val="00F257BF"/>
    <w:rsid w:val="00F2661D"/>
    <w:rsid w:val="00F308AB"/>
    <w:rsid w:val="00F31F21"/>
    <w:rsid w:val="00F344D6"/>
    <w:rsid w:val="00F34BAC"/>
    <w:rsid w:val="00F35D4E"/>
    <w:rsid w:val="00F362F4"/>
    <w:rsid w:val="00F36B32"/>
    <w:rsid w:val="00F3721F"/>
    <w:rsid w:val="00F43296"/>
    <w:rsid w:val="00F443BD"/>
    <w:rsid w:val="00F45522"/>
    <w:rsid w:val="00F46409"/>
    <w:rsid w:val="00F464AE"/>
    <w:rsid w:val="00F466B8"/>
    <w:rsid w:val="00F50774"/>
    <w:rsid w:val="00F50E6F"/>
    <w:rsid w:val="00F53489"/>
    <w:rsid w:val="00F5445C"/>
    <w:rsid w:val="00F54926"/>
    <w:rsid w:val="00F54B62"/>
    <w:rsid w:val="00F54B76"/>
    <w:rsid w:val="00F54C32"/>
    <w:rsid w:val="00F55034"/>
    <w:rsid w:val="00F55D6B"/>
    <w:rsid w:val="00F5607D"/>
    <w:rsid w:val="00F5697C"/>
    <w:rsid w:val="00F574D5"/>
    <w:rsid w:val="00F605F9"/>
    <w:rsid w:val="00F6082D"/>
    <w:rsid w:val="00F61481"/>
    <w:rsid w:val="00F61C33"/>
    <w:rsid w:val="00F62E65"/>
    <w:rsid w:val="00F6367E"/>
    <w:rsid w:val="00F64903"/>
    <w:rsid w:val="00F6622C"/>
    <w:rsid w:val="00F6689B"/>
    <w:rsid w:val="00F66914"/>
    <w:rsid w:val="00F6698C"/>
    <w:rsid w:val="00F67578"/>
    <w:rsid w:val="00F67EDF"/>
    <w:rsid w:val="00F702A8"/>
    <w:rsid w:val="00F70423"/>
    <w:rsid w:val="00F70D0E"/>
    <w:rsid w:val="00F7103C"/>
    <w:rsid w:val="00F72137"/>
    <w:rsid w:val="00F723F1"/>
    <w:rsid w:val="00F726D5"/>
    <w:rsid w:val="00F73FF8"/>
    <w:rsid w:val="00F74481"/>
    <w:rsid w:val="00F75612"/>
    <w:rsid w:val="00F76935"/>
    <w:rsid w:val="00F76A64"/>
    <w:rsid w:val="00F80A5F"/>
    <w:rsid w:val="00F80A7D"/>
    <w:rsid w:val="00F82AF0"/>
    <w:rsid w:val="00F847FF"/>
    <w:rsid w:val="00F84AE8"/>
    <w:rsid w:val="00F85295"/>
    <w:rsid w:val="00F91B66"/>
    <w:rsid w:val="00F93606"/>
    <w:rsid w:val="00F93960"/>
    <w:rsid w:val="00F9472A"/>
    <w:rsid w:val="00F97889"/>
    <w:rsid w:val="00FA04B1"/>
    <w:rsid w:val="00FA09FE"/>
    <w:rsid w:val="00FA0AC0"/>
    <w:rsid w:val="00FA0D06"/>
    <w:rsid w:val="00FA0F24"/>
    <w:rsid w:val="00FA1982"/>
    <w:rsid w:val="00FA19C2"/>
    <w:rsid w:val="00FA23AF"/>
    <w:rsid w:val="00FA2E0E"/>
    <w:rsid w:val="00FA6F69"/>
    <w:rsid w:val="00FA7D50"/>
    <w:rsid w:val="00FA7F9E"/>
    <w:rsid w:val="00FB048D"/>
    <w:rsid w:val="00FB065F"/>
    <w:rsid w:val="00FB0963"/>
    <w:rsid w:val="00FB18F4"/>
    <w:rsid w:val="00FB1B86"/>
    <w:rsid w:val="00FB3569"/>
    <w:rsid w:val="00FB4334"/>
    <w:rsid w:val="00FB7375"/>
    <w:rsid w:val="00FC2518"/>
    <w:rsid w:val="00FC27E9"/>
    <w:rsid w:val="00FC2E1B"/>
    <w:rsid w:val="00FC42D7"/>
    <w:rsid w:val="00FC4A11"/>
    <w:rsid w:val="00FC5A9E"/>
    <w:rsid w:val="00FC6A27"/>
    <w:rsid w:val="00FC6D6F"/>
    <w:rsid w:val="00FC76F6"/>
    <w:rsid w:val="00FD05CA"/>
    <w:rsid w:val="00FD0EEC"/>
    <w:rsid w:val="00FD27FA"/>
    <w:rsid w:val="00FD2B4C"/>
    <w:rsid w:val="00FD387B"/>
    <w:rsid w:val="00FD397F"/>
    <w:rsid w:val="00FD4292"/>
    <w:rsid w:val="00FD5008"/>
    <w:rsid w:val="00FD6F4C"/>
    <w:rsid w:val="00FD778D"/>
    <w:rsid w:val="00FE039A"/>
    <w:rsid w:val="00FE1BC9"/>
    <w:rsid w:val="00FE20AB"/>
    <w:rsid w:val="00FE2A60"/>
    <w:rsid w:val="00FE53B0"/>
    <w:rsid w:val="00FE670E"/>
    <w:rsid w:val="00FF00C8"/>
    <w:rsid w:val="00FF02BB"/>
    <w:rsid w:val="00FF0674"/>
    <w:rsid w:val="00FF0C52"/>
    <w:rsid w:val="00FF1750"/>
    <w:rsid w:val="00FF19D7"/>
    <w:rsid w:val="00FF19EE"/>
    <w:rsid w:val="00FF1D71"/>
    <w:rsid w:val="00FF2C35"/>
    <w:rsid w:val="00FF31C1"/>
    <w:rsid w:val="00FF4568"/>
    <w:rsid w:val="00FF45B2"/>
    <w:rsid w:val="00FF460F"/>
    <w:rsid w:val="00FF6184"/>
    <w:rsid w:val="00FF7A65"/>
    <w:rsid w:val="00FF7F4C"/>
    <w:rsid w:val="0127F11C"/>
    <w:rsid w:val="0144117D"/>
    <w:rsid w:val="01940749"/>
    <w:rsid w:val="01DA9506"/>
    <w:rsid w:val="01DCF0E0"/>
    <w:rsid w:val="02177440"/>
    <w:rsid w:val="0236C2C0"/>
    <w:rsid w:val="0266E86B"/>
    <w:rsid w:val="027BEC80"/>
    <w:rsid w:val="0286FA84"/>
    <w:rsid w:val="029B7D7B"/>
    <w:rsid w:val="02A8B731"/>
    <w:rsid w:val="02D09E76"/>
    <w:rsid w:val="030F1F19"/>
    <w:rsid w:val="032BA92C"/>
    <w:rsid w:val="0364AFDB"/>
    <w:rsid w:val="03672A75"/>
    <w:rsid w:val="03DFD29E"/>
    <w:rsid w:val="040D3F71"/>
    <w:rsid w:val="041D2136"/>
    <w:rsid w:val="0427137D"/>
    <w:rsid w:val="04594EF3"/>
    <w:rsid w:val="0463215A"/>
    <w:rsid w:val="04828E15"/>
    <w:rsid w:val="04A9EC15"/>
    <w:rsid w:val="04B63F4F"/>
    <w:rsid w:val="05FDC2CB"/>
    <w:rsid w:val="0632FCD2"/>
    <w:rsid w:val="063CF83E"/>
    <w:rsid w:val="06446B8C"/>
    <w:rsid w:val="064E8E3F"/>
    <w:rsid w:val="0651C982"/>
    <w:rsid w:val="065C64F9"/>
    <w:rsid w:val="06F60DDE"/>
    <w:rsid w:val="075533B5"/>
    <w:rsid w:val="07739CC7"/>
    <w:rsid w:val="077D115B"/>
    <w:rsid w:val="07F90ED3"/>
    <w:rsid w:val="0817817C"/>
    <w:rsid w:val="0828BE6B"/>
    <w:rsid w:val="083F98C7"/>
    <w:rsid w:val="08473C56"/>
    <w:rsid w:val="0861878D"/>
    <w:rsid w:val="08783D74"/>
    <w:rsid w:val="09367DE7"/>
    <w:rsid w:val="096C65D7"/>
    <w:rsid w:val="09752946"/>
    <w:rsid w:val="09A0FF0A"/>
    <w:rsid w:val="09BE687E"/>
    <w:rsid w:val="0AF88E2F"/>
    <w:rsid w:val="0B103690"/>
    <w:rsid w:val="0B1054CB"/>
    <w:rsid w:val="0C391661"/>
    <w:rsid w:val="0CE6C6D2"/>
    <w:rsid w:val="0D172931"/>
    <w:rsid w:val="0D2BFA75"/>
    <w:rsid w:val="0D440878"/>
    <w:rsid w:val="0E3F1FAF"/>
    <w:rsid w:val="0EC0BC2F"/>
    <w:rsid w:val="0F5FCC5D"/>
    <w:rsid w:val="0F8D0193"/>
    <w:rsid w:val="0FA4A511"/>
    <w:rsid w:val="1030F000"/>
    <w:rsid w:val="10559C24"/>
    <w:rsid w:val="10AF8292"/>
    <w:rsid w:val="10C77BFF"/>
    <w:rsid w:val="10C9C897"/>
    <w:rsid w:val="1106F401"/>
    <w:rsid w:val="1139A341"/>
    <w:rsid w:val="1158F1C1"/>
    <w:rsid w:val="116124E4"/>
    <w:rsid w:val="117E7BF5"/>
    <w:rsid w:val="11F07066"/>
    <w:rsid w:val="125E1AEF"/>
    <w:rsid w:val="1299CAFF"/>
    <w:rsid w:val="12D59147"/>
    <w:rsid w:val="132F7B01"/>
    <w:rsid w:val="1332C8A5"/>
    <w:rsid w:val="1365B2EA"/>
    <w:rsid w:val="13C97C32"/>
    <w:rsid w:val="144B18B2"/>
    <w:rsid w:val="14E9B95B"/>
    <w:rsid w:val="154E6E4F"/>
    <w:rsid w:val="156C709F"/>
    <w:rsid w:val="157271BB"/>
    <w:rsid w:val="1573F883"/>
    <w:rsid w:val="15A86953"/>
    <w:rsid w:val="16208AC0"/>
    <w:rsid w:val="167ED604"/>
    <w:rsid w:val="16ABD386"/>
    <w:rsid w:val="16B1DDD1"/>
    <w:rsid w:val="16C06816"/>
    <w:rsid w:val="171964E3"/>
    <w:rsid w:val="17C68509"/>
    <w:rsid w:val="184080AA"/>
    <w:rsid w:val="1840E64C"/>
    <w:rsid w:val="1866ACA6"/>
    <w:rsid w:val="18779747"/>
    <w:rsid w:val="188FB6D3"/>
    <w:rsid w:val="18943C20"/>
    <w:rsid w:val="1924054C"/>
    <w:rsid w:val="1A5BE9D8"/>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BCAC80"/>
    <w:rsid w:val="23BFBAD3"/>
    <w:rsid w:val="23DF278E"/>
    <w:rsid w:val="2429D5E3"/>
    <w:rsid w:val="250C2A66"/>
    <w:rsid w:val="2516F8EC"/>
    <w:rsid w:val="252924B2"/>
    <w:rsid w:val="25639E99"/>
    <w:rsid w:val="25AE62FB"/>
    <w:rsid w:val="261A631F"/>
    <w:rsid w:val="26333270"/>
    <w:rsid w:val="26A179E0"/>
    <w:rsid w:val="272CB665"/>
    <w:rsid w:val="273E812F"/>
    <w:rsid w:val="27CA4ED3"/>
    <w:rsid w:val="27D4A41C"/>
    <w:rsid w:val="27D4B8B2"/>
    <w:rsid w:val="27FEF433"/>
    <w:rsid w:val="280C3370"/>
    <w:rsid w:val="28ED1264"/>
    <w:rsid w:val="291D19D4"/>
    <w:rsid w:val="293C868F"/>
    <w:rsid w:val="298F0E45"/>
    <w:rsid w:val="29B2029C"/>
    <w:rsid w:val="2AFBC1F9"/>
    <w:rsid w:val="2B7DB66D"/>
    <w:rsid w:val="2BB2273D"/>
    <w:rsid w:val="2CB22C93"/>
    <w:rsid w:val="2CE28EF2"/>
    <w:rsid w:val="2D3A6508"/>
    <w:rsid w:val="2D4DBAEA"/>
    <w:rsid w:val="2D53791D"/>
    <w:rsid w:val="2D9EAD97"/>
    <w:rsid w:val="2DBFE9CA"/>
    <w:rsid w:val="2DD127E1"/>
    <w:rsid w:val="2DECACDD"/>
    <w:rsid w:val="2E4AA436"/>
    <w:rsid w:val="2E626AD2"/>
    <w:rsid w:val="2ED63569"/>
    <w:rsid w:val="2F013E8A"/>
    <w:rsid w:val="2F0F00E9"/>
    <w:rsid w:val="2F3ECA62"/>
    <w:rsid w:val="2F829A74"/>
    <w:rsid w:val="2F92698C"/>
    <w:rsid w:val="2FA6FAD3"/>
    <w:rsid w:val="2FBA86FB"/>
    <w:rsid w:val="2FD46499"/>
    <w:rsid w:val="3004A8BD"/>
    <w:rsid w:val="30FA96BF"/>
    <w:rsid w:val="313196FF"/>
    <w:rsid w:val="317034FA"/>
    <w:rsid w:val="320BA99E"/>
    <w:rsid w:val="3228E1AD"/>
    <w:rsid w:val="3257E760"/>
    <w:rsid w:val="32818005"/>
    <w:rsid w:val="328E895E"/>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84DEAC"/>
    <w:rsid w:val="369A68DD"/>
    <w:rsid w:val="36F497D3"/>
    <w:rsid w:val="36F6E7B3"/>
    <w:rsid w:val="3720DB47"/>
    <w:rsid w:val="3738652F"/>
    <w:rsid w:val="373F886C"/>
    <w:rsid w:val="37907C02"/>
    <w:rsid w:val="379D2EB9"/>
    <w:rsid w:val="3864AB4C"/>
    <w:rsid w:val="38A08456"/>
    <w:rsid w:val="38F5364C"/>
    <w:rsid w:val="393FA91A"/>
    <w:rsid w:val="3957844C"/>
    <w:rsid w:val="3957A287"/>
    <w:rsid w:val="3978D72C"/>
    <w:rsid w:val="39D0EC0B"/>
    <w:rsid w:val="39EA2426"/>
    <w:rsid w:val="3A5B0CBA"/>
    <w:rsid w:val="3AEC4FAB"/>
    <w:rsid w:val="3B290834"/>
    <w:rsid w:val="3B7329F6"/>
    <w:rsid w:val="3B744F4B"/>
    <w:rsid w:val="3B9296B1"/>
    <w:rsid w:val="3C8C4D9D"/>
    <w:rsid w:val="3C96157A"/>
    <w:rsid w:val="3CEBA27B"/>
    <w:rsid w:val="3D587658"/>
    <w:rsid w:val="3D5C2947"/>
    <w:rsid w:val="3D773EBE"/>
    <w:rsid w:val="3DC66899"/>
    <w:rsid w:val="3F26D7BE"/>
    <w:rsid w:val="3F367E2F"/>
    <w:rsid w:val="3FA02142"/>
    <w:rsid w:val="3FB838EA"/>
    <w:rsid w:val="4007DEA5"/>
    <w:rsid w:val="401848B5"/>
    <w:rsid w:val="403F1335"/>
    <w:rsid w:val="409348AA"/>
    <w:rsid w:val="40BA2B93"/>
    <w:rsid w:val="40D0A732"/>
    <w:rsid w:val="41427D68"/>
    <w:rsid w:val="417A1661"/>
    <w:rsid w:val="418E7E7B"/>
    <w:rsid w:val="41E3999B"/>
    <w:rsid w:val="4251D70C"/>
    <w:rsid w:val="42AA5FDB"/>
    <w:rsid w:val="42EC4CDC"/>
    <w:rsid w:val="4368BE89"/>
    <w:rsid w:val="4390B91C"/>
    <w:rsid w:val="43ADCA0E"/>
    <w:rsid w:val="43C7895C"/>
    <w:rsid w:val="4464B56E"/>
    <w:rsid w:val="44C23679"/>
    <w:rsid w:val="44C623C0"/>
    <w:rsid w:val="454889BA"/>
    <w:rsid w:val="4584277F"/>
    <w:rsid w:val="45F10F96"/>
    <w:rsid w:val="460E66A7"/>
    <w:rsid w:val="46236731"/>
    <w:rsid w:val="465AD0E4"/>
    <w:rsid w:val="4672FD22"/>
    <w:rsid w:val="4687CE66"/>
    <w:rsid w:val="470D2308"/>
    <w:rsid w:val="47313D95"/>
    <w:rsid w:val="4731522B"/>
    <w:rsid w:val="47372111"/>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09A670"/>
    <w:rsid w:val="4B6BE3E3"/>
    <w:rsid w:val="4C07D5A0"/>
    <w:rsid w:val="4C1117C2"/>
    <w:rsid w:val="4C122AE9"/>
    <w:rsid w:val="4C33BF82"/>
    <w:rsid w:val="4C64C5FC"/>
    <w:rsid w:val="4C6B3EEA"/>
    <w:rsid w:val="4D1920AB"/>
    <w:rsid w:val="4D255023"/>
    <w:rsid w:val="4D7A5F71"/>
    <w:rsid w:val="4D9939C4"/>
    <w:rsid w:val="4D9F5029"/>
    <w:rsid w:val="4E0D1B47"/>
    <w:rsid w:val="4E4DD800"/>
    <w:rsid w:val="4E53A0F5"/>
    <w:rsid w:val="4E6BC79A"/>
    <w:rsid w:val="4E7D5954"/>
    <w:rsid w:val="4EAA4240"/>
    <w:rsid w:val="4F791A6C"/>
    <w:rsid w:val="4FDAA9F5"/>
    <w:rsid w:val="5034A4F9"/>
    <w:rsid w:val="50DAA13A"/>
    <w:rsid w:val="50F60D95"/>
    <w:rsid w:val="50F99924"/>
    <w:rsid w:val="519CBA3D"/>
    <w:rsid w:val="51BBB625"/>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71F3DD0"/>
    <w:rsid w:val="574C3B52"/>
    <w:rsid w:val="575F896E"/>
    <w:rsid w:val="575F96EB"/>
    <w:rsid w:val="576BA80D"/>
    <w:rsid w:val="5783D44B"/>
    <w:rsid w:val="57913241"/>
    <w:rsid w:val="57992AEF"/>
    <w:rsid w:val="57C08CD4"/>
    <w:rsid w:val="57ED5785"/>
    <w:rsid w:val="57F3D7E7"/>
    <w:rsid w:val="5842BCAC"/>
    <w:rsid w:val="590951B3"/>
    <w:rsid w:val="59760802"/>
    <w:rsid w:val="599806A7"/>
    <w:rsid w:val="599A63B8"/>
    <w:rsid w:val="599FACC6"/>
    <w:rsid w:val="5A910447"/>
    <w:rsid w:val="5B35BCB4"/>
    <w:rsid w:val="5B41B7E0"/>
    <w:rsid w:val="5B61249B"/>
    <w:rsid w:val="5B613931"/>
    <w:rsid w:val="5B75EBFC"/>
    <w:rsid w:val="5BCB9128"/>
    <w:rsid w:val="5C3B4A3D"/>
    <w:rsid w:val="5C557EDC"/>
    <w:rsid w:val="5C91BF21"/>
    <w:rsid w:val="5C984008"/>
    <w:rsid w:val="5D125766"/>
    <w:rsid w:val="5D1B8EC4"/>
    <w:rsid w:val="5D3AFB7F"/>
    <w:rsid w:val="5D9C11AC"/>
    <w:rsid w:val="5DC5FCD4"/>
    <w:rsid w:val="5E06CCB9"/>
    <w:rsid w:val="5E36274C"/>
    <w:rsid w:val="5E5F5882"/>
    <w:rsid w:val="5E6EEEC3"/>
    <w:rsid w:val="5EBDB819"/>
    <w:rsid w:val="5EE4ACB8"/>
    <w:rsid w:val="5F14D263"/>
    <w:rsid w:val="5F25C82E"/>
    <w:rsid w:val="5F46CE48"/>
    <w:rsid w:val="5F50341F"/>
    <w:rsid w:val="5F7E886E"/>
    <w:rsid w:val="5FC9B185"/>
    <w:rsid w:val="5FEE39C0"/>
    <w:rsid w:val="6015146D"/>
    <w:rsid w:val="601BC825"/>
    <w:rsid w:val="6056A67F"/>
    <w:rsid w:val="6130780D"/>
    <w:rsid w:val="6140FE6A"/>
    <w:rsid w:val="61852A03"/>
    <w:rsid w:val="6206E4BE"/>
    <w:rsid w:val="623B4BE9"/>
    <w:rsid w:val="62985A80"/>
    <w:rsid w:val="62CB2E14"/>
    <w:rsid w:val="62EAE236"/>
    <w:rsid w:val="630A6387"/>
    <w:rsid w:val="640DD48E"/>
    <w:rsid w:val="6422BD39"/>
    <w:rsid w:val="64431148"/>
    <w:rsid w:val="6508E4F1"/>
    <w:rsid w:val="651F76D7"/>
    <w:rsid w:val="656ED8A1"/>
    <w:rsid w:val="65BF7CB9"/>
    <w:rsid w:val="65E467DF"/>
    <w:rsid w:val="667195E1"/>
    <w:rsid w:val="66D4B2B9"/>
    <w:rsid w:val="66E7D212"/>
    <w:rsid w:val="6718AA4D"/>
    <w:rsid w:val="672CC901"/>
    <w:rsid w:val="67D63830"/>
    <w:rsid w:val="67F89A3B"/>
    <w:rsid w:val="67FAF74C"/>
    <w:rsid w:val="6800405A"/>
    <w:rsid w:val="680B29DD"/>
    <w:rsid w:val="68378847"/>
    <w:rsid w:val="6860BC45"/>
    <w:rsid w:val="68734C3B"/>
    <w:rsid w:val="68A88974"/>
    <w:rsid w:val="68A9914E"/>
    <w:rsid w:val="696AF9EA"/>
    <w:rsid w:val="69C4F4EE"/>
    <w:rsid w:val="69D9E46D"/>
    <w:rsid w:val="6A83539C"/>
    <w:rsid w:val="6A945C6F"/>
    <w:rsid w:val="6AD2F957"/>
    <w:rsid w:val="6B1B2548"/>
    <w:rsid w:val="6B687B2C"/>
    <w:rsid w:val="6BBA349A"/>
    <w:rsid w:val="6BC37658"/>
    <w:rsid w:val="6C796364"/>
    <w:rsid w:val="6CA20334"/>
    <w:rsid w:val="6CDAC9DC"/>
    <w:rsid w:val="6D037186"/>
    <w:rsid w:val="6D06986E"/>
    <w:rsid w:val="6D5D6C8A"/>
    <w:rsid w:val="6D8014C3"/>
    <w:rsid w:val="6D9AF02B"/>
    <w:rsid w:val="6DE9DE27"/>
    <w:rsid w:val="6DF4912E"/>
    <w:rsid w:val="6E0F0EDC"/>
    <w:rsid w:val="6EAA8C57"/>
    <w:rsid w:val="6EE0B1B3"/>
    <w:rsid w:val="6F44B815"/>
    <w:rsid w:val="6F5450A0"/>
    <w:rsid w:val="6F6440F0"/>
    <w:rsid w:val="6F74C70F"/>
    <w:rsid w:val="6F83A406"/>
    <w:rsid w:val="6F991F6F"/>
    <w:rsid w:val="6FCBE018"/>
    <w:rsid w:val="7010A436"/>
    <w:rsid w:val="704B32F1"/>
    <w:rsid w:val="7077662A"/>
    <w:rsid w:val="707EA580"/>
    <w:rsid w:val="708EF6E7"/>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2EB407"/>
    <w:rsid w:val="747553EF"/>
    <w:rsid w:val="74EED044"/>
    <w:rsid w:val="7551062A"/>
    <w:rsid w:val="75AF027C"/>
    <w:rsid w:val="7607E5DB"/>
    <w:rsid w:val="761E95A3"/>
    <w:rsid w:val="766A1BCF"/>
    <w:rsid w:val="76744F65"/>
    <w:rsid w:val="76CC2D48"/>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F18FFC"/>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C811D"/>
  <w15:chartTrackingRefBased/>
  <w15:docId w15:val="{0A01EA71-DC95-49DC-8944-E4E20776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val="en"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3D43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D4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en"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en"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en"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en"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en" w:eastAsia="en-GB"/>
    </w:rPr>
  </w:style>
  <w:style w:type="table" w:styleId="TableGrid">
    <w:name w:val="Table Grid"/>
    <w:basedOn w:val="Table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en" w:eastAsia="en-GB"/>
    </w:rPr>
  </w:style>
  <w:style w:type="character" w:customStyle="1" w:styleId="Mention1">
    <w:name w:val="Mention1"/>
    <w:basedOn w:val="DefaultParagraphFont"/>
    <w:uiPriority w:val="99"/>
    <w:unhideWhenUsed/>
    <w:rsid w:val="00AA32F8"/>
    <w:rPr>
      <w:color w:val="2B579A"/>
      <w:shd w:val="clear" w:color="auto" w:fill="E6E6E6"/>
    </w:rPr>
  </w:style>
  <w:style w:type="character" w:customStyle="1" w:styleId="UnresolvedMention1">
    <w:name w:val="Unresolved Mention1"/>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val="en-US"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val="en"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NoSpacing">
    <w:name w:val="No Spacing"/>
    <w:link w:val="NoSpacingChar"/>
    <w:uiPriority w:val="1"/>
    <w:qFormat/>
    <w:rsid w:val="00284A22"/>
    <w:pPr>
      <w:spacing w:after="0" w:line="240" w:lineRule="auto"/>
    </w:pPr>
    <w:rPr>
      <w:rFonts w:ascii="Arial" w:eastAsia="Arial" w:hAnsi="Arial" w:cs="Arial"/>
      <w:lang w:val="en"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en" w:eastAsia="en-GB"/>
    </w:rPr>
  </w:style>
  <w:style w:type="character" w:styleId="FootnoteReference">
    <w:name w:val="footnote reference"/>
    <w:basedOn w:val="DefaultParagraphFont"/>
    <w:uiPriority w:val="99"/>
    <w:semiHidden/>
    <w:unhideWhenUsed/>
    <w:rsid w:val="00D77BD9"/>
    <w:rPr>
      <w:vertAlign w:val="superscript"/>
    </w:rPr>
  </w:style>
  <w:style w:type="character" w:customStyle="1" w:styleId="Heading2Char">
    <w:name w:val="Heading 2 Char"/>
    <w:basedOn w:val="DefaultParagraphFont"/>
    <w:link w:val="Heading2"/>
    <w:uiPriority w:val="9"/>
    <w:rsid w:val="003D431C"/>
    <w:rPr>
      <w:rFonts w:asciiTheme="majorHAnsi" w:eastAsiaTheme="majorEastAsia" w:hAnsiTheme="majorHAnsi" w:cstheme="majorBidi"/>
      <w:color w:val="2F5496" w:themeColor="accent1" w:themeShade="BF"/>
      <w:sz w:val="26"/>
      <w:szCs w:val="26"/>
      <w:lang w:val="en" w:eastAsia="en-GB"/>
    </w:rPr>
  </w:style>
  <w:style w:type="character" w:customStyle="1" w:styleId="Heading3Char">
    <w:name w:val="Heading 3 Char"/>
    <w:basedOn w:val="DefaultParagraphFont"/>
    <w:link w:val="Heading3"/>
    <w:uiPriority w:val="9"/>
    <w:rsid w:val="003D431C"/>
    <w:rPr>
      <w:rFonts w:asciiTheme="majorHAnsi" w:eastAsiaTheme="majorEastAsia" w:hAnsiTheme="majorHAnsi" w:cstheme="majorBidi"/>
      <w:color w:val="1F3763" w:themeColor="accent1" w:themeShade="7F"/>
      <w:sz w:val="24"/>
      <w:szCs w:val="24"/>
      <w:lang w:val="en" w:eastAsia="en-GB"/>
    </w:rPr>
  </w:style>
  <w:style w:type="character" w:customStyle="1" w:styleId="NoSpacingChar">
    <w:name w:val="No Spacing Char"/>
    <w:link w:val="NoSpacing"/>
    <w:uiPriority w:val="1"/>
    <w:rsid w:val="00190B08"/>
    <w:rPr>
      <w:rFonts w:ascii="Arial" w:eastAsia="Arial" w:hAnsi="Arial" w:cs="Arial"/>
      <w:lang w:val="en" w:eastAsia="en-GB"/>
    </w:rPr>
  </w:style>
  <w:style w:type="paragraph" w:styleId="BalloonText">
    <w:name w:val="Balloon Text"/>
    <w:basedOn w:val="Normal"/>
    <w:link w:val="BalloonTextChar"/>
    <w:uiPriority w:val="99"/>
    <w:semiHidden/>
    <w:unhideWhenUsed/>
    <w:rsid w:val="004632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249"/>
    <w:rPr>
      <w:rFonts w:ascii="Segoe UI" w:eastAsia="Arial" w:hAnsi="Segoe UI" w:cs="Segoe UI"/>
      <w:sz w:val="18"/>
      <w:szCs w:val="18"/>
      <w:lang w:val="en" w:eastAsia="en-GB"/>
    </w:rPr>
  </w:style>
  <w:style w:type="character" w:customStyle="1" w:styleId="UnresolvedMention2">
    <w:name w:val="Unresolved Mention2"/>
    <w:basedOn w:val="DefaultParagraphFont"/>
    <w:uiPriority w:val="99"/>
    <w:unhideWhenUsed/>
    <w:rsid w:val="004703FE"/>
    <w:rPr>
      <w:color w:val="605E5C"/>
      <w:shd w:val="clear" w:color="auto" w:fill="E1DFDD"/>
    </w:rPr>
  </w:style>
  <w:style w:type="character" w:customStyle="1" w:styleId="Mention2">
    <w:name w:val="Mention2"/>
    <w:basedOn w:val="DefaultParagraphFont"/>
    <w:uiPriority w:val="99"/>
    <w:unhideWhenUsed/>
    <w:rsid w:val="004703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810">
      <w:bodyDiv w:val="1"/>
      <w:marLeft w:val="0"/>
      <w:marRight w:val="0"/>
      <w:marTop w:val="0"/>
      <w:marBottom w:val="0"/>
      <w:divBdr>
        <w:top w:val="none" w:sz="0" w:space="0" w:color="auto"/>
        <w:left w:val="none" w:sz="0" w:space="0" w:color="auto"/>
        <w:bottom w:val="none" w:sz="0" w:space="0" w:color="auto"/>
        <w:right w:val="none" w:sz="0" w:space="0" w:color="auto"/>
      </w:divBdr>
    </w:div>
    <w:div w:id="154497748">
      <w:bodyDiv w:val="1"/>
      <w:marLeft w:val="0"/>
      <w:marRight w:val="0"/>
      <w:marTop w:val="0"/>
      <w:marBottom w:val="0"/>
      <w:divBdr>
        <w:top w:val="none" w:sz="0" w:space="0" w:color="auto"/>
        <w:left w:val="none" w:sz="0" w:space="0" w:color="auto"/>
        <w:bottom w:val="none" w:sz="0" w:space="0" w:color="auto"/>
        <w:right w:val="none" w:sz="0" w:space="0" w:color="auto"/>
      </w:divBdr>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560865635">
      <w:bodyDiv w:val="1"/>
      <w:marLeft w:val="0"/>
      <w:marRight w:val="0"/>
      <w:marTop w:val="0"/>
      <w:marBottom w:val="0"/>
      <w:divBdr>
        <w:top w:val="none" w:sz="0" w:space="0" w:color="auto"/>
        <w:left w:val="none" w:sz="0" w:space="0" w:color="auto"/>
        <w:bottom w:val="none" w:sz="0" w:space="0" w:color="auto"/>
        <w:right w:val="none" w:sz="0" w:space="0" w:color="auto"/>
      </w:divBdr>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878124936">
      <w:bodyDiv w:val="1"/>
      <w:marLeft w:val="0"/>
      <w:marRight w:val="0"/>
      <w:marTop w:val="0"/>
      <w:marBottom w:val="0"/>
      <w:divBdr>
        <w:top w:val="none" w:sz="0" w:space="0" w:color="auto"/>
        <w:left w:val="none" w:sz="0" w:space="0" w:color="auto"/>
        <w:bottom w:val="none" w:sz="0" w:space="0" w:color="auto"/>
        <w:right w:val="none" w:sz="0" w:space="0" w:color="auto"/>
      </w:divBdr>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10491">
      <w:bodyDiv w:val="1"/>
      <w:marLeft w:val="0"/>
      <w:marRight w:val="0"/>
      <w:marTop w:val="0"/>
      <w:marBottom w:val="0"/>
      <w:divBdr>
        <w:top w:val="none" w:sz="0" w:space="0" w:color="auto"/>
        <w:left w:val="none" w:sz="0" w:space="0" w:color="auto"/>
        <w:bottom w:val="none" w:sz="0" w:space="0" w:color="auto"/>
        <w:right w:val="none" w:sz="0" w:space="0" w:color="auto"/>
      </w:divBdr>
    </w:div>
    <w:div w:id="2011711888">
      <w:bodyDiv w:val="1"/>
      <w:marLeft w:val="0"/>
      <w:marRight w:val="0"/>
      <w:marTop w:val="0"/>
      <w:marBottom w:val="0"/>
      <w:divBdr>
        <w:top w:val="none" w:sz="0" w:space="0" w:color="auto"/>
        <w:left w:val="none" w:sz="0" w:space="0" w:color="auto"/>
        <w:bottom w:val="none" w:sz="0" w:space="0" w:color="auto"/>
        <w:right w:val="none" w:sz="0" w:space="0" w:color="auto"/>
      </w:divBdr>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news/document-library/gavi-programme-funding-guideli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1.safelinks.protection.outlook.com/?url=https%3A%2F%2Fwww.gavi.org%2Fnews%2Fdocument-library%2Ftca-guidelines&amp;data=05%7C01%7Cegormley%40gavi.org%7C990571ac9fe3410660a008da24644b30%7C1de6d9f30daf4df6b9d65959f16f6118%7C0%7C0%7C637862310415669979%7CUnknown%7CTWFpbGZsb3d8eyJWIjoiMC4wLjAwMDAiLCJQIjoiV2luMzIiLCJBTiI6Ik1haWwiLCJXVCI6Mn0%3D%7C3000%7C%7C%7C&amp;sdata=B6%2B91FguaNH9utCfM9aMPU3flVqbPk%2Bgx%2BlgiutijH0%3D&amp;reserved=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GAVI-438364776-957510</_dlc_DocId>
    <_dlc_DocIdUrl xmlns="55894003-98dc-4f3e-8669-85b90bdbcc8c">
      <Url>https://gavinet.sharepoint.com/teams/PAP/srp/_layouts/15/DocIdRedir.aspx?ID=GAVI-438364776-957510</Url>
      <Description>GAVI-438364776-957510</Description>
    </_dlc_DocIdUrl>
    <lcf76f155ced4ddcb4097134ff3c332f xmlns="5c2490db-6e42-4989-a0fb-d6ff54a6a7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8FFAF2-1306-4F52-B385-36FDB76FCD2A}"/>
</file>

<file path=customXml/itemProps2.xml><?xml version="1.0" encoding="utf-8"?>
<ds:datastoreItem xmlns:ds="http://schemas.openxmlformats.org/officeDocument/2006/customXml" ds:itemID="{4EE13C4D-C2AE-4D40-B47B-876AA4F05BD8}">
  <ds:schemaRefs>
    <ds:schemaRef ds:uri="http://schemas.openxmlformats.org/officeDocument/2006/bibliography"/>
  </ds:schemaRefs>
</ds:datastoreItem>
</file>

<file path=customXml/itemProps3.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4.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5.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6.xml><?xml version="1.0" encoding="utf-8"?>
<ds:datastoreItem xmlns:ds="http://schemas.openxmlformats.org/officeDocument/2006/customXml" ds:itemID="{443ABCCA-2525-4A32-B18C-E44E28EFC753}">
  <ds:schemaRefs>
    <ds:schemaRef ds:uri="http://purl.org/dc/elements/1.1/"/>
    <ds:schemaRef ds:uri="http://schemas.microsoft.com/office/2006/metadata/properties"/>
    <ds:schemaRef ds:uri="http://purl.org/dc/terms/"/>
    <ds:schemaRef ds:uri="d0706217-df7c-4bf4-936d-b09aa3b837af"/>
    <ds:schemaRef ds:uri="http://schemas.microsoft.com/office/2006/documentManagement/types"/>
    <ds:schemaRef ds:uri="http://schemas.microsoft.com/office/infopath/2007/PartnerControls"/>
    <ds:schemaRef ds:uri="55894003-98dc-4f3e-8669-85b90bdbcc8c"/>
    <ds:schemaRef ds:uri="5c2490db-6e42-4989-a0fb-d6ff54a6a7de"/>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5973</Words>
  <Characters>34051</Characters>
  <Application>Microsoft Office Word</Application>
  <DocSecurity>0</DocSecurity>
  <Lines>283</Lines>
  <Paragraphs>79</Paragraphs>
  <ScaleCrop>false</ScaleCrop>
  <Company/>
  <LinksUpToDate>false</LinksUpToDate>
  <CharactersWithSpaces>39945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Eoin Gormley</cp:lastModifiedBy>
  <cp:revision>4</cp:revision>
  <dcterms:created xsi:type="dcterms:W3CDTF">2022-05-27T18:55:00Z</dcterms:created>
  <dcterms:modified xsi:type="dcterms:W3CDTF">2022-06-01T18:00:00Z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bbdf047c-8275-425b-a84c-633e56829183</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MediaServiceImageTags">
    <vt:lpwstr/>
  </property>
  <property fmtid="{D5CDD505-2E9C-101B-9397-08002B2CF9AE}" pid="32" name="kfa83adfad8641678ddaedda80d7e126">
    <vt:lpwstr/>
  </property>
  <property fmtid="{D5CDD505-2E9C-101B-9397-08002B2CF9AE}" pid="33" name="Test">
    <vt:lpwstr/>
  </property>
</Properties>
</file>