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384F" w:rsidR="00B435D0" w:rsidP="0C05FD82" w:rsidRDefault="00B435D0" w14:paraId="69D134D5" w14:textId="72F1FB9A">
      <w:pPr>
        <w:pStyle w:val="Caption"/>
        <w:rPr>
          <w:i w:val="0"/>
          <w:iCs w:val="0"/>
          <w:sz w:val="28"/>
          <w:szCs w:val="28"/>
        </w:rPr>
        <w:bidi w:val="0"/>
      </w:pPr>
      <w:r>
        <w:rPr>
          <w:sz w:val="28"/>
          <w:szCs w:val="28"/>
          <w:lang w:val="fr"/>
          <w:b w:val="0"/>
          <w:bCs w:val="0"/>
          <w:i w:val="0"/>
          <w:iCs w:val="0"/>
          <w:u w:val="none"/>
          <w:vertAlign w:val="baseline"/>
          <w:rtl w:val="0"/>
        </w:rPr>
        <w:t xml:space="preserve">Liste de contrôle pour l’intégration des tests de diagnostic rapide dans les systèmes de surveillance de routine de la rougeole</w:t>
      </w:r>
    </w:p>
    <w:p w:rsidRPr="00D66B6E" w:rsidR="00E005B6" w:rsidP="4AF969BE" w:rsidRDefault="00E005B6" w14:paraId="7AD3EDCD" w14:textId="7FCE87D7">
      <w:pPr>
        <w:pStyle w:val="Caption"/>
        <w:rPr>
          <w:sz w:val="22"/>
          <w:szCs w:val="22"/>
        </w:rPr>
        <w:bidi w:val="0"/>
      </w:pPr>
      <w:r>
        <w:rPr>
          <w:sz w:val="22"/>
          <w:szCs w:val="22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Cette liste comprend des exemples d’activités et de bonnes pratiques de dépistage / surveillance de la rougeole que les pays devraient prendre en compte lorsqu’ils sollicitent un soutien au diagnostic à Gavi pour cette maladie. </w:t>
      </w:r>
      <w:r>
        <w:rPr>
          <w:sz w:val="22"/>
          <w:szCs w:val="22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Cette liste a pour but de guider les pays qui mettent en œuvre des programmes de surveillance de la rougeole. Elle est basée sur les </w:t>
      </w:r>
      <w:r>
        <w:rPr>
          <w:sz w:val="22"/>
          <w:szCs w:val="22"/>
          <w:highlight w:val="yellow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orientations opérationnelles et de laboratoire émises par le Réseau mondial de laboratoires de la rougeole et de la rubéole (GMRLN) pour la surveillance de la rubéole-rubéole</w:t>
      </w:r>
      <w:r>
        <w:rPr>
          <w:rStyle w:val="EndnoteReference"/>
          <w:sz w:val="22"/>
          <w:szCs w:val="22"/>
          <w:lang w:val="fr"/>
          <w:b w:val="0"/>
          <w:bCs w:val="0"/>
          <w:i w:val="1"/>
          <w:iCs w:val="1"/>
          <w:u w:val="none"/>
          <w:vertAlign w:val="superscript"/>
          <w:rtl w:val="0"/>
        </w:rPr>
        <w:endnoteReference w:id="1"/>
      </w:r>
      <w:r>
        <w:rPr>
          <w:sz w:val="22"/>
          <w:szCs w:val="22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.</w:t>
      </w:r>
    </w:p>
    <w:p w:rsidRPr="009D1CCD" w:rsidR="00E97BFD" w:rsidP="4AF969BE" w:rsidRDefault="00690014" w14:paraId="00341929" w14:textId="56738F2D">
      <w:pPr>
        <w:pStyle w:val="Caption"/>
        <w:rPr>
          <w:sz w:val="22"/>
          <w:szCs w:val="22"/>
        </w:rPr>
        <w:bidi w:val="0"/>
      </w:pPr>
      <w:r>
        <w:rPr>
          <w:sz w:val="22"/>
          <w:szCs w:val="22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Tableau 1. </w:t>
      </w:r>
      <w:r>
        <w:rPr>
          <w:sz w:val="22"/>
          <w:szCs w:val="22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Liste de contrôle de l’état de préparation à la mise en œuvre du soutien au diagnostic de la rougeole, basée sur les orientations opérationnelles et de laboratoire émises par le GMRLN et les </w:t>
      </w:r>
      <w:r>
        <w:rPr>
          <w:sz w:val="22"/>
          <w:szCs w:val="22"/>
          <w:highlight w:val="yellow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principaux enseignements tirés des études de mise en œuvre pilote</w:t>
      </w:r>
      <w:r>
        <w:rPr>
          <w:sz w:val="22"/>
          <w:szCs w:val="22"/>
          <w:lang w:val="fr"/>
          <w:b w:val="0"/>
          <w:bCs w:val="0"/>
          <w:i w:val="1"/>
          <w:iCs w:val="1"/>
          <w:u w:val="none"/>
          <w:vertAlign w:val="baseline"/>
          <w:rtl w:val="0"/>
        </w:rPr>
        <w:t xml:space="preserve">.</w:t>
      </w:r>
    </w:p>
    <w:tbl>
      <w:tblPr>
        <w:tblStyle w:val="GridTable1Light-Accent1"/>
        <w:tblW w:w="11070" w:type="dxa"/>
        <w:tblInd w:w="-725" w:type="dxa"/>
        <w:tblLook w:val="04A0" w:firstRow="1" w:lastRow="0" w:firstColumn="1" w:lastColumn="0" w:noHBand="0" w:noVBand="1"/>
      </w:tblPr>
      <w:tblGrid>
        <w:gridCol w:w="1557"/>
        <w:gridCol w:w="5193"/>
        <w:gridCol w:w="1102"/>
        <w:gridCol w:w="2153"/>
        <w:gridCol w:w="1065"/>
      </w:tblGrid>
      <w:tr w:rsidR="00CE067A" w:rsidTr="08953A76" w14:paraId="2761C08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279DF7D5" w14:textId="263EF193">
            <w:pPr>
              <w:jc w:val="center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Fonction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72396F95" w14:textId="763D53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Exemples et bonnes pratiques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C739F1" w14:paraId="207A92BA" w14:textId="78FEF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État actuel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C739F1" w14:paraId="195BBD1E" w14:textId="3C719E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Détails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6F72EFAD" w14:textId="7E427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Contact responsable</w:t>
            </w:r>
          </w:p>
        </w:tc>
      </w:tr>
      <w:tr w:rsidR="00CE067A" w:rsidTr="08953A76" w14:paraId="3E0D1D59" w14:textId="7777777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CE067A" w14:paraId="6C22C3B1" w14:textId="2AEBB07F">
            <w:pPr>
              <w:jc w:val="center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Stratégie et orientations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top w:val="double" w:color="4472C4" w:themeColor="accent1" w:sz="4" w:space="0"/>
            </w:tcBorders>
            <w:tcMar/>
            <w:vAlign w:val="center"/>
          </w:tcPr>
          <w:p w:rsidR="00CE067A" w:rsidP="007B3439" w:rsidRDefault="49783F68" w14:paraId="10BB4022" w14:textId="2E4C231D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 w:themeTint="FF" w:themeShade="FF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Plan national d’élimination de la rougeole-rubéole (prévention et riposte aux flambées épidémiques) </w:t>
            </w:r>
          </w:p>
          <w:p w:rsidR="0059396C" w:rsidP="007B3439" w:rsidRDefault="148B4E38" w14:paraId="15D35ABE" w14:textId="558F0F34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La surveillance en structure de santé, la surveillance à base communautaire et la surveillance basée sur les évènements doivent être intégrées de manière systématique pour la détection des cas de rougeole </w:t>
            </w:r>
          </w:p>
          <w:p w:rsidRPr="007B3439" w:rsidR="007B3439" w:rsidP="007B3439" w:rsidRDefault="0059396C" w14:paraId="0CBA4B4D" w14:textId="026FCB35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Définition des flambées épidémiques, système d’alerte et mécanisme de confirmation des flambées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61E76EF6" w14:textId="67F37C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0698B0B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2AC0B5D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01AF9B42" w14:textId="7777777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182BBF2B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C4FFA" w:rsidP="00EC4FFA" w:rsidRDefault="18B4079C" w14:paraId="4B26AE56" w14:textId="393D389B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Définition des cas de rougeole et stratégie d’investigation des cas (orientations du GMRLN)</w:t>
            </w:r>
          </w:p>
          <w:p w:rsidR="00C40EFA" w:rsidP="00EC4FFA" w:rsidRDefault="00EC4FFA" w14:paraId="6151944F" w14:textId="79BE785A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Formulaire d’investigation des cas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11B383AD" w14:textId="5375DD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2ECF49A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614A7D23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4351B257" w14:textId="77777777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48E3E9E6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Pr="00B856EE" w:rsidR="00977D16" w:rsidP="00B856EE" w:rsidRDefault="5C2A2AC3" w14:paraId="6A90FBDD" w14:textId="6EB6C98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Stratégie de dépistage standardisée et algorithme (respect des orientations du GMRLN sur le dépistage en laboratoire)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571B3FED" w14:textId="6BCA2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4B703D7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2BF3CEC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592CD0A9" w14:textId="7777777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303396F6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Pr="00E97BFD" w:rsidR="00EC4FFA" w:rsidP="00EC4FFA" w:rsidRDefault="49463F30" w14:paraId="3E39B5C1" w14:textId="2CF66FC5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Définition et liste des capacités des laboratoires et des structures de santé</w:t>
            </w:r>
          </w:p>
          <w:p w:rsidRPr="00EC4FFA" w:rsidR="00EC4FFA" w:rsidP="00EC4FFA" w:rsidRDefault="00EC4FFA" w14:paraId="46FE7365" w14:textId="7777777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Structures de santé bénéficiaires de tests de diagnostic rapide (p. ex. de niveau 1 et 2)</w:t>
            </w:r>
          </w:p>
          <w:p w:rsidRPr="005B0D65" w:rsidR="005B0D65" w:rsidP="4AF969BE" w:rsidRDefault="31CF6B7E" w14:paraId="4E3F9DB8" w14:textId="2657A5D2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Laboratoire national (capacité de dépistage de confirmation – tests immuno-enzymatiques, tests PCR)</w:t>
            </w:r>
          </w:p>
          <w:p w:rsidRPr="00EC4FFA" w:rsidR="00E97BFD" w:rsidP="005B0D65" w:rsidRDefault="00EC4FFA" w14:paraId="46332FA9" w14:textId="31C784D5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Unités de surveillance et équipes de riposte rapide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34B84D7F" w14:textId="44C13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1D81D89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195E7EA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68C5B21E" w14:textId="7777777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274DCBFF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bottom w:val="double" w:color="4472C4" w:themeColor="accent1" w:sz="4" w:space="0"/>
            </w:tcBorders>
            <w:tcMar/>
            <w:vAlign w:val="center"/>
          </w:tcPr>
          <w:p w:rsidRPr="00E97BFD" w:rsidR="00E97BFD" w:rsidP="00E97BFD" w:rsidRDefault="55034576" w14:paraId="1DBD67D2" w14:textId="59B198C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Orientations et procédures opérationnelles standardisées pour la surveillance de la rougeole</w:t>
            </w:r>
          </w:p>
          <w:p w:rsidRPr="00E97BFD" w:rsidR="00E97BFD" w:rsidP="00E97BFD" w:rsidRDefault="00E97BFD" w14:paraId="51AA6E13" w14:textId="7777777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Exigences et délais pour les rapports</w:t>
            </w:r>
          </w:p>
          <w:p w:rsidRPr="00E97BFD" w:rsidR="00E97BFD" w:rsidP="00E97BFD" w:rsidRDefault="00E97BFD" w14:paraId="6E5ED7C5" w14:textId="7777777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Vérification des données et recommandations pour les investigations de terrain</w:t>
            </w:r>
          </w:p>
          <w:p w:rsidR="00E97BFD" w:rsidP="00E97BFD" w:rsidRDefault="00E97BFD" w14:paraId="6E97BEFD" w14:textId="47889501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Instructions pour l’analyse et l’agrégation des données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4E86E971" w14:textId="44002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28B685B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7D34AC5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1001D3BD" w14:textId="77777777">
        <w:trPr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021F9A" w14:paraId="034F219D" w14:textId="388CD63E">
            <w:pPr>
              <w:jc w:val="center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Considérations opérationnelles (distribution et logistique)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1152F7EB" w14:textId="34F3A5B5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Procédures opérationnelles standardisées pour l’importation des tests de diagnostic</w:t>
            </w:r>
          </w:p>
          <w:p w:rsidR="00F7358A" w:rsidP="00F7358A" w:rsidRDefault="007E147E" w14:paraId="543B424B" w14:textId="7777777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Contact défini au sein de la Division des approvisionnements de l’UNICEF</w:t>
            </w:r>
          </w:p>
          <w:p w:rsidRPr="00E97BFD" w:rsidR="007E147E" w:rsidP="00F7358A" w:rsidRDefault="007E147E" w14:paraId="0DC9290E" w14:textId="257ED03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Procédures d’importation et dérogations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7938A739" w14:textId="55306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0D741BD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3A5CAA6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13658F3E" w14:textId="7777777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3124B47B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97BFD" w:rsidP="00E97BFD" w:rsidRDefault="00E97BFD" w14:paraId="099847B8" w14:textId="7777777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Planification et budgétisation de l’approvisionnement (à plus de 12 mois)</w:t>
            </w:r>
          </w:p>
          <w:p w:rsidRPr="00E35138" w:rsidR="00E35138" w:rsidP="00E97BFD" w:rsidRDefault="00E35138" w14:paraId="7C8D678D" w14:textId="780A3F6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Répartition claire du budget</w:t>
            </w:r>
          </w:p>
          <w:p w:rsidRPr="00E97BFD" w:rsidR="00E97BFD" w:rsidP="00E97BFD" w:rsidRDefault="00606B9D" w14:paraId="682C9CB6" w14:textId="12EAC77E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Nombre d’unités bénéficiaires et méthode de détermination du nombre de tests de diagnostic rapide distribués par unité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1284DDA4" w14:textId="3C4548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0E37A92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08612F7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57CF657D" w14:textId="7777777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43344B84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97BFD" w:rsidP="00E97BFD" w:rsidRDefault="00E97BFD" w14:paraId="4916C637" w14:textId="3B3897F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Suivi des stocks et échelonnement des approvisionnements </w:t>
            </w:r>
          </w:p>
          <w:p w:rsidR="007301BD" w:rsidP="007301BD" w:rsidRDefault="007301BD" w14:paraId="7ABAB0BC" w14:textId="17619A75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Style w:val="cf01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Surveillance des stocks au niveau des unités, des centres de distribution, et au niveau national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  <w:p w:rsidR="00F80693" w:rsidP="007E147E" w:rsidRDefault="007301BD" w14:paraId="52FEA177" w14:textId="7777777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Contact défini au sein de la Division des approvisionnements de l’UNICEF </w:t>
            </w:r>
          </w:p>
          <w:p w:rsidRPr="00C6487E" w:rsidR="006627EE" w:rsidP="00C6487E" w:rsidRDefault="70272D7C" w14:paraId="4841CDCC" w14:textId="18B10A11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Guide écrit destiné à accompagner les premières livraisons afin d’aider les équipes de surveillance à établir des rapports ou renouveler les commandes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1F80EE3E" w14:textId="4904F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30407FE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3578011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68F6E380" w14:textId="7777777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3A34EFCD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97BFD" w:rsidP="00922676" w:rsidRDefault="49783F68" w14:paraId="487FACEC" w14:textId="04FE2D3D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Optimisation du stockage (centres de distribution) et logistique intégrée aux chaînes d’approvisionnement de produits médicaux existantes</w:t>
            </w:r>
          </w:p>
          <w:p w:rsidRPr="00922676" w:rsidR="00922676" w:rsidP="00922676" w:rsidRDefault="00922676" w14:paraId="1BE060BE" w14:textId="4A0C3F2C">
            <w:pPr>
              <w:pStyle w:val="ListParagraph"/>
              <w:numPr>
                <w:ilvl w:val="1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Communication aux unités bénéficiaires pour les informer de l’arrivée des tests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09EC27A0" w14:textId="5E2F0F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43B8ED5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287699C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329E2F5C" w14:textId="7777777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58EDC78F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bottom w:val="double" w:color="4472C4" w:themeColor="accent1" w:sz="4" w:space="0"/>
            </w:tcBorders>
            <w:tcMar/>
            <w:vAlign w:val="center"/>
          </w:tcPr>
          <w:p w:rsidRPr="00606B9D" w:rsidR="00606B9D" w:rsidP="00E97BFD" w:rsidRDefault="00E97BFD" w14:paraId="0528CCB7" w14:textId="09422BD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Orientations sur la gestion des déchets et le réapprovisionnement </w:t>
            </w:r>
          </w:p>
          <w:p w:rsidRPr="00E35138" w:rsidR="00E97BFD" w:rsidP="00606B9D" w:rsidRDefault="00606B9D" w14:paraId="77A9A500" w14:textId="7777777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Documentation sur la durée de conservation des tests et la prévention contre le gaspillage</w:t>
            </w:r>
          </w:p>
          <w:p w:rsidR="00606B9D" w:rsidP="00606B9D" w:rsidRDefault="00606B9D" w14:paraId="350D9EB4" w14:textId="2769979B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Processus de demande de réapprovisionnement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668E2C7D" w14:textId="4E742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774DB41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bottom w:val="double" w:color="4472C4" w:themeColor="accent1" w:sz="4" w:space="0"/>
            </w:tcBorders>
            <w:tcMar/>
            <w:vAlign w:val="center"/>
          </w:tcPr>
          <w:p w:rsidR="00E97BFD" w:rsidP="00E97BFD" w:rsidRDefault="00E97BFD" w14:paraId="7B02B9C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1A1FF29E" w14:textId="7777777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798BA014" w14:textId="0D0138E0">
            <w:pPr>
              <w:jc w:val="center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Utilisation des tests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49783F68" w14:paraId="1D8007B3" w14:textId="34835CD0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Description des fonctions des tests et des cas d’utilisation (orientations du GMRLN)</w:t>
            </w:r>
          </w:p>
          <w:p w:rsidRPr="00A20D07" w:rsidR="00A20D07" w:rsidP="00A20D07" w:rsidRDefault="00A20D07" w14:paraId="3BE29C3B" w14:textId="7777777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Tests de diagnostic rapide pour l’identification des cas et le dépistage</w:t>
            </w:r>
          </w:p>
          <w:p w:rsidRPr="00E97BFD" w:rsidR="00E35138" w:rsidP="00A20D07" w:rsidRDefault="3E5A42F7" w14:paraId="74D36C29" w14:textId="68A1B02C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Tests immuno-enzymatiques, tests PCR en temps réel pour la confirmation et la gestion clinique des cas</w:t>
            </w:r>
          </w:p>
          <w:p w:rsidRPr="00E97BFD" w:rsidR="00E35138" w:rsidP="00A20D07" w:rsidRDefault="3CA0AF88" w14:paraId="1773BCA0" w14:textId="3FA1632A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Classification des cas : </w:t>
            </w:r>
          </w:p>
          <w:p w:rsidRPr="00E97BFD" w:rsidR="00E35138" w:rsidP="4AF969BE" w:rsidRDefault="3CA0AF88" w14:paraId="4779B09B" w14:textId="24D5DECF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Confirmés en laboratoire (anticorps IgM et/ou PCR en temps réel positif) </w:t>
            </w:r>
          </w:p>
          <w:p w:rsidRPr="00E97BFD" w:rsidR="00E35138" w:rsidP="4AF969BE" w:rsidRDefault="3CA0AF88" w14:paraId="5F2E4B13" w14:textId="6275133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  <w:rPr/>
            </w:pPr>
            <w:r w:rsidRPr="08953A76" w:rsidR="3CA0AF88">
              <w:rPr>
                <w:lang w:val="fr-FR"/>
              </w:rPr>
              <w:t xml:space="preserve">Lié épidémiologiquement à un cas confirmé en laboratoire </w:t>
            </w:r>
          </w:p>
          <w:p w:rsidRPr="00E97BFD" w:rsidR="00E35138" w:rsidP="4AF969BE" w:rsidRDefault="3CA0AF88" w14:paraId="484BD5EA" w14:textId="51D6455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Cliniquement compatible </w:t>
            </w:r>
          </w:p>
          <w:p w:rsidRPr="00E97BFD" w:rsidR="00E35138" w:rsidP="4AF969BE" w:rsidRDefault="3CA0AF88" w14:paraId="581ECA37" w14:textId="17ED617F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 w:val="0"/>
            </w:pPr>
            <w:r>
              <w:rPr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Cas écarté / non lié à la rougeole à l’issue des investigations et tests</w:t>
            </w:r>
          </w:p>
          <w:p w:rsidRPr="00E97BFD" w:rsidR="00E35138" w:rsidP="4AF969BE" w:rsidRDefault="00E35138" w14:paraId="7C89204A" w14:textId="2A597F03">
            <w:pPr>
              <w:pStyle w:val="ListParagraph"/>
              <w:ind w:left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33A8AED8" w14:textId="59690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694866F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19A2EB0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5891D3EB" w14:textId="77777777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56AB6745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97BFD" w:rsidP="00E97BFD" w:rsidRDefault="00E97BFD" w14:paraId="02110D9C" w14:textId="7777777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Outils de travail et actions de formation</w:t>
            </w:r>
          </w:p>
          <w:p w:rsidR="00F84338" w:rsidP="007F397D" w:rsidRDefault="00F84338" w14:paraId="63CC5313" w14:textId="0D3BF16A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Instructions d’utilisation (en langue locale)</w:t>
            </w:r>
          </w:p>
          <w:p w:rsidRPr="00922676" w:rsidR="007F397D" w:rsidP="00922676" w:rsidRDefault="24032A31" w14:paraId="08A5B409" w14:textId="41D86442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Formations en présentiel (p. ex. lors d’évènements / ateliers connexes)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57F87B4F" w14:textId="2CC44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729F6ED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696B686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572FB92C" w14:textId="7777777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6D7BD2A8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Pr="00E97BFD" w:rsidR="00E97BFD" w:rsidP="00E97BFD" w:rsidRDefault="49783F68" w14:paraId="424D73A3" w14:textId="5ED3A6A4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Capacité et définition du réseau de laboratoires nationaux et de référence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305A10C1" w14:textId="01DD38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0A417C1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0D42CFE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107242B4" w14:textId="77777777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5CDFB369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Pr="00E97BFD" w:rsidR="00E97BFD" w:rsidP="00E97BFD" w:rsidRDefault="00E97BFD" w14:paraId="0CF2A89A" w14:textId="5586ECB9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Orientations pour la collecte, le stockage et le transport des échantillons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543ACD2C" w14:textId="1EC8D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6EDDF7C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5477BBF3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07F4864E" w14:textId="7777777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0A75BCAD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97BFD" w:rsidP="4AF969BE" w:rsidRDefault="49783F68" w14:paraId="5705CC23" w14:textId="2A229160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Liste des fournitures et systèmes de gestion de la qualité (p. ex. réactifs et consommables nécessaires au dépistage)</w:t>
            </w:r>
          </w:p>
          <w:p w:rsidR="00E97BFD" w:rsidP="4AF969BE" w:rsidRDefault="00E97BFD" w14:paraId="61D3DEAF" w14:textId="3D2935B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1812D55D" w14:textId="195876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259018F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2419AC5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6DA8BAC2" w14:textId="77777777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4AD120DF" w14:textId="27E5F3AE">
            <w:pPr>
              <w:jc w:val="center"/>
              <w:bidi w:val="0"/>
            </w:pPr>
            <w:r>
              <w:rPr>
                <w:lang w:val="fr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Communication et diffusion des données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top w:val="double" w:color="4472C4" w:themeColor="accent1" w:sz="4" w:space="0"/>
            </w:tcBorders>
            <w:tcMar/>
            <w:vAlign w:val="center"/>
          </w:tcPr>
          <w:p w:rsidRPr="00E97BFD" w:rsidR="00E97BFD" w:rsidP="00E97BFD" w:rsidRDefault="49783F68" w14:paraId="5E59D7FC" w14:textId="61059648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Données minimales standard à recueillir pour chaque cas (p. ex. le modèle de formulaire de notification de cas de rougeole) ; Consignation et communication systématique des résultats positifs et négatifs </w:t>
            </w:r>
          </w:p>
          <w:p w:rsidRPr="00E97BFD" w:rsidR="00E97BFD" w:rsidP="4AF969BE" w:rsidRDefault="00E97BFD" w14:paraId="53E6F03D" w14:textId="66EA37D6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5D9B3D35" w14:textId="71C41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27880D6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top w:val="double" w:color="4472C4" w:themeColor="accent1" w:sz="4" w:space="0"/>
            </w:tcBorders>
            <w:tcMar/>
            <w:vAlign w:val="center"/>
          </w:tcPr>
          <w:p w:rsidR="00E97BFD" w:rsidP="00E97BFD" w:rsidRDefault="00E97BFD" w14:paraId="2977A2A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5B1C" w:rsidTr="08953A76" w14:paraId="6AA7C43A" w14:textId="77777777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AB5B1C" w:rsidP="00E97BFD" w:rsidRDefault="00AB5B1C" w14:paraId="737E935F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Borders>
              <w:top w:val="double" w:color="4472C4" w:themeColor="accent1" w:sz="4" w:space="0"/>
            </w:tcBorders>
            <w:tcMar/>
            <w:vAlign w:val="center"/>
          </w:tcPr>
          <w:p w:rsidR="00AB5B1C" w:rsidP="00E97BFD" w:rsidRDefault="0CE82C45" w14:paraId="21C5D2A5" w14:textId="6CB859C6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Indicateurs de dépistage (orientations du GMRLN)</w:t>
            </w:r>
          </w:p>
          <w:p w:rsidR="00B268DC" w:rsidP="00B268DC" w:rsidRDefault="11B3A74C" w14:paraId="6D84E16D" w14:textId="2A42E7FF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Respect de la stratégie de dépistage (tests de diagnostic rapide, tests immuno-enzymatiques, tests PCR en temps réel)</w:t>
            </w:r>
          </w:p>
          <w:p w:rsidR="00B268DC" w:rsidP="00B268DC" w:rsidRDefault="00B268DC" w14:paraId="59E8ABCE" w14:textId="737AAC87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Délai de réception des échantillons par le laboratoire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Borders>
              <w:top w:val="double" w:color="4472C4" w:themeColor="accent1" w:sz="4" w:space="0"/>
            </w:tcBorders>
            <w:tcMar/>
            <w:vAlign w:val="center"/>
          </w:tcPr>
          <w:p w:rsidR="00AB5B1C" w:rsidP="00E97BFD" w:rsidRDefault="00AB5B1C" w14:paraId="4E13E74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Borders>
              <w:top w:val="double" w:color="4472C4" w:themeColor="accent1" w:sz="4" w:space="0"/>
            </w:tcBorders>
            <w:tcMar/>
            <w:vAlign w:val="center"/>
          </w:tcPr>
          <w:p w:rsidR="00AB5B1C" w:rsidP="00E97BFD" w:rsidRDefault="00AB5B1C" w14:paraId="6C9BBE9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Borders>
              <w:top w:val="double" w:color="4472C4" w:themeColor="accent1" w:sz="4" w:space="0"/>
            </w:tcBorders>
            <w:tcMar/>
            <w:vAlign w:val="center"/>
          </w:tcPr>
          <w:p w:rsidR="00AB5B1C" w:rsidP="00E97BFD" w:rsidRDefault="00AB5B1C" w14:paraId="2DECA5F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72CB3F76" w14:textId="77777777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7D11A49A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97BFD" w:rsidP="00E97BFD" w:rsidRDefault="49783F68" w14:paraId="3AB90F6E" w14:textId="3C465D94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Intégration de la communication des résultats des tests de diagnostic rapide aux systèmes d’information opérationnels existants (DSR, laboratoire ou autres)</w:t>
            </w:r>
          </w:p>
          <w:p w:rsidRPr="00E97BFD" w:rsidR="00AB087D" w:rsidP="00F84338" w:rsidRDefault="53387BBF" w14:paraId="40099975" w14:textId="225C52F6">
            <w:pPr>
              <w:pStyle w:val="ListParagraph"/>
              <w:numPr>
                <w:ilvl w:val="1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quelle manière les résultats des tests de diagnostic rapide seront-ils rapportés et intégrés au système national de surveillance existant ?</w:t>
            </w:r>
          </w:p>
          <w:p w:rsidRPr="00E97BFD" w:rsidR="00AB087D" w:rsidP="4AF969BE" w:rsidRDefault="00AB087D" w14:paraId="28E49904" w14:textId="229220C7">
            <w:pPr>
              <w:pStyle w:val="ListParagraph"/>
              <w:ind w:left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64CEE5AC" w14:textId="09DF8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704DF2A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7963554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796281CB" w14:textId="7777777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1A75C91E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Pr="00E97BFD" w:rsidR="00E97BFD" w:rsidP="00E97BFD" w:rsidRDefault="49783F68" w14:paraId="00739E15" w14:textId="5621494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Interprétation des données et suivi des indicateurs (p. ex. respect de l’algorithme de dépistage)</w:t>
            </w:r>
          </w:p>
          <w:p w:rsidRPr="00E97BFD" w:rsidR="00E97BFD" w:rsidP="4AF969BE" w:rsidRDefault="00E97BFD" w14:paraId="33B13C65" w14:textId="057B5A2D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3166C6E2" w14:textId="60191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4EE89DE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4CFF4E0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11F723DE" w14:textId="7777777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531A3B9C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Pr="00E97BFD" w:rsidR="00E97BFD" w:rsidP="00E97BFD" w:rsidRDefault="49783F68" w14:paraId="451EAE09" w14:textId="32DEB598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Communication et diffusion des données</w:t>
            </w:r>
          </w:p>
          <w:p w:rsidRPr="00E97BFD" w:rsidR="00E97BFD" w:rsidP="4AF969BE" w:rsidRDefault="00E97BFD" w14:paraId="306DBB0C" w14:textId="4E36FD7A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7CAD79FF" w14:textId="3EE9E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262E262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537A32A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067A" w:rsidTr="08953A76" w14:paraId="2A929CD2" w14:textId="7777777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tcMar/>
            <w:vAlign w:val="center"/>
          </w:tcPr>
          <w:p w:rsidR="00E97BFD" w:rsidP="00E97BFD" w:rsidRDefault="00E97BFD" w14:paraId="5127A947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93" w:type="dxa"/>
            <w:tcMar/>
            <w:vAlign w:val="center"/>
          </w:tcPr>
          <w:p w:rsidR="00E97BFD" w:rsidP="4AF969BE" w:rsidRDefault="49783F68" w14:paraId="3D16117A" w14:textId="1C5E8D0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</w:rPr>
              <w:bidi w:val="0"/>
            </w:pPr>
            <w:r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  <w:lang w:val="fr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Utilisation des données et prise de décisions fondées sur des données probantes (p. ex. intégration dans le plan de vaccination)</w:t>
            </w:r>
          </w:p>
          <w:p w:rsidR="00E97BFD" w:rsidP="4AF969BE" w:rsidRDefault="00E97BFD" w14:paraId="7995FA62" w14:textId="20FD3873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02" w:type="dxa"/>
            <w:tcMar/>
            <w:vAlign w:val="center"/>
          </w:tcPr>
          <w:p w:rsidR="00E97BFD" w:rsidP="00E97BFD" w:rsidRDefault="00E97BFD" w14:paraId="09B36988" w14:textId="2EB8C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53" w:type="dxa"/>
            <w:tcMar/>
            <w:vAlign w:val="center"/>
          </w:tcPr>
          <w:p w:rsidR="00E97BFD" w:rsidP="00E97BFD" w:rsidRDefault="00E97BFD" w14:paraId="42E4377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  <w:vAlign w:val="center"/>
          </w:tcPr>
          <w:p w:rsidR="00E97BFD" w:rsidP="00E97BFD" w:rsidRDefault="00E97BFD" w14:paraId="483168E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84026" w:rsidRDefault="00584026" w14:paraId="06BCA40C" w14:textId="77777777"/>
    <w:sectPr w:rsidR="00584026" w:rsidSect="00945A3E">
      <w:headerReference w:type="default" r:id="rId17"/>
      <w:footerReference w:type="default" r:id="rId18"/>
      <w:pgSz w:w="12240" w:h="15840" w:orient="portrait"/>
      <w:pgMar w:top="90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245" w:rsidP="00B73E04" w:rsidRDefault="001E4245" w14:paraId="7339E040" w14:textId="77777777">
      <w:pPr>
        <w:spacing w:after="0" w:line="240" w:lineRule="auto"/>
      </w:pPr>
      <w:r>
        <w:separator/>
      </w:r>
    </w:p>
  </w:endnote>
  <w:endnote w:type="continuationSeparator" w:id="0">
    <w:p w:rsidR="001E4245" w:rsidP="00B73E04" w:rsidRDefault="001E4245" w14:paraId="1F09B4D7" w14:textId="77777777">
      <w:pPr>
        <w:spacing w:after="0" w:line="240" w:lineRule="auto"/>
      </w:pPr>
      <w:r>
        <w:continuationSeparator/>
      </w:r>
    </w:p>
  </w:endnote>
  <w:endnote w:id="1">
    <w:p w:rsidR="00B73E04" w:rsidP="4AF969BE" w:rsidRDefault="00B73E04" w14:paraId="111EF5DB" w14:textId="4F928A3E">
      <w:pPr>
        <w:pStyle w:val="EndnoteText"/>
        <w:rPr>
          <w:highlight w:val="yellow"/>
        </w:rPr>
        <w:bidi w:val="0"/>
      </w:pPr>
      <w:r>
        <w:rPr>
          <w:rStyle w:val="EndnoteReference"/>
          <w:lang w:val="fr"/>
          <w:b w:val="0"/>
          <w:bCs w:val="0"/>
          <w:i w:val="0"/>
          <w:iCs w:val="0"/>
          <w:u w:val="none"/>
          <w:vertAlign w:val="superscript"/>
          <w:rtl w:val="0"/>
        </w:rPr>
        <w:endnoteRef/>
      </w:r>
      <w:r>
        <w:rPr>
          <w:lang w:val="fr"/>
          <w:b w:val="0"/>
          <w:bCs w:val="0"/>
          <w:i w:val="0"/>
          <w:iCs w:val="0"/>
          <w:u w:val="none"/>
          <w:vertAlign w:val="baseline"/>
          <w:rtl w:val="0"/>
        </w:rPr>
        <w:t xml:space="preserve"> </w:t>
      </w:r>
      <w:r>
        <w:rPr>
          <w:highlight w:val="yellow"/>
          <w:lang w:val="fr"/>
          <w:b w:val="0"/>
          <w:bCs w:val="0"/>
          <w:i w:val="0"/>
          <w:iCs w:val="0"/>
          <w:u w:val="none"/>
          <w:vertAlign w:val="baseline"/>
          <w:rtl w:val="0"/>
        </w:rPr>
        <w:t xml:space="preserve">Disponible ici :</w:t>
      </w:r>
      <w:r>
        <w:rPr>
          <w:lang w:val="fr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5D0" w:rsidRDefault="4AF969BE" w14:paraId="5E22939B" w14:textId="6EABDEBA">
    <w:pPr>
      <w:pStyle w:val="Footer"/>
      <w:bidi w:val="0"/>
    </w:pPr>
    <w:r>
      <w:rPr>
        <w:lang w:val="fr"/>
        <w:b w:val="0"/>
        <w:bCs w:val="0"/>
        <w:i w:val="0"/>
        <w:iCs w:val="0"/>
        <w:u w:val="none"/>
        <w:vertAlign w:val="baseline"/>
        <w:rtl w:val="0"/>
      </w:rPr>
      <w:t xml:space="preserve">Liste de contrôle pour l’intégration des tests de diagnostic rapide dans les systèmes de surveillance de routine de la rougeole, version 1.0 de juin 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245" w:rsidP="00B73E04" w:rsidRDefault="001E4245" w14:paraId="150BA343" w14:textId="77777777">
      <w:pPr>
        <w:spacing w:after="0" w:line="240" w:lineRule="auto"/>
      </w:pPr>
      <w:r>
        <w:separator/>
      </w:r>
    </w:p>
  </w:footnote>
  <w:footnote w:type="continuationSeparator" w:id="0">
    <w:p w:rsidR="001E4245" w:rsidP="00B73E04" w:rsidRDefault="001E4245" w14:paraId="0EFF10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F969BE" w:rsidTr="4AF969BE" w14:paraId="2C15C2FA" w14:textId="77777777">
      <w:trPr>
        <w:trHeight w:val="300"/>
      </w:trPr>
      <w:tc>
        <w:tcPr>
          <w:tcW w:w="3120" w:type="dxa"/>
        </w:tcPr>
        <w:p w:rsidR="4AF969BE" w:rsidP="4AF969BE" w:rsidRDefault="4AF969BE" w14:paraId="5A5A5291" w14:textId="0D5FC0BB">
          <w:pPr>
            <w:pStyle w:val="Header"/>
            <w:ind w:left="-115"/>
          </w:pPr>
        </w:p>
      </w:tc>
      <w:tc>
        <w:tcPr>
          <w:tcW w:w="3120" w:type="dxa"/>
        </w:tcPr>
        <w:p w:rsidR="4AF969BE" w:rsidP="4AF969BE" w:rsidRDefault="4AF969BE" w14:paraId="0459DF8D" w14:textId="581D5461">
          <w:pPr>
            <w:pStyle w:val="Header"/>
            <w:jc w:val="center"/>
          </w:pPr>
        </w:p>
      </w:tc>
      <w:tc>
        <w:tcPr>
          <w:tcW w:w="3120" w:type="dxa"/>
        </w:tcPr>
        <w:p w:rsidR="4AF969BE" w:rsidP="4AF969BE" w:rsidRDefault="4AF969BE" w14:paraId="2B3CDC7D" w14:textId="2465B965">
          <w:pPr>
            <w:pStyle w:val="Header"/>
            <w:ind w:right="-115"/>
            <w:jc w:val="right"/>
          </w:pPr>
        </w:p>
      </w:tc>
    </w:tr>
  </w:tbl>
  <w:p w:rsidR="4AF969BE" w:rsidP="4AF969BE" w:rsidRDefault="4AF969BE" w14:paraId="1C764926" w14:textId="69F29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BB7"/>
    <w:multiLevelType w:val="hybridMultilevel"/>
    <w:tmpl w:val="58C02B4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A7F5839"/>
    <w:multiLevelType w:val="hybridMultilevel"/>
    <w:tmpl w:val="7B2EFC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A108DC"/>
    <w:multiLevelType w:val="hybridMultilevel"/>
    <w:tmpl w:val="677EC502"/>
    <w:lvl w:ilvl="0" w:tplc="789A28AA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6A8AB8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ACB1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FAC5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6E9F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AAC3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A7A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B8C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D80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D82538"/>
    <w:multiLevelType w:val="hybridMultilevel"/>
    <w:tmpl w:val="0CAA1442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4603B8"/>
    <w:multiLevelType w:val="hybridMultilevel"/>
    <w:tmpl w:val="972CFE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055E3D"/>
    <w:multiLevelType w:val="hybridMultilevel"/>
    <w:tmpl w:val="CCE6485A"/>
    <w:lvl w:ilvl="0" w:tplc="2A94D40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800A5D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28E3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D259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3C7D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6E67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DAB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3A6F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ECCB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4A9856"/>
    <w:multiLevelType w:val="hybridMultilevel"/>
    <w:tmpl w:val="7E168968"/>
    <w:lvl w:ilvl="0" w:tplc="C6A2AAD8">
      <w:start w:val="1"/>
      <w:numFmt w:val="bullet"/>
      <w:lvlText w:val="▫"/>
      <w:lvlJc w:val="left"/>
      <w:pPr>
        <w:ind w:left="1800" w:hanging="360"/>
      </w:pPr>
      <w:rPr>
        <w:rFonts w:hint="default" w:ascii="Courier New" w:hAnsi="Courier New"/>
      </w:rPr>
    </w:lvl>
    <w:lvl w:ilvl="1" w:tplc="8C7CDDA2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32C624DA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1EC82386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4490B65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B0EA7F94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866E20C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9A345DE2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1BA6F02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7" w15:restartNumberingAfterBreak="0">
    <w:nsid w:val="3A4A7516"/>
    <w:multiLevelType w:val="hybridMultilevel"/>
    <w:tmpl w:val="49EC42E0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AED3DEB"/>
    <w:multiLevelType w:val="hybridMultilevel"/>
    <w:tmpl w:val="995CDB3C"/>
    <w:lvl w:ilvl="0" w:tplc="921A6630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BBE7AD2"/>
    <w:multiLevelType w:val="hybridMultilevel"/>
    <w:tmpl w:val="1E5AD0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42D4F0D"/>
    <w:multiLevelType w:val="hybridMultilevel"/>
    <w:tmpl w:val="BF6643B8"/>
    <w:lvl w:ilvl="0" w:tplc="0409000D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670D2C2F"/>
    <w:multiLevelType w:val="hybridMultilevel"/>
    <w:tmpl w:val="7A76A5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68606673">
    <w:abstractNumId w:val="6"/>
  </w:num>
  <w:num w:numId="2" w16cid:durableId="1081566842">
    <w:abstractNumId w:val="5"/>
  </w:num>
  <w:num w:numId="3" w16cid:durableId="970328254">
    <w:abstractNumId w:val="2"/>
  </w:num>
  <w:num w:numId="4" w16cid:durableId="1461655386">
    <w:abstractNumId w:val="1"/>
  </w:num>
  <w:num w:numId="5" w16cid:durableId="1686053101">
    <w:abstractNumId w:val="9"/>
  </w:num>
  <w:num w:numId="6" w16cid:durableId="1945185987">
    <w:abstractNumId w:val="4"/>
  </w:num>
  <w:num w:numId="7" w16cid:durableId="212347321">
    <w:abstractNumId w:val="11"/>
  </w:num>
  <w:num w:numId="8" w16cid:durableId="1863744769">
    <w:abstractNumId w:val="10"/>
  </w:num>
  <w:num w:numId="9" w16cid:durableId="149097904">
    <w:abstractNumId w:val="8"/>
  </w:num>
  <w:num w:numId="10" w16cid:durableId="2135900569">
    <w:abstractNumId w:val="7"/>
  </w:num>
  <w:num w:numId="11" w16cid:durableId="552159680">
    <w:abstractNumId w:val="3"/>
  </w:num>
  <w:num w:numId="12" w16cid:durableId="9929863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6"/>
    <w:rsid w:val="000029AF"/>
    <w:rsid w:val="0001768F"/>
    <w:rsid w:val="00021F9A"/>
    <w:rsid w:val="00057E43"/>
    <w:rsid w:val="0006657F"/>
    <w:rsid w:val="0007313D"/>
    <w:rsid w:val="0008622A"/>
    <w:rsid w:val="00091A01"/>
    <w:rsid w:val="000D7FBB"/>
    <w:rsid w:val="0010585F"/>
    <w:rsid w:val="0010592E"/>
    <w:rsid w:val="00124A71"/>
    <w:rsid w:val="00144045"/>
    <w:rsid w:val="00163101"/>
    <w:rsid w:val="001A7CEE"/>
    <w:rsid w:val="001D50C9"/>
    <w:rsid w:val="001E4245"/>
    <w:rsid w:val="0023305D"/>
    <w:rsid w:val="00246049"/>
    <w:rsid w:val="00263B63"/>
    <w:rsid w:val="00291D27"/>
    <w:rsid w:val="00297165"/>
    <w:rsid w:val="002B790D"/>
    <w:rsid w:val="003144ED"/>
    <w:rsid w:val="00326C6C"/>
    <w:rsid w:val="00335334"/>
    <w:rsid w:val="00375BEF"/>
    <w:rsid w:val="00391A8D"/>
    <w:rsid w:val="00452F7A"/>
    <w:rsid w:val="004640EB"/>
    <w:rsid w:val="004A03DE"/>
    <w:rsid w:val="004A03FB"/>
    <w:rsid w:val="004D0441"/>
    <w:rsid w:val="004D2F2B"/>
    <w:rsid w:val="0053459D"/>
    <w:rsid w:val="00552B45"/>
    <w:rsid w:val="00584026"/>
    <w:rsid w:val="0059396C"/>
    <w:rsid w:val="005B0D65"/>
    <w:rsid w:val="005B4EC1"/>
    <w:rsid w:val="005D102C"/>
    <w:rsid w:val="005F6B09"/>
    <w:rsid w:val="00606B9D"/>
    <w:rsid w:val="00612CD9"/>
    <w:rsid w:val="00631FCD"/>
    <w:rsid w:val="006627EE"/>
    <w:rsid w:val="00690014"/>
    <w:rsid w:val="006A7453"/>
    <w:rsid w:val="00704C3E"/>
    <w:rsid w:val="007301BD"/>
    <w:rsid w:val="007351F5"/>
    <w:rsid w:val="007475EC"/>
    <w:rsid w:val="00775047"/>
    <w:rsid w:val="007ACA62"/>
    <w:rsid w:val="007B3439"/>
    <w:rsid w:val="007C1197"/>
    <w:rsid w:val="007D1B3A"/>
    <w:rsid w:val="007E02E7"/>
    <w:rsid w:val="007E147E"/>
    <w:rsid w:val="007F06BA"/>
    <w:rsid w:val="007F397D"/>
    <w:rsid w:val="008057A7"/>
    <w:rsid w:val="00826D75"/>
    <w:rsid w:val="00897FAB"/>
    <w:rsid w:val="008A423D"/>
    <w:rsid w:val="008D79AC"/>
    <w:rsid w:val="008E329D"/>
    <w:rsid w:val="00906578"/>
    <w:rsid w:val="00922676"/>
    <w:rsid w:val="00945A3E"/>
    <w:rsid w:val="009559D0"/>
    <w:rsid w:val="00977D16"/>
    <w:rsid w:val="00985575"/>
    <w:rsid w:val="009D1CCD"/>
    <w:rsid w:val="009E614F"/>
    <w:rsid w:val="009E7288"/>
    <w:rsid w:val="00A20D07"/>
    <w:rsid w:val="00A4525F"/>
    <w:rsid w:val="00A46155"/>
    <w:rsid w:val="00A557A4"/>
    <w:rsid w:val="00A63E24"/>
    <w:rsid w:val="00A81B00"/>
    <w:rsid w:val="00A861C7"/>
    <w:rsid w:val="00AB087D"/>
    <w:rsid w:val="00AB5B1C"/>
    <w:rsid w:val="00B268DC"/>
    <w:rsid w:val="00B332B8"/>
    <w:rsid w:val="00B435D0"/>
    <w:rsid w:val="00B56A68"/>
    <w:rsid w:val="00B73E04"/>
    <w:rsid w:val="00B856EE"/>
    <w:rsid w:val="00B93450"/>
    <w:rsid w:val="00BE49D4"/>
    <w:rsid w:val="00C40EFA"/>
    <w:rsid w:val="00C43D76"/>
    <w:rsid w:val="00C51115"/>
    <w:rsid w:val="00C6487E"/>
    <w:rsid w:val="00C739F1"/>
    <w:rsid w:val="00C77FB9"/>
    <w:rsid w:val="00C9384F"/>
    <w:rsid w:val="00CC1B37"/>
    <w:rsid w:val="00CE067A"/>
    <w:rsid w:val="00D10016"/>
    <w:rsid w:val="00D66B6E"/>
    <w:rsid w:val="00D75898"/>
    <w:rsid w:val="00D90707"/>
    <w:rsid w:val="00E005B6"/>
    <w:rsid w:val="00E264B6"/>
    <w:rsid w:val="00E35138"/>
    <w:rsid w:val="00E4039C"/>
    <w:rsid w:val="00E40932"/>
    <w:rsid w:val="00E62CD9"/>
    <w:rsid w:val="00E97BFD"/>
    <w:rsid w:val="00EB69F3"/>
    <w:rsid w:val="00EC4FFA"/>
    <w:rsid w:val="00ED7EE0"/>
    <w:rsid w:val="00F160FE"/>
    <w:rsid w:val="00F7358A"/>
    <w:rsid w:val="00F73E5A"/>
    <w:rsid w:val="00F80693"/>
    <w:rsid w:val="00F84338"/>
    <w:rsid w:val="00F87DBC"/>
    <w:rsid w:val="00FC3841"/>
    <w:rsid w:val="00FD6306"/>
    <w:rsid w:val="040F10B5"/>
    <w:rsid w:val="04D0AB3C"/>
    <w:rsid w:val="04E3205D"/>
    <w:rsid w:val="08953A76"/>
    <w:rsid w:val="0933DC0F"/>
    <w:rsid w:val="0993DDD3"/>
    <w:rsid w:val="0A7C0F6B"/>
    <w:rsid w:val="0B5FCD0D"/>
    <w:rsid w:val="0C05FD82"/>
    <w:rsid w:val="0CB9CB4D"/>
    <w:rsid w:val="0CE82C45"/>
    <w:rsid w:val="0DC53A41"/>
    <w:rsid w:val="1080E5AE"/>
    <w:rsid w:val="1142B19F"/>
    <w:rsid w:val="11B3A74C"/>
    <w:rsid w:val="11E7D6EE"/>
    <w:rsid w:val="1288F308"/>
    <w:rsid w:val="133905C0"/>
    <w:rsid w:val="137F57BA"/>
    <w:rsid w:val="13C26D3C"/>
    <w:rsid w:val="13DFC3C1"/>
    <w:rsid w:val="148B4E38"/>
    <w:rsid w:val="152836E7"/>
    <w:rsid w:val="1643A78E"/>
    <w:rsid w:val="166B9F43"/>
    <w:rsid w:val="18B4079C"/>
    <w:rsid w:val="19D89A03"/>
    <w:rsid w:val="1C1A3337"/>
    <w:rsid w:val="1CFB5B96"/>
    <w:rsid w:val="1D63229D"/>
    <w:rsid w:val="1EC2CFFC"/>
    <w:rsid w:val="21397AF8"/>
    <w:rsid w:val="24032A31"/>
    <w:rsid w:val="24B937A1"/>
    <w:rsid w:val="24E1860E"/>
    <w:rsid w:val="287EEB52"/>
    <w:rsid w:val="2922264A"/>
    <w:rsid w:val="2A3AE623"/>
    <w:rsid w:val="2B918912"/>
    <w:rsid w:val="2C9CBDA4"/>
    <w:rsid w:val="2CE373F8"/>
    <w:rsid w:val="2DE56C63"/>
    <w:rsid w:val="2DE6E46A"/>
    <w:rsid w:val="2F5ACA69"/>
    <w:rsid w:val="2FA0CD4D"/>
    <w:rsid w:val="31CF6B7E"/>
    <w:rsid w:val="35327B5A"/>
    <w:rsid w:val="35F02C92"/>
    <w:rsid w:val="362EDC9F"/>
    <w:rsid w:val="3900B2CD"/>
    <w:rsid w:val="3C8E3C81"/>
    <w:rsid w:val="3CA0AF88"/>
    <w:rsid w:val="3D1BB211"/>
    <w:rsid w:val="3D264CD4"/>
    <w:rsid w:val="3E5A42F7"/>
    <w:rsid w:val="3EBEE4D7"/>
    <w:rsid w:val="3F56EB56"/>
    <w:rsid w:val="40524AF6"/>
    <w:rsid w:val="4294C5AC"/>
    <w:rsid w:val="42C04ADA"/>
    <w:rsid w:val="44A7DE83"/>
    <w:rsid w:val="44B55B90"/>
    <w:rsid w:val="44BABBA4"/>
    <w:rsid w:val="45EF0EB5"/>
    <w:rsid w:val="4709C697"/>
    <w:rsid w:val="48F5D5BB"/>
    <w:rsid w:val="4917FA01"/>
    <w:rsid w:val="49463F30"/>
    <w:rsid w:val="4956D5D9"/>
    <w:rsid w:val="49783F68"/>
    <w:rsid w:val="49AF7315"/>
    <w:rsid w:val="4AA7AF21"/>
    <w:rsid w:val="4AF969BE"/>
    <w:rsid w:val="4B8049EB"/>
    <w:rsid w:val="4CB6A9DE"/>
    <w:rsid w:val="50CCB61C"/>
    <w:rsid w:val="53387BBF"/>
    <w:rsid w:val="55034576"/>
    <w:rsid w:val="5764EB7E"/>
    <w:rsid w:val="5AAFB941"/>
    <w:rsid w:val="5B0B7654"/>
    <w:rsid w:val="5C2A2AC3"/>
    <w:rsid w:val="5C78BAD3"/>
    <w:rsid w:val="5DE82E4F"/>
    <w:rsid w:val="5F2DA00A"/>
    <w:rsid w:val="62980CB6"/>
    <w:rsid w:val="62F42522"/>
    <w:rsid w:val="6405C375"/>
    <w:rsid w:val="645FD908"/>
    <w:rsid w:val="66597079"/>
    <w:rsid w:val="66C3825D"/>
    <w:rsid w:val="68146FA5"/>
    <w:rsid w:val="69A60474"/>
    <w:rsid w:val="69BE8922"/>
    <w:rsid w:val="69D2C89E"/>
    <w:rsid w:val="6C1D50D5"/>
    <w:rsid w:val="6DB0BD66"/>
    <w:rsid w:val="6F0DF1A7"/>
    <w:rsid w:val="70272D7C"/>
    <w:rsid w:val="70C24349"/>
    <w:rsid w:val="719D52F7"/>
    <w:rsid w:val="7233AD71"/>
    <w:rsid w:val="7235ABAA"/>
    <w:rsid w:val="74343E81"/>
    <w:rsid w:val="747CFBEA"/>
    <w:rsid w:val="755AE38B"/>
    <w:rsid w:val="773C6504"/>
    <w:rsid w:val="79B0ABDB"/>
    <w:rsid w:val="7A92D564"/>
    <w:rsid w:val="7B6C928A"/>
    <w:rsid w:val="7D38F55B"/>
    <w:rsid w:val="7E324BCC"/>
    <w:rsid w:val="7F86F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54B2B"/>
  <w15:chartTrackingRefBased/>
  <w15:docId w15:val="{68BCBFBC-3EDC-43C4-A22A-1C6487AF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05B6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05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00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4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EC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B4EC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C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4EC1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475EC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91A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1A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7B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E97BFD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f01" w:customStyle="1">
    <w:name w:val="cf01"/>
    <w:basedOn w:val="DefaultParagraphFont"/>
    <w:rsid w:val="00F80693"/>
    <w:rPr>
      <w:rFonts w:hint="default"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3E04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B73E04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B73E0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35D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35D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35D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35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2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11" /><Relationship Type="http://schemas.microsoft.com/office/2016/09/relationships/commentsIds" Target="commentsIds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microsoft.com/office/2011/relationships/commentsExtended" Target="commentsExtended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304A6F391AE449A40C698E8400546" ma:contentTypeVersion="12" ma:contentTypeDescription="Create a new document." ma:contentTypeScope="" ma:versionID="db9576e44a5d278ff9feb5b396b5ca67">
  <xsd:schema xmlns:xsd="http://www.w3.org/2001/XMLSchema" xmlns:xs="http://www.w3.org/2001/XMLSchema" xmlns:p="http://schemas.microsoft.com/office/2006/metadata/properties" xmlns:ns2="597b3441-44d7-4962-b21f-7a5e05f8edfa" targetNamespace="http://schemas.microsoft.com/office/2006/metadata/properties" ma:root="true" ma:fieldsID="fd7eb77abb9b4b63b887df6a154106b0" ns2:_="">
    <xsd:import namespace="597b3441-44d7-4962-b21f-7a5e05f8e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3441-44d7-4962-b21f-7a5e05f8e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7b3441-44d7-4962-b21f-7a5e05f8ed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54615A02271B2F4E9A5033F8109D591F" ma:contentTypeVersion="167" ma:contentTypeDescription="Gavi Document content type " ma:contentTypeScope="" ma:versionID="68730dca2a711b3053c4ab45c3c17b5c">
  <xsd:schema xmlns:xsd="http://www.w3.org/2001/XMLSchema" xmlns:xs="http://www.w3.org/2001/XMLSchema" xmlns:p="http://schemas.microsoft.com/office/2006/metadata/properties" xmlns:ns2="d0706217-df7c-4bf4-936d-b09aa3b837af" xmlns:ns3="700359ba-e36c-422a-9925-ddada98091a9" xmlns:ns4="998dc545-0596-47bf-b914-7a05e078b45d" targetNamespace="http://schemas.microsoft.com/office/2006/metadata/properties" ma:root="true" ma:fieldsID="0f37646bba0f2ead3a891b437b8598d4" ns2:_="" ns3:_="" ns4:_="">
    <xsd:import namespace="d0706217-df7c-4bf4-936d-b09aa3b837af"/>
    <xsd:import namespace="700359ba-e36c-422a-9925-ddada98091a9"/>
    <xsd:import namespace="998dc545-0596-47bf-b914-7a05e078b45d"/>
    <xsd:element name="properties">
      <xsd:complexType>
        <xsd:sequence>
          <xsd:element name="documentManagement">
            <xsd:complexType>
              <xsd:all>
                <xsd:element ref="ns2:e47ceaa0d61b4bfeb3c21883d9680a10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e47ceaa0d61b4bfeb3c21883d9680a10" ma:index="5" nillable="true" ma:taxonomy="true" ma:internalName="e47ceaa0d61b4bfeb3c21883d9680a10" ma:taxonomyFieldName="Health" ma:displayName="Diseases" ma:default="" ma:fieldId="{e47ceaa0-d61b-4bfe-b3c2-1883d9680a10}" ma:taxonomyMulti="true" ma:sspId="93cb0222-e980-4273-ad97-85dba3159c09" ma:termSetId="20ac6292-eacc-418b-877a-88a7e47492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be8d0b83-5287-4986-bb7f-bce56a97355c}" ma:internalName="TaxCatchAll" ma:showField="CatchAllData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be8d0b83-5287-4986-bb7f-bce56a97355c}" ma:internalName="TaxCatchAllLabel" ma:readOnly="true" ma:showField="CatchAllDataLabel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59ba-e36c-422a-9925-ddada98091a9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dc545-0596-47bf-b914-7a05e078b45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FB96E7-14BE-4528-A61E-7F5629767B7C}"/>
</file>

<file path=customXml/itemProps2.xml><?xml version="1.0" encoding="utf-8"?>
<ds:datastoreItem xmlns:ds="http://schemas.openxmlformats.org/officeDocument/2006/customXml" ds:itemID="{D50FA937-C6EC-4BB4-885E-9E134FFFBA74}">
  <ds:schemaRefs>
    <ds:schemaRef ds:uri="http://schemas.microsoft.com/office/2006/metadata/properties"/>
    <ds:schemaRef ds:uri="http://schemas.microsoft.com/office/infopath/2007/PartnerControls"/>
    <ds:schemaRef ds:uri="d0706217-df7c-4bf4-936d-b09aa3b837af"/>
    <ds:schemaRef ds:uri="998dc545-0596-47bf-b914-7a05e078b45d"/>
    <ds:schemaRef ds:uri="700359ba-e36c-422a-9925-ddada98091a9"/>
  </ds:schemaRefs>
</ds:datastoreItem>
</file>

<file path=customXml/itemProps3.xml><?xml version="1.0" encoding="utf-8"?>
<ds:datastoreItem xmlns:ds="http://schemas.openxmlformats.org/officeDocument/2006/customXml" ds:itemID="{AACF7044-6931-456C-892A-A9F6BB9E93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3FD0D6-093A-8042-8874-40E85601B0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8CBEDB-705F-4AD2-AE5F-1534BEF24DE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BA842EE-AAFE-4DEC-9DE9-8B154CB5C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06217-df7c-4bf4-936d-b09aa3b837af"/>
    <ds:schemaRef ds:uri="700359ba-e36c-422a-9925-ddada98091a9"/>
    <ds:schemaRef ds:uri="998dc545-0596-47bf-b914-7a05e078b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GAVI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André Morais</dc:creator>
  <keywords/>
  <dc:description/>
  <lastModifiedBy>Colin Paterson (Consultant)</lastModifiedBy>
  <revision>12</revision>
  <dcterms:created xsi:type="dcterms:W3CDTF">2024-05-17T21:41:00.0000000Z</dcterms:created>
  <dcterms:modified xsi:type="dcterms:W3CDTF">2026-08-17T10:03:23.3091337Z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2024-04-24T08:54:26Z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13138abd-1d71-4e26-b4c3-82ca6eb6f11f</vt:lpwstr>
  </property>
  <property fmtid="{D5CDD505-2E9C-101B-9397-08002B2CF9AE}" pid="8" name="MSIP_Label_0a957285-7815-485a-9751-5b273b784ad5_ContentBits">
    <vt:lpwstr>0</vt:lpwstr>
  </property>
  <property fmtid="{D5CDD505-2E9C-101B-9397-08002B2CF9AE}" pid="9" name="ContentTypeId">
    <vt:lpwstr>0x010100B3E304A6F391AE449A40C698E8400546</vt:lpwstr>
  </property>
  <property fmtid="{D5CDD505-2E9C-101B-9397-08002B2CF9AE}" pid="10" name="_dlc_DocIdItemGuid">
    <vt:lpwstr>9ae36fb2-2570-4b90-8b19-247d5b1c1368</vt:lpwstr>
  </property>
  <property fmtid="{D5CDD505-2E9C-101B-9397-08002B2CF9AE}" pid="11" name="MediaServiceImageTags">
    <vt:lpwstr/>
  </property>
  <property fmtid="{D5CDD505-2E9C-101B-9397-08002B2CF9AE}" pid="12" name="Health">
    <vt:lpwstr/>
  </property>
  <property fmtid="{D5CDD505-2E9C-101B-9397-08002B2CF9AE}" pid="13" name="kfa83adfad8641678ddaedda80d7e126">
    <vt:lpwstr/>
  </property>
  <property fmtid="{D5CDD505-2E9C-101B-9397-08002B2CF9AE}" pid="14" name="Test">
    <vt:lpwstr/>
  </property>
  <property fmtid="{D5CDD505-2E9C-101B-9397-08002B2CF9AE}" pid="15" name="SharedWithUsers">
    <vt:lpwstr>59932;#André Morais;#13588;#Antara Sinha;#51;#Reme Lefevre;#27889;#Francisco Luquero;#43183;#Caroline Atherton (Consultant);#32959;#Beth Evans;#52685;#Nivedita Saksena (Consultant);#34905;#Allyson Russell;#61394;#Wang, Xin (CDC/DDID/NCIRD/DBD);#61395;#Tanya Shewchuk;#44648;#BARBOZA, Philippe;#56014;#Tatsiana Ptashnik;#56557;#DOMINGUEZ, Morgane;#60411;#Nadege Nnang</vt:lpwstr>
  </property>
</Properties>
</file>