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BC4" w:rsidP="00C67BC4" w:rsidRDefault="00C67BC4" w14:paraId="2BA147AA" w14:textId="23CE764C">
      <w:pPr>
        <w:rPr>
          <w:rFonts w:ascii="Arial" w:hAnsi="Arial" w:eastAsia="Times New Roman" w:cs="Arial"/>
          <w:b w:val="1"/>
          <w:bCs w:val="1"/>
          <w:color w:val="000000" w:themeColor="text1"/>
          <w:sz w:val="20"/>
          <w:szCs w:val="20"/>
          <w:lang w:eastAsia="fr-FR"/>
        </w:rPr>
      </w:pP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 xml:space="preserve">Annexe 1 : 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>Modèle R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>apport programmatique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>des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>financements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 xml:space="preserve">pour le soutien 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>à la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 xml:space="preserve">distribution 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>des vaccins contre la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 xml:space="preserve"> COVID-19 (CDS)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> </w:t>
      </w:r>
      <w:r w:rsidRPr="3DC69B6A" w:rsidR="00C67BC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/>
        </w:rPr>
        <w:t xml:space="preserve"> </w:t>
      </w:r>
    </w:p>
    <w:p w:rsidR="00C67BC4" w:rsidP="00C67BC4" w:rsidRDefault="00C67BC4" w14:paraId="65471993" w14:textId="77777777">
      <w:pP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</w:pPr>
    </w:p>
    <w:p w:rsidRPr="00251051" w:rsidR="00C67BC4" w:rsidP="00C67BC4" w:rsidRDefault="00C67BC4" w14:paraId="73AD0DEA" w14:textId="77777777">
      <w:p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00251051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Le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</w:t>
      </w:r>
      <w:r w:rsidRPr="00251051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rapport programmatique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ci-dessous doit être complété </w:t>
      </w:r>
      <w:r w:rsidRPr="00251051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sur une base semestrielle (ou comme spécifié dans la Convention de la Subvention correspondante)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. Ce rapport doit être</w:t>
      </w:r>
      <w:r w:rsidRPr="00251051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soum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is</w:t>
      </w:r>
      <w:r w:rsidRPr="00251051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en même temps que le rapport financier et de </w:t>
      </w:r>
      <w:r w:rsidRPr="004940E9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dépenses. Ce</w:t>
      </w:r>
      <w:r w:rsidRPr="00251051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rapport</w:t>
      </w:r>
      <w:r w:rsidRPr="00251051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doit être utilisé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pour </w:t>
      </w:r>
      <w:r w:rsidRPr="00251051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les financements d’accès anticipé et/ou les financements basés sur les besoins.</w:t>
      </w:r>
    </w:p>
    <w:p w:rsidR="00C67BC4" w:rsidP="00C67BC4" w:rsidRDefault="00C67BC4" w14:paraId="50FBD154" w14:textId="77777777">
      <w:pPr>
        <w:jc w:val="both"/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</w:pPr>
    </w:p>
    <w:p w:rsidRPr="00251051" w:rsidR="00C67BC4" w:rsidP="00C67BC4" w:rsidRDefault="00C67BC4" w14:paraId="679A5F27" w14:textId="77777777">
      <w:pPr>
        <w:jc w:val="both"/>
        <w:rPr>
          <w:rFonts w:ascii="Arial" w:hAnsi="Arial" w:eastAsia="Times New Roman" w:cs="Arial"/>
          <w:color w:val="000000" w:themeColor="text1"/>
          <w:sz w:val="20"/>
          <w:szCs w:val="20"/>
          <w:u w:val="single"/>
          <w:lang w:eastAsia="fr-FR"/>
        </w:rPr>
      </w:pPr>
      <w:r w:rsidRPr="00251051">
        <w:rPr>
          <w:rFonts w:ascii="Arial" w:hAnsi="Arial" w:eastAsia="Times New Roman" w:cs="Arial"/>
          <w:color w:val="000000" w:themeColor="text1"/>
          <w:sz w:val="20"/>
          <w:szCs w:val="20"/>
          <w:u w:val="single"/>
          <w:lang w:eastAsia="fr-FR"/>
        </w:rPr>
        <w:t>En plus de ce rapport, les pays sont tenus de fournir les éléments suivants</w:t>
      </w:r>
      <w:r>
        <w:rPr>
          <w:rFonts w:ascii="Arial" w:hAnsi="Arial" w:eastAsia="Times New Roman" w:cs="Arial"/>
          <w:color w:val="000000" w:themeColor="text1"/>
          <w:sz w:val="20"/>
          <w:szCs w:val="20"/>
          <w:u w:val="single"/>
          <w:lang w:eastAsia="fr-FR"/>
        </w:rPr>
        <w:t> </w:t>
      </w:r>
      <w:r w:rsidRPr="00251051">
        <w:rPr>
          <w:rFonts w:ascii="Arial" w:hAnsi="Arial" w:eastAsia="Times New Roman" w:cs="Arial"/>
          <w:color w:val="000000" w:themeColor="text1"/>
          <w:sz w:val="20"/>
          <w:szCs w:val="20"/>
          <w:u w:val="single"/>
          <w:lang w:eastAsia="fr-FR"/>
        </w:rPr>
        <w:t>:</w:t>
      </w:r>
    </w:p>
    <w:p w:rsidRPr="00042B0C" w:rsidR="00C67BC4" w:rsidP="00C67BC4" w:rsidRDefault="00C67BC4" w14:paraId="28413AA1" w14:textId="77777777">
      <w:pPr>
        <w:pStyle w:val="ListParagraph"/>
        <w:numPr>
          <w:ilvl w:val="0"/>
          <w:numId w:val="3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Les </w:t>
      </w:r>
      <w:r w:rsidRPr="28981E13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rapports</w:t>
      </w:r>
      <w:r w:rsidRPr="00042B0C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mensuels </w:t>
      </w:r>
      <w:r w:rsidRPr="4B16EF92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du</w:t>
      </w:r>
      <w:r w:rsidRPr="00042B0C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programme de vaccination contre la COVID-19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par le biais du </w:t>
      </w:r>
      <w:r w:rsidRPr="3CCB2D42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module</w:t>
      </w:r>
      <w:r w:rsidRPr="00042B0C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COVID-19 du formulaire conjoint OMS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-</w:t>
      </w:r>
      <w:r w:rsidRPr="28981E13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UNICEF </w:t>
      </w:r>
      <w:r w:rsidRPr="4FE2D8D1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de</w:t>
      </w:r>
      <w:r w:rsidRPr="00042B0C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notification électronique</w:t>
      </w:r>
      <w:r w:rsidRPr="00042B0C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(</w:t>
      </w:r>
      <w:proofErr w:type="spellStart"/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eJRF</w:t>
      </w:r>
      <w:proofErr w:type="spellEnd"/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)</w:t>
      </w:r>
    </w:p>
    <w:p w:rsidRPr="00742DAE" w:rsidR="00C67BC4" w:rsidP="1FF88585" w:rsidRDefault="00C67BC4" w14:paraId="73614BD3" w14:textId="66C66D29">
      <w:pPr>
        <w:pStyle w:val="ListParagraph"/>
        <w:numPr>
          <w:ilvl w:val="0"/>
          <w:numId w:val="3"/>
        </w:numPr>
        <w:jc w:val="both"/>
        <w:rPr>
          <w:lang w:eastAsia="fr-FR"/>
        </w:rPr>
      </w:pP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Le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taux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d’achèvement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des activités (soum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is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dans le même modèle de rapport financier et de dépenses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semestriel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de Gavi)</w:t>
      </w:r>
    </w:p>
    <w:p w:rsidRPr="00742DAE" w:rsidR="00C67BC4" w:rsidP="1FF88585" w:rsidRDefault="00C67BC4" w14:paraId="7A48AB3E" w14:textId="4D644496">
      <w:pPr>
        <w:pStyle w:val="ListParagraph"/>
        <w:numPr>
          <w:ilvl w:val="0"/>
          <w:numId w:val="3"/>
        </w:numPr>
        <w:jc w:val="both"/>
        <w:rPr>
          <w:lang w:eastAsia="fr-FR"/>
        </w:rPr>
      </w:pP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Les étapes importantes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d’assistance technique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(AT)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du CDS en juin et novembre de chaque année sur le portail PEF.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Les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échéances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sont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identifiées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dans le plan d’assistance technique du CDS. Des instructions sur l’élaboration des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étapes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sont disponibles ici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 </w:t>
      </w:r>
      <w:r w:rsidRPr="1FF88585" w:rsidR="163F6B4E">
        <w:rPr>
          <w:rFonts w:ascii="Arial" w:hAnsi="Arial" w:eastAsia="Times New Roman" w:cs="Arial"/>
          <w:color w:val="3D3D3D"/>
          <w:sz w:val="20"/>
          <w:szCs w:val="20"/>
          <w:lang w:eastAsia="fr-FR"/>
        </w:rPr>
        <w:t xml:space="preserve">: </w:t>
      </w:r>
      <w:hyperlink r:id="R93acd3b955c9402f">
        <w:r w:rsidRPr="1FF88585" w:rsidR="163F6B4E">
          <w:rPr>
            <w:rStyle w:val="Hyperlink"/>
            <w:rFonts w:ascii="Arial" w:hAnsi="Arial" w:eastAsia="Times New Roman" w:cs="Arial"/>
            <w:sz w:val="20"/>
            <w:szCs w:val="20"/>
            <w:lang w:eastAsia="fr-FR"/>
          </w:rPr>
          <w:t>Instructions pour les étapes clés d’assistance technique du CDS</w:t>
        </w:r>
      </w:hyperlink>
      <w:r w:rsidRPr="1FF88585" w:rsidR="163F6B4E">
        <w:rPr>
          <w:rFonts w:ascii="Arial" w:hAnsi="Arial" w:eastAsia="Times New Roman" w:cs="Arial"/>
          <w:color w:val="3D3D3D"/>
          <w:sz w:val="20"/>
          <w:szCs w:val="20"/>
          <w:lang w:eastAsia="fr-FR"/>
        </w:rPr>
        <w:t xml:space="preserve">. </w:t>
      </w:r>
    </w:p>
    <w:p w:rsidRPr="00F34008" w:rsidR="00C67BC4" w:rsidP="00C67BC4" w:rsidRDefault="00C67BC4" w14:paraId="50DE53D9" w14:textId="77777777">
      <w:pPr>
        <w:pStyle w:val="ListParagraph"/>
        <w:pBdr>
          <w:bottom w:val="single" w:color="auto" w:sz="12" w:space="1"/>
        </w:pBdr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w:rsidR="00C67BC4" w:rsidP="00C67BC4" w:rsidRDefault="00C67BC4" w14:paraId="7C437C14" w14:textId="77777777">
      <w:pPr>
        <w:jc w:val="center"/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</w:pPr>
    </w:p>
    <w:p w:rsidR="00C67BC4" w:rsidP="00C67BC4" w:rsidRDefault="00C67BC4" w14:paraId="43FBF9B6" w14:textId="77777777">
      <w:pPr>
        <w:jc w:val="center"/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</w:pPr>
    </w:p>
    <w:p w:rsidRPr="00042B0C" w:rsidR="00C67BC4" w:rsidP="00C67BC4" w:rsidRDefault="00C67BC4" w14:paraId="34A78B11" w14:textId="77777777">
      <w:pPr>
        <w:jc w:val="center"/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</w:pP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MODELE </w:t>
      </w:r>
      <w:r w:rsidRPr="00042B0C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>RAPPORT PROGAMMATIQUE  </w:t>
      </w:r>
    </w:p>
    <w:p w:rsidRPr="00042B0C" w:rsidR="00C67BC4" w:rsidP="00C67BC4" w:rsidRDefault="00C67BC4" w14:paraId="1A8EDDC0" w14:textId="77777777">
      <w:pPr>
        <w:jc w:val="center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="00C67BC4" w:rsidP="00C67BC4" w:rsidRDefault="00C67BC4" w14:paraId="75DDC8AB" w14:textId="77777777">
      <w:pP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</w:pPr>
      <w:r w:rsidRPr="00042B0C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Section 1 : </w:t>
      </w:r>
      <w:r w:rsidRPr="622C68E1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>Informations</w:t>
      </w:r>
      <w:r w:rsidRPr="00042B0C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 quantitatives pour les indicateurs essentiels du CDS (si celles-ci sont pertinentes)</w:t>
      </w:r>
      <w:r w:rsidRPr="4FBE5F52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>  </w:t>
      </w:r>
      <w:r w:rsidRPr="00042B0C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 </w:t>
      </w:r>
    </w:p>
    <w:p w:rsidRPr="00042B0C" w:rsidR="00C67BC4" w:rsidP="00C67BC4" w:rsidRDefault="00C67BC4" w14:paraId="5868319E" w14:textId="77777777">
      <w:pP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</w:pPr>
    </w:p>
    <w:p w:rsidRPr="00042B0C" w:rsidR="00C67BC4" w:rsidP="00C67BC4" w:rsidRDefault="00C67BC4" w14:paraId="30447103" w14:textId="77777777">
      <w:pP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00042B0C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NB : Il s’agit de rapports complémentaires et non redondants par rapport au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module COVID-19 du </w:t>
      </w:r>
      <w:r w:rsidRPr="00042B0C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formulaire électronique de déclaration conjointe OMS-UNICEF.</w:t>
      </w:r>
    </w:p>
    <w:p w:rsidRPr="00F34008" w:rsidR="00C67BC4" w:rsidP="00C67BC4" w:rsidRDefault="00C67BC4" w14:paraId="4CB0482C" w14:textId="77777777">
      <w:pPr>
        <w:rPr>
          <w:rFonts w:ascii="Arial" w:hAnsi="Arial" w:eastAsia="Times New Roman" w:cs="Arial"/>
          <w:color w:val="3D3D3D"/>
          <w:sz w:val="20"/>
          <w:szCs w:val="20"/>
          <w:lang w:eastAsia="fr-FR"/>
        </w:rPr>
      </w:pPr>
    </w:p>
    <w:tbl>
      <w:tblPr>
        <w:tblW w:w="94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2430"/>
        <w:gridCol w:w="2062"/>
        <w:gridCol w:w="2003"/>
      </w:tblGrid>
      <w:tr w:rsidRPr="00C534EC" w:rsidR="00C67BC4" w:rsidTr="00FE38C9" w14:paraId="65C20D83" w14:textId="77777777">
        <w:trPr>
          <w:trHeight w:val="446"/>
        </w:trPr>
        <w:tc>
          <w:tcPr>
            <w:tcW w:w="2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hideMark/>
          </w:tcPr>
          <w:p w:rsidRPr="00B46C29" w:rsidR="00C67BC4" w:rsidP="00FE38C9" w:rsidRDefault="00C67BC4" w14:paraId="21CD8FC9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B46C29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n-GB" w:eastAsia="fr-FR"/>
              </w:rPr>
              <w:t xml:space="preserve">Type </w:t>
            </w:r>
            <w:proofErr w:type="spellStart"/>
            <w:proofErr w:type="gramStart"/>
            <w:r w:rsidRPr="00B46C29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n-GB" w:eastAsia="fr-FR"/>
              </w:rPr>
              <w:t>d’équipement</w:t>
            </w:r>
            <w:proofErr w:type="spellEnd"/>
            <w:r w:rsidRPr="00B46C29">
              <w:rPr>
                <w:rFonts w:ascii="Arial" w:hAnsi="Arial" w:eastAsia="Times New Roman" w:cs="Arial"/>
                <w:color w:val="FFFFFF" w:themeColor="background1"/>
                <w:sz w:val="20"/>
                <w:szCs w:val="20"/>
                <w:lang w:val="en-US" w:eastAsia="fr-FR"/>
              </w:rPr>
              <w:t> </w:t>
            </w:r>
            <w:r w:rsidRPr="00B46C29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1</w:t>
            </w:r>
            <w:proofErr w:type="gramEnd"/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hideMark/>
          </w:tcPr>
          <w:p w:rsidRPr="00B46C29" w:rsidR="00C67BC4" w:rsidP="00FE38C9" w:rsidRDefault="00C67BC4" w14:paraId="6611D6A7" w14:textId="77777777">
            <w:pPr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proofErr w:type="spellStart"/>
            <w:r w:rsidRPr="00B46C29">
              <w:rPr>
                <w:rFonts w:ascii="Arial" w:hAnsi="Arial" w:eastAsia="Times New Roman" w:cs="Arial"/>
                <w:color w:val="FFFFFF"/>
                <w:sz w:val="20"/>
                <w:szCs w:val="20"/>
                <w:lang w:val="en-GB" w:eastAsia="fr-FR"/>
              </w:rPr>
              <w:t>Quantité</w:t>
            </w:r>
            <w:proofErr w:type="spellEnd"/>
            <w:r w:rsidRPr="00B46C29">
              <w:rPr>
                <w:rFonts w:ascii="Arial" w:hAnsi="Arial" w:eastAsia="Times New Roman" w:cs="Arial"/>
                <w:color w:val="FFFFFF"/>
                <w:sz w:val="20"/>
                <w:szCs w:val="20"/>
                <w:lang w:val="en-GB" w:eastAsia="fr-FR"/>
              </w:rPr>
              <w:t xml:space="preserve"> </w:t>
            </w:r>
            <w:proofErr w:type="spellStart"/>
            <w:r w:rsidRPr="00B46C29">
              <w:rPr>
                <w:rFonts w:ascii="Arial" w:hAnsi="Arial" w:eastAsia="Times New Roman" w:cs="Arial"/>
                <w:color w:val="FFFFFF"/>
                <w:sz w:val="20"/>
                <w:szCs w:val="20"/>
                <w:lang w:val="en-GB" w:eastAsia="fr-FR"/>
              </w:rPr>
              <w:t>achetée</w:t>
            </w:r>
            <w:proofErr w:type="spellEnd"/>
            <w:r w:rsidRPr="00B46C29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hideMark/>
          </w:tcPr>
          <w:p w:rsidRPr="00251051" w:rsidR="00C67BC4" w:rsidP="00FE38C9" w:rsidRDefault="00C67BC4" w14:paraId="5564AD31" w14:textId="77777777">
            <w:pPr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51051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Quantité louée </w:t>
            </w:r>
          </w:p>
        </w:tc>
        <w:tc>
          <w:tcPr>
            <w:tcW w:w="2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hideMark/>
          </w:tcPr>
          <w:p w:rsidRPr="00FE38C9" w:rsidR="00C67BC4" w:rsidP="00FE38C9" w:rsidRDefault="00C67BC4" w14:paraId="1255198E" w14:textId="77777777">
            <w:pPr>
              <w:pStyle w:val="Title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0"/>
                <w:lang w:val="fr-FR"/>
              </w:rPr>
            </w:pPr>
            <w:r w:rsidRPr="00FE38C9">
              <w:rPr>
                <w:b w:val="0"/>
                <w:color w:val="FFFFFF" w:themeColor="background1"/>
                <w:sz w:val="20"/>
                <w:szCs w:val="20"/>
                <w:lang w:val="fr-FR"/>
              </w:rPr>
              <w:t>Quantité installée à ce jour </w:t>
            </w:r>
          </w:p>
        </w:tc>
      </w:tr>
      <w:tr w:rsidRPr="00C534EC" w:rsidR="00C67BC4" w:rsidTr="00FE38C9" w14:paraId="731BB112" w14:textId="77777777">
        <w:trPr>
          <w:trHeight w:val="315"/>
        </w:trPr>
        <w:tc>
          <w:tcPr>
            <w:tcW w:w="2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608D4BE1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F34008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 xml:space="preserve">Chambres froides et Chambres de congélation 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27A4E928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val="en-US" w:eastAsia="fr-FR"/>
              </w:rPr>
              <w:t> </w:t>
            </w: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7C916504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70DD4136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val="en-US" w:eastAsia="fr-FR"/>
              </w:rPr>
              <w:t> </w:t>
            </w: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</w:tr>
      <w:tr w:rsidRPr="00C534EC" w:rsidR="00C67BC4" w:rsidTr="00FE38C9" w14:paraId="657CA9AB" w14:textId="77777777">
        <w:trPr>
          <w:trHeight w:val="301"/>
        </w:trPr>
        <w:tc>
          <w:tcPr>
            <w:tcW w:w="2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0864F481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proofErr w:type="spellStart"/>
            <w:r w:rsidRPr="00F34008"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>Réfrigérateurs</w:t>
            </w:r>
            <w:proofErr w:type="spellEnd"/>
            <w:r w:rsidRPr="00F34008"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>pour les</w:t>
            </w:r>
            <w:r w:rsidRPr="00F34008"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 xml:space="preserve"> </w:t>
            </w:r>
            <w:proofErr w:type="spellStart"/>
            <w:r w:rsidRPr="00F34008"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>vaccins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2404C12C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val="en-US" w:eastAsia="fr-FR"/>
              </w:rPr>
              <w:t> </w:t>
            </w: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65737353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191C15CA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val="en-US" w:eastAsia="fr-FR"/>
              </w:rPr>
              <w:t> </w:t>
            </w: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</w:tr>
      <w:tr w:rsidRPr="00C534EC" w:rsidR="00C67BC4" w:rsidTr="00FE38C9" w14:paraId="6E87FACE" w14:textId="77777777">
        <w:trPr>
          <w:trHeight w:val="295"/>
        </w:trPr>
        <w:tc>
          <w:tcPr>
            <w:tcW w:w="2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7A85E34D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proofErr w:type="spellStart"/>
            <w:r w:rsidRPr="00F34008"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>Congélateurs</w:t>
            </w:r>
            <w:proofErr w:type="spellEnd"/>
            <w:r w:rsidRPr="00F34008"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>pour les</w:t>
            </w:r>
            <w:r w:rsidRPr="00F34008"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 xml:space="preserve"> </w:t>
            </w:r>
            <w:proofErr w:type="spellStart"/>
            <w:r w:rsidRPr="00F34008">
              <w:rPr>
                <w:rFonts w:ascii="Arial" w:hAnsi="Arial" w:eastAsia="Times New Roman" w:cs="Arial"/>
                <w:sz w:val="20"/>
                <w:szCs w:val="20"/>
                <w:lang w:val="en-GB" w:eastAsia="fr-FR"/>
              </w:rPr>
              <w:t>vaccins</w:t>
            </w:r>
            <w:proofErr w:type="spellEnd"/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7D6E0D89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val="en-US" w:eastAsia="fr-FR"/>
              </w:rPr>
              <w:t> </w:t>
            </w: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020A37AF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5D06F23D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val="en-US" w:eastAsia="fr-FR"/>
              </w:rPr>
              <w:t> </w:t>
            </w: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</w:tr>
      <w:tr w:rsidRPr="00C534EC" w:rsidR="00C67BC4" w:rsidTr="00FE38C9" w14:paraId="0CFA06B2" w14:textId="77777777">
        <w:trPr>
          <w:trHeight w:val="301"/>
        </w:trPr>
        <w:tc>
          <w:tcPr>
            <w:tcW w:w="2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71ADB036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Equipment </w:t>
            </w:r>
            <w:r w:rsidRPr="00F34008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 xml:space="preserve">de la chaine ultra </w:t>
            </w:r>
            <w:r w:rsidRPr="3AEFF17B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froid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2F4DFFBB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val="en-US" w:eastAsia="fr-FR"/>
              </w:rPr>
              <w:t> </w:t>
            </w: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5E586300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534EC" w:rsidR="00C67BC4" w:rsidP="00FE38C9" w:rsidRDefault="00C67BC4" w14:paraId="7FDAEE6F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C534EC">
              <w:rPr>
                <w:rFonts w:ascii="Arial" w:hAnsi="Arial" w:eastAsia="Times New Roman" w:cs="Arial"/>
                <w:sz w:val="20"/>
                <w:szCs w:val="20"/>
                <w:lang w:val="en-US" w:eastAsia="fr-FR"/>
              </w:rPr>
              <w:t> </w:t>
            </w:r>
            <w:r w:rsidRPr="00C534E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</w:tr>
    </w:tbl>
    <w:p w:rsidRPr="00F34008" w:rsidR="00C67BC4" w:rsidP="00C67BC4" w:rsidRDefault="00C67BC4" w14:paraId="6EDFA391" w14:textId="77777777">
      <w:pPr>
        <w:rPr>
          <w:rFonts w:ascii="Arial" w:hAnsi="Arial" w:eastAsia="Times New Roman" w:cs="Arial"/>
          <w:sz w:val="20"/>
          <w:szCs w:val="20"/>
          <w:lang w:eastAsia="fr-FR"/>
        </w:rPr>
      </w:pPr>
    </w:p>
    <w:p w:rsidRPr="00B92184" w:rsidR="00C67BC4" w:rsidP="00C67BC4" w:rsidRDefault="00C67BC4" w14:paraId="1492E7C4" w14:textId="77777777">
      <w:pP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00124AC2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>Section 2 :</w:t>
      </w:r>
      <w:r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 xml:space="preserve"> Principaux enseignements liés </w:t>
      </w:r>
      <w:r w:rsidRPr="00B92184"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/>
        </w:rPr>
        <w:t>au CDS</w:t>
      </w:r>
    </w:p>
    <w:p w:rsidR="00C67BC4" w:rsidP="00C67BC4" w:rsidRDefault="00C67BC4" w14:paraId="62D207DE" w14:textId="77777777">
      <w:pP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Merci de répondre aux questions ci-dessous. </w:t>
      </w:r>
      <w:r w:rsidRPr="7FF42265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Nous recommandons que la section suivante ne dépasse pas 3 pages de texte et nous encourageons la saisie de toute analyse ou donnée quantitative pertinente.</w:t>
      </w:r>
      <w:r w:rsidRPr="0078661E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 </w:t>
      </w:r>
      <w:r w:rsidRPr="00124AC2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</w:t>
      </w:r>
    </w:p>
    <w:p w:rsidRPr="00B92184" w:rsidR="00C67BC4" w:rsidP="00C67BC4" w:rsidRDefault="00C67BC4" w14:paraId="2E84BC4C" w14:textId="77777777">
      <w:pP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="00C67BC4" w:rsidP="1FF88585" w:rsidRDefault="00C67BC4" w14:paraId="3538719F" w14:textId="77777777">
      <w:pPr>
        <w:pStyle w:val="ListParagraph"/>
        <w:numPr>
          <w:ilvl w:val="0"/>
          <w:numId w:val="9"/>
        </w:numP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00B92184" w:rsidR="163F6B4E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Quels ont été les défis les plus importants dans la mise en œuvre de votre/vos </w:t>
      </w:r>
      <w:r w:rsidRPr="644B36B4" w:rsidR="163F6B4E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financement</w:t>
      </w:r>
      <w:r w:rsidR="163F6B4E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(s)</w:t>
      </w:r>
      <w:r w:rsidRPr="00B92184" w:rsidR="163F6B4E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</w:t>
      </w:r>
      <w:r w:rsidRPr="64063FC5" w:rsidR="163F6B4E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CDS </w:t>
      </w:r>
      <w:r w:rsidR="163F6B4E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à ce jour ? </w:t>
      </w:r>
      <w:r w:rsidRPr="644B36B4" w:rsidR="163F6B4E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 </w:t>
      </w:r>
      <w:r w:rsidRPr="00B92184" w:rsidR="163F6B4E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</w:t>
      </w:r>
    </w:p>
    <w:p w:rsidRPr="00251051" w:rsidR="00C67BC4" w:rsidP="1FF88585" w:rsidRDefault="00C67BC4" w14:paraId="2D07D5F0" w14:noSpellErr="1" w14:textId="3FADBC39">
      <w:pPr>
        <w:pStyle w:val="Normal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Pr="00B92184" w:rsidR="00C67BC4" w:rsidP="1FF88585" w:rsidRDefault="00C67BC4" w14:paraId="20A7225E" w14:textId="340BF67E">
      <w:pPr>
        <w:pStyle w:val="ListParagraph"/>
        <w:numPr>
          <w:ilvl w:val="0"/>
          <w:numId w:val="9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Indiquez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vos trois principaux résultats / succès liés à votre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financement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CDS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à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ce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jour</w:t>
      </w:r>
    </w:p>
    <w:p w:rsidRPr="00B92184" w:rsidR="00C67BC4" w:rsidP="00C67BC4" w:rsidRDefault="00C67BC4" w14:paraId="46DE433E" w14:textId="77777777">
      <w:pPr>
        <w:pStyle w:val="ListParagraph"/>
        <w:numPr>
          <w:ilvl w:val="0"/>
          <w:numId w:val="5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00B92184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lastRenderedPageBreak/>
        <w:t xml:space="preserve">Veuillez fournir des données qualitatives et quantitatives pour accompagner ces résultats dans la mesure du possible. </w:t>
      </w:r>
    </w:p>
    <w:p w:rsidR="00C67BC4" w:rsidP="00C67BC4" w:rsidRDefault="00C67BC4" w14:paraId="57C68C38" w14:textId="77777777">
      <w:pPr>
        <w:pStyle w:val="ListParagraph"/>
        <w:numPr>
          <w:ilvl w:val="0"/>
          <w:numId w:val="5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Les informations sur </w:t>
      </w:r>
      <w:r w:rsidRPr="00B92184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les campagnes de vaccination contre la COVID-19 / le nombre de personnes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vaccinées</w:t>
      </w:r>
      <w:r w:rsidRPr="00B92184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/les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étapes clés</w:t>
      </w:r>
      <w:r w:rsidRPr="00B92184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des programmes de vaccination auxquels les fonds du CDS ont contribué sont particulièrement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appréciés. </w:t>
      </w:r>
      <w:r w:rsidRPr="00B92184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</w:t>
      </w:r>
    </w:p>
    <w:p w:rsidR="00C67BC4" w:rsidP="1FF88585" w:rsidRDefault="00C67BC4" w14:paraId="1105234C" w14:textId="161C52F2">
      <w:pPr>
        <w:pStyle w:val="ListParagraph"/>
        <w:numPr>
          <w:ilvl w:val="0"/>
          <w:numId w:val="5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Vos aperçus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sur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les succès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liées à l’innovation sont encouragés.</w:t>
      </w:r>
    </w:p>
    <w:p w:rsidRPr="00251051" w:rsidR="00C67BC4" w:rsidP="3DC69B6A" w:rsidRDefault="00C67BC4" w14:paraId="18D3FD64" w14:textId="6D555679">
      <w:pPr>
        <w:pStyle w:val="ListParagraph"/>
        <w:numPr>
          <w:ilvl w:val="0"/>
          <w:numId w:val="5"/>
        </w:numPr>
        <w:jc w:val="both"/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</w:pPr>
      <w:r w:rsidRPr="3DC69B6A" w:rsidR="357616CF">
        <w:rPr>
          <w:rFonts w:ascii="Arial" w:hAnsi="Arial" w:eastAsia="Times New Roman" w:cs="Arial"/>
          <w:b w:val="1"/>
          <w:bCs w:val="1"/>
          <w:i w:val="1"/>
          <w:iCs w:val="1"/>
          <w:color w:val="000000" w:themeColor="text1" w:themeTint="FF" w:themeShade="FF"/>
          <w:sz w:val="20"/>
          <w:szCs w:val="20"/>
          <w:u w:val="none"/>
          <w:lang w:eastAsia="fr-FR"/>
        </w:rPr>
        <w:t xml:space="preserve">Si vous avez reçu un financement dans le cadre de la troisième </w:t>
      </w:r>
      <w:r w:rsidRPr="3DC69B6A" w:rsidR="2111840E">
        <w:rPr>
          <w:rFonts w:ascii="Arial" w:hAnsi="Arial" w:eastAsia="Times New Roman" w:cs="Arial"/>
          <w:b w:val="1"/>
          <w:bCs w:val="1"/>
          <w:i w:val="1"/>
          <w:iCs w:val="1"/>
          <w:color w:val="000000" w:themeColor="text1" w:themeTint="FF" w:themeShade="FF"/>
          <w:sz w:val="20"/>
          <w:szCs w:val="20"/>
          <w:u w:val="none"/>
          <w:lang w:eastAsia="fr-FR"/>
        </w:rPr>
        <w:t>fenêtre de financement,</w:t>
      </w:r>
      <w:r w:rsidRPr="3DC69B6A" w:rsidR="357616CF">
        <w:rPr>
          <w:rFonts w:ascii="Arial" w:hAnsi="Arial" w:eastAsia="Times New Roman" w:cs="Arial"/>
          <w:b w:val="1"/>
          <w:bCs w:val="1"/>
          <w:i w:val="1"/>
          <w:iCs w:val="1"/>
          <w:color w:val="000000" w:themeColor="text1" w:themeTint="FF" w:themeShade="FF"/>
          <w:sz w:val="20"/>
          <w:szCs w:val="20"/>
          <w:u w:val="none"/>
          <w:lang w:eastAsia="fr-FR"/>
        </w:rPr>
        <w:t xml:space="preserve"> CDS 3</w:t>
      </w:r>
      <w:r w:rsidRPr="3DC69B6A" w:rsidR="357616CF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, veuillez remplir le tableau suivant. Les données de ce tableau doivent être les mêmes que celles incluses dans la demande CDS3, à l'exception des colonnes "</w:t>
      </w:r>
      <w:r w:rsidRPr="3DC69B6A" w:rsidR="7F22EFEC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Objectifs</w:t>
      </w:r>
      <w:r w:rsidRPr="3DC69B6A" w:rsidR="357616CF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atteint</w:t>
      </w:r>
      <w:r w:rsidRPr="3DC69B6A" w:rsidR="6E46D497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s</w:t>
      </w:r>
      <w:r w:rsidRPr="3DC69B6A" w:rsidR="357616CF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2022" et "</w:t>
      </w:r>
      <w:r w:rsidRPr="3DC69B6A" w:rsidR="4B8BA202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Objectifs</w:t>
      </w:r>
      <w:r w:rsidRPr="3DC69B6A" w:rsidR="357616CF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atteint</w:t>
      </w:r>
      <w:r w:rsidRPr="3DC69B6A" w:rsidR="33C7FBD8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s</w:t>
      </w:r>
      <w:r w:rsidRPr="3DC69B6A" w:rsidR="357616CF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2023", qui sont nouvelles, et que nous vous demandons de compléter avec les dernières données dont vous disposez.</w:t>
      </w:r>
    </w:p>
    <w:tbl>
      <w:tblPr>
        <w:tblStyle w:val="GridTable1Light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724"/>
        <w:gridCol w:w="745"/>
        <w:gridCol w:w="951"/>
        <w:gridCol w:w="1148"/>
        <w:gridCol w:w="1522"/>
        <w:gridCol w:w="1245"/>
        <w:gridCol w:w="1434"/>
        <w:gridCol w:w="1156"/>
      </w:tblGrid>
      <w:tr w:rsidR="3DC69B6A" w:rsidTr="3DC69B6A" w14:paraId="1F8CDECD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gridSpan w:val="3"/>
            <w:tcBorders>
              <w:top w:val="single" w:color="999999" w:sz="8"/>
              <w:left w:val="single" w:color="999999" w:sz="8"/>
              <w:bottom w:val="single" w:color="666666" w:sz="12"/>
              <w:right w:val="single" w:color="999999" w:sz="8"/>
            </w:tcBorders>
            <w:shd w:val="clear" w:color="auto" w:fill="E7E6E6" w:themeFill="background2"/>
            <w:tcMar/>
            <w:vAlign w:val="top"/>
          </w:tcPr>
          <w:p w:rsidR="3DC69B6A" w:rsidP="3DC69B6A" w:rsidRDefault="3DC69B6A" w14:paraId="0E5AC5DD" w14:textId="4B4B7508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999999" w:sz="8"/>
              <w:left w:val="nil"/>
              <w:bottom w:val="single" w:color="666666" w:sz="12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3DC69B6A" w:rsidP="3DC69B6A" w:rsidRDefault="3DC69B6A" w14:paraId="4B615865" w14:textId="43B1DFAC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Données réelles au moment de la demande (base de référence)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999999" w:sz="8"/>
              <w:left w:val="single" w:color="999999" w:sz="8"/>
              <w:bottom w:val="single" w:color="666666" w:sz="12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3DC69B6A" w:rsidP="3DC69B6A" w:rsidRDefault="3DC69B6A" w14:paraId="4D13E51C" w14:textId="1B9E59A2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Objectifs pour la fin de l'année 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999999" w:sz="8"/>
              <w:left w:val="single" w:color="999999" w:sz="8"/>
              <w:bottom w:val="single" w:color="666666" w:sz="12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11E6850E" w:rsidP="3DC69B6A" w:rsidRDefault="11E6850E" w14:paraId="79492896" w14:textId="337DEAE0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</w:pPr>
            <w:r w:rsidRPr="3DC69B6A" w:rsidR="11E685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Objectifs atteints 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999999" w:sz="8"/>
              <w:left w:val="single" w:color="999999" w:sz="8"/>
              <w:bottom w:val="single" w:color="666666" w:sz="12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3DC69B6A" w:rsidP="3DC69B6A" w:rsidRDefault="3DC69B6A" w14:paraId="173512E3" w14:textId="64736E9C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Objectifs pour la fin de l'année 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999999" w:sz="8"/>
              <w:left w:val="single" w:color="999999" w:sz="8"/>
              <w:bottom w:val="single" w:color="666666" w:sz="12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11D280F7" w:rsidP="3DC69B6A" w:rsidRDefault="11D280F7" w14:paraId="0ACD0CAC" w14:textId="7D614D2A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</w:pPr>
            <w:r w:rsidRPr="3DC69B6A" w:rsidR="11D280F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Objectifs atteints 2023</w:t>
            </w:r>
          </w:p>
        </w:tc>
      </w:tr>
      <w:tr w:rsidR="3DC69B6A" w:rsidTr="3DC69B6A" w14:paraId="259CC72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 w:val="restart"/>
            <w:tcBorders>
              <w:top w:val="single" w:color="666666" w:sz="12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1F4E79" w:themeFill="accent5" w:themeFillShade="80"/>
            <w:tcMar/>
            <w:vAlign w:val="center"/>
          </w:tcPr>
          <w:p w:rsidR="3DC69B6A" w:rsidP="3DC69B6A" w:rsidRDefault="3DC69B6A" w14:paraId="5E4FFFB3" w14:textId="17F3A29B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fr"/>
              </w:rPr>
              <w:t>Populations à haut risque et à risque élevé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5" w:type="dxa"/>
            <w:vMerge w:val="restart"/>
            <w:tcBorders>
              <w:top w:val="nil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DEEAF6" w:themeFill="accent5" w:themeFillTint="33"/>
            <w:tcMar/>
            <w:vAlign w:val="center"/>
          </w:tcPr>
          <w:p w:rsidR="3DC69B6A" w:rsidP="3DC69B6A" w:rsidRDefault="3DC69B6A" w14:paraId="742E1D84" w14:textId="43E72E0F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Série primaire complète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Borders>
              <w:top w:val="nil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center"/>
          </w:tcPr>
          <w:p w:rsidR="3DC69B6A" w:rsidRDefault="3DC69B6A" w14:paraId="44FF410B" w14:textId="4ACFC21D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>Couverture de la population des adultes âgés* [Nombre et %].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666666" w:sz="12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0C52382E" w14:textId="2C0F7E09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666666" w:sz="12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3E1610BC" w14:textId="5BA5A4E3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666666" w:sz="12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379288CC" w14:textId="719C909B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666666" w:sz="12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21D4C606" w14:textId="47A93816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666666" w:sz="12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4723D3E0" w14:textId="789D7031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</w:tr>
      <w:tr w:rsidR="3DC69B6A" w:rsidTr="3DC69B6A" w14:paraId="13CC6D54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  <w:tcBorders>
              <w:top w:sz="0"/>
              <w:left w:val="single" w:color="999999" w:sz="0"/>
              <w:bottom w:sz="0"/>
              <w:right w:val="single" w:color="999999" w:sz="0"/>
            </w:tcBorders>
            <w:tcMar/>
            <w:vAlign w:val="center"/>
          </w:tcPr>
          <w:p w14:paraId="6E21E7D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5" w:type="dxa"/>
            <w:vMerge/>
            <w:tcBorders>
              <w:top w:sz="0"/>
              <w:left w:val="single" w:color="999999" w:sz="0"/>
              <w:bottom w:sz="0"/>
              <w:right w:val="single" w:color="999999" w:sz="0"/>
            </w:tcBorders>
            <w:tcMar/>
            <w:vAlign w:val="center"/>
          </w:tcPr>
          <w:p w14:paraId="1F26235E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Borders>
              <w:top w:val="single" w:color="999999" w:sz="8"/>
              <w:left w:val="nil"/>
              <w:bottom w:val="single" w:color="999999" w:sz="8"/>
              <w:right w:val="single" w:color="999999" w:sz="8"/>
            </w:tcBorders>
            <w:tcMar/>
            <w:vAlign w:val="center"/>
          </w:tcPr>
          <w:p w:rsidR="3DC69B6A" w:rsidRDefault="3DC69B6A" w14:paraId="1AAED544" w14:textId="443D52BB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>Couverture des travailleurs de la santé</w:t>
            </w:r>
          </w:p>
          <w:p w:rsidR="3DC69B6A" w:rsidRDefault="3DC69B6A" w14:paraId="4B1F75E7" w14:textId="735AE23F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>[Nombre et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47498E30" w14:textId="369B048A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4F7D7206" w14:textId="2F888FF6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1CC0884E" w14:textId="2647BEE2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433E0E0E" w14:textId="7B167590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572539DE" w14:textId="7BD26AD8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</w:tr>
      <w:tr w:rsidR="3DC69B6A" w:rsidTr="3DC69B6A" w14:paraId="24117225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  <w:tcBorders>
              <w:top w:sz="0"/>
              <w:left w:val="single" w:color="999999" w:sz="0"/>
              <w:bottom w:sz="0"/>
              <w:right w:val="single" w:color="999999" w:sz="0"/>
            </w:tcBorders>
            <w:tcMar/>
            <w:vAlign w:val="center"/>
          </w:tcPr>
          <w:p w14:paraId="639CB2C0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5" w:type="dxa"/>
            <w:vMerge/>
            <w:tcBorders>
              <w:top w:sz="0"/>
              <w:left w:val="single" w:color="999999" w:sz="0"/>
              <w:bottom w:val="single" w:color="999999" w:sz="0"/>
              <w:right w:val="single" w:color="999999" w:sz="0"/>
            </w:tcBorders>
            <w:tcMar/>
            <w:vAlign w:val="center"/>
          </w:tcPr>
          <w:p w14:paraId="1A54163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Borders>
              <w:top w:val="single" w:color="999999" w:sz="8"/>
              <w:left w:val="nil"/>
              <w:bottom w:val="single" w:color="999999" w:sz="8"/>
              <w:right w:val="single" w:color="999999" w:sz="8"/>
            </w:tcBorders>
            <w:tcMar/>
            <w:vAlign w:val="center"/>
          </w:tcPr>
          <w:p w:rsidR="3DC69B6A" w:rsidRDefault="3DC69B6A" w14:paraId="2AABE443" w14:textId="305DCBC0">
            <w:r w:rsidRPr="3DC69B6A" w:rsidR="3DC69B6A">
              <w:rPr>
                <w:rFonts w:ascii="Arial" w:hAnsi="Arial" w:eastAsia="Arial" w:cs="Arial"/>
                <w:color w:val="767171" w:themeColor="background2" w:themeTint="FF" w:themeShade="80"/>
                <w:sz w:val="18"/>
                <w:szCs w:val="18"/>
                <w:lang w:val="fr"/>
              </w:rPr>
              <w:t>Couverture d'</w:t>
            </w:r>
            <w:r w:rsidRPr="3DC69B6A" w:rsidR="3DC69B6A">
              <w:rPr>
                <w:rFonts w:ascii="Arial" w:hAnsi="Arial" w:eastAsia="Arial" w:cs="Arial"/>
                <w:i w:val="1"/>
                <w:iCs w:val="1"/>
                <w:color w:val="767171" w:themeColor="background2" w:themeTint="FF" w:themeShade="80"/>
                <w:sz w:val="18"/>
                <w:szCs w:val="18"/>
                <w:lang w:val="fr"/>
              </w:rPr>
              <w:t>autres groupes cibles (veuillez préciser)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09E67D93" w14:textId="4188AA22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32DB1585" w14:textId="6233EE9D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5FE12810" w14:textId="7EBBD9A1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22CA1C51" w14:textId="23772E2F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0BC7BD43" w14:textId="76DF3859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</w:tr>
      <w:tr w:rsidR="3DC69B6A" w:rsidTr="3DC69B6A" w14:paraId="2841C43F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  <w:tcBorders>
              <w:top w:sz="0"/>
              <w:left w:val="single" w:color="999999" w:sz="0"/>
              <w:bottom w:sz="0"/>
              <w:right w:val="single" w:color="999999" w:sz="0"/>
            </w:tcBorders>
            <w:tcMar/>
            <w:vAlign w:val="center"/>
          </w:tcPr>
          <w:p w14:paraId="03D33C1C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5" w:type="dxa"/>
            <w:vMerge w:val="restart"/>
            <w:tcBorders>
              <w:top w:val="nil"/>
              <w:left w:val="nil" w:color="999999" w:sz="8"/>
              <w:bottom w:val="single" w:color="999999" w:sz="8"/>
              <w:right w:val="single" w:color="999999" w:sz="8"/>
            </w:tcBorders>
            <w:shd w:val="clear" w:color="auto" w:fill="9CC2E5" w:themeFill="accent5" w:themeFillTint="99"/>
            <w:tcMar/>
            <w:vAlign w:val="center"/>
          </w:tcPr>
          <w:p w:rsidR="3DC69B6A" w:rsidP="3DC69B6A" w:rsidRDefault="3DC69B6A" w14:paraId="49858559" w14:textId="15585EF5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Avec booster/s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center"/>
          </w:tcPr>
          <w:p w:rsidR="3DC69B6A" w:rsidRDefault="3DC69B6A" w14:paraId="36485B6C" w14:textId="37506FD0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>Couverture de la population adulte âgée [Nombre &amp;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6C776B9D" w14:textId="499F3E8C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601C41BD" w14:textId="5FBCD12C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7A823C2F" w14:textId="597A4B61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1BE5A8C9" w14:textId="651C9107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773EEE18" w14:textId="1866A802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</w:tr>
      <w:tr w:rsidR="3DC69B6A" w:rsidTr="3DC69B6A" w14:paraId="0245651D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  <w:tcBorders>
              <w:top w:sz="0"/>
              <w:left w:val="single" w:color="999999" w:sz="0"/>
              <w:bottom w:sz="0"/>
              <w:right w:val="single" w:color="999999" w:sz="0"/>
            </w:tcBorders>
            <w:tcMar/>
            <w:vAlign w:val="center"/>
          </w:tcPr>
          <w:p w14:paraId="760FB3A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5" w:type="dxa"/>
            <w:vMerge/>
            <w:tcBorders>
              <w:top w:sz="0"/>
              <w:left w:val="nil" w:color="999999" w:sz="0"/>
              <w:bottom w:sz="0"/>
              <w:right w:val="single" w:color="999999" w:sz="0"/>
            </w:tcBorders>
            <w:tcMar/>
            <w:vAlign w:val="center"/>
          </w:tcPr>
          <w:p w14:paraId="4A10AFB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Borders>
              <w:top w:val="single" w:color="999999" w:sz="8"/>
              <w:left w:val="nil"/>
              <w:bottom w:val="single" w:color="999999" w:sz="8"/>
              <w:right w:val="single" w:color="999999" w:sz="8"/>
            </w:tcBorders>
            <w:tcMar/>
            <w:vAlign w:val="center"/>
          </w:tcPr>
          <w:p w:rsidR="3DC69B6A" w:rsidRDefault="3DC69B6A" w14:paraId="20D42FF7" w14:textId="3123D35D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>Couverture des travailleurs de la santé</w:t>
            </w:r>
          </w:p>
          <w:p w:rsidR="3DC69B6A" w:rsidRDefault="3DC69B6A" w14:paraId="60DE05D8" w14:textId="5FD3C509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>[Nombre et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59A4B896" w14:textId="68418252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3C0D32D6" w14:textId="2752C5CE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50BCD822" w14:textId="33A925F4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5D59C86F" w14:textId="1CA73051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18E33AAE" w14:textId="72F2CC78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</w:tr>
      <w:tr w:rsidR="3DC69B6A" w:rsidTr="3DC69B6A" w14:paraId="1528657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  <w:tcBorders>
              <w:top w:sz="0"/>
              <w:left w:val="single" w:color="999999" w:sz="0"/>
              <w:bottom w:val="single" w:color="999999" w:sz="0"/>
              <w:right w:val="single" w:color="999999" w:sz="0"/>
            </w:tcBorders>
            <w:tcMar/>
            <w:vAlign w:val="center"/>
          </w:tcPr>
          <w:p w14:paraId="02B79252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5" w:type="dxa"/>
            <w:vMerge/>
            <w:tcBorders>
              <w:top w:sz="0"/>
              <w:left w:val="nil" w:color="999999" w:sz="0"/>
              <w:bottom w:val="single" w:color="999999" w:sz="0"/>
              <w:right w:val="single" w:color="999999" w:sz="0"/>
            </w:tcBorders>
            <w:tcMar/>
            <w:vAlign w:val="center"/>
          </w:tcPr>
          <w:p w14:paraId="43C6F69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Borders>
              <w:top w:val="single" w:color="999999" w:sz="8"/>
              <w:left w:val="nil"/>
              <w:bottom w:val="single" w:color="999999" w:sz="8"/>
              <w:right w:val="single" w:color="999999" w:sz="8"/>
            </w:tcBorders>
            <w:tcMar/>
            <w:vAlign w:val="center"/>
          </w:tcPr>
          <w:p w:rsidR="3DC69B6A" w:rsidRDefault="3DC69B6A" w14:paraId="3D814E10" w14:textId="70087658">
            <w:r w:rsidRPr="3DC69B6A" w:rsidR="3DC69B6A">
              <w:rPr>
                <w:rFonts w:ascii="Arial" w:hAnsi="Arial" w:eastAsia="Arial" w:cs="Arial"/>
                <w:color w:val="767171" w:themeColor="background2" w:themeTint="FF" w:themeShade="80"/>
                <w:sz w:val="18"/>
                <w:szCs w:val="18"/>
                <w:lang w:val="fr"/>
              </w:rPr>
              <w:t>Couverture d'</w:t>
            </w:r>
            <w:r w:rsidRPr="3DC69B6A" w:rsidR="3DC69B6A">
              <w:rPr>
                <w:rFonts w:ascii="Arial" w:hAnsi="Arial" w:eastAsia="Arial" w:cs="Arial"/>
                <w:i w:val="1"/>
                <w:iCs w:val="1"/>
                <w:color w:val="767171" w:themeColor="background2" w:themeTint="FF" w:themeShade="80"/>
                <w:sz w:val="18"/>
                <w:szCs w:val="18"/>
                <w:lang w:val="fr"/>
              </w:rPr>
              <w:t>autres groupes cibles (veuillez préciser)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105DEB59" w14:textId="1E2C26C9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774ED13C" w14:textId="2637E05A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573F6C6D" w14:textId="3CAE0073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591CCE1E" w14:textId="3767FC44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7FC197F5" w14:textId="489DC181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</w:tr>
      <w:tr w:rsidR="3DC69B6A" w:rsidTr="3DC69B6A" w14:paraId="22C5D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gridSpan w:val="3"/>
            <w:tcBorders>
              <w:top w:val="nil" w:color="666666" w:sz="12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3DC69B6A" w:rsidRDefault="3DC69B6A" w14:paraId="23B656B8" w14:textId="58FD086B">
            <w:r w:rsidRPr="3DC69B6A" w:rsidR="3DC69B6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999999" w:sz="8"/>
              <w:left w:val="nil"/>
              <w:bottom w:val="single" w:color="999999" w:sz="8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3DC69B6A" w:rsidP="3DC69B6A" w:rsidRDefault="3DC69B6A" w14:paraId="728CF666" w14:textId="6CFE8AA6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Données réelles au moment de la demande (base de référence)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3DC69B6A" w:rsidP="3DC69B6A" w:rsidRDefault="3DC69B6A" w14:paraId="6178EA4D" w14:textId="3078088B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Objectifs pour la fin de l'année 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6ED8494A" w:rsidP="3DC69B6A" w:rsidRDefault="6ED8494A" w14:paraId="156248FC" w14:textId="7C9E6974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</w:pPr>
            <w:r w:rsidRPr="3DC69B6A" w:rsidR="6ED849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Objectifs atteints 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3DC69B6A" w:rsidP="3DC69B6A" w:rsidRDefault="3DC69B6A" w14:paraId="635BC717" w14:textId="2C6A9093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Objectifs pour la fin de l'année 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E7E6E6" w:themeFill="background2"/>
            <w:tcMar/>
            <w:vAlign w:val="center"/>
          </w:tcPr>
          <w:p w:rsidR="4129143C" w:rsidP="3DC69B6A" w:rsidRDefault="4129143C" w14:paraId="5B42D5E4" w14:textId="731964E2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</w:pPr>
            <w:r w:rsidRPr="3DC69B6A" w:rsidR="4129143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Objectifs atteints 2023</w:t>
            </w:r>
          </w:p>
        </w:tc>
      </w:tr>
      <w:tr w:rsidR="3DC69B6A" w:rsidTr="3DC69B6A" w14:paraId="2BEB4438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 w:val="restart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538135" w:themeFill="accent6" w:themeFillShade="BF"/>
            <w:tcMar/>
            <w:vAlign w:val="center"/>
          </w:tcPr>
          <w:p w:rsidR="3DC69B6A" w:rsidP="3DC69B6A" w:rsidRDefault="3DC69B6A" w14:paraId="5F7E64EA" w14:textId="31D11CEF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fr"/>
              </w:rPr>
              <w:t>Population adulte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5" w:type="dxa"/>
            <w:tcBorders>
              <w:top w:val="nil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E2EFD9" w:themeFill="accent6" w:themeFillTint="33"/>
            <w:tcMar/>
            <w:vAlign w:val="center"/>
          </w:tcPr>
          <w:p w:rsidR="3DC69B6A" w:rsidP="3DC69B6A" w:rsidRDefault="3DC69B6A" w14:paraId="510C1FB5" w14:textId="724FD223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>Série primaire complète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Borders>
              <w:top w:val="nil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center"/>
          </w:tcPr>
          <w:p w:rsidR="3DC69B6A" w:rsidRDefault="3DC69B6A" w14:paraId="3E939238" w14:textId="707937C0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>Couverture de la population adulte totale [Nombre &amp;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1656A2D5" w14:textId="7A6B89DE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  <w:p w:rsidR="3DC69B6A" w:rsidRDefault="3DC69B6A" w14:paraId="4302F024" w14:textId="77E8DF77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6A800AA2" w14:textId="7E28068A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534430E6" w14:textId="0BAA612E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2281B204" w14:textId="1BEDBE50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5346F5D2" w14:textId="172146E2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</w:tr>
      <w:tr w:rsidR="3DC69B6A" w:rsidTr="3DC69B6A" w14:paraId="44B47D9B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  <w:tcBorders>
              <w:top w:val="single" w:color="999999" w:sz="0"/>
              <w:left w:val="single" w:color="999999" w:sz="0"/>
              <w:bottom w:val="single" w:color="999999" w:sz="0"/>
              <w:right w:val="single" w:color="999999" w:sz="0"/>
            </w:tcBorders>
            <w:tcMar/>
            <w:vAlign w:val="center"/>
          </w:tcPr>
          <w:p w14:paraId="0405C7E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5" w:type="dxa"/>
            <w:tcBorders>
              <w:top w:val="single" w:color="999999" w:sz="8"/>
              <w:left w:val="nil"/>
              <w:bottom w:val="single" w:color="999999" w:sz="8"/>
              <w:right w:val="single" w:color="999999" w:sz="8"/>
            </w:tcBorders>
            <w:shd w:val="clear" w:color="auto" w:fill="A8D08D" w:themeFill="accent6" w:themeFillTint="99"/>
            <w:tcMar/>
            <w:vAlign w:val="center"/>
          </w:tcPr>
          <w:p w:rsidR="3DC69B6A" w:rsidP="3DC69B6A" w:rsidRDefault="3DC69B6A" w14:paraId="5959B37C" w14:textId="27B35B2D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fr"/>
              </w:rPr>
              <w:t xml:space="preserve">Avec rappel(s)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1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center"/>
          </w:tcPr>
          <w:p w:rsidR="3DC69B6A" w:rsidRDefault="3DC69B6A" w14:paraId="672B7F60" w14:textId="4CDB8437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>Couverture de la population adulte totale [Nombre &amp;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1B464739" w14:textId="4F0484D6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RDefault="3DC69B6A" w14:paraId="3F79209E" w14:textId="138CBC7E"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5C6C01F4" w14:textId="55DC8048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6613AA51" w14:textId="46852385">
            <w:pPr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6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DC69B6A" w:rsidP="3DC69B6A" w:rsidRDefault="3DC69B6A" w14:paraId="6D5F8086" w14:textId="3EB722D6">
            <w:pPr>
              <w:pStyle w:val="Normal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</w:tr>
    </w:tbl>
    <w:p w:rsidRPr="00251051" w:rsidR="00C67BC4" w:rsidP="3DC69B6A" w:rsidRDefault="00C67BC4" w14:paraId="0D27CA31" w14:textId="3B611608">
      <w:pPr>
        <w:pStyle w:val="Normal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Pr="00B92184" w:rsidR="00C67BC4" w:rsidP="00C67BC4" w:rsidRDefault="00C67BC4" w14:paraId="4A847A63" w14:textId="77777777">
      <w:pPr>
        <w:pStyle w:val="ListParagraph"/>
        <w:ind w:left="1440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="00C67BC4" w:rsidP="1FF88585" w:rsidRDefault="00C67BC4" w14:paraId="575817D5" w14:textId="145425CD">
      <w:pPr>
        <w:pStyle w:val="ListParagraph"/>
        <w:numPr>
          <w:ilvl w:val="0"/>
          <w:numId w:val="9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Veuillez fournir une brève description / résumé pour expliquer votre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niveau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d’utilisation des fonds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en %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et le taux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d’achèvement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de vos activités, tel que rapporté dans votre rapport financier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et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de dépenses</w:t>
      </w:r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, (par exemple, veuillez expliquer, entre autres, quelles stratégies ont été mises en place pour atteindre la population à haut risque ou la population pour le vaccin de rappel et accélérer la couverture C19 - campagnes, routine, autres, etc. </w:t>
      </w:r>
      <w:proofErr w:type="gramStart"/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-;</w:t>
      </w:r>
      <w:proofErr w:type="gramEnd"/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comment la confiance dans les vaccins Covid19 / l'hésitation à se faire vacciner / la faible génération de la demande </w:t>
      </w:r>
      <w:proofErr w:type="gramStart"/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ont</w:t>
      </w:r>
      <w:proofErr w:type="gramEnd"/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été </w:t>
      </w:r>
      <w:proofErr w:type="gramStart"/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abordées;</w:t>
      </w:r>
      <w:proofErr w:type="gramEnd"/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comment le pays a encouragé l'inclusion des organisations de la société civile</w:t>
      </w:r>
      <w:r w:rsidRPr="3DC69B6A" w:rsidR="3DF37BD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,</w:t>
      </w:r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le cas </w:t>
      </w:r>
      <w:proofErr w:type="gramStart"/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échéant</w:t>
      </w:r>
      <w:r w:rsidRPr="3DC69B6A" w:rsidR="613F0868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;</w:t>
      </w:r>
      <w:proofErr w:type="gramEnd"/>
      <w:r w:rsidRPr="3DC69B6A" w:rsidR="5696F305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comment le renforcement des capacités et la formation des professionnels de la santé / gestionnaires / superviseurs ont eu lieu ; etc.)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.</w:t>
      </w:r>
    </w:p>
    <w:p w:rsidR="3DC69B6A" w:rsidP="3DC69B6A" w:rsidRDefault="3DC69B6A" w14:paraId="34EFE899" w14:textId="5171FE46">
      <w:pPr>
        <w:pStyle w:val="Normal"/>
        <w:ind w:left="0"/>
        <w:jc w:val="both"/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</w:pPr>
    </w:p>
    <w:p w:rsidR="0B4124CB" w:rsidP="3DC69B6A" w:rsidRDefault="0B4124CB" w14:paraId="19930E97" w14:textId="71097992">
      <w:pPr>
        <w:pStyle w:val="ListParagraph"/>
        <w:numPr>
          <w:ilvl w:val="0"/>
          <w:numId w:val="9"/>
        </w:numPr>
        <w:jc w:val="both"/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</w:pPr>
      <w:r w:rsidRPr="3DC69B6A" w:rsidR="0B4124CB">
        <w:rPr>
          <w:rFonts w:ascii="Arial" w:hAnsi="Arial" w:eastAsia="Times New Roman" w:cs="Arial"/>
          <w:b w:val="1"/>
          <w:bCs w:val="1"/>
          <w:i w:val="1"/>
          <w:iCs w:val="1"/>
          <w:color w:val="000000" w:themeColor="text1" w:themeTint="FF" w:themeShade="FF"/>
          <w:sz w:val="20"/>
          <w:szCs w:val="20"/>
          <w:u w:val="none"/>
          <w:lang w:eastAsia="fr-FR"/>
        </w:rPr>
        <w:t>Si vous avez reçu un financement dans le cadre de la troisième fenêtre de financement, CDS 3</w:t>
      </w:r>
      <w:r w:rsidRPr="3DC69B6A" w:rsidR="0B4124CB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, veuillez remplir le tableau suivant.</w:t>
      </w:r>
    </w:p>
    <w:p w:rsidRPr="00251051" w:rsidR="00C67BC4" w:rsidP="00C67BC4" w:rsidRDefault="00C67BC4" w14:paraId="6997277C" w14:textId="77777777" w14:noSpellErr="1">
      <w:pP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5"/>
        <w:gridCol w:w="2535"/>
        <w:gridCol w:w="4058"/>
      </w:tblGrid>
      <w:tr w:rsidR="3DC69B6A" w:rsidTr="3DC69B6A" w14:paraId="1AD7DA17">
        <w:trPr>
          <w:trHeight w:val="495"/>
        </w:trPr>
        <w:tc>
          <w:tcPr>
            <w:tcW w:w="24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60FB129C" w14:textId="310E7157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fr"/>
              </w:rPr>
              <w:t>Objectifs clés du CDS</w:t>
            </w:r>
          </w:p>
        </w:tc>
        <w:tc>
          <w:tcPr>
            <w:tcW w:w="25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2F61375B" w14:textId="73713061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fr"/>
              </w:rPr>
              <w:t>Résumé du montant du budget (US$)</w:t>
            </w:r>
          </w:p>
        </w:tc>
        <w:tc>
          <w:tcPr>
            <w:tcW w:w="40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7FEDF22D" w14:textId="41543E2E">
            <w:pPr>
              <w:jc w:val="center"/>
            </w:pPr>
            <w:r w:rsidRPr="3DC69B6A" w:rsidR="3DC69B6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fr"/>
              </w:rPr>
              <w:t>Résumé d’ensemble des activités clés</w:t>
            </w:r>
          </w:p>
        </w:tc>
      </w:tr>
      <w:tr w:rsidR="3DC69B6A" w:rsidTr="3DC69B6A" w14:paraId="05825F3B">
        <w:trPr>
          <w:trHeight w:val="495"/>
        </w:trPr>
        <w:tc>
          <w:tcPr>
            <w:tcW w:w="24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046C84F8" w14:textId="2FBEE010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lang w:val="fr"/>
              </w:rPr>
            </w:pPr>
            <w:r w:rsidRPr="3DC69B6A" w:rsidR="3DC69B6A">
              <w:rPr>
                <w:sz w:val="18"/>
                <w:szCs w:val="18"/>
                <w:lang w:val="fr"/>
              </w:rPr>
              <w:t>Population à haut risque</w:t>
            </w:r>
          </w:p>
        </w:tc>
        <w:tc>
          <w:tcPr>
            <w:tcW w:w="25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0E488C2F" w14:textId="2AC496FB">
            <w:pPr>
              <w:jc w:val="both"/>
            </w:pPr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0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0E94638E" w14:textId="0F60C0E5">
            <w:pPr>
              <w:jc w:val="both"/>
            </w:pPr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</w:tr>
      <w:tr w:rsidR="3DC69B6A" w:rsidTr="3DC69B6A" w14:paraId="5794A491">
        <w:trPr>
          <w:trHeight w:val="465"/>
        </w:trPr>
        <w:tc>
          <w:tcPr>
            <w:tcW w:w="24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244F901F" w14:textId="2998B262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lang w:val="fr"/>
              </w:rPr>
            </w:pPr>
            <w:r w:rsidRPr="3DC69B6A" w:rsidR="3DC69B6A">
              <w:rPr>
                <w:sz w:val="18"/>
                <w:szCs w:val="18"/>
                <w:lang w:val="fr"/>
              </w:rPr>
              <w:t xml:space="preserve">Population adulte </w:t>
            </w:r>
          </w:p>
        </w:tc>
        <w:tc>
          <w:tcPr>
            <w:tcW w:w="25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078A67BD" w14:textId="40B5CBCE">
            <w:pPr>
              <w:jc w:val="both"/>
            </w:pPr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0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73F25350" w14:textId="780C16EB">
            <w:pPr>
              <w:jc w:val="both"/>
            </w:pPr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</w:tr>
      <w:tr w:rsidR="3DC69B6A" w:rsidTr="3DC69B6A" w14:paraId="53A39003">
        <w:trPr>
          <w:trHeight w:val="495"/>
        </w:trPr>
        <w:tc>
          <w:tcPr>
            <w:tcW w:w="24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5E76C975" w14:textId="6B5ADF7C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lang w:val="fr"/>
              </w:rPr>
            </w:pPr>
            <w:r w:rsidRPr="3DC69B6A" w:rsidR="3DC69B6A">
              <w:rPr>
                <w:sz w:val="18"/>
                <w:szCs w:val="18"/>
                <w:lang w:val="fr"/>
              </w:rPr>
              <w:t>Intégration C19 et vaccination de routine</w:t>
            </w:r>
          </w:p>
        </w:tc>
        <w:tc>
          <w:tcPr>
            <w:tcW w:w="25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7FFADDFE" w14:textId="2291231D">
            <w:pPr>
              <w:jc w:val="both"/>
            </w:pPr>
            <w:r w:rsidRPr="3DC69B6A" w:rsidR="3DC69B6A">
              <w:rPr>
                <w:rFonts w:ascii="Arial" w:hAnsi="Arial" w:eastAsia="Arial" w:cs="Arial"/>
                <w:sz w:val="18"/>
                <w:szCs w:val="18"/>
                <w:lang w:val="fr"/>
              </w:rPr>
              <w:t xml:space="preserve"> </w:t>
            </w:r>
          </w:p>
        </w:tc>
        <w:tc>
          <w:tcPr>
            <w:tcW w:w="405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3DC69B6A" w:rsidP="3DC69B6A" w:rsidRDefault="3DC69B6A" w14:paraId="4E886DBC" w14:textId="50138B40">
            <w:pPr>
              <w:jc w:val="both"/>
              <w:rPr>
                <w:rFonts w:ascii="Arial" w:hAnsi="Arial" w:eastAsia="Arial" w:cs="Arial"/>
                <w:sz w:val="18"/>
                <w:szCs w:val="18"/>
                <w:lang w:val="fr"/>
              </w:rPr>
            </w:pPr>
          </w:p>
        </w:tc>
      </w:tr>
    </w:tbl>
    <w:p w:rsidRPr="00B92184" w:rsidR="00C67BC4" w:rsidP="00C67BC4" w:rsidRDefault="00C67BC4" w14:paraId="66D2A978" w14:textId="004D0176">
      <w:pPr>
        <w:pStyle w:val="ListParagrap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Pr="00B92184" w:rsidR="00C67BC4" w:rsidP="1FF88585" w:rsidRDefault="00C67BC4" w14:paraId="3ABC503D" w14:textId="66E356F8">
      <w:pPr>
        <w:pStyle w:val="ListParagraph"/>
        <w:numPr>
          <w:ilvl w:val="0"/>
          <w:numId w:val="9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Le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cas échéant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,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veuillez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fournir une brève description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de l’état d’avancement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des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aspects suivants de l’investissement dans l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es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équipements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de la chaîne du froid (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CCE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)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grâce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au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soutien du CDS, en soulignant les défis ou les retards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rencontrés</w:t>
      </w:r>
      <w:r w:rsidRPr="3DC69B6A" w:rsidR="3D0C16C6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, (par exemple, comment le CDS a contribué à maintenir ou à renforcer une chaîne du froid fonctionnelle, un système de gestion et de distribution des vaccins)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: </w:t>
      </w:r>
    </w:p>
    <w:p w:rsidRPr="00B92184" w:rsidR="00C67BC4" w:rsidP="00C67BC4" w:rsidRDefault="00C67BC4" w14:paraId="655F005C" w14:textId="3B957FF1">
      <w:pPr>
        <w:pStyle w:val="ListParagraph"/>
        <w:numPr>
          <w:ilvl w:val="0"/>
          <w:numId w:val="7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La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réception et l’installation de tout équipement acheté 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grâce au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soutien du CDS</w:t>
      </w:r>
    </w:p>
    <w:p w:rsidRPr="00B92184" w:rsidR="00C67BC4" w:rsidP="00C67BC4" w:rsidRDefault="00C67BC4" w14:paraId="089DBF36" w14:textId="77777777">
      <w:pPr>
        <w:pStyle w:val="ListParagraph"/>
        <w:numPr>
          <w:ilvl w:val="0"/>
          <w:numId w:val="7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00B92184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Toute </w:t>
      </w:r>
      <w:r w:rsidRPr="3AEFF17B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maintenance</w:t>
      </w:r>
      <w:r w:rsidRPr="00B92184" w:rsidDel="00800520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 </w:t>
      </w:r>
      <w:r w:rsidRPr="00B92184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de l’équipement et/ou 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 xml:space="preserve">activité </w:t>
      </w:r>
      <w:r w:rsidRPr="00B92184"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  <w:t>de préparation du site ;</w:t>
      </w:r>
    </w:p>
    <w:p w:rsidRPr="00B92184" w:rsidR="00C67BC4" w:rsidP="1FF88585" w:rsidRDefault="00C67BC4" w14:paraId="5B05E0F3" w14:textId="55CCD9E4">
      <w:pPr>
        <w:pStyle w:val="ListParagraph"/>
        <w:numPr>
          <w:ilvl w:val="0"/>
          <w:numId w:val="7"/>
        </w:numPr>
        <w:ind/>
        <w:jc w:val="both"/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</w:pP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Tout crédit-bail ou location simple de services d’entreposage frigorifique par de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s</w:t>
      </w:r>
      <w:r w:rsidRPr="1FF88585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fournisseurs tiers. </w:t>
      </w:r>
    </w:p>
    <w:p w:rsidRPr="00B92184" w:rsidR="00C67BC4" w:rsidP="1FF88585" w:rsidRDefault="00C67BC4" w14:paraId="45B77CB2" w14:textId="318B8ABE">
      <w:pPr>
        <w:pStyle w:val="Normal"/>
        <w:ind w:left="720"/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Pr="00B92184" w:rsidR="00C67BC4" w:rsidP="00C67BC4" w:rsidRDefault="00C67BC4" w14:paraId="2B379F8B" w14:textId="77777777">
      <w:pPr>
        <w:pStyle w:val="ListParagraph"/>
        <w:ind w:left="1440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="00C67BC4" w:rsidP="1FF88585" w:rsidRDefault="00C67BC4" w14:paraId="0FF05A09" w14:textId="69CFC230">
      <w:pPr>
        <w:pStyle w:val="ListParagraph"/>
        <w:numPr>
          <w:ilvl w:val="0"/>
          <w:numId w:val="9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Dans quelle mesure l’assistance technique (AT) financée par Gavi a-t-elle permis et soutenu votre programme de vaccination contre la COVID-19 et la mise en œuvre du CDS ? Quelles lacunes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, le cas échéant,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le pays a-t-il rencontrées en termes d’assistance technique pour mettre en œuvre son CDS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? </w:t>
      </w:r>
    </w:p>
    <w:p w:rsidRPr="00251051" w:rsidR="00C67BC4" w:rsidP="00C67BC4" w:rsidRDefault="00C67BC4" w14:paraId="12BACA23" w14:textId="77777777" w14:noSpellErr="1">
      <w:pP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Pr="00B92184" w:rsidR="00C67BC4" w:rsidP="00C67BC4" w:rsidRDefault="00C67BC4" w14:paraId="22E96367" w14:textId="77777777">
      <w:pPr>
        <w:pStyle w:val="ListParagrap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="00C67BC4" w:rsidP="1FF88585" w:rsidRDefault="00C67BC4" w14:paraId="6E973338" w14:textId="64A7F561">
      <w:pPr>
        <w:pStyle w:val="ListParagraph"/>
        <w:numPr>
          <w:ilvl w:val="0"/>
          <w:numId w:val="9"/>
        </w:numPr>
        <w:jc w:val="both"/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Veuillez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expliquer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brièvement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si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les fonds du CDS ont été utilisés pour renforcer la vaccination de routine (au-delà de la COVID-19)</w:t>
      </w:r>
      <w:r w:rsidRPr="3DC69B6A" w:rsidR="7B75B699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,</w:t>
      </w:r>
      <w:r w:rsidRPr="3DC69B6A" w:rsidR="1E97BD38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</w:t>
      </w:r>
      <w:r w:rsidRPr="3DC69B6A" w:rsidR="42903C7C">
        <w:rPr>
          <w:rFonts w:ascii="Arial" w:hAnsi="Arial" w:eastAsia="Times New Roman" w:cs="Arial"/>
          <w:noProof w:val="0"/>
          <w:color w:val="000000" w:themeColor="text1" w:themeTint="FF" w:themeShade="FF"/>
          <w:sz w:val="20"/>
          <w:szCs w:val="20"/>
          <w:lang w:val="fr-CH" w:eastAsia="fr-FR"/>
        </w:rPr>
        <w:t>et quels types d'activités ont soutenu l'intégration du C19 avec la vaccination de routine/d'autres services de santé essentiels,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 y compris les aspects innovants qui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 xml:space="preserve">ont </w:t>
      </w:r>
      <w:r w:rsidRPr="3DC69B6A" w:rsidR="163F6B4E">
        <w:rPr>
          <w:rFonts w:ascii="Arial" w:hAnsi="Arial" w:eastAsia="Times New Roman" w:cs="Arial"/>
          <w:color w:val="000000" w:themeColor="text1" w:themeTint="FF" w:themeShade="FF"/>
          <w:sz w:val="20"/>
          <w:szCs w:val="20"/>
          <w:lang w:eastAsia="fr-FR"/>
        </w:rPr>
        <w:t>pu être soutenus par le CDS.</w:t>
      </w:r>
    </w:p>
    <w:p w:rsidRPr="00251051" w:rsidR="00C67BC4" w:rsidP="00C67BC4" w:rsidRDefault="00C67BC4" w14:paraId="3994CC27" w14:textId="77777777" w14:noSpellErr="1">
      <w:pPr>
        <w:rPr>
          <w:rFonts w:ascii="Arial" w:hAnsi="Arial" w:eastAsia="Times New Roman" w:cs="Arial"/>
          <w:color w:val="000000" w:themeColor="text1"/>
          <w:sz w:val="20"/>
          <w:szCs w:val="20"/>
          <w:lang w:eastAsia="fr-FR"/>
        </w:rPr>
      </w:pPr>
    </w:p>
    <w:p w:rsidRPr="001813A1" w:rsidR="008B49FD" w:rsidP="1FF88585" w:rsidRDefault="008B49FD" w14:paraId="42C60A9F" w14:noSpellErr="1" w14:textId="425F95E5">
      <w:pPr>
        <w:pStyle w:val="Normal"/>
        <w:rPr>
          <w:rFonts w:ascii="Arial" w:hAnsi="Arial" w:cs="Arial"/>
          <w:sz w:val="20"/>
          <w:szCs w:val="20"/>
        </w:rPr>
      </w:pPr>
    </w:p>
    <w:sectPr w:rsidRPr="001813A1" w:rsidR="008B49FD" w:rsidSect="001568E2">
      <w:footerReference w:type="default" r:id="rId11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774" w:rsidP="006752E0" w:rsidRDefault="00C06774" w14:paraId="496AB905" w14:textId="77777777">
      <w:r>
        <w:separator/>
      </w:r>
    </w:p>
  </w:endnote>
  <w:endnote w:type="continuationSeparator" w:id="0">
    <w:p w:rsidR="00C06774" w:rsidP="006752E0" w:rsidRDefault="00C06774" w14:paraId="6BEA60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083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0A53" w:rsidRDefault="00D80A53" w14:paraId="7D670C5C" w14:textId="0BCA32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0A53" w:rsidRDefault="00D80A53" w14:paraId="6BE28B7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774" w:rsidP="006752E0" w:rsidRDefault="00C06774" w14:paraId="20907F9D" w14:textId="77777777">
      <w:r>
        <w:separator/>
      </w:r>
    </w:p>
  </w:footnote>
  <w:footnote w:type="continuationSeparator" w:id="0">
    <w:p w:rsidR="00C06774" w:rsidP="006752E0" w:rsidRDefault="00C06774" w14:paraId="59FC46A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36ce33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7512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1A0A56"/>
    <w:multiLevelType w:val="hybridMultilevel"/>
    <w:tmpl w:val="4900E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9C0"/>
    <w:multiLevelType w:val="hybridMultilevel"/>
    <w:tmpl w:val="CE645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21A6"/>
    <w:multiLevelType w:val="multilevel"/>
    <w:tmpl w:val="EB3842D4"/>
    <w:lvl w:ilvl="0">
      <w:start w:val="1"/>
      <w:numFmt w:val="upperRoman"/>
      <w:pStyle w:val="Title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6D84598"/>
    <w:multiLevelType w:val="hybridMultilevel"/>
    <w:tmpl w:val="7400A59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DF7079"/>
    <w:multiLevelType w:val="hybridMultilevel"/>
    <w:tmpl w:val="2064FB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0FEF"/>
    <w:multiLevelType w:val="hybridMultilevel"/>
    <w:tmpl w:val="00B6B616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66633B3F"/>
    <w:multiLevelType w:val="hybridMultilevel"/>
    <w:tmpl w:val="38AC72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B77F5"/>
    <w:multiLevelType w:val="hybridMultilevel"/>
    <w:tmpl w:val="AC90BFF4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1" w16cid:durableId="921257627">
    <w:abstractNumId w:val="2"/>
  </w:num>
  <w:num w:numId="2" w16cid:durableId="397286431">
    <w:abstractNumId w:val="0"/>
  </w:num>
  <w:num w:numId="3" w16cid:durableId="282810461">
    <w:abstractNumId w:val="3"/>
  </w:num>
  <w:num w:numId="4" w16cid:durableId="1683361538">
    <w:abstractNumId w:val="6"/>
  </w:num>
  <w:num w:numId="5" w16cid:durableId="740172941">
    <w:abstractNumId w:val="7"/>
  </w:num>
  <w:num w:numId="6" w16cid:durableId="1163355320">
    <w:abstractNumId w:val="4"/>
  </w:num>
  <w:num w:numId="7" w16cid:durableId="1221676296">
    <w:abstractNumId w:val="5"/>
  </w:num>
  <w:num w:numId="8" w16cid:durableId="202493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C2"/>
    <w:rsid w:val="00010AC1"/>
    <w:rsid w:val="00042B0C"/>
    <w:rsid w:val="00082CD8"/>
    <w:rsid w:val="000877B1"/>
    <w:rsid w:val="00124AC2"/>
    <w:rsid w:val="001568E2"/>
    <w:rsid w:val="001813A1"/>
    <w:rsid w:val="002152F3"/>
    <w:rsid w:val="00237D1E"/>
    <w:rsid w:val="00243028"/>
    <w:rsid w:val="00281206"/>
    <w:rsid w:val="002F4276"/>
    <w:rsid w:val="0030340E"/>
    <w:rsid w:val="00333CF7"/>
    <w:rsid w:val="003C3A2C"/>
    <w:rsid w:val="003C41A3"/>
    <w:rsid w:val="00437680"/>
    <w:rsid w:val="00465DD5"/>
    <w:rsid w:val="004F09FF"/>
    <w:rsid w:val="004F7DAA"/>
    <w:rsid w:val="00515A35"/>
    <w:rsid w:val="005E051E"/>
    <w:rsid w:val="00606BDA"/>
    <w:rsid w:val="00632AEB"/>
    <w:rsid w:val="006752E0"/>
    <w:rsid w:val="00687B24"/>
    <w:rsid w:val="006933E3"/>
    <w:rsid w:val="006A08D5"/>
    <w:rsid w:val="006E0697"/>
    <w:rsid w:val="006F11BE"/>
    <w:rsid w:val="00753C48"/>
    <w:rsid w:val="0078661E"/>
    <w:rsid w:val="007E3359"/>
    <w:rsid w:val="00800520"/>
    <w:rsid w:val="0081706D"/>
    <w:rsid w:val="00833AA2"/>
    <w:rsid w:val="00871E87"/>
    <w:rsid w:val="008B49FD"/>
    <w:rsid w:val="00901DF0"/>
    <w:rsid w:val="009447F1"/>
    <w:rsid w:val="00961CDC"/>
    <w:rsid w:val="00A30525"/>
    <w:rsid w:val="00B53DED"/>
    <w:rsid w:val="00B92184"/>
    <w:rsid w:val="00B933E2"/>
    <w:rsid w:val="00BF5BCC"/>
    <w:rsid w:val="00C06774"/>
    <w:rsid w:val="00C534EC"/>
    <w:rsid w:val="00C67BC4"/>
    <w:rsid w:val="00C87B7C"/>
    <w:rsid w:val="00CA4A50"/>
    <w:rsid w:val="00CA7312"/>
    <w:rsid w:val="00CE5F42"/>
    <w:rsid w:val="00D04205"/>
    <w:rsid w:val="00D0748E"/>
    <w:rsid w:val="00D214BC"/>
    <w:rsid w:val="00D632FC"/>
    <w:rsid w:val="00D80A53"/>
    <w:rsid w:val="00D93862"/>
    <w:rsid w:val="00DF333B"/>
    <w:rsid w:val="00E27A08"/>
    <w:rsid w:val="00E51221"/>
    <w:rsid w:val="00F10925"/>
    <w:rsid w:val="00F34008"/>
    <w:rsid w:val="00F442B2"/>
    <w:rsid w:val="00F46FBF"/>
    <w:rsid w:val="00F64DC9"/>
    <w:rsid w:val="00F930D6"/>
    <w:rsid w:val="00F93E4A"/>
    <w:rsid w:val="00FE28F1"/>
    <w:rsid w:val="0298ECA0"/>
    <w:rsid w:val="02A465FB"/>
    <w:rsid w:val="03A7D02E"/>
    <w:rsid w:val="03BCA7ED"/>
    <w:rsid w:val="03ECCD98"/>
    <w:rsid w:val="04422AAD"/>
    <w:rsid w:val="0546080C"/>
    <w:rsid w:val="0575FAE6"/>
    <w:rsid w:val="064461C7"/>
    <w:rsid w:val="0699E904"/>
    <w:rsid w:val="073611F5"/>
    <w:rsid w:val="073D55CD"/>
    <w:rsid w:val="08231652"/>
    <w:rsid w:val="08A93705"/>
    <w:rsid w:val="08A93705"/>
    <w:rsid w:val="08AF7C29"/>
    <w:rsid w:val="08CCB852"/>
    <w:rsid w:val="090E8718"/>
    <w:rsid w:val="093EACC3"/>
    <w:rsid w:val="09E4F3C9"/>
    <w:rsid w:val="09FCED36"/>
    <w:rsid w:val="0A450766"/>
    <w:rsid w:val="0B4124CB"/>
    <w:rsid w:val="0B4DA605"/>
    <w:rsid w:val="0B65CBC8"/>
    <w:rsid w:val="0CAA08A2"/>
    <w:rsid w:val="0D824266"/>
    <w:rsid w:val="0E12E734"/>
    <w:rsid w:val="1031BB82"/>
    <w:rsid w:val="108A0A82"/>
    <w:rsid w:val="11D280F7"/>
    <w:rsid w:val="11E6850E"/>
    <w:rsid w:val="1364CCDA"/>
    <w:rsid w:val="13E24121"/>
    <w:rsid w:val="15445348"/>
    <w:rsid w:val="163F6B4E"/>
    <w:rsid w:val="166ED8A2"/>
    <w:rsid w:val="168704E0"/>
    <w:rsid w:val="179F4057"/>
    <w:rsid w:val="1830B619"/>
    <w:rsid w:val="18AE23E5"/>
    <w:rsid w:val="1A43E241"/>
    <w:rsid w:val="1AF5CAF2"/>
    <w:rsid w:val="1CA3A6EE"/>
    <w:rsid w:val="1E0E479C"/>
    <w:rsid w:val="1E97BD38"/>
    <w:rsid w:val="1FF88585"/>
    <w:rsid w:val="201BAF35"/>
    <w:rsid w:val="2111840E"/>
    <w:rsid w:val="219895BD"/>
    <w:rsid w:val="2242CE3A"/>
    <w:rsid w:val="256CF946"/>
    <w:rsid w:val="25FEB040"/>
    <w:rsid w:val="2726B761"/>
    <w:rsid w:val="2746D02A"/>
    <w:rsid w:val="28981E13"/>
    <w:rsid w:val="29418D42"/>
    <w:rsid w:val="2A5CF0E2"/>
    <w:rsid w:val="2B5C5B19"/>
    <w:rsid w:val="2BB27FF1"/>
    <w:rsid w:val="2BCDC27A"/>
    <w:rsid w:val="2E3A7403"/>
    <w:rsid w:val="32AD64D8"/>
    <w:rsid w:val="331394B0"/>
    <w:rsid w:val="336BD1A1"/>
    <w:rsid w:val="33C7FBD8"/>
    <w:rsid w:val="33DCB801"/>
    <w:rsid w:val="34E03426"/>
    <w:rsid w:val="35388C13"/>
    <w:rsid w:val="355A79C9"/>
    <w:rsid w:val="35640141"/>
    <w:rsid w:val="357616CF"/>
    <w:rsid w:val="360BAA58"/>
    <w:rsid w:val="36109BDB"/>
    <w:rsid w:val="39161A97"/>
    <w:rsid w:val="3A7F61ED"/>
    <w:rsid w:val="3AEFF17B"/>
    <w:rsid w:val="3B29CD3B"/>
    <w:rsid w:val="3C5A089A"/>
    <w:rsid w:val="3CCB2D42"/>
    <w:rsid w:val="3D0C16C6"/>
    <w:rsid w:val="3DC69B6A"/>
    <w:rsid w:val="3DF37BDE"/>
    <w:rsid w:val="3DF398EC"/>
    <w:rsid w:val="3E1BE611"/>
    <w:rsid w:val="3E564757"/>
    <w:rsid w:val="3EA1DBFD"/>
    <w:rsid w:val="3EDA52DA"/>
    <w:rsid w:val="3F4B4B2C"/>
    <w:rsid w:val="4052AD51"/>
    <w:rsid w:val="4066AECC"/>
    <w:rsid w:val="40A212AC"/>
    <w:rsid w:val="4129143C"/>
    <w:rsid w:val="42903C7C"/>
    <w:rsid w:val="43378D1A"/>
    <w:rsid w:val="436DC53C"/>
    <w:rsid w:val="4594E441"/>
    <w:rsid w:val="460C5666"/>
    <w:rsid w:val="4693852A"/>
    <w:rsid w:val="476EBB25"/>
    <w:rsid w:val="48722558"/>
    <w:rsid w:val="498D8F73"/>
    <w:rsid w:val="4A98E631"/>
    <w:rsid w:val="4B16EF92"/>
    <w:rsid w:val="4B6437B3"/>
    <w:rsid w:val="4B8BA202"/>
    <w:rsid w:val="4CC0A0CB"/>
    <w:rsid w:val="4EC74260"/>
    <w:rsid w:val="4FBE5F52"/>
    <w:rsid w:val="4FE2D8D1"/>
    <w:rsid w:val="50891FD7"/>
    <w:rsid w:val="50A34AFE"/>
    <w:rsid w:val="5209F7D6"/>
    <w:rsid w:val="527AF028"/>
    <w:rsid w:val="53E0A691"/>
    <w:rsid w:val="55280B94"/>
    <w:rsid w:val="55820698"/>
    <w:rsid w:val="560062E4"/>
    <w:rsid w:val="5696F305"/>
    <w:rsid w:val="569D6A38"/>
    <w:rsid w:val="572FAFC3"/>
    <w:rsid w:val="57F0A855"/>
    <w:rsid w:val="58AC8FD0"/>
    <w:rsid w:val="59AFFA03"/>
    <w:rsid w:val="5B526C06"/>
    <w:rsid w:val="5CFD8969"/>
    <w:rsid w:val="5DE26F03"/>
    <w:rsid w:val="5E6B7834"/>
    <w:rsid w:val="5F030E99"/>
    <w:rsid w:val="5F414D6D"/>
    <w:rsid w:val="606A91E5"/>
    <w:rsid w:val="60828B52"/>
    <w:rsid w:val="60A2A41B"/>
    <w:rsid w:val="60F3AFFA"/>
    <w:rsid w:val="613F0868"/>
    <w:rsid w:val="622C68E1"/>
    <w:rsid w:val="62CA5EB5"/>
    <w:rsid w:val="6347D2FC"/>
    <w:rsid w:val="63888D36"/>
    <w:rsid w:val="64063FC5"/>
    <w:rsid w:val="644B36B4"/>
    <w:rsid w:val="67C34576"/>
    <w:rsid w:val="67FB8FFD"/>
    <w:rsid w:val="6813B5C0"/>
    <w:rsid w:val="69432156"/>
    <w:rsid w:val="69A79CFF"/>
    <w:rsid w:val="6B3DE0CC"/>
    <w:rsid w:val="6B57C4A2"/>
    <w:rsid w:val="6BC43B5F"/>
    <w:rsid w:val="6BE8DC53"/>
    <w:rsid w:val="6D0BA062"/>
    <w:rsid w:val="6D7CBC05"/>
    <w:rsid w:val="6E3C0817"/>
    <w:rsid w:val="6E46D497"/>
    <w:rsid w:val="6ED8494A"/>
    <w:rsid w:val="6F54438E"/>
    <w:rsid w:val="6F6C6FCC"/>
    <w:rsid w:val="720556EC"/>
    <w:rsid w:val="725E8227"/>
    <w:rsid w:val="73481E00"/>
    <w:rsid w:val="74DEA011"/>
    <w:rsid w:val="75B50CC2"/>
    <w:rsid w:val="768C493C"/>
    <w:rsid w:val="76EF5553"/>
    <w:rsid w:val="77D0B26C"/>
    <w:rsid w:val="77FDAFEE"/>
    <w:rsid w:val="78D41C9F"/>
    <w:rsid w:val="79AE8142"/>
    <w:rsid w:val="7A0FFDAF"/>
    <w:rsid w:val="7AF2EA72"/>
    <w:rsid w:val="7B2B67CA"/>
    <w:rsid w:val="7B75B699"/>
    <w:rsid w:val="7BFEA5D7"/>
    <w:rsid w:val="7C1CEC40"/>
    <w:rsid w:val="7C9C9BAB"/>
    <w:rsid w:val="7CC9992D"/>
    <w:rsid w:val="7EF0B832"/>
    <w:rsid w:val="7F0AD8C1"/>
    <w:rsid w:val="7F1D06EE"/>
    <w:rsid w:val="7F20DDDD"/>
    <w:rsid w:val="7F22EFEC"/>
    <w:rsid w:val="7FF4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CE89"/>
  <w15:chartTrackingRefBased/>
  <w15:docId w15:val="{8EB74BE8-19D9-4878-BAE5-B1E976B2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14BC"/>
    <w:pPr>
      <w:keepNext/>
      <w:keepLines/>
      <w:numPr>
        <w:numId w:val="1"/>
      </w:numPr>
      <w:spacing w:after="60" w:line="276" w:lineRule="auto"/>
    </w:pPr>
    <w:rPr>
      <w:rFonts w:ascii="Arial" w:hAnsi="Arial" w:eastAsia="Arial" w:cs="Arial"/>
      <w:b/>
      <w:color w:val="000000" w:themeColor="text1"/>
      <w:sz w:val="28"/>
      <w:szCs w:val="52"/>
      <w:lang w:val="en" w:eastAsia="fr-FR"/>
    </w:rPr>
  </w:style>
  <w:style w:type="character" w:styleId="TitleChar" w:customStyle="1">
    <w:name w:val="Title Char"/>
    <w:basedOn w:val="DefaultParagraphFont"/>
    <w:link w:val="Title"/>
    <w:uiPriority w:val="10"/>
    <w:rsid w:val="00D214BC"/>
    <w:rPr>
      <w:rFonts w:ascii="Arial" w:hAnsi="Arial" w:eastAsia="Arial" w:cs="Arial"/>
      <w:b/>
      <w:color w:val="000000" w:themeColor="text1"/>
      <w:sz w:val="28"/>
      <w:szCs w:val="52"/>
      <w:lang w:val="en" w:eastAsia="fr-FR"/>
    </w:rPr>
  </w:style>
  <w:style w:type="paragraph" w:styleId="ListParagraph">
    <w:name w:val="List Paragraph"/>
    <w:basedOn w:val="Normal"/>
    <w:uiPriority w:val="34"/>
    <w:qFormat/>
    <w:rsid w:val="00901DF0"/>
    <w:pPr>
      <w:ind w:left="720"/>
      <w:contextualSpacing/>
    </w:pPr>
  </w:style>
  <w:style w:type="paragraph" w:styleId="paragraph" w:customStyle="1">
    <w:name w:val="paragraph"/>
    <w:basedOn w:val="Normal"/>
    <w:rsid w:val="00C534E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r-FR"/>
    </w:rPr>
  </w:style>
  <w:style w:type="character" w:styleId="normaltextrun" w:customStyle="1">
    <w:name w:val="normaltextrun"/>
    <w:basedOn w:val="DefaultParagraphFont"/>
    <w:rsid w:val="00C534EC"/>
  </w:style>
  <w:style w:type="character" w:styleId="superscript" w:customStyle="1">
    <w:name w:val="superscript"/>
    <w:basedOn w:val="DefaultParagraphFont"/>
    <w:rsid w:val="00C534EC"/>
  </w:style>
  <w:style w:type="character" w:styleId="eop" w:customStyle="1">
    <w:name w:val="eop"/>
    <w:basedOn w:val="DefaultParagraphFont"/>
    <w:rsid w:val="00C534EC"/>
  </w:style>
  <w:style w:type="character" w:styleId="Hyperlink">
    <w:name w:val="Hyperlink"/>
    <w:basedOn w:val="DefaultParagraphFont"/>
    <w:uiPriority w:val="99"/>
    <w:unhideWhenUsed/>
    <w:rsid w:val="00CE5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F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3359"/>
  </w:style>
  <w:style w:type="character" w:styleId="CommentReference">
    <w:name w:val="annotation reference"/>
    <w:basedOn w:val="DefaultParagraphFont"/>
    <w:uiPriority w:val="99"/>
    <w:semiHidden/>
    <w:unhideWhenUsed/>
    <w:rsid w:val="004F7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DA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F7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D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F7D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A5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0A53"/>
  </w:style>
  <w:style w:type="paragraph" w:styleId="Footer">
    <w:name w:val="footer"/>
    <w:basedOn w:val="Normal"/>
    <w:link w:val="FooterChar"/>
    <w:uiPriority w:val="99"/>
    <w:unhideWhenUsed/>
    <w:rsid w:val="00D80A5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0A5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" mc:Ignorable="w14">
    <w:name xmlns:w="http://schemas.openxmlformats.org/wordprocessingml/2006/main" w:val="Grid Table 1 Light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hyperlink" Target="https://drive.google.com/file/d/16KlK_C1vXy34M-XIUdy9fmyegjocNL0a/view" TargetMode="External" Id="R93acd3b955c9402f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glossaryDocument" Target="glossary/document.xml" Id="R7799ab5cc5ab4be6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5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bece-fcb8-44d5-8f66-6924d74eb1c8}"/>
      </w:docPartPr>
      <w:docPartBody>
        <w:p w14:paraId="59B9640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399e1-4586-4335-9383-7d9098bfc9ba">
      <Terms xmlns="http://schemas.microsoft.com/office/infopath/2007/PartnerControls"/>
    </lcf76f155ced4ddcb4097134ff3c332f>
    <TaxCatchAll xmlns="d0706217-df7c-4bf4-936d-b09aa3b837af" xsi:nil="true"/>
    <_Flow_SignoffStatus xmlns="a0d399e1-4586-4335-9383-7d9098bfc9ba" xsi:nil="true"/>
    <MediaLengthInSeconds xmlns="a0d399e1-4586-4335-9383-7d9098bfc9ba" xsi:nil="true"/>
    <_dlc_DocId xmlns="700359ba-e36c-422a-9925-ddada98091a9">GAVI-1412322964-1026116</_dlc_DocId>
    <_dlc_DocIdUrl xmlns="700359ba-e36c-422a-9925-ddada98091a9">
      <Url>https://gavinet.sharepoint.com/teams/COP/_layouts/15/DocIdRedir.aspx?ID=GAVI-1412322964-1026116</Url>
      <Description>GAVI-1412322964-1026116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829077562E4B4F4F98F681ADDADB1D0F" ma:contentTypeVersion="167" ma:contentTypeDescription="Gavi Document content type " ma:contentTypeScope="" ma:versionID="748aa00a0358d6dd6c6070dbb2f20ec0">
  <xsd:schema xmlns:xsd="http://www.w3.org/2001/XMLSchema" xmlns:xs="http://www.w3.org/2001/XMLSchema" xmlns:p="http://schemas.microsoft.com/office/2006/metadata/properties" xmlns:ns2="700359ba-e36c-422a-9925-ddada98091a9" xmlns:ns3="d0706217-df7c-4bf4-936d-b09aa3b837af" xmlns:ns4="a0d399e1-4586-4335-9383-7d9098bfc9ba" targetNamespace="http://schemas.microsoft.com/office/2006/metadata/properties" ma:root="true" ma:fieldsID="acdd2ed57b707b6114df85176da0f45d" ns2:_="" ns3:_="" ns4:_="">
    <xsd:import namespace="700359ba-e36c-422a-9925-ddada98091a9"/>
    <xsd:import namespace="d0706217-df7c-4bf4-936d-b09aa3b837af"/>
    <xsd:import namespace="a0d399e1-4586-4335-9383-7d9098bfc9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59ba-e36c-422a-9925-ddada98091a9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be8d0b83-5287-4986-bb7f-bce56a97355c}" ma:internalName="TaxCatchAll" ma:showField="CatchAllData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be8d0b83-5287-4986-bb7f-bce56a97355c}" ma:internalName="TaxCatchAllLabel" ma:readOnly="true" ma:showField="CatchAllDataLabel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99e1-4586-4335-9383-7d9098bfc9b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BFA5D3-6DB7-4E73-8A78-A7B160AC5C2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71abb30-b7d5-4765-9d2c-1215b5fd72e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92E9EA-1205-43EC-9EDA-B12C30589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7090C-1CBD-45C5-BC5C-2155B8234281}"/>
</file>

<file path=customXml/itemProps4.xml><?xml version="1.0" encoding="utf-8"?>
<ds:datastoreItem xmlns:ds="http://schemas.openxmlformats.org/officeDocument/2006/customXml" ds:itemID="{1ADEEC3F-747C-4ACB-ABAC-EBEEF90C3378}"/>
</file>

<file path=customXml/itemProps5.xml><?xml version="1.0" encoding="utf-8"?>
<ds:datastoreItem xmlns:ds="http://schemas.openxmlformats.org/officeDocument/2006/customXml" ds:itemID="{F3467A58-A8BB-4955-9390-4B4003AC24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Nourhane Elarousy</dc:creator>
  <cp:keywords/>
  <dc:description/>
  <cp:lastModifiedBy>Marta Urrutxi Gallastegi</cp:lastModifiedBy>
  <cp:revision>39</cp:revision>
  <dcterms:created xsi:type="dcterms:W3CDTF">2022-06-15T07:36:00Z</dcterms:created>
  <dcterms:modified xsi:type="dcterms:W3CDTF">2023-01-12T16:48:38Z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2022-06-15T07:36:51Z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23cfb0b2-a0c4-48e9-9f3e-0000524113c2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0x0101009954897F3EE3CC4ABB9FB9EDAC9CDEBC00829077562E4B4F4F98F681ADDADB1D0F</vt:lpwstr>
  </property>
  <property fmtid="{D5CDD505-2E9C-101B-9397-08002B2CF9AE}" pid="10" name="TaxKeyword">
    <vt:lpwstr/>
  </property>
  <property fmtid="{D5CDD505-2E9C-101B-9397-08002B2CF9AE}" pid="11" name="TaxCatchAll">
    <vt:lpwstr/>
  </property>
  <property fmtid="{D5CDD505-2E9C-101B-9397-08002B2CF9AE}" pid="12" name="TaxKeywordTaxHTField">
    <vt:lpwstr/>
  </property>
  <property fmtid="{D5CDD505-2E9C-101B-9397-08002B2CF9AE}" pid="13" name="Strategy_x0020_and_x0020_Policy">
    <vt:lpwstr/>
  </property>
  <property fmtid="{D5CDD505-2E9C-101B-9397-08002B2CF9AE}" pid="14" name="Risk">
    <vt:lpwstr/>
  </property>
  <property fmtid="{D5CDD505-2E9C-101B-9397-08002B2CF9AE}" pid="15" name="Lang">
    <vt:lpwstr/>
  </property>
  <property fmtid="{D5CDD505-2E9C-101B-9397-08002B2CF9AE}" pid="16" name="i15b6667c80d4f308357e591caf47090">
    <vt:lpwstr/>
  </property>
  <property fmtid="{D5CDD505-2E9C-101B-9397-08002B2CF9AE}" pid="17" name="Document_x0020_Type">
    <vt:lpwstr/>
  </property>
  <property fmtid="{D5CDD505-2E9C-101B-9397-08002B2CF9AE}" pid="18" name="MediaServiceImageTags">
    <vt:lpwstr/>
  </property>
  <property fmtid="{D5CDD505-2E9C-101B-9397-08002B2CF9AE}" pid="19" name="oaccbf0bcc574f75aa77b841ffd7bc19">
    <vt:lpwstr/>
  </property>
  <property fmtid="{D5CDD505-2E9C-101B-9397-08002B2CF9AE}" pid="20" name="d1cc8e3ce74548b4802b698dbb551d86">
    <vt:lpwstr/>
  </property>
  <property fmtid="{D5CDD505-2E9C-101B-9397-08002B2CF9AE}" pid="21" name="bc1b0c83348b4f048615cacd6d83a4a9">
    <vt:lpwstr/>
  </property>
  <property fmtid="{D5CDD505-2E9C-101B-9397-08002B2CF9AE}" pid="22" name="Health">
    <vt:lpwstr/>
  </property>
  <property fmtid="{D5CDD505-2E9C-101B-9397-08002B2CF9AE}" pid="23" name="Vaccine">
    <vt:lpwstr/>
  </property>
  <property fmtid="{D5CDD505-2E9C-101B-9397-08002B2CF9AE}" pid="24" name="pe81ae692a6b49768f319a7f7719c9c0">
    <vt:lpwstr/>
  </property>
  <property fmtid="{D5CDD505-2E9C-101B-9397-08002B2CF9AE}" pid="25" name="le9d97f3bd374b61b397133b88eb0f9d">
    <vt:lpwstr/>
  </property>
  <property fmtid="{D5CDD505-2E9C-101B-9397-08002B2CF9AE}" pid="26" name="n77ad5cd43aa466bb2098d7a5ff62477">
    <vt:lpwstr/>
  </property>
  <property fmtid="{D5CDD505-2E9C-101B-9397-08002B2CF9AE}" pid="27" name="International_x0020_Development">
    <vt:lpwstr/>
  </property>
  <property fmtid="{D5CDD505-2E9C-101B-9397-08002B2CF9AE}" pid="28" name="Depto">
    <vt:lpwstr/>
  </property>
  <property fmtid="{D5CDD505-2E9C-101B-9397-08002B2CF9AE}" pid="29" name="Governance">
    <vt:lpwstr/>
  </property>
  <property fmtid="{D5CDD505-2E9C-101B-9397-08002B2CF9AE}" pid="30" name="Country">
    <vt:lpwstr/>
  </property>
  <property fmtid="{D5CDD505-2E9C-101B-9397-08002B2CF9AE}" pid="31" name="Country_x0020_Type">
    <vt:lpwstr/>
  </property>
  <property fmtid="{D5CDD505-2E9C-101B-9397-08002B2CF9AE}" pid="32" name="Health_x0020_System_x0020_Strengthening">
    <vt:lpwstr/>
  </property>
  <property fmtid="{D5CDD505-2E9C-101B-9397-08002B2CF9AE}" pid="33" name="bbf6f4caffa74114b8081d68858b812e">
    <vt:lpwstr/>
  </property>
  <property fmtid="{D5CDD505-2E9C-101B-9397-08002B2CF9AE}" pid="34" name="f172ab98ad93463d9a6af05ce5da4f2f">
    <vt:lpwstr/>
  </property>
  <property fmtid="{D5CDD505-2E9C-101B-9397-08002B2CF9AE}" pid="35" name="i4a50af2c0e64ae9b81ffeca8af7ed0f">
    <vt:lpwstr/>
  </property>
  <property fmtid="{D5CDD505-2E9C-101B-9397-08002B2CF9AE}" pid="36" name="Programme_x0020_and_x0020_project_x0020_management">
    <vt:lpwstr/>
  </property>
  <property fmtid="{D5CDD505-2E9C-101B-9397-08002B2CF9AE}" pid="37" name="Market_x0020_Shaping">
    <vt:lpwstr/>
  </property>
  <property fmtid="{D5CDD505-2E9C-101B-9397-08002B2CF9AE}" pid="38" name="m01d92cd1af846fc8259fd1db678cd76">
    <vt:lpwstr/>
  </property>
  <property fmtid="{D5CDD505-2E9C-101B-9397-08002B2CF9AE}" pid="39" name="e17ceaa0d61b4bfeb3c21883d9680a10">
    <vt:lpwstr/>
  </property>
  <property fmtid="{D5CDD505-2E9C-101B-9397-08002B2CF9AE}" pid="40" name="e27ceaa0d61b4bfeb3c21883d9680a10">
    <vt:lpwstr/>
  </property>
  <property fmtid="{D5CDD505-2E9C-101B-9397-08002B2CF9AE}" pid="41" name="e47ceaa0d61b4bfeb3c21883d9680a10">
    <vt:lpwstr/>
  </property>
  <property fmtid="{D5CDD505-2E9C-101B-9397-08002B2CF9AE}" pid="42" name="Finance">
    <vt:lpwstr/>
  </property>
  <property fmtid="{D5CDD505-2E9C-101B-9397-08002B2CF9AE}" pid="43" name="IT_x0020_Systems">
    <vt:lpwstr/>
  </property>
  <property fmtid="{D5CDD505-2E9C-101B-9397-08002B2CF9AE}" pid="44" name="Stakeholder">
    <vt:lpwstr/>
  </property>
  <property fmtid="{D5CDD505-2E9C-101B-9397-08002B2CF9AE}" pid="45" name="e37ceaa0d61b4bfeb3c21883d9680a10">
    <vt:lpwstr/>
  </property>
  <property fmtid="{D5CDD505-2E9C-101B-9397-08002B2CF9AE}" pid="46" name="e57ceaa0d61b4bfeb3c21883d9680a10">
    <vt:lpwstr/>
  </property>
  <property fmtid="{D5CDD505-2E9C-101B-9397-08002B2CF9AE}" pid="47" name="e77ceaa0d61b4bfeb3c21883d9680a10">
    <vt:lpwstr/>
  </property>
  <property fmtid="{D5CDD505-2E9C-101B-9397-08002B2CF9AE}" pid="48" name="Location1">
    <vt:lpwstr/>
  </property>
  <property fmtid="{D5CDD505-2E9C-101B-9397-08002B2CF9AE}" pid="49" name="n169e2c9352346cf85f9723e82b9094d">
    <vt:lpwstr/>
  </property>
  <property fmtid="{D5CDD505-2E9C-101B-9397-08002B2CF9AE}" pid="50" name="International Development">
    <vt:lpwstr/>
  </property>
  <property fmtid="{D5CDD505-2E9C-101B-9397-08002B2CF9AE}" pid="51" name="Programme and project management">
    <vt:lpwstr/>
  </property>
  <property fmtid="{D5CDD505-2E9C-101B-9397-08002B2CF9AE}" pid="52" name="Market Shaping">
    <vt:lpwstr/>
  </property>
  <property fmtid="{D5CDD505-2E9C-101B-9397-08002B2CF9AE}" pid="53" name="Strategy and Policy">
    <vt:lpwstr/>
  </property>
  <property fmtid="{D5CDD505-2E9C-101B-9397-08002B2CF9AE}" pid="54" name="Document Type">
    <vt:lpwstr/>
  </property>
  <property fmtid="{D5CDD505-2E9C-101B-9397-08002B2CF9AE}" pid="55" name="Country Type">
    <vt:lpwstr/>
  </property>
  <property fmtid="{D5CDD505-2E9C-101B-9397-08002B2CF9AE}" pid="56" name="Health System Strengthening">
    <vt:lpwstr/>
  </property>
  <property fmtid="{D5CDD505-2E9C-101B-9397-08002B2CF9AE}" pid="57" name="IT Systems">
    <vt:lpwstr/>
  </property>
  <property fmtid="{D5CDD505-2E9C-101B-9397-08002B2CF9AE}" pid="58" name="Order">
    <vt:r8>99906400</vt:r8>
  </property>
  <property fmtid="{D5CDD505-2E9C-101B-9397-08002B2CF9AE}" pid="59" name="Topic">
    <vt:lpwstr/>
  </property>
  <property fmtid="{D5CDD505-2E9C-101B-9397-08002B2CF9AE}" pid="60" name="xd_ProgID">
    <vt:lpwstr/>
  </property>
  <property fmtid="{D5CDD505-2E9C-101B-9397-08002B2CF9AE}" pid="61" name="_SourceUrl">
    <vt:lpwstr/>
  </property>
  <property fmtid="{D5CDD505-2E9C-101B-9397-08002B2CF9AE}" pid="62" name="_SharedFileIndex">
    <vt:lpwstr/>
  </property>
  <property fmtid="{D5CDD505-2E9C-101B-9397-08002B2CF9AE}" pid="64" name="TemplateUrl">
    <vt:lpwstr/>
  </property>
  <property fmtid="{D5CDD505-2E9C-101B-9397-08002B2CF9AE}" pid="65" name="ComplianceAssetId">
    <vt:lpwstr/>
  </property>
  <property fmtid="{D5CDD505-2E9C-101B-9397-08002B2CF9AE}" pid="66" name="Attendees">
    <vt:lpwstr/>
  </property>
  <property fmtid="{D5CDD505-2E9C-101B-9397-08002B2CF9AE}" pid="67" name="_ExtendedDescription">
    <vt:lpwstr/>
  </property>
  <property fmtid="{D5CDD505-2E9C-101B-9397-08002B2CF9AE}" pid="68" name="TriggerFlowInfo">
    <vt:lpwstr/>
  </property>
  <property fmtid="{D5CDD505-2E9C-101B-9397-08002B2CF9AE}" pid="69" name="xd_Signature">
    <vt:bool>false</vt:bool>
  </property>
  <property fmtid="{D5CDD505-2E9C-101B-9397-08002B2CF9AE}" pid="70" name="SharedWithUsers">
    <vt:lpwstr/>
  </property>
  <property fmtid="{D5CDD505-2E9C-101B-9397-08002B2CF9AE}" pid="72" name="_dlc_DocIdItemGuid">
    <vt:lpwstr>eb787b7c-187a-4000-89c8-eee94f1699be</vt:lpwstr>
  </property>
  <property fmtid="{D5CDD505-2E9C-101B-9397-08002B2CF9AE}" pid="74" name="Test">
    <vt:lpwstr/>
  </property>
  <property fmtid="{D5CDD505-2E9C-101B-9397-08002B2CF9AE}" pid="75" name="kfa83adfad8641678ddaedda80d7e126">
    <vt:lpwstr/>
  </property>
</Properties>
</file>