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29A1B" w14:textId="77777777" w:rsidR="00F363C2" w:rsidRPr="002725E5" w:rsidRDefault="00F363C2" w:rsidP="00FB047E">
      <w:pPr>
        <w:keepNext/>
        <w:keepLines/>
        <w:spacing w:after="0" w:line="240" w:lineRule="auto"/>
        <w:outlineLvl w:val="0"/>
        <w:rPr>
          <w:rFonts w:ascii="Arial" w:eastAsia="Yu Mincho" w:hAnsi="Arial"/>
          <w:color w:val="2F5496"/>
          <w:sz w:val="32"/>
          <w:szCs w:val="32"/>
        </w:rPr>
      </w:pPr>
      <w:bookmarkStart w:id="0" w:name="_Toc74242540"/>
      <w:bookmarkStart w:id="1" w:name="_Toc74242583"/>
      <w:r>
        <w:rPr>
          <w:rFonts w:ascii="Arial" w:hAnsi="Arial"/>
          <w:color w:val="2F5496"/>
          <w:sz w:val="32"/>
        </w:rPr>
        <w:t>Abordagem Gavi a Países com Rendimento Médio</w:t>
      </w:r>
      <w:bookmarkEnd w:id="0"/>
      <w:bookmarkEnd w:id="1"/>
    </w:p>
    <w:p w14:paraId="572E2757" w14:textId="15ADCAD3" w:rsidR="00F363C2" w:rsidRPr="00FB047E" w:rsidRDefault="378E9996" w:rsidP="00FB047E">
      <w:pPr>
        <w:keepNext/>
        <w:keepLines/>
        <w:spacing w:after="0" w:line="240" w:lineRule="auto"/>
        <w:outlineLvl w:val="1"/>
      </w:pPr>
      <w:r>
        <w:t>Descrição de Apoio à Teoria da Mudança de Intervenções</w:t>
      </w:r>
      <w:r w:rsidR="00EC1ECE">
        <w:t>-</w:t>
      </w:r>
      <w:r w:rsidR="2FC5E9BE">
        <w:t>Alvo</w:t>
      </w:r>
    </w:p>
    <w:p w14:paraId="672A6659" w14:textId="77777777" w:rsidR="00F363C2" w:rsidRPr="002725E5" w:rsidRDefault="00F363C2" w:rsidP="00FB047E">
      <w:pPr>
        <w:spacing w:after="0" w:line="240" w:lineRule="auto"/>
        <w:rPr>
          <w:rFonts w:ascii="Arial" w:hAnsi="Arial"/>
        </w:rPr>
      </w:pPr>
    </w:p>
    <w:p w14:paraId="47090875" w14:textId="77777777" w:rsidR="00F363C2" w:rsidRPr="00FB047E" w:rsidRDefault="00F363C2" w:rsidP="00FB047E">
      <w:pPr>
        <w:spacing w:after="0" w:line="240" w:lineRule="auto"/>
        <w:rPr>
          <w:rFonts w:ascii="Arial" w:hAnsi="Arial"/>
        </w:rPr>
      </w:pPr>
      <w:r w:rsidRPr="00FB047E">
        <w:rPr>
          <w:rFonts w:ascii="Arial" w:hAnsi="Arial"/>
        </w:rPr>
        <w:t>Uma descrição completa para acompanhar a Teoria da Mudança é uma parte necessária do pedido de apoio do país.</w:t>
      </w:r>
      <w:r>
        <w:rPr>
          <w:rFonts w:ascii="Arial" w:hAnsi="Arial"/>
        </w:rPr>
        <w:t xml:space="preserve"> </w:t>
      </w:r>
      <w:r w:rsidRPr="00FB047E">
        <w:rPr>
          <w:rFonts w:ascii="Arial" w:hAnsi="Arial"/>
        </w:rPr>
        <w:t>Deve ser completada durante e após o desenvolvimento da Teoria da Mudança.</w:t>
      </w:r>
    </w:p>
    <w:p w14:paraId="0A37501D" w14:textId="77777777" w:rsidR="00F363C2" w:rsidRPr="002725E5" w:rsidRDefault="00F363C2" w:rsidP="00FB047E">
      <w:pPr>
        <w:spacing w:after="0" w:line="240" w:lineRule="auto"/>
        <w:rPr>
          <w:rFonts w:ascii="Arial" w:hAnsi="Arial"/>
        </w:rPr>
      </w:pPr>
    </w:p>
    <w:p w14:paraId="57AF7D1A" w14:textId="77777777" w:rsidR="00F363C2" w:rsidRPr="002725E5" w:rsidRDefault="00F363C2" w:rsidP="00FB047E">
      <w:pPr>
        <w:pStyle w:val="PargrafodaLista"/>
        <w:keepNext/>
        <w:keepLines/>
        <w:numPr>
          <w:ilvl w:val="0"/>
          <w:numId w:val="10"/>
        </w:numPr>
        <w:spacing w:after="0" w:line="240" w:lineRule="auto"/>
        <w:outlineLvl w:val="1"/>
        <w:rPr>
          <w:rFonts w:ascii="Arial" w:eastAsia="Yu Mincho" w:hAnsi="Arial" w:cs="Arial"/>
          <w:color w:val="4472C4"/>
          <w:sz w:val="24"/>
          <w:szCs w:val="24"/>
        </w:rPr>
      </w:pPr>
      <w:r>
        <w:rPr>
          <w:rFonts w:ascii="Arial" w:hAnsi="Arial"/>
          <w:color w:val="4472C4"/>
          <w:sz w:val="24"/>
        </w:rPr>
        <w:t>Desenvolvimento da Teoria da Mudança</w:t>
      </w:r>
    </w:p>
    <w:p w14:paraId="51B7B87E" w14:textId="77777777" w:rsidR="00F363C2" w:rsidRPr="00FB047E" w:rsidRDefault="00F363C2" w:rsidP="00FB047E">
      <w:pPr>
        <w:spacing w:after="0" w:line="240" w:lineRule="auto"/>
        <w:rPr>
          <w:rFonts w:ascii="Arial" w:hAnsi="Arial"/>
        </w:rPr>
      </w:pPr>
      <w:r w:rsidRPr="00FB047E">
        <w:rPr>
          <w:rFonts w:ascii="Arial" w:hAnsi="Arial"/>
        </w:rPr>
        <w:t>Descrever o processo realizado no país para desenvolver a Teoria da Mudança.</w:t>
      </w:r>
    </w:p>
    <w:p w14:paraId="5DAB6C7B" w14:textId="77777777" w:rsidR="00F363C2" w:rsidRDefault="00F363C2" w:rsidP="00FB047E">
      <w:pPr>
        <w:spacing w:after="0" w:line="240" w:lineRule="auto"/>
        <w:rPr>
          <w:rFonts w:ascii="Arial" w:hAnsi="Arial"/>
        </w:rPr>
      </w:pPr>
    </w:p>
    <w:p w14:paraId="359F5740" w14:textId="77777777" w:rsidR="00F363C2" w:rsidRPr="00FB047E" w:rsidRDefault="00F363C2" w:rsidP="00FB047E">
      <w:pPr>
        <w:spacing w:after="0" w:line="240" w:lineRule="auto"/>
        <w:rPr>
          <w:rFonts w:ascii="Arial" w:hAnsi="Arial"/>
        </w:rPr>
      </w:pPr>
      <w:r w:rsidRPr="00FB047E">
        <w:rPr>
          <w:rFonts w:ascii="Arial" w:hAnsi="Arial"/>
        </w:rPr>
        <w:t>Que partes interessadas (por exemplo, ministros do governo, altos funcionários do Ministério da Saúde, funcionários do governo subnacional, líderes comunitários, sociedade civil, representantes dos trabalhadores da saúde, membros da população, etc.) estiveram envolvidos nas discussões?</w:t>
      </w:r>
    </w:p>
    <w:p w14:paraId="02EB378F" w14:textId="77777777" w:rsidR="00F363C2" w:rsidRDefault="00F363C2" w:rsidP="00FB047E">
      <w:pPr>
        <w:spacing w:after="0" w:line="240" w:lineRule="auto"/>
        <w:rPr>
          <w:rFonts w:ascii="Arial" w:hAnsi="Arial"/>
        </w:rPr>
      </w:pPr>
    </w:p>
    <w:p w14:paraId="3678C5B3" w14:textId="77777777" w:rsidR="00F363C2" w:rsidRPr="00FB047E" w:rsidRDefault="00F363C2" w:rsidP="00FB047E">
      <w:pPr>
        <w:spacing w:after="0" w:line="240" w:lineRule="auto"/>
        <w:rPr>
          <w:rFonts w:ascii="Arial" w:hAnsi="Arial"/>
        </w:rPr>
      </w:pPr>
      <w:r w:rsidRPr="00FB047E">
        <w:rPr>
          <w:rFonts w:ascii="Arial" w:hAnsi="Arial"/>
        </w:rPr>
        <w:t>Como foram levadas em consideração as diferentes vozes e (por exemplo, vozes de homens e mulheres, populações vulneráveis, etc.)?</w:t>
      </w:r>
    </w:p>
    <w:p w14:paraId="6A05A809" w14:textId="77777777" w:rsidR="00F363C2" w:rsidRDefault="00F363C2" w:rsidP="00FB047E">
      <w:pPr>
        <w:spacing w:after="0" w:line="240" w:lineRule="auto"/>
        <w:rPr>
          <w:rFonts w:ascii="Arial" w:hAnsi="Arial"/>
        </w:rPr>
      </w:pPr>
    </w:p>
    <w:p w14:paraId="117409BB" w14:textId="191E7A97" w:rsidR="00F363C2" w:rsidRDefault="00F363C2" w:rsidP="00FB047E">
      <w:pPr>
        <w:spacing w:after="0" w:line="240" w:lineRule="auto"/>
        <w:rPr>
          <w:rFonts w:ascii="Arial" w:hAnsi="Arial"/>
        </w:rPr>
      </w:pPr>
      <w:r w:rsidRPr="00FB047E">
        <w:rPr>
          <w:rFonts w:ascii="Arial" w:hAnsi="Arial"/>
        </w:rPr>
        <w:t>Qual foi o formato das discussões (por exemplo, workshops, seminários), quantas foram realizadas e em que período de tempo?</w:t>
      </w:r>
      <w:r>
        <w:rPr>
          <w:rFonts w:ascii="Arial" w:hAnsi="Arial"/>
        </w:rPr>
        <w:t xml:space="preserve"> </w:t>
      </w:r>
      <w:r w:rsidRPr="00FB047E">
        <w:rPr>
          <w:rFonts w:ascii="Arial" w:hAnsi="Arial"/>
        </w:rPr>
        <w:t xml:space="preserve">As partes interessadas a todos os níveis estão comprometidas com a priorização </w:t>
      </w:r>
      <w:r w:rsidR="005C6726" w:rsidRPr="00FB047E">
        <w:rPr>
          <w:rFonts w:ascii="Arial" w:hAnsi="Arial"/>
        </w:rPr>
        <w:t>da zero dose</w:t>
      </w:r>
      <w:r w:rsidRPr="00FB047E">
        <w:rPr>
          <w:rFonts w:ascii="Arial" w:hAnsi="Arial"/>
        </w:rPr>
        <w:t xml:space="preserve"> por meio desta intervenção proposta?</w:t>
      </w:r>
    </w:p>
    <w:p w14:paraId="5A39BBE3" w14:textId="77777777" w:rsidR="00F363C2" w:rsidRDefault="00F363C2" w:rsidP="00FB047E">
      <w:pPr>
        <w:spacing w:after="0" w:line="240" w:lineRule="auto"/>
        <w:rPr>
          <w:rFonts w:ascii="Arial" w:hAnsi="Arial"/>
        </w:rPr>
      </w:pPr>
    </w:p>
    <w:p w14:paraId="01A28918" w14:textId="77777777" w:rsidR="00F363C2" w:rsidRPr="00FB047E" w:rsidRDefault="00F363C2" w:rsidP="00FB047E">
      <w:pPr>
        <w:spacing w:after="0" w:line="240" w:lineRule="auto"/>
        <w:rPr>
          <w:rFonts w:ascii="Arial" w:hAnsi="Arial"/>
        </w:rPr>
      </w:pPr>
      <w:r w:rsidRPr="00FB047E">
        <w:rPr>
          <w:rFonts w:ascii="Arial" w:hAnsi="Arial"/>
        </w:rPr>
        <w:t>Que evidências existem para apoiar este compromisso?</w:t>
      </w:r>
    </w:p>
    <w:p w14:paraId="41C8F396" w14:textId="77777777" w:rsidR="00F363C2" w:rsidRDefault="00F363C2" w:rsidP="00FB047E">
      <w:pPr>
        <w:spacing w:after="0" w:line="240" w:lineRule="auto"/>
        <w:rPr>
          <w:rFonts w:ascii="Arial" w:hAnsi="Arial"/>
        </w:rPr>
      </w:pPr>
    </w:p>
    <w:p w14:paraId="1CDBB73F" w14:textId="77777777" w:rsidR="00F363C2" w:rsidRPr="00FB047E" w:rsidRDefault="00F363C2" w:rsidP="00FB047E">
      <w:pPr>
        <w:spacing w:after="0" w:line="240" w:lineRule="auto"/>
        <w:rPr>
          <w:rFonts w:ascii="Arial" w:hAnsi="Arial"/>
        </w:rPr>
      </w:pPr>
      <w:r w:rsidRPr="00FB047E">
        <w:rPr>
          <w:rFonts w:ascii="Arial" w:hAnsi="Arial"/>
        </w:rPr>
        <w:t>Como serão responsabilizadas as partes interessadas por esses compromissos?</w:t>
      </w:r>
    </w:p>
    <w:p w14:paraId="72A3D3EC" w14:textId="77777777" w:rsidR="00F363C2" w:rsidRDefault="00F363C2" w:rsidP="00FB047E">
      <w:pPr>
        <w:spacing w:after="0" w:line="240" w:lineRule="auto"/>
        <w:rPr>
          <w:rFonts w:ascii="Arial" w:hAnsi="Arial"/>
        </w:rPr>
      </w:pPr>
    </w:p>
    <w:p w14:paraId="463B9B4F" w14:textId="77777777" w:rsidR="00F363C2" w:rsidRPr="00FB047E" w:rsidRDefault="00F363C2" w:rsidP="00FB047E">
      <w:pPr>
        <w:spacing w:after="0" w:line="240" w:lineRule="auto"/>
        <w:rPr>
          <w:rFonts w:ascii="Arial" w:hAnsi="Arial"/>
        </w:rPr>
      </w:pPr>
      <w:r w:rsidRPr="00FB047E">
        <w:rPr>
          <w:rFonts w:ascii="Arial" w:hAnsi="Arial"/>
        </w:rPr>
        <w:t>Como planeia manter essas partes interessadas empenhadas ao longo da implementação da subvenção?</w:t>
      </w:r>
    </w:p>
    <w:p w14:paraId="0D0B940D" w14:textId="77777777" w:rsidR="00F363C2" w:rsidRDefault="00F363C2" w:rsidP="00FB047E">
      <w:pPr>
        <w:spacing w:after="0" w:line="240" w:lineRule="auto"/>
        <w:rPr>
          <w:rFonts w:ascii="Arial" w:hAnsi="Arial"/>
        </w:rPr>
      </w:pPr>
    </w:p>
    <w:p w14:paraId="018A8281" w14:textId="77777777" w:rsidR="00F363C2" w:rsidRPr="00FB047E" w:rsidRDefault="00F363C2" w:rsidP="00FB047E">
      <w:pPr>
        <w:spacing w:after="0" w:line="240" w:lineRule="auto"/>
        <w:rPr>
          <w:rFonts w:ascii="Arial" w:hAnsi="Arial"/>
        </w:rPr>
      </w:pPr>
      <w:r w:rsidRPr="00FB047E">
        <w:rPr>
          <w:rFonts w:ascii="Arial" w:hAnsi="Arial"/>
        </w:rPr>
        <w:t>Que papel irão elas desempenhar na monitorização do progresso?</w:t>
      </w:r>
    </w:p>
    <w:p w14:paraId="0E27B00A" w14:textId="77777777" w:rsidR="00F363C2" w:rsidRDefault="00F363C2" w:rsidP="00FB047E">
      <w:pPr>
        <w:spacing w:after="0" w:line="240" w:lineRule="auto"/>
        <w:rPr>
          <w:rFonts w:ascii="Arial" w:hAnsi="Arial"/>
        </w:rPr>
      </w:pPr>
    </w:p>
    <w:p w14:paraId="336A581B" w14:textId="77777777" w:rsidR="00F363C2" w:rsidRPr="002725E5" w:rsidRDefault="00F363C2" w:rsidP="00394D39">
      <w:pPr>
        <w:spacing w:after="0" w:line="240" w:lineRule="auto"/>
        <w:rPr>
          <w:rFonts w:ascii="Arial" w:hAnsi="Arial"/>
        </w:rPr>
      </w:pPr>
      <w:r w:rsidRPr="00FB047E">
        <w:rPr>
          <w:rFonts w:ascii="Arial" w:hAnsi="Arial"/>
        </w:rPr>
        <w:t xml:space="preserve">O que foi desafiante durante </w:t>
      </w:r>
      <w:r>
        <w:rPr>
          <w:rFonts w:ascii="Arial" w:hAnsi="Arial"/>
        </w:rPr>
        <w:t xml:space="preserve">o </w:t>
      </w:r>
      <w:r w:rsidRPr="00FB047E">
        <w:rPr>
          <w:rFonts w:ascii="Arial" w:hAnsi="Arial"/>
        </w:rPr>
        <w:t>processo?</w:t>
      </w:r>
      <w:r>
        <w:rPr>
          <w:rFonts w:ascii="Arial" w:hAnsi="Arial"/>
        </w:rPr>
        <w:t xml:space="preserve"> </w:t>
      </w:r>
    </w:p>
    <w:p w14:paraId="60061E4C" w14:textId="77777777" w:rsidR="00F363C2" w:rsidRDefault="00F363C2" w:rsidP="00FB047E">
      <w:pPr>
        <w:spacing w:after="0" w:line="240" w:lineRule="auto"/>
        <w:rPr>
          <w:rFonts w:ascii="Arial" w:hAnsi="Arial"/>
          <w:i/>
        </w:rPr>
      </w:pPr>
    </w:p>
    <w:p w14:paraId="48425F37" w14:textId="77777777" w:rsidR="00F363C2" w:rsidRPr="005776C6" w:rsidRDefault="00F363C2" w:rsidP="00FB047E">
      <w:pPr>
        <w:spacing w:after="0" w:line="240" w:lineRule="auto"/>
        <w:rPr>
          <w:rFonts w:ascii="Arial" w:hAnsi="Arial"/>
          <w:i/>
          <w:iCs/>
        </w:rPr>
      </w:pPr>
      <w:r>
        <w:rPr>
          <w:rFonts w:ascii="Arial" w:hAnsi="Arial"/>
          <w:i/>
        </w:rPr>
        <w:t>Até 500 palavras</w:t>
      </w:r>
    </w:p>
    <w:p w14:paraId="79D71D71" w14:textId="1D8DD9DB" w:rsidR="0054530F" w:rsidRPr="00EE3623" w:rsidRDefault="007D28F8" w:rsidP="00EE3623">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120"/>
        <w:jc w:val="both"/>
        <w:rPr>
          <w:rFonts w:asciiTheme="minorHAnsi" w:hAnsiTheme="minorHAnsi" w:cstheme="minorHAnsi"/>
          <w:color w:val="0070C0"/>
          <w:lang w:val="pt-AO"/>
        </w:rPr>
      </w:pPr>
      <w:r w:rsidRPr="00EE3623">
        <w:rPr>
          <w:rFonts w:asciiTheme="minorHAnsi" w:hAnsiTheme="minorHAnsi" w:cstheme="minorHAnsi"/>
          <w:color w:val="0070C0"/>
          <w:lang w:val="pt-AO"/>
        </w:rPr>
        <w:t xml:space="preserve">O desenvolvimento da Teoria da Mudança foi um processo gradual de consulta e colaboração impulsionado pelo desafio de mudar as coisas para alcançar maior equidade na vacinação infantil, decorrente da necessidade de superar o retrocesso no acesso (aumento de crianças com dose zero) e na a cobertura vacinal de rotina que afeta o país e que é agravada pela persistência da pandemia de COVID-19. O processo começou em Julho de 2021 em plena pandemia de COVID-19 com uma série de workshops por videoconferência entre a GAVI e a equipa técnica do Ministério da Saúde, OMS, UNICEF e Banco Mundial sobre a </w:t>
      </w:r>
      <w:r w:rsidR="00605E2E" w:rsidRPr="00EE3623">
        <w:rPr>
          <w:rFonts w:asciiTheme="minorHAnsi" w:hAnsiTheme="minorHAnsi" w:cstheme="minorHAnsi"/>
          <w:color w:val="0070C0"/>
          <w:lang w:val="pt-AO"/>
        </w:rPr>
        <w:t>T</w:t>
      </w:r>
      <w:r w:rsidRPr="00EE3623">
        <w:rPr>
          <w:rFonts w:asciiTheme="minorHAnsi" w:hAnsiTheme="minorHAnsi" w:cstheme="minorHAnsi"/>
          <w:color w:val="0070C0"/>
          <w:lang w:val="pt-AO"/>
        </w:rPr>
        <w:t xml:space="preserve">eoria da </w:t>
      </w:r>
      <w:r w:rsidR="00605E2E" w:rsidRPr="00EE3623">
        <w:rPr>
          <w:rFonts w:asciiTheme="minorHAnsi" w:hAnsiTheme="minorHAnsi" w:cstheme="minorHAnsi"/>
          <w:color w:val="0070C0"/>
          <w:lang w:val="pt-AO"/>
        </w:rPr>
        <w:t>M</w:t>
      </w:r>
      <w:r w:rsidRPr="00EE3623">
        <w:rPr>
          <w:rFonts w:asciiTheme="minorHAnsi" w:hAnsiTheme="minorHAnsi" w:cstheme="minorHAnsi"/>
          <w:color w:val="0070C0"/>
          <w:lang w:val="pt-AO"/>
        </w:rPr>
        <w:t xml:space="preserve">udança para Angola. Em Agosto, o Ministério da Saúde organizou um workshop de 2 dias sobre a teoria da mudança, com a participação de directores provinciais de </w:t>
      </w:r>
      <w:r w:rsidR="00605E2E" w:rsidRPr="00EE3623">
        <w:rPr>
          <w:rFonts w:asciiTheme="minorHAnsi" w:hAnsiTheme="minorHAnsi" w:cstheme="minorHAnsi"/>
          <w:color w:val="0070C0"/>
          <w:lang w:val="pt-AO"/>
        </w:rPr>
        <w:t>s</w:t>
      </w:r>
      <w:r w:rsidRPr="00EE3623">
        <w:rPr>
          <w:rFonts w:asciiTheme="minorHAnsi" w:hAnsiTheme="minorHAnsi" w:cstheme="minorHAnsi"/>
          <w:color w:val="0070C0"/>
          <w:lang w:val="pt-AO"/>
        </w:rPr>
        <w:t xml:space="preserve">aúde, </w:t>
      </w:r>
      <w:r w:rsidR="00605E2E" w:rsidRPr="00EE3623">
        <w:rPr>
          <w:rFonts w:asciiTheme="minorHAnsi" w:hAnsiTheme="minorHAnsi" w:cstheme="minorHAnsi"/>
          <w:color w:val="0070C0"/>
          <w:lang w:val="pt-AO"/>
        </w:rPr>
        <w:t>s</w:t>
      </w:r>
      <w:r w:rsidRPr="00EE3623">
        <w:rPr>
          <w:rFonts w:asciiTheme="minorHAnsi" w:hAnsiTheme="minorHAnsi" w:cstheme="minorHAnsi"/>
          <w:color w:val="0070C0"/>
          <w:lang w:val="pt-AO"/>
        </w:rPr>
        <w:t xml:space="preserve">upervisores de </w:t>
      </w:r>
      <w:r w:rsidR="00605E2E" w:rsidRPr="00EE3623">
        <w:rPr>
          <w:rFonts w:asciiTheme="minorHAnsi" w:hAnsiTheme="minorHAnsi" w:cstheme="minorHAnsi"/>
          <w:color w:val="0070C0"/>
          <w:lang w:val="pt-AO"/>
        </w:rPr>
        <w:t>vacinação</w:t>
      </w:r>
      <w:r w:rsidRPr="00EE3623">
        <w:rPr>
          <w:rFonts w:asciiTheme="minorHAnsi" w:hAnsiTheme="minorHAnsi" w:cstheme="minorHAnsi"/>
          <w:color w:val="0070C0"/>
          <w:lang w:val="pt-AO"/>
        </w:rPr>
        <w:t xml:space="preserve">, </w:t>
      </w:r>
      <w:r w:rsidR="00605E2E" w:rsidRPr="00EE3623">
        <w:rPr>
          <w:rFonts w:asciiTheme="minorHAnsi" w:hAnsiTheme="minorHAnsi" w:cstheme="minorHAnsi"/>
          <w:color w:val="0070C0"/>
          <w:lang w:val="pt-AO"/>
        </w:rPr>
        <w:t xml:space="preserve">e outros técnicos </w:t>
      </w:r>
      <w:r w:rsidRPr="00EE3623">
        <w:rPr>
          <w:rFonts w:asciiTheme="minorHAnsi" w:hAnsiTheme="minorHAnsi" w:cstheme="minorHAnsi"/>
          <w:color w:val="0070C0"/>
          <w:lang w:val="pt-AO"/>
        </w:rPr>
        <w:t>das 18 províncias. Posteriormente realizar</w:t>
      </w:r>
      <w:r w:rsidR="00EE3623" w:rsidRPr="00EE3623">
        <w:rPr>
          <w:rFonts w:asciiTheme="minorHAnsi" w:hAnsiTheme="minorHAnsi" w:cstheme="minorHAnsi"/>
          <w:color w:val="0070C0"/>
          <w:lang w:val="pt-AO"/>
        </w:rPr>
        <w:t>am-se</w:t>
      </w:r>
      <w:r w:rsidRPr="00EE3623">
        <w:rPr>
          <w:rFonts w:asciiTheme="minorHAnsi" w:hAnsiTheme="minorHAnsi" w:cstheme="minorHAnsi"/>
          <w:color w:val="0070C0"/>
          <w:lang w:val="pt-AO"/>
        </w:rPr>
        <w:t xml:space="preserve"> encuentros semanales del equipo central de Inmunización con profesionales de comunicación</w:t>
      </w:r>
      <w:r w:rsidR="00605E2E" w:rsidRPr="00EE3623">
        <w:rPr>
          <w:rFonts w:asciiTheme="minorHAnsi" w:hAnsiTheme="minorHAnsi" w:cstheme="minorHAnsi"/>
          <w:color w:val="0070C0"/>
          <w:lang w:val="pt-AO"/>
        </w:rPr>
        <w:t xml:space="preserve"> e </w:t>
      </w:r>
      <w:r w:rsidRPr="00EE3623">
        <w:rPr>
          <w:rFonts w:asciiTheme="minorHAnsi" w:hAnsiTheme="minorHAnsi" w:cstheme="minorHAnsi"/>
          <w:color w:val="0070C0"/>
          <w:lang w:val="pt-AO"/>
        </w:rPr>
        <w:t xml:space="preserve">sistema de información para discutir los problemas </w:t>
      </w:r>
      <w:r w:rsidR="00605E2E" w:rsidRPr="00EE3623">
        <w:rPr>
          <w:rFonts w:asciiTheme="minorHAnsi" w:hAnsiTheme="minorHAnsi" w:cstheme="minorHAnsi"/>
          <w:color w:val="0070C0"/>
          <w:lang w:val="pt-AO"/>
        </w:rPr>
        <w:t>e</w:t>
      </w:r>
      <w:r w:rsidRPr="00EE3623">
        <w:rPr>
          <w:rFonts w:asciiTheme="minorHAnsi" w:hAnsiTheme="minorHAnsi" w:cstheme="minorHAnsi"/>
          <w:color w:val="0070C0"/>
          <w:lang w:val="pt-AO"/>
        </w:rPr>
        <w:t xml:space="preserve"> a priorización de las provincias con base </w:t>
      </w:r>
      <w:r w:rsidR="00605E2E" w:rsidRPr="00EE3623">
        <w:rPr>
          <w:rFonts w:asciiTheme="minorHAnsi" w:hAnsiTheme="minorHAnsi" w:cstheme="minorHAnsi"/>
          <w:color w:val="0070C0"/>
          <w:lang w:val="pt-AO"/>
        </w:rPr>
        <w:t xml:space="preserve">na </w:t>
      </w:r>
      <w:r w:rsidRPr="00EE3623">
        <w:rPr>
          <w:rFonts w:asciiTheme="minorHAnsi" w:hAnsiTheme="minorHAnsi" w:cstheme="minorHAnsi"/>
          <w:color w:val="0070C0"/>
          <w:lang w:val="pt-AO"/>
        </w:rPr>
        <w:t xml:space="preserve">información de vacunacion, encuestas de pobreza, estadísticas de recursos humanos, red de servicios de salud entre outras. Foram posteriormente realizadas 3-4 reuniões e recebidas contribuições para a definição dos </w:t>
      </w:r>
      <w:r w:rsidRPr="00EE3623">
        <w:rPr>
          <w:rFonts w:asciiTheme="minorHAnsi" w:hAnsiTheme="minorHAnsi" w:cstheme="minorHAnsi"/>
          <w:color w:val="0070C0"/>
          <w:lang w:val="pt-AO"/>
        </w:rPr>
        <w:lastRenderedPageBreak/>
        <w:t xml:space="preserve">objectivos e actividades da proposta MICS – Zero Dose. Mais tarde em Dezembro, uma vez seleccionadas 5 províncias (Luanda, Bié, Cunene, Huambo e Cuanza Sul e dentro destes 22 municípios prioritários que concentram 60% das crianças com dose zero no país. </w:t>
      </w:r>
      <w:r w:rsidR="00A42AD7" w:rsidRPr="00EE3623">
        <w:rPr>
          <w:rFonts w:asciiTheme="minorHAnsi" w:hAnsiTheme="minorHAnsi" w:cstheme="minorHAnsi"/>
          <w:color w:val="0070C0"/>
          <w:lang w:val="pt-AO"/>
        </w:rPr>
        <w:t xml:space="preserve">Foram consultadas por videoconferência </w:t>
      </w:r>
      <w:r w:rsidRPr="00EE3623">
        <w:rPr>
          <w:rFonts w:asciiTheme="minorHAnsi" w:hAnsiTheme="minorHAnsi" w:cstheme="minorHAnsi"/>
          <w:color w:val="0070C0"/>
          <w:lang w:val="pt-AO"/>
        </w:rPr>
        <w:t>autoridades tradicionais (SOBAS),</w:t>
      </w:r>
      <w:r w:rsidR="00A42AD7" w:rsidRPr="00EE3623">
        <w:rPr>
          <w:rFonts w:asciiTheme="minorHAnsi" w:hAnsiTheme="minorHAnsi" w:cstheme="minorHAnsi"/>
          <w:color w:val="0070C0"/>
          <w:lang w:val="pt-AO"/>
        </w:rPr>
        <w:t xml:space="preserve"> </w:t>
      </w:r>
      <w:r w:rsidRPr="00EE3623">
        <w:rPr>
          <w:rFonts w:asciiTheme="minorHAnsi" w:hAnsiTheme="minorHAnsi" w:cstheme="minorHAnsi"/>
          <w:color w:val="0070C0"/>
          <w:lang w:val="pt-AO"/>
        </w:rPr>
        <w:t>Agentes Comunitários de Desenvolvimento e Saúde (ADECOS), líderes religiosos, membros de organizações de mulheres e membros d</w:t>
      </w:r>
      <w:r w:rsidR="00A42AD7" w:rsidRPr="00EE3623">
        <w:rPr>
          <w:rFonts w:asciiTheme="minorHAnsi" w:hAnsiTheme="minorHAnsi" w:cstheme="minorHAnsi"/>
          <w:color w:val="0070C0"/>
          <w:lang w:val="pt-AO"/>
        </w:rPr>
        <w:t>e</w:t>
      </w:r>
      <w:r w:rsidRPr="00EE3623">
        <w:rPr>
          <w:rFonts w:asciiTheme="minorHAnsi" w:hAnsiTheme="minorHAnsi" w:cstheme="minorHAnsi"/>
          <w:color w:val="0070C0"/>
          <w:lang w:val="pt-AO"/>
        </w:rPr>
        <w:t xml:space="preserve"> ONG</w:t>
      </w:r>
      <w:r w:rsidR="00A42AD7" w:rsidRPr="00EE3623">
        <w:rPr>
          <w:rFonts w:asciiTheme="minorHAnsi" w:hAnsiTheme="minorHAnsi" w:cstheme="minorHAnsi"/>
          <w:color w:val="0070C0"/>
          <w:lang w:val="pt-AO"/>
        </w:rPr>
        <w:t>s</w:t>
      </w:r>
      <w:r w:rsidRPr="00EE3623">
        <w:rPr>
          <w:rFonts w:asciiTheme="minorHAnsi" w:hAnsiTheme="minorHAnsi" w:cstheme="minorHAnsi"/>
          <w:color w:val="0070C0"/>
          <w:lang w:val="pt-AO"/>
        </w:rPr>
        <w:t xml:space="preserve"> Cruz Vermelha</w:t>
      </w:r>
      <w:r w:rsidR="00A42AD7" w:rsidRPr="00EE3623">
        <w:rPr>
          <w:rFonts w:asciiTheme="minorHAnsi" w:hAnsiTheme="minorHAnsi" w:cstheme="minorHAnsi"/>
          <w:color w:val="0070C0"/>
          <w:lang w:val="pt-AO"/>
        </w:rPr>
        <w:t>,</w:t>
      </w:r>
      <w:r w:rsidRPr="00EE3623">
        <w:rPr>
          <w:rFonts w:asciiTheme="minorHAnsi" w:hAnsiTheme="minorHAnsi" w:cstheme="minorHAnsi"/>
          <w:color w:val="0070C0"/>
          <w:lang w:val="pt-AO"/>
        </w:rPr>
        <w:t xml:space="preserve"> </w:t>
      </w:r>
      <w:r w:rsidR="00A42AD7" w:rsidRPr="00EE3623">
        <w:rPr>
          <w:rFonts w:asciiTheme="minorHAnsi" w:hAnsiTheme="minorHAnsi" w:cstheme="minorHAnsi"/>
          <w:color w:val="0070C0"/>
          <w:lang w:val="pt-AO"/>
        </w:rPr>
        <w:t xml:space="preserve">CORE e World Vision. </w:t>
      </w:r>
      <w:r w:rsidRPr="00EE3623">
        <w:rPr>
          <w:rFonts w:asciiTheme="minorHAnsi" w:hAnsiTheme="minorHAnsi" w:cstheme="minorHAnsi"/>
          <w:color w:val="0070C0"/>
          <w:lang w:val="pt-AO"/>
        </w:rPr>
        <w:t xml:space="preserve">Em Dezembro, foi realizado um inquérito junto das mulheres de baixos rendimentos sobre os motivos da não vacinação </w:t>
      </w:r>
      <w:r w:rsidR="00A42AD7" w:rsidRPr="00EE3623">
        <w:rPr>
          <w:rFonts w:asciiTheme="minorHAnsi" w:hAnsiTheme="minorHAnsi" w:cstheme="minorHAnsi"/>
          <w:color w:val="0070C0"/>
          <w:lang w:val="pt-AO"/>
        </w:rPr>
        <w:t xml:space="preserve">de crianças em áreas </w:t>
      </w:r>
      <w:r w:rsidRPr="00EE3623">
        <w:rPr>
          <w:rFonts w:asciiTheme="minorHAnsi" w:hAnsiTheme="minorHAnsi" w:cstheme="minorHAnsi"/>
          <w:color w:val="0070C0"/>
          <w:lang w:val="pt-AO"/>
        </w:rPr>
        <w:t>urbano-periféric</w:t>
      </w:r>
      <w:r w:rsidR="00A42AD7" w:rsidRPr="00EE3623">
        <w:rPr>
          <w:rFonts w:asciiTheme="minorHAnsi" w:hAnsiTheme="minorHAnsi" w:cstheme="minorHAnsi"/>
          <w:color w:val="0070C0"/>
          <w:lang w:val="pt-AO"/>
        </w:rPr>
        <w:t>a</w:t>
      </w:r>
      <w:r w:rsidRPr="00EE3623">
        <w:rPr>
          <w:rFonts w:asciiTheme="minorHAnsi" w:hAnsiTheme="minorHAnsi" w:cstheme="minorHAnsi"/>
          <w:color w:val="0070C0"/>
          <w:lang w:val="pt-AO"/>
        </w:rPr>
        <w:t xml:space="preserve">s de Luanda. A </w:t>
      </w:r>
      <w:r w:rsidR="00047ADD" w:rsidRPr="00EE3623">
        <w:rPr>
          <w:rFonts w:asciiTheme="minorHAnsi" w:hAnsiTheme="minorHAnsi" w:cstheme="minorHAnsi"/>
          <w:color w:val="0070C0"/>
          <w:lang w:val="pt-AO"/>
        </w:rPr>
        <w:t xml:space="preserve">Directora da </w:t>
      </w:r>
      <w:r w:rsidRPr="00EE3623">
        <w:rPr>
          <w:rFonts w:asciiTheme="minorHAnsi" w:hAnsiTheme="minorHAnsi" w:cstheme="minorHAnsi"/>
          <w:color w:val="0070C0"/>
          <w:lang w:val="pt-AO"/>
        </w:rPr>
        <w:t xml:space="preserve">Direcção Nacional de Saúde Pública e posteriormente </w:t>
      </w:r>
      <w:r w:rsidR="00A42AD7" w:rsidRPr="00EE3623">
        <w:rPr>
          <w:rFonts w:asciiTheme="minorHAnsi" w:hAnsiTheme="minorHAnsi" w:cstheme="minorHAnsi"/>
          <w:color w:val="0070C0"/>
          <w:lang w:val="pt-AO"/>
        </w:rPr>
        <w:t>a</w:t>
      </w:r>
      <w:r w:rsidRPr="00EE3623">
        <w:rPr>
          <w:rFonts w:asciiTheme="minorHAnsi" w:hAnsiTheme="minorHAnsi" w:cstheme="minorHAnsi"/>
          <w:color w:val="0070C0"/>
          <w:lang w:val="pt-AO"/>
        </w:rPr>
        <w:t xml:space="preserve"> Ministr</w:t>
      </w:r>
      <w:r w:rsidR="00A42AD7" w:rsidRPr="00EE3623">
        <w:rPr>
          <w:rFonts w:asciiTheme="minorHAnsi" w:hAnsiTheme="minorHAnsi" w:cstheme="minorHAnsi"/>
          <w:color w:val="0070C0"/>
          <w:lang w:val="pt-AO"/>
        </w:rPr>
        <w:t>a</w:t>
      </w:r>
      <w:r w:rsidRPr="00EE3623">
        <w:rPr>
          <w:rFonts w:asciiTheme="minorHAnsi" w:hAnsiTheme="minorHAnsi" w:cstheme="minorHAnsi"/>
          <w:color w:val="0070C0"/>
          <w:lang w:val="pt-AO"/>
        </w:rPr>
        <w:t xml:space="preserve"> da Saúde analisaram a proposta e assumiram a objetivos para o período 2022-2023: 1) Aumentar a cobertura nacional de vacinação de rotina com todos os antígenos (</w:t>
      </w:r>
      <w:r w:rsidR="00605E2E" w:rsidRPr="00EE3623">
        <w:rPr>
          <w:rFonts w:asciiTheme="minorHAnsi" w:hAnsiTheme="minorHAnsi" w:cstheme="minorHAnsi"/>
          <w:color w:val="0070C0"/>
          <w:lang w:val="pt-AO"/>
        </w:rPr>
        <w:t>indicador</w:t>
      </w:r>
      <w:r w:rsidRPr="00EE3623">
        <w:rPr>
          <w:rFonts w:asciiTheme="minorHAnsi" w:hAnsiTheme="minorHAnsi" w:cstheme="minorHAnsi"/>
          <w:color w:val="0070C0"/>
          <w:lang w:val="pt-AO"/>
        </w:rPr>
        <w:t xml:space="preserve"> Penta-3) em 15%; 2) </w:t>
      </w:r>
      <w:r w:rsidRPr="008D3FEE">
        <w:rPr>
          <w:rFonts w:asciiTheme="minorHAnsi" w:hAnsiTheme="minorHAnsi" w:cstheme="minorHAnsi"/>
          <w:color w:val="0070C0"/>
          <w:lang w:val="pt-AO"/>
        </w:rPr>
        <w:t>Reduzir a</w:t>
      </w:r>
      <w:r w:rsidR="008D3FEE" w:rsidRPr="008D3FEE">
        <w:rPr>
          <w:rFonts w:asciiTheme="minorHAnsi" w:hAnsiTheme="minorHAnsi" w:cstheme="minorHAnsi"/>
          <w:color w:val="0070C0"/>
          <w:lang w:val="pt-AO"/>
        </w:rPr>
        <w:t>s</w:t>
      </w:r>
      <w:r w:rsidRPr="008D3FEE">
        <w:rPr>
          <w:rFonts w:asciiTheme="minorHAnsi" w:hAnsiTheme="minorHAnsi" w:cstheme="minorHAnsi"/>
          <w:color w:val="0070C0"/>
          <w:lang w:val="pt-AO"/>
        </w:rPr>
        <w:t xml:space="preserve"> cria</w:t>
      </w:r>
      <w:r w:rsidR="008D3FEE" w:rsidRPr="008D3FEE">
        <w:rPr>
          <w:rFonts w:asciiTheme="minorHAnsi" w:hAnsiTheme="minorHAnsi" w:cstheme="minorHAnsi"/>
          <w:color w:val="0070C0"/>
          <w:lang w:val="pt-AO"/>
        </w:rPr>
        <w:t>nças Zero Doses</w:t>
      </w:r>
      <w:r w:rsidR="008D3FEE">
        <w:rPr>
          <w:rFonts w:asciiTheme="minorHAnsi" w:hAnsiTheme="minorHAnsi" w:cstheme="minorHAnsi"/>
          <w:color w:val="0070C0"/>
        </w:rPr>
        <w:t xml:space="preserve"> </w:t>
      </w:r>
      <w:r w:rsidRPr="00EE3623">
        <w:rPr>
          <w:rFonts w:asciiTheme="minorHAnsi" w:hAnsiTheme="minorHAnsi" w:cstheme="minorHAnsi"/>
          <w:color w:val="0070C0"/>
          <w:lang w:val="pt-AO"/>
        </w:rPr>
        <w:t xml:space="preserve">em 15%, criando gradualmente condições sustentáveis. Os resultados de médio prazo foram assumidos para melhorar a equidade dos serviços de vacinação e melhorar sua sustentabilidade financeira. </w:t>
      </w:r>
      <w:r w:rsidR="00047ADD" w:rsidRPr="00EE3623">
        <w:rPr>
          <w:rFonts w:asciiTheme="minorHAnsi" w:hAnsiTheme="minorHAnsi" w:cstheme="minorHAnsi"/>
          <w:color w:val="0070C0"/>
          <w:lang w:val="pt-AO"/>
        </w:rPr>
        <w:t>A</w:t>
      </w:r>
      <w:r w:rsidRPr="00EE3623">
        <w:rPr>
          <w:rFonts w:asciiTheme="minorHAnsi" w:hAnsiTheme="minorHAnsi" w:cstheme="minorHAnsi"/>
          <w:color w:val="0070C0"/>
          <w:lang w:val="pt-AO"/>
        </w:rPr>
        <w:t xml:space="preserve"> </w:t>
      </w:r>
      <w:r w:rsidR="00047ADD" w:rsidRPr="00EE3623">
        <w:rPr>
          <w:rFonts w:asciiTheme="minorHAnsi" w:hAnsiTheme="minorHAnsi" w:cstheme="minorHAnsi"/>
          <w:color w:val="0070C0"/>
          <w:lang w:val="pt-AO"/>
        </w:rPr>
        <w:t>M</w:t>
      </w:r>
      <w:r w:rsidRPr="00EE3623">
        <w:rPr>
          <w:rFonts w:asciiTheme="minorHAnsi" w:hAnsiTheme="minorHAnsi" w:cstheme="minorHAnsi"/>
          <w:color w:val="0070C0"/>
          <w:lang w:val="pt-AO"/>
        </w:rPr>
        <w:t>inistr</w:t>
      </w:r>
      <w:r w:rsidR="00047ADD" w:rsidRPr="00EE3623">
        <w:rPr>
          <w:rFonts w:asciiTheme="minorHAnsi" w:hAnsiTheme="minorHAnsi" w:cstheme="minorHAnsi"/>
          <w:color w:val="0070C0"/>
          <w:lang w:val="pt-AO"/>
        </w:rPr>
        <w:t>a</w:t>
      </w:r>
      <w:r w:rsidRPr="00EE3623">
        <w:rPr>
          <w:rFonts w:asciiTheme="minorHAnsi" w:hAnsiTheme="minorHAnsi" w:cstheme="minorHAnsi"/>
          <w:color w:val="0070C0"/>
          <w:lang w:val="pt-AO"/>
        </w:rPr>
        <w:t xml:space="preserve"> da </w:t>
      </w:r>
      <w:r w:rsidR="00047ADD" w:rsidRPr="00EE3623">
        <w:rPr>
          <w:rFonts w:asciiTheme="minorHAnsi" w:hAnsiTheme="minorHAnsi" w:cstheme="minorHAnsi"/>
          <w:color w:val="0070C0"/>
          <w:lang w:val="pt-AO"/>
        </w:rPr>
        <w:t>S</w:t>
      </w:r>
      <w:r w:rsidRPr="00EE3623">
        <w:rPr>
          <w:rFonts w:asciiTheme="minorHAnsi" w:hAnsiTheme="minorHAnsi" w:cstheme="minorHAnsi"/>
          <w:color w:val="0070C0"/>
          <w:lang w:val="pt-AO"/>
        </w:rPr>
        <w:t>aúde já assinou o compromisso “Assinaturas e Endossos da Teoria da Mudança e Detalhe de Apoio Gavi” e está em curso a assinatura d</w:t>
      </w:r>
      <w:r w:rsidR="00A42AD7" w:rsidRPr="00EE3623">
        <w:rPr>
          <w:rFonts w:asciiTheme="minorHAnsi" w:hAnsiTheme="minorHAnsi" w:cstheme="minorHAnsi"/>
          <w:color w:val="0070C0"/>
          <w:lang w:val="pt-AO"/>
        </w:rPr>
        <w:t>a</w:t>
      </w:r>
      <w:r w:rsidRPr="00EE3623">
        <w:rPr>
          <w:rFonts w:asciiTheme="minorHAnsi" w:hAnsiTheme="minorHAnsi" w:cstheme="minorHAnsi"/>
          <w:color w:val="0070C0"/>
          <w:lang w:val="pt-AO"/>
        </w:rPr>
        <w:t xml:space="preserve"> Ministr</w:t>
      </w:r>
      <w:r w:rsidR="00A42AD7" w:rsidRPr="00EE3623">
        <w:rPr>
          <w:rFonts w:asciiTheme="minorHAnsi" w:hAnsiTheme="minorHAnsi" w:cstheme="minorHAnsi"/>
          <w:color w:val="0070C0"/>
          <w:lang w:val="pt-AO"/>
        </w:rPr>
        <w:t>a</w:t>
      </w:r>
      <w:r w:rsidRPr="00EE3623">
        <w:rPr>
          <w:rFonts w:asciiTheme="minorHAnsi" w:hAnsiTheme="minorHAnsi" w:cstheme="minorHAnsi"/>
          <w:color w:val="0070C0"/>
          <w:lang w:val="pt-AO"/>
        </w:rPr>
        <w:t xml:space="preserve"> das Finanças.</w:t>
      </w:r>
      <w:r w:rsidR="00047ADD" w:rsidRPr="00EE3623">
        <w:rPr>
          <w:rFonts w:asciiTheme="minorHAnsi" w:hAnsiTheme="minorHAnsi" w:cstheme="minorHAnsi"/>
          <w:color w:val="0070C0"/>
          <w:lang w:val="pt-AO"/>
        </w:rPr>
        <w:t xml:space="preserve"> </w:t>
      </w:r>
      <w:r w:rsidRPr="00EE3623">
        <w:rPr>
          <w:rFonts w:asciiTheme="minorHAnsi" w:hAnsiTheme="minorHAnsi" w:cstheme="minorHAnsi"/>
          <w:color w:val="0070C0"/>
          <w:lang w:val="pt-AO"/>
        </w:rPr>
        <w:t>Para responsabilizar a equip</w:t>
      </w:r>
      <w:r w:rsidR="00605E2E" w:rsidRPr="00EE3623">
        <w:rPr>
          <w:rFonts w:asciiTheme="minorHAnsi" w:hAnsiTheme="minorHAnsi" w:cstheme="minorHAnsi"/>
          <w:color w:val="0070C0"/>
          <w:lang w:val="pt-AO"/>
        </w:rPr>
        <w:t>a</w:t>
      </w:r>
      <w:r w:rsidRPr="00EE3623">
        <w:rPr>
          <w:rFonts w:asciiTheme="minorHAnsi" w:hAnsiTheme="minorHAnsi" w:cstheme="minorHAnsi"/>
          <w:color w:val="0070C0"/>
          <w:lang w:val="pt-AO"/>
        </w:rPr>
        <w:t xml:space="preserve"> técnica, será emitido um Despacho Ministerial, mencionando os membros e funções da equipe técnica nacional responsável pela condução da estratégia Zero</w:t>
      </w:r>
      <w:r w:rsidR="00A42AD7" w:rsidRPr="00EE3623">
        <w:rPr>
          <w:rFonts w:asciiTheme="minorHAnsi" w:hAnsiTheme="minorHAnsi" w:cstheme="minorHAnsi"/>
          <w:color w:val="0070C0"/>
          <w:lang w:val="pt-AO"/>
        </w:rPr>
        <w:t xml:space="preserve"> Dose</w:t>
      </w:r>
      <w:r w:rsidRPr="00EE3623">
        <w:rPr>
          <w:rFonts w:asciiTheme="minorHAnsi" w:hAnsiTheme="minorHAnsi" w:cstheme="minorHAnsi"/>
          <w:color w:val="0070C0"/>
          <w:lang w:val="pt-AO"/>
        </w:rPr>
        <w:t xml:space="preserve">, uma vez aprovado o projeto. Para manter a dinâmica, pretende-se realizar reuniões trimestrais de acompanhamento nas 5 províncias e ao nível central, a equipa nacional de </w:t>
      </w:r>
      <w:r w:rsidR="00605E2E" w:rsidRPr="00EE3623">
        <w:rPr>
          <w:rFonts w:asciiTheme="minorHAnsi" w:hAnsiTheme="minorHAnsi" w:cstheme="minorHAnsi"/>
          <w:color w:val="0070C0"/>
          <w:lang w:val="pt-AO"/>
        </w:rPr>
        <w:t xml:space="preserve">monitorização </w:t>
      </w:r>
      <w:r w:rsidRPr="00EE3623">
        <w:rPr>
          <w:rFonts w:asciiTheme="minorHAnsi" w:hAnsiTheme="minorHAnsi" w:cstheme="minorHAnsi"/>
          <w:color w:val="0070C0"/>
          <w:lang w:val="pt-AO"/>
        </w:rPr>
        <w:t>apresentará um relatório de progresso que será incorporado no relatório mensal que o Ministério da Saúde envia ao Ministério de Planejamento para acompanhamento do Plano Nacional de Desenvolvimento. A parte mais desafiadora do processo foi a sobreposição d</w:t>
      </w:r>
      <w:r w:rsidR="00605E2E" w:rsidRPr="00EE3623">
        <w:rPr>
          <w:rFonts w:asciiTheme="minorHAnsi" w:hAnsiTheme="minorHAnsi" w:cstheme="minorHAnsi"/>
          <w:color w:val="0070C0"/>
          <w:lang w:val="pt-AO"/>
        </w:rPr>
        <w:t>a</w:t>
      </w:r>
      <w:r w:rsidRPr="00EE3623">
        <w:rPr>
          <w:rFonts w:asciiTheme="minorHAnsi" w:hAnsiTheme="minorHAnsi" w:cstheme="minorHAnsi"/>
          <w:color w:val="0070C0"/>
          <w:lang w:val="pt-AO"/>
        </w:rPr>
        <w:t xml:space="preserve"> emergência da pandemia de COVID-19 que atrasou o processo.</w:t>
      </w:r>
    </w:p>
    <w:p w14:paraId="53128261" w14:textId="77777777" w:rsidR="00F363C2" w:rsidRPr="009F40A8" w:rsidRDefault="00F363C2" w:rsidP="00FB047E">
      <w:pPr>
        <w:spacing w:after="0" w:line="240" w:lineRule="auto"/>
        <w:rPr>
          <w:rFonts w:ascii="Arial" w:hAnsi="Arial"/>
        </w:rPr>
      </w:pPr>
      <w:r w:rsidRPr="009F40A8">
        <w:br w:type="page"/>
      </w:r>
    </w:p>
    <w:p w14:paraId="64F6F769" w14:textId="77777777" w:rsidR="00F363C2" w:rsidRPr="007C347D" w:rsidRDefault="00F363C2" w:rsidP="00FB047E">
      <w:pPr>
        <w:pStyle w:val="PargrafodaLista"/>
        <w:keepNext/>
        <w:keepLines/>
        <w:numPr>
          <w:ilvl w:val="0"/>
          <w:numId w:val="10"/>
        </w:numPr>
        <w:spacing w:after="0" w:line="240" w:lineRule="auto"/>
        <w:outlineLvl w:val="1"/>
        <w:rPr>
          <w:rFonts w:ascii="Arial" w:eastAsia="Yu Mincho" w:hAnsi="Arial" w:cs="Arial"/>
          <w:color w:val="4472C4"/>
          <w:sz w:val="24"/>
          <w:szCs w:val="24"/>
        </w:rPr>
      </w:pPr>
      <w:r>
        <w:rPr>
          <w:rFonts w:ascii="Arial" w:hAnsi="Arial"/>
          <w:color w:val="4472C4"/>
          <w:sz w:val="24"/>
        </w:rPr>
        <w:lastRenderedPageBreak/>
        <w:t>Alinhamento com os Princípios Orientadores</w:t>
      </w:r>
    </w:p>
    <w:p w14:paraId="5186E719" w14:textId="77777777" w:rsidR="00F363C2" w:rsidRPr="00FB047E" w:rsidRDefault="00F363C2" w:rsidP="00FB047E">
      <w:pPr>
        <w:spacing w:after="0" w:line="240" w:lineRule="auto"/>
        <w:rPr>
          <w:rFonts w:ascii="Arial" w:hAnsi="Arial"/>
        </w:rPr>
      </w:pPr>
      <w:r w:rsidRPr="00FB047E">
        <w:rPr>
          <w:rFonts w:ascii="Arial" w:hAnsi="Arial"/>
        </w:rPr>
        <w:t>Descrever como as intervenções planeadas podem satisfazer os princípios orientadores do apoio.</w:t>
      </w:r>
      <w:r>
        <w:rPr>
          <w:rFonts w:ascii="Arial" w:hAnsi="Arial"/>
        </w:rPr>
        <w:t xml:space="preserve"> </w:t>
      </w:r>
      <w:r w:rsidRPr="00FB047E">
        <w:rPr>
          <w:rFonts w:ascii="Arial" w:hAnsi="Arial"/>
        </w:rPr>
        <w:t>Consultar as orientações para mais informações sobre cada um dos princípios.</w:t>
      </w:r>
    </w:p>
    <w:p w14:paraId="1D4E8299" w14:textId="77777777" w:rsidR="00F363C2" w:rsidRDefault="00F363C2" w:rsidP="00FB047E">
      <w:pPr>
        <w:spacing w:after="0" w:line="240" w:lineRule="auto"/>
        <w:rPr>
          <w:rFonts w:ascii="Arial" w:hAnsi="Arial"/>
          <w:i/>
        </w:rPr>
      </w:pPr>
      <w:r>
        <w:rPr>
          <w:rFonts w:ascii="Arial" w:hAnsi="Arial"/>
          <w:i/>
        </w:rPr>
        <w:t>Até 200 palavras por cada Princípio Orientador.</w:t>
      </w:r>
    </w:p>
    <w:p w14:paraId="62486C05" w14:textId="77777777" w:rsidR="00F363C2" w:rsidRPr="009972D7" w:rsidRDefault="00F363C2" w:rsidP="00FB047E">
      <w:pPr>
        <w:spacing w:after="0" w:line="240" w:lineRule="auto"/>
        <w:rPr>
          <w:rFonts w:ascii="Arial" w:hAnsi="Arial"/>
          <w:i/>
          <w:iCs/>
        </w:rPr>
      </w:pPr>
    </w:p>
    <w:tbl>
      <w:tblPr>
        <w:tblW w:w="890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020" w:firstRow="1" w:lastRow="0" w:firstColumn="0" w:lastColumn="0" w:noHBand="0" w:noVBand="0"/>
      </w:tblPr>
      <w:tblGrid>
        <w:gridCol w:w="2155"/>
        <w:gridCol w:w="6750"/>
      </w:tblGrid>
      <w:tr w:rsidR="00F363C2" w:rsidRPr="00396B73" w14:paraId="6291EDEE" w14:textId="77777777" w:rsidTr="605379D4">
        <w:trPr>
          <w:trHeight w:val="350"/>
        </w:trPr>
        <w:tc>
          <w:tcPr>
            <w:tcW w:w="2155" w:type="dxa"/>
            <w:tcBorders>
              <w:top w:val="single" w:sz="4" w:space="0" w:color="4472C4"/>
              <w:left w:val="single" w:sz="4" w:space="0" w:color="4472C4"/>
              <w:bottom w:val="single" w:sz="4" w:space="0" w:color="4472C4"/>
              <w:right w:val="nil"/>
            </w:tcBorders>
            <w:shd w:val="clear" w:color="auto" w:fill="4472C4"/>
            <w:vAlign w:val="center"/>
          </w:tcPr>
          <w:p w14:paraId="19582086" w14:textId="77777777" w:rsidR="00F363C2" w:rsidRPr="00396B73" w:rsidRDefault="00F363C2" w:rsidP="00FB047E">
            <w:pPr>
              <w:pStyle w:val="SemEspaamento"/>
              <w:spacing w:before="0" w:after="0"/>
              <w:rPr>
                <w:b/>
                <w:bCs/>
                <w:color w:val="FFFFFF"/>
              </w:rPr>
            </w:pPr>
            <w:r w:rsidRPr="00396B73">
              <w:rPr>
                <w:b/>
                <w:bCs/>
                <w:color w:val="FFFFFF"/>
              </w:rPr>
              <w:t>Princípio Orientador</w:t>
            </w:r>
          </w:p>
        </w:tc>
        <w:tc>
          <w:tcPr>
            <w:tcW w:w="6750" w:type="dxa"/>
            <w:tcBorders>
              <w:top w:val="single" w:sz="4" w:space="0" w:color="4472C4"/>
              <w:left w:val="nil"/>
              <w:bottom w:val="single" w:sz="4" w:space="0" w:color="4472C4"/>
              <w:right w:val="single" w:sz="4" w:space="0" w:color="4472C4"/>
            </w:tcBorders>
            <w:shd w:val="clear" w:color="auto" w:fill="4472C4"/>
            <w:vAlign w:val="center"/>
          </w:tcPr>
          <w:p w14:paraId="5CA22C47" w14:textId="77777777" w:rsidR="00F363C2" w:rsidRPr="00396B73" w:rsidRDefault="00F363C2" w:rsidP="00FB047E">
            <w:pPr>
              <w:pStyle w:val="SemEspaamento"/>
              <w:spacing w:before="0" w:after="0"/>
              <w:rPr>
                <w:b/>
                <w:bCs/>
                <w:color w:val="FFFFFF"/>
              </w:rPr>
            </w:pPr>
            <w:r w:rsidRPr="00396B73">
              <w:rPr>
                <w:b/>
                <w:bCs/>
                <w:color w:val="FFFFFF"/>
              </w:rPr>
              <w:t>Resposta</w:t>
            </w:r>
          </w:p>
        </w:tc>
      </w:tr>
      <w:tr w:rsidR="00F363C2" w:rsidRPr="00396B73" w14:paraId="208EB346" w14:textId="77777777" w:rsidTr="605379D4">
        <w:trPr>
          <w:trHeight w:val="350"/>
        </w:trPr>
        <w:tc>
          <w:tcPr>
            <w:tcW w:w="2155" w:type="dxa"/>
            <w:shd w:val="clear" w:color="auto" w:fill="D9E2F3"/>
            <w:vAlign w:val="center"/>
          </w:tcPr>
          <w:p w14:paraId="48569275" w14:textId="77777777" w:rsidR="00F363C2" w:rsidRPr="00396B73" w:rsidRDefault="00F363C2" w:rsidP="00FB047E">
            <w:pPr>
              <w:pStyle w:val="SemEspaamento"/>
              <w:spacing w:before="0" w:after="0"/>
            </w:pPr>
            <w:r>
              <w:t>Alto</w:t>
            </w:r>
            <w:r w:rsidRPr="00396B73">
              <w:t xml:space="preserve"> Impacto</w:t>
            </w:r>
          </w:p>
        </w:tc>
        <w:tc>
          <w:tcPr>
            <w:tcW w:w="6750" w:type="dxa"/>
            <w:shd w:val="clear" w:color="auto" w:fill="D9E2F3"/>
          </w:tcPr>
          <w:p w14:paraId="4101652C" w14:textId="77777777" w:rsidR="00F363C2" w:rsidRPr="00433E12" w:rsidRDefault="00F363C2" w:rsidP="00FB047E">
            <w:pPr>
              <w:pStyle w:val="SemEspaamento"/>
              <w:spacing w:before="0" w:after="0"/>
              <w:rPr>
                <w:sz w:val="20"/>
                <w:szCs w:val="20"/>
              </w:rPr>
            </w:pPr>
          </w:p>
          <w:p w14:paraId="4B99056E" w14:textId="2757CF1E" w:rsidR="00F363C2" w:rsidRPr="00433E12" w:rsidRDefault="00E16CB2" w:rsidP="00E16CB2">
            <w:pPr>
              <w:pStyle w:val="SemEspaamento"/>
              <w:spacing w:before="0" w:after="0"/>
              <w:jc w:val="both"/>
              <w:rPr>
                <w:sz w:val="20"/>
                <w:szCs w:val="20"/>
              </w:rPr>
            </w:pPr>
            <w:r w:rsidRPr="00433E12">
              <w:rPr>
                <w:sz w:val="20"/>
                <w:szCs w:val="20"/>
              </w:rPr>
              <w:t>Pretendemos atingir um impacto elevado, pois a proposta de intervenção contempla 22 Municípios de 5 Províncias (Luanda, Bié, Cunene, Huambo e Cuanza Sul), que concentram cerca de 60% das crianças Dose Zero do país e 41% do total da população nacional menor de 1 ano de idade. Nesses municípios, muitas unidades de saúde reduziram seu desempenho vacinando irregularmente ou não vacinando, por outro lado existem clínicas e serviços particulares e religiosos que podem ser incorporados à vacinação sistemática por meio de convênios com o Ministério da Saúde e a proposta pretende integrá-los. Pretende-se também expandir os postos fixos de vacinação disponibilizando uma rede de frio e capacitação de pessoal dos serviços de saúde que não estão a vacinar. A integração das organizações sociais de base em cada município com o apoio de ONGs facilitará o vínculo ou com os serviços de saúde, o aumento da demanda e a maior confiança da população na vacinação.</w:t>
            </w:r>
          </w:p>
          <w:p w14:paraId="1299C43A" w14:textId="77777777" w:rsidR="00F363C2" w:rsidRPr="00433E12" w:rsidRDefault="00F363C2" w:rsidP="00FB047E">
            <w:pPr>
              <w:pStyle w:val="SemEspaamento"/>
              <w:spacing w:before="0" w:after="0"/>
              <w:rPr>
                <w:sz w:val="20"/>
                <w:szCs w:val="20"/>
              </w:rPr>
            </w:pPr>
          </w:p>
          <w:p w14:paraId="4DDBEF00" w14:textId="77777777" w:rsidR="00F363C2" w:rsidRPr="00433E12" w:rsidRDefault="00F363C2" w:rsidP="00FB047E">
            <w:pPr>
              <w:pStyle w:val="SemEspaamento"/>
              <w:spacing w:before="0" w:after="0"/>
              <w:rPr>
                <w:sz w:val="20"/>
                <w:szCs w:val="20"/>
              </w:rPr>
            </w:pPr>
          </w:p>
        </w:tc>
      </w:tr>
      <w:tr w:rsidR="00F363C2" w:rsidRPr="008D3FEE" w14:paraId="7304A0E0" w14:textId="77777777" w:rsidTr="605379D4">
        <w:trPr>
          <w:trHeight w:val="70"/>
        </w:trPr>
        <w:tc>
          <w:tcPr>
            <w:tcW w:w="2155" w:type="dxa"/>
            <w:vAlign w:val="center"/>
          </w:tcPr>
          <w:p w14:paraId="4E619256" w14:textId="474ACB48" w:rsidR="00F363C2" w:rsidRPr="00396B73" w:rsidRDefault="1AB90395" w:rsidP="605379D4">
            <w:pPr>
              <w:pStyle w:val="SemEspaamento"/>
              <w:spacing w:before="0" w:after="0" w:line="259" w:lineRule="auto"/>
            </w:pPr>
            <w:r>
              <w:t>Alvo (targeted)</w:t>
            </w:r>
          </w:p>
        </w:tc>
        <w:tc>
          <w:tcPr>
            <w:tcW w:w="6750" w:type="dxa"/>
          </w:tcPr>
          <w:p w14:paraId="3461D779" w14:textId="77777777" w:rsidR="00F363C2" w:rsidRPr="009F40A8" w:rsidRDefault="00F363C2" w:rsidP="00FB047E">
            <w:pPr>
              <w:pStyle w:val="SemEspaamento"/>
              <w:spacing w:before="0" w:after="0"/>
            </w:pPr>
          </w:p>
          <w:p w14:paraId="3CF2D8B6" w14:textId="77777777" w:rsidR="00F363C2" w:rsidRPr="009F40A8" w:rsidRDefault="00F363C2" w:rsidP="00FB047E">
            <w:pPr>
              <w:pStyle w:val="SemEspaamento"/>
              <w:spacing w:before="0" w:after="0"/>
            </w:pPr>
          </w:p>
          <w:p w14:paraId="0FB78278" w14:textId="0235B08D" w:rsidR="00F363C2" w:rsidRPr="00433E12" w:rsidRDefault="00433E12" w:rsidP="008D3FEE">
            <w:pPr>
              <w:pStyle w:val="SemEspaamento"/>
              <w:spacing w:before="0" w:after="0"/>
              <w:jc w:val="both"/>
              <w:rPr>
                <w:sz w:val="20"/>
                <w:szCs w:val="20"/>
              </w:rPr>
            </w:pPr>
            <w:r>
              <w:rPr>
                <w:sz w:val="20"/>
                <w:szCs w:val="20"/>
              </w:rPr>
              <w:t xml:space="preserve">Alvo </w:t>
            </w:r>
            <w:r w:rsidR="008D3FEE" w:rsidRPr="00433E12">
              <w:rPr>
                <w:sz w:val="20"/>
                <w:szCs w:val="20"/>
              </w:rPr>
              <w:t>definida porque pretende aumentar a cobertura nacional de vacinação de rotina com todos os antígenos (indicador Penta-3) em 15%;</w:t>
            </w:r>
            <w:r w:rsidR="0002120C" w:rsidRPr="00433E12">
              <w:rPr>
                <w:sz w:val="20"/>
                <w:szCs w:val="20"/>
              </w:rPr>
              <w:t xml:space="preserve"> e r</w:t>
            </w:r>
            <w:r w:rsidR="008D3FEE" w:rsidRPr="00433E12">
              <w:rPr>
                <w:sz w:val="20"/>
                <w:szCs w:val="20"/>
              </w:rPr>
              <w:t>eduzir as crianças Zero Doses em 15%, criando gradualmente condições sustentáveis para 2023</w:t>
            </w:r>
            <w:r w:rsidR="0002120C" w:rsidRPr="00433E12">
              <w:rPr>
                <w:sz w:val="20"/>
                <w:szCs w:val="20"/>
              </w:rPr>
              <w:t>. Esta meta Nacional é a base mínima que será ultrapassada a nível dos 22 municípios e das 5 provincias seleccionadas na proposta.</w:t>
            </w:r>
          </w:p>
          <w:p w14:paraId="1FC39945" w14:textId="77777777" w:rsidR="00F363C2" w:rsidRPr="008D3FEE" w:rsidRDefault="00F363C2" w:rsidP="00FB047E">
            <w:pPr>
              <w:pStyle w:val="SemEspaamento"/>
              <w:spacing w:before="0" w:after="0"/>
            </w:pPr>
          </w:p>
        </w:tc>
      </w:tr>
      <w:tr w:rsidR="00F363C2" w:rsidRPr="002C7FD9" w14:paraId="75A7CB67" w14:textId="77777777" w:rsidTr="605379D4">
        <w:trPr>
          <w:trHeight w:val="70"/>
        </w:trPr>
        <w:tc>
          <w:tcPr>
            <w:tcW w:w="2155" w:type="dxa"/>
            <w:shd w:val="clear" w:color="auto" w:fill="D9E2F3"/>
            <w:vAlign w:val="center"/>
          </w:tcPr>
          <w:p w14:paraId="3BC497B3" w14:textId="77777777" w:rsidR="00F363C2" w:rsidRPr="00396B73" w:rsidRDefault="00F363C2" w:rsidP="00FB047E">
            <w:pPr>
              <w:pStyle w:val="SemEspaamento"/>
              <w:spacing w:before="0" w:after="0"/>
            </w:pPr>
            <w:r w:rsidRPr="00396B73">
              <w:t>Adapt</w:t>
            </w:r>
            <w:r>
              <w:t>ativo</w:t>
            </w:r>
          </w:p>
        </w:tc>
        <w:tc>
          <w:tcPr>
            <w:tcW w:w="6750" w:type="dxa"/>
            <w:shd w:val="clear" w:color="auto" w:fill="D9E2F3"/>
          </w:tcPr>
          <w:p w14:paraId="0562CB0E" w14:textId="77777777" w:rsidR="00F363C2" w:rsidRPr="00396B73" w:rsidRDefault="00F363C2" w:rsidP="00FB047E">
            <w:pPr>
              <w:pStyle w:val="SemEspaamento"/>
              <w:spacing w:before="0" w:after="0"/>
            </w:pPr>
          </w:p>
          <w:p w14:paraId="34CE0A41" w14:textId="77777777" w:rsidR="00F363C2" w:rsidRPr="00396B73" w:rsidRDefault="00F363C2" w:rsidP="00FB047E">
            <w:pPr>
              <w:pStyle w:val="SemEspaamento"/>
              <w:spacing w:before="0" w:after="0"/>
            </w:pPr>
          </w:p>
          <w:p w14:paraId="62EBF3C5" w14:textId="03027ABE" w:rsidR="00F363C2" w:rsidRPr="00433E12" w:rsidRDefault="002C7FD9" w:rsidP="009F40A8">
            <w:pPr>
              <w:pStyle w:val="SemEspaamento"/>
              <w:spacing w:before="0" w:after="0"/>
              <w:jc w:val="both"/>
              <w:rPr>
                <w:sz w:val="20"/>
                <w:szCs w:val="20"/>
              </w:rPr>
            </w:pPr>
            <w:r w:rsidRPr="00433E12">
              <w:rPr>
                <w:sz w:val="20"/>
                <w:szCs w:val="20"/>
              </w:rPr>
              <w:t>É adaptativo porque propõe diferentes estratégias para diferentes contextos: urbano, periferia urbana muito povoada com poucos serviços de saúde e áreas rurais. A realização de sessões de Teoria da Mudança no início das atividades em cada município priorizado com a participação de gestores municipais, pessoal de saúde municipal, Sobas, ADECOS, chefes de Igrejas, organizações de mulheres promovidas por ONGs locais e projetos de desenvolvimento local contribuirá a ter uma perspectiva de longo prazo, ações de curto prazo e compromissos necessários para aumentar a cobertura e identificar e integrar crianças Zero Dose utilizando os recursos disponíveis ou mobilizados localmente e os do proje</w:t>
            </w:r>
            <w:r w:rsidR="00433E12" w:rsidRPr="00433E12">
              <w:rPr>
                <w:sz w:val="20"/>
                <w:szCs w:val="20"/>
              </w:rPr>
              <w:t>c</w:t>
            </w:r>
            <w:r w:rsidRPr="00433E12">
              <w:rPr>
                <w:sz w:val="20"/>
                <w:szCs w:val="20"/>
              </w:rPr>
              <w:t>to.</w:t>
            </w:r>
          </w:p>
          <w:p w14:paraId="6D98A12B" w14:textId="77777777" w:rsidR="00F363C2" w:rsidRPr="002C7FD9" w:rsidRDefault="00F363C2" w:rsidP="00FB047E">
            <w:pPr>
              <w:pStyle w:val="SemEspaamento"/>
              <w:spacing w:before="0" w:after="0"/>
            </w:pPr>
          </w:p>
        </w:tc>
      </w:tr>
      <w:tr w:rsidR="00F363C2" w:rsidRPr="00396B73" w14:paraId="34B21A4B" w14:textId="77777777" w:rsidTr="605379D4">
        <w:trPr>
          <w:trHeight w:val="70"/>
        </w:trPr>
        <w:tc>
          <w:tcPr>
            <w:tcW w:w="2155" w:type="dxa"/>
            <w:vAlign w:val="center"/>
          </w:tcPr>
          <w:p w14:paraId="3050A624" w14:textId="77777777" w:rsidR="00F363C2" w:rsidRPr="00396B73" w:rsidRDefault="00F363C2" w:rsidP="00FB047E">
            <w:pPr>
              <w:pStyle w:val="SemEspaamento"/>
              <w:spacing w:before="0" w:after="0"/>
            </w:pPr>
            <w:r w:rsidRPr="00396B73">
              <w:t>Inovador</w:t>
            </w:r>
          </w:p>
        </w:tc>
        <w:tc>
          <w:tcPr>
            <w:tcW w:w="6750" w:type="dxa"/>
          </w:tcPr>
          <w:p w14:paraId="2946DB82" w14:textId="77777777" w:rsidR="00F363C2" w:rsidRPr="009F40A8" w:rsidRDefault="00F363C2" w:rsidP="009F40A8">
            <w:pPr>
              <w:pStyle w:val="SemEspaamento"/>
              <w:spacing w:before="0" w:after="0"/>
              <w:jc w:val="both"/>
              <w:rPr>
                <w:sz w:val="20"/>
                <w:szCs w:val="20"/>
              </w:rPr>
            </w:pPr>
          </w:p>
          <w:p w14:paraId="110FFD37" w14:textId="796494D5" w:rsidR="00F363C2" w:rsidRPr="009F40A8" w:rsidRDefault="00DF6D2C" w:rsidP="009F40A8">
            <w:pPr>
              <w:pStyle w:val="SemEspaamento"/>
              <w:spacing w:before="0" w:after="0"/>
              <w:jc w:val="both"/>
              <w:rPr>
                <w:sz w:val="20"/>
                <w:szCs w:val="20"/>
              </w:rPr>
            </w:pPr>
            <w:r w:rsidRPr="009F40A8">
              <w:rPr>
                <w:sz w:val="20"/>
                <w:szCs w:val="20"/>
              </w:rPr>
              <w:t xml:space="preserve">É inovador porque diferente dos projetos usuais focados apenas na parte técnica da vacinação, considera o processo a partir da ética e responsabilidade social com a criança e toma de forma abrangente as possibilidades de mudança nos condicionantes, em especial o financiamento sustentável. Por outro lado, visa desenvolver a Teoria da Mudança localmente facilitada por ONGs locais que não estavam participando da vacinação. Algumas inovações são a integração formal </w:t>
            </w:r>
            <w:r w:rsidRPr="009F40A8">
              <w:rPr>
                <w:sz w:val="20"/>
                <w:szCs w:val="20"/>
              </w:rPr>
              <w:lastRenderedPageBreak/>
              <w:t xml:space="preserve">padronizada de clínicas e serviços privados e religiosos em vacinação, o registo digital individual em áreas urbanas com lembrete por SMS das seguintes doses com base na experiência bem-sucedida do </w:t>
            </w:r>
            <w:proofErr w:type="gramStart"/>
            <w:r w:rsidRPr="009F40A8">
              <w:rPr>
                <w:sz w:val="20"/>
                <w:szCs w:val="20"/>
              </w:rPr>
              <w:t>registro</w:t>
            </w:r>
            <w:proofErr w:type="gramEnd"/>
            <w:r w:rsidRPr="009F40A8">
              <w:rPr>
                <w:sz w:val="20"/>
                <w:szCs w:val="20"/>
              </w:rPr>
              <w:t xml:space="preserve"> digital de vacinação contra COVID-19 (plataforma ReDIV). O reforço da capacidade de gestão e administração da subvenção seguindo o Sistema Integrado de Gestão Financeira do Estado (SIGFE) em vez dos habituais mecanismos ad hoc virá a reforçar a gestão geral dos recursos públicos.</w:t>
            </w:r>
          </w:p>
          <w:p w14:paraId="6B699379" w14:textId="77777777" w:rsidR="00F363C2" w:rsidRPr="009F40A8" w:rsidRDefault="00F363C2" w:rsidP="009F40A8">
            <w:pPr>
              <w:pStyle w:val="SemEspaamento"/>
              <w:spacing w:before="0" w:after="0"/>
              <w:jc w:val="both"/>
              <w:rPr>
                <w:sz w:val="20"/>
                <w:szCs w:val="20"/>
              </w:rPr>
            </w:pPr>
          </w:p>
        </w:tc>
      </w:tr>
      <w:tr w:rsidR="00F363C2" w:rsidRPr="00396B73" w14:paraId="50A96B3A" w14:textId="77777777" w:rsidTr="605379D4">
        <w:trPr>
          <w:trHeight w:val="70"/>
        </w:trPr>
        <w:tc>
          <w:tcPr>
            <w:tcW w:w="2155" w:type="dxa"/>
            <w:shd w:val="clear" w:color="auto" w:fill="D9E2F3"/>
            <w:vAlign w:val="center"/>
          </w:tcPr>
          <w:p w14:paraId="76857587" w14:textId="77777777" w:rsidR="00F363C2" w:rsidRPr="00396B73" w:rsidRDefault="00F363C2" w:rsidP="00FB047E">
            <w:pPr>
              <w:pStyle w:val="SemEspaamento"/>
              <w:spacing w:before="0" w:after="0"/>
            </w:pPr>
            <w:r w:rsidRPr="00396B73">
              <w:lastRenderedPageBreak/>
              <w:t>Coordenado</w:t>
            </w:r>
          </w:p>
        </w:tc>
        <w:tc>
          <w:tcPr>
            <w:tcW w:w="6750" w:type="dxa"/>
            <w:shd w:val="clear" w:color="auto" w:fill="D9E2F3"/>
          </w:tcPr>
          <w:p w14:paraId="3FE9F23F" w14:textId="77777777" w:rsidR="00F363C2" w:rsidRPr="00396B73" w:rsidRDefault="00F363C2" w:rsidP="00FB047E">
            <w:pPr>
              <w:pStyle w:val="SemEspaamento"/>
              <w:spacing w:before="0" w:after="0"/>
            </w:pPr>
          </w:p>
          <w:p w14:paraId="1F72F646" w14:textId="473173FC" w:rsidR="00F363C2" w:rsidRPr="009F40A8" w:rsidRDefault="00661F2D" w:rsidP="009F40A8">
            <w:pPr>
              <w:pStyle w:val="SemEspaamento"/>
              <w:spacing w:before="0" w:after="0"/>
              <w:jc w:val="both"/>
              <w:rPr>
                <w:sz w:val="20"/>
                <w:szCs w:val="20"/>
              </w:rPr>
            </w:pPr>
            <w:r w:rsidRPr="009F40A8">
              <w:rPr>
                <w:sz w:val="20"/>
                <w:szCs w:val="20"/>
              </w:rPr>
              <w:t xml:space="preserve">É coordenado porque a gestão será feita pela Direcção Nacional de Saúde Pública através da Equipa Técnica Interagências de Imunizações e localmente pelos </w:t>
            </w:r>
            <w:r w:rsidR="009F40A8">
              <w:rPr>
                <w:sz w:val="20"/>
                <w:szCs w:val="20"/>
              </w:rPr>
              <w:t>a</w:t>
            </w:r>
            <w:r w:rsidRPr="009F40A8">
              <w:rPr>
                <w:sz w:val="20"/>
                <w:szCs w:val="20"/>
              </w:rPr>
              <w:t xml:space="preserve">dministradores </w:t>
            </w:r>
            <w:r w:rsidR="009F40A8" w:rsidRPr="009F40A8">
              <w:rPr>
                <w:sz w:val="20"/>
                <w:szCs w:val="20"/>
              </w:rPr>
              <w:t>municipais</w:t>
            </w:r>
            <w:r w:rsidRPr="009F40A8">
              <w:rPr>
                <w:sz w:val="20"/>
                <w:szCs w:val="20"/>
              </w:rPr>
              <w:t xml:space="preserve"> e equipo técnico municipal, com a participação de Sobas, </w:t>
            </w:r>
            <w:r w:rsidR="009F40A8">
              <w:rPr>
                <w:sz w:val="20"/>
                <w:szCs w:val="20"/>
              </w:rPr>
              <w:t xml:space="preserve">responsáveis de </w:t>
            </w:r>
            <w:r w:rsidRPr="009F40A8">
              <w:rPr>
                <w:sz w:val="20"/>
                <w:szCs w:val="20"/>
              </w:rPr>
              <w:t>Igrejas</w:t>
            </w:r>
            <w:r w:rsidR="009F40A8">
              <w:rPr>
                <w:sz w:val="20"/>
                <w:szCs w:val="20"/>
              </w:rPr>
              <w:t>,</w:t>
            </w:r>
            <w:r w:rsidRPr="009F40A8">
              <w:rPr>
                <w:sz w:val="20"/>
                <w:szCs w:val="20"/>
              </w:rPr>
              <w:t xml:space="preserve"> ADECOS e ONG locais num co</w:t>
            </w:r>
            <w:r w:rsidR="009F40A8">
              <w:rPr>
                <w:sz w:val="20"/>
                <w:szCs w:val="20"/>
              </w:rPr>
              <w:t xml:space="preserve">mité </w:t>
            </w:r>
            <w:r w:rsidRPr="009F40A8">
              <w:rPr>
                <w:sz w:val="20"/>
                <w:szCs w:val="20"/>
              </w:rPr>
              <w:t>local de saúde. Os municípios de cada província serão coordenados e apoiados pelas equipas técnicas das 5 províncias seleccionadas.</w:t>
            </w:r>
          </w:p>
          <w:p w14:paraId="08CE6F91" w14:textId="77777777" w:rsidR="00F363C2" w:rsidRPr="009F40A8" w:rsidRDefault="00F363C2" w:rsidP="00FB047E">
            <w:pPr>
              <w:pStyle w:val="SemEspaamento"/>
              <w:spacing w:before="0" w:after="0"/>
              <w:rPr>
                <w:sz w:val="20"/>
                <w:szCs w:val="20"/>
              </w:rPr>
            </w:pPr>
          </w:p>
          <w:p w14:paraId="61CDCEAD" w14:textId="77777777" w:rsidR="00F363C2" w:rsidRPr="00396B73" w:rsidRDefault="00F363C2" w:rsidP="00FB047E">
            <w:pPr>
              <w:pStyle w:val="SemEspaamento"/>
              <w:spacing w:before="0" w:after="0"/>
            </w:pPr>
          </w:p>
        </w:tc>
      </w:tr>
      <w:tr w:rsidR="00F363C2" w:rsidRPr="00396B73" w14:paraId="78D5EE6A" w14:textId="77777777" w:rsidTr="605379D4">
        <w:trPr>
          <w:trHeight w:val="70"/>
        </w:trPr>
        <w:tc>
          <w:tcPr>
            <w:tcW w:w="2155" w:type="dxa"/>
            <w:vAlign w:val="center"/>
          </w:tcPr>
          <w:p w14:paraId="3747766C" w14:textId="77777777" w:rsidR="00F363C2" w:rsidRPr="00396B73" w:rsidRDefault="00F363C2" w:rsidP="00FB047E">
            <w:pPr>
              <w:pStyle w:val="SemEspaamento"/>
              <w:spacing w:before="0" w:after="0"/>
            </w:pPr>
            <w:r w:rsidRPr="00396B73">
              <w:t>Catal</w:t>
            </w:r>
            <w:r>
              <w:t xml:space="preserve">isador </w:t>
            </w:r>
            <w:r w:rsidRPr="00396B73">
              <w:t>e sustentável</w:t>
            </w:r>
          </w:p>
        </w:tc>
        <w:tc>
          <w:tcPr>
            <w:tcW w:w="6750" w:type="dxa"/>
          </w:tcPr>
          <w:p w14:paraId="6BB9E253" w14:textId="77777777" w:rsidR="00F363C2" w:rsidRPr="00396B73" w:rsidRDefault="00F363C2" w:rsidP="00FB047E">
            <w:pPr>
              <w:pStyle w:val="SemEspaamento"/>
              <w:spacing w:before="0" w:after="0"/>
            </w:pPr>
          </w:p>
          <w:p w14:paraId="23DE523C" w14:textId="47009C2C" w:rsidR="00F363C2" w:rsidRPr="009F40A8" w:rsidRDefault="009F40A8" w:rsidP="009F40A8">
            <w:pPr>
              <w:pStyle w:val="SemEspaamento"/>
              <w:spacing w:before="0" w:after="0"/>
              <w:jc w:val="both"/>
              <w:rPr>
                <w:sz w:val="20"/>
                <w:szCs w:val="20"/>
              </w:rPr>
            </w:pPr>
            <w:r w:rsidRPr="009F40A8">
              <w:rPr>
                <w:sz w:val="20"/>
                <w:szCs w:val="20"/>
              </w:rPr>
              <w:t>É catalítico e sustentável porque os recursos injetados pela GAVI circularão pelo Sistema Integrado de Gestão Financeira do Estado (SIGFE) e serão combinados localmente com recursos do Orçamento do Estado para combater a pobreza e acabarão por contribuir para a mobilização de recursos para a expansão das infraestruturas para a saúde com o apoio do Plano Integrado de Intervenção nos Municípios (PIIM).</w:t>
            </w:r>
          </w:p>
          <w:p w14:paraId="52E56223" w14:textId="77777777" w:rsidR="00F363C2" w:rsidRPr="00396B73" w:rsidRDefault="00F363C2" w:rsidP="009F40A8">
            <w:pPr>
              <w:pStyle w:val="SemEspaamento"/>
              <w:spacing w:before="0" w:after="0"/>
              <w:jc w:val="both"/>
            </w:pPr>
          </w:p>
          <w:p w14:paraId="07547A01" w14:textId="77777777" w:rsidR="00F363C2" w:rsidRPr="00396B73" w:rsidRDefault="00F363C2" w:rsidP="00FB047E">
            <w:pPr>
              <w:pStyle w:val="SemEspaamento"/>
              <w:spacing w:before="0" w:after="0"/>
            </w:pPr>
          </w:p>
        </w:tc>
      </w:tr>
    </w:tbl>
    <w:p w14:paraId="2A162886" w14:textId="77777777" w:rsidR="00F363C2" w:rsidRPr="002725E5" w:rsidRDefault="00F363C2" w:rsidP="00FB047E">
      <w:pPr>
        <w:pStyle w:val="PargrafodaLista"/>
        <w:keepNext/>
        <w:keepLines/>
        <w:numPr>
          <w:ilvl w:val="0"/>
          <w:numId w:val="10"/>
        </w:numPr>
        <w:spacing w:after="0" w:line="240" w:lineRule="auto"/>
        <w:outlineLvl w:val="1"/>
        <w:rPr>
          <w:rFonts w:ascii="Arial" w:eastAsia="Yu Mincho" w:hAnsi="Arial" w:cs="Arial"/>
          <w:color w:val="4472C4"/>
          <w:sz w:val="24"/>
          <w:szCs w:val="24"/>
        </w:rPr>
      </w:pPr>
      <w:r>
        <w:rPr>
          <w:rFonts w:ascii="Arial" w:hAnsi="Arial"/>
          <w:color w:val="4472C4"/>
          <w:sz w:val="24"/>
        </w:rPr>
        <w:t>Descrição do problema</w:t>
      </w:r>
    </w:p>
    <w:p w14:paraId="5043CB0F" w14:textId="77777777" w:rsidR="00F363C2" w:rsidRDefault="00F363C2" w:rsidP="00FB047E">
      <w:pPr>
        <w:pStyle w:val="Corpodetexto"/>
        <w:spacing w:before="0" w:after="0" w:line="240" w:lineRule="auto"/>
      </w:pPr>
    </w:p>
    <w:p w14:paraId="457C3DA9" w14:textId="77777777" w:rsidR="00F363C2" w:rsidRDefault="00F363C2" w:rsidP="00FB047E">
      <w:pPr>
        <w:pStyle w:val="Corpodetexto"/>
        <w:spacing w:before="0" w:after="0" w:line="240" w:lineRule="auto"/>
      </w:pPr>
      <w:r>
        <w:t>Descrever os desafios que a intervenção proposta procura enfrentar. Existem várias ferramentas que os países podem consultar quando realizam as suas análises. Por exemplo:</w:t>
      </w:r>
    </w:p>
    <w:p w14:paraId="07459315" w14:textId="77777777" w:rsidR="00F363C2" w:rsidRPr="002725E5" w:rsidRDefault="00F363C2" w:rsidP="00FB047E">
      <w:pPr>
        <w:pStyle w:val="Corpodetexto"/>
        <w:spacing w:before="0" w:after="0" w:line="240" w:lineRule="auto"/>
      </w:pPr>
    </w:p>
    <w:p w14:paraId="64855BBE" w14:textId="77777777" w:rsidR="00F363C2" w:rsidRPr="002725E5" w:rsidRDefault="00F363C2" w:rsidP="00FB047E">
      <w:pPr>
        <w:pStyle w:val="PargrafodaLista"/>
        <w:keepNext/>
        <w:keepLines/>
        <w:numPr>
          <w:ilvl w:val="0"/>
          <w:numId w:val="18"/>
        </w:numPr>
        <w:spacing w:after="0" w:line="240" w:lineRule="auto"/>
        <w:ind w:left="426"/>
        <w:outlineLvl w:val="1"/>
        <w:rPr>
          <w:rFonts w:ascii="Arial" w:hAnsi="Arial" w:cs="Arial"/>
          <w:color w:val="auto"/>
        </w:rPr>
      </w:pPr>
      <w:r>
        <w:rPr>
          <w:rFonts w:ascii="Arial" w:hAnsi="Arial"/>
          <w:color w:val="auto"/>
        </w:rPr>
        <w:t xml:space="preserve">O </w:t>
      </w:r>
      <w:hyperlink r:id="rId13" w:history="1">
        <w:r>
          <w:rPr>
            <w:rStyle w:val="Hiperligao"/>
            <w:rFonts w:ascii="Arial" w:hAnsi="Arial"/>
          </w:rPr>
          <w:t>Cartão Gavi de Análise Zero Dose</w:t>
        </w:r>
      </w:hyperlink>
      <w:r>
        <w:rPr>
          <w:rFonts w:ascii="Arial" w:hAnsi="Arial"/>
          <w:color w:val="auto"/>
        </w:rPr>
        <w:t>, tendo em conta que nem todas as suas partes são relevantes para apoio a Intervenções Orientadas. Pedir ajuda ao Gestor do País/Gestor de Empenhamento do País para interpretação da orientação.</w:t>
      </w:r>
    </w:p>
    <w:p w14:paraId="7D3365EF" w14:textId="77777777" w:rsidR="00F363C2" w:rsidRPr="002725E5" w:rsidRDefault="00F363C2" w:rsidP="00FB047E">
      <w:pPr>
        <w:pStyle w:val="PargrafodaLista"/>
        <w:keepNext/>
        <w:keepLines/>
        <w:numPr>
          <w:ilvl w:val="0"/>
          <w:numId w:val="18"/>
        </w:numPr>
        <w:spacing w:after="0" w:line="240" w:lineRule="auto"/>
        <w:ind w:left="426"/>
        <w:outlineLvl w:val="1"/>
        <w:rPr>
          <w:rFonts w:ascii="Arial" w:hAnsi="Arial" w:cs="Arial"/>
          <w:bCs/>
          <w:color w:val="000000"/>
        </w:rPr>
      </w:pPr>
      <w:r>
        <w:rPr>
          <w:rFonts w:ascii="Arial" w:hAnsi="Arial"/>
          <w:color w:val="auto"/>
        </w:rPr>
        <w:t>Ferramentas UNICEF sobre Género e Vacinação:</w:t>
      </w:r>
    </w:p>
    <w:p w14:paraId="3254B96B" w14:textId="77777777" w:rsidR="00F363C2" w:rsidRPr="0043379C" w:rsidRDefault="000727D6" w:rsidP="00FB047E">
      <w:pPr>
        <w:pStyle w:val="PargrafodaLista"/>
        <w:keepNext/>
        <w:keepLines/>
        <w:numPr>
          <w:ilvl w:val="1"/>
          <w:numId w:val="18"/>
        </w:numPr>
        <w:spacing w:after="0" w:line="240" w:lineRule="auto"/>
        <w:ind w:left="851"/>
        <w:outlineLvl w:val="1"/>
        <w:rPr>
          <w:rFonts w:ascii="Arial" w:hAnsi="Arial" w:cs="Arial"/>
          <w:bCs/>
          <w:color w:val="000000"/>
          <w:lang w:val="en-GB"/>
        </w:rPr>
      </w:pPr>
      <w:hyperlink r:id="rId14" w:history="1">
        <w:r w:rsidR="00F363C2" w:rsidRPr="0043379C">
          <w:rPr>
            <w:rStyle w:val="Hiperligao"/>
            <w:rFonts w:ascii="Arial" w:hAnsi="Arial"/>
            <w:lang w:val="en-GB"/>
          </w:rPr>
          <w:t>A Practical Guide to Integrate a Gender Lens into Immunization Programmes, UNICEF Regional Office for South Asia</w:t>
        </w:r>
      </w:hyperlink>
    </w:p>
    <w:p w14:paraId="611EDB65" w14:textId="77777777" w:rsidR="00F363C2" w:rsidRPr="0043379C" w:rsidRDefault="000727D6" w:rsidP="00FB047E">
      <w:pPr>
        <w:pStyle w:val="PargrafodaLista"/>
        <w:keepNext/>
        <w:keepLines/>
        <w:numPr>
          <w:ilvl w:val="1"/>
          <w:numId w:val="18"/>
        </w:numPr>
        <w:spacing w:after="0" w:line="240" w:lineRule="auto"/>
        <w:ind w:left="851"/>
        <w:outlineLvl w:val="1"/>
        <w:rPr>
          <w:rFonts w:ascii="Arial" w:hAnsi="Arial" w:cs="Arial"/>
          <w:color w:val="auto"/>
          <w:lang w:val="en-GB"/>
        </w:rPr>
      </w:pPr>
      <w:hyperlink r:id="rId15" w:history="1">
        <w:r w:rsidR="00F363C2" w:rsidRPr="0043379C">
          <w:rPr>
            <w:rStyle w:val="Hiperligao"/>
            <w:rFonts w:ascii="Arial" w:hAnsi="Arial"/>
            <w:lang w:val="en-GB"/>
          </w:rPr>
          <w:t xml:space="preserve">Integrating Gender in Programming for Every Child in Europe and Central Asia, UNICEF Regional Office for </w:t>
        </w:r>
        <w:proofErr w:type="gramStart"/>
        <w:r w:rsidR="00F363C2" w:rsidRPr="0043379C">
          <w:rPr>
            <w:rStyle w:val="Hiperligao"/>
            <w:rFonts w:ascii="Arial" w:hAnsi="Arial"/>
            <w:lang w:val="en-GB"/>
          </w:rPr>
          <w:t>Europe</w:t>
        </w:r>
        <w:proofErr w:type="gramEnd"/>
        <w:r w:rsidR="00F363C2" w:rsidRPr="0043379C">
          <w:rPr>
            <w:rStyle w:val="Hiperligao"/>
            <w:rFonts w:ascii="Arial" w:hAnsi="Arial"/>
            <w:lang w:val="en-GB"/>
          </w:rPr>
          <w:t xml:space="preserve"> and Central Asia</w:t>
        </w:r>
      </w:hyperlink>
    </w:p>
    <w:p w14:paraId="61BEB8EB" w14:textId="77777777" w:rsidR="00F363C2" w:rsidRPr="0043379C" w:rsidRDefault="00F363C2" w:rsidP="00FB047E">
      <w:pPr>
        <w:pStyle w:val="PargrafodaLista"/>
        <w:keepNext/>
        <w:keepLines/>
        <w:numPr>
          <w:ilvl w:val="0"/>
          <w:numId w:val="18"/>
        </w:numPr>
        <w:spacing w:after="0" w:line="240" w:lineRule="auto"/>
        <w:ind w:left="426"/>
        <w:outlineLvl w:val="1"/>
        <w:rPr>
          <w:rFonts w:ascii="Arial" w:hAnsi="Arial" w:cs="Arial"/>
          <w:color w:val="auto"/>
          <w:lang w:val="en-GB"/>
        </w:rPr>
      </w:pPr>
      <w:r w:rsidRPr="0043379C">
        <w:rPr>
          <w:rFonts w:ascii="Arial" w:hAnsi="Arial"/>
          <w:color w:val="auto"/>
          <w:lang w:val="en-GB"/>
        </w:rPr>
        <w:t xml:space="preserve">Organização Mundial da Saúde </w:t>
      </w:r>
      <w:hyperlink r:id="rId16" w:history="1">
        <w:r w:rsidRPr="0043379C">
          <w:rPr>
            <w:rStyle w:val="Hiperligao"/>
            <w:rFonts w:ascii="Arial" w:hAnsi="Arial"/>
            <w:lang w:val="en-GB"/>
          </w:rPr>
          <w:t>Technical Resources for Improving Immunization Coverage and Equity</w:t>
        </w:r>
      </w:hyperlink>
      <w:r w:rsidRPr="0043379C">
        <w:rPr>
          <w:rFonts w:ascii="Arial" w:hAnsi="Arial"/>
          <w:color w:val="auto"/>
          <w:lang w:val="en-GB"/>
        </w:rPr>
        <w:t xml:space="preserve"> </w:t>
      </w:r>
    </w:p>
    <w:p w14:paraId="6537F28F" w14:textId="77777777" w:rsidR="00F363C2" w:rsidRPr="0043379C" w:rsidRDefault="00F363C2" w:rsidP="00FB047E">
      <w:pPr>
        <w:keepNext/>
        <w:keepLines/>
        <w:spacing w:after="0" w:line="240" w:lineRule="auto"/>
        <w:outlineLvl w:val="1"/>
        <w:rPr>
          <w:rFonts w:ascii="Arial" w:hAnsi="Arial"/>
          <w:lang w:val="en-GB"/>
        </w:rPr>
      </w:pPr>
    </w:p>
    <w:p w14:paraId="52ABEF9A" w14:textId="77777777" w:rsidR="00F363C2" w:rsidRPr="002725E5" w:rsidRDefault="00F363C2" w:rsidP="00FB047E">
      <w:pPr>
        <w:pStyle w:val="PargrafodaLista"/>
        <w:keepNext/>
        <w:keepLines/>
        <w:numPr>
          <w:ilvl w:val="1"/>
          <w:numId w:val="15"/>
        </w:numPr>
        <w:spacing w:after="0" w:line="240" w:lineRule="auto"/>
        <w:ind w:left="709"/>
        <w:outlineLvl w:val="1"/>
        <w:rPr>
          <w:rFonts w:ascii="Arial" w:eastAsia="Yu Mincho" w:hAnsi="Arial" w:cs="Arial"/>
          <w:color w:val="4472C4"/>
          <w:sz w:val="24"/>
          <w:szCs w:val="24"/>
        </w:rPr>
      </w:pPr>
      <w:r>
        <w:rPr>
          <w:rFonts w:ascii="Arial" w:hAnsi="Arial"/>
          <w:color w:val="4472C4"/>
          <w:sz w:val="24"/>
        </w:rPr>
        <w:t>Crianças com Dose Zero</w:t>
      </w:r>
    </w:p>
    <w:p w14:paraId="52464E13" w14:textId="77777777" w:rsidR="00F363C2" w:rsidRPr="00FB047E" w:rsidRDefault="00F363C2" w:rsidP="00FB047E">
      <w:pPr>
        <w:pStyle w:val="PargrafodaLista"/>
        <w:spacing w:after="0" w:line="240" w:lineRule="auto"/>
        <w:ind w:left="66"/>
        <w:rPr>
          <w:rFonts w:ascii="Arial" w:hAnsi="Arial" w:cs="Arial"/>
          <w:color w:val="000000"/>
          <w:sz w:val="22"/>
          <w:szCs w:val="22"/>
        </w:rPr>
      </w:pPr>
      <w:r w:rsidRPr="00FB047E">
        <w:rPr>
          <w:rFonts w:ascii="Arial" w:hAnsi="Arial" w:cs="Arial"/>
          <w:color w:val="000000"/>
          <w:sz w:val="22"/>
          <w:szCs w:val="22"/>
        </w:rPr>
        <w:t>Usando a falta de DTC1 (Difteria, Tétano e Tosse Convulsa) como uma definição operacional para “zero dose”, quantas (e em que proporção) crianças zero dose existem no país e onde estão localizadas (no nível mais baixo para o qual existam dados fiáveis)?</w:t>
      </w:r>
    </w:p>
    <w:p w14:paraId="6DFB9E20" w14:textId="77777777" w:rsidR="00F363C2" w:rsidRDefault="00F363C2" w:rsidP="00FB047E">
      <w:pPr>
        <w:pStyle w:val="PargrafodaLista"/>
        <w:spacing w:after="0" w:line="240" w:lineRule="auto"/>
        <w:ind w:left="66"/>
        <w:rPr>
          <w:rFonts w:ascii="Arial" w:hAnsi="Arial" w:cs="Arial"/>
          <w:color w:val="000000"/>
          <w:sz w:val="22"/>
          <w:szCs w:val="22"/>
        </w:rPr>
      </w:pPr>
    </w:p>
    <w:p w14:paraId="3E453647" w14:textId="77777777" w:rsidR="00F363C2" w:rsidRPr="00FB047E" w:rsidRDefault="00F363C2" w:rsidP="00FB047E">
      <w:pPr>
        <w:pStyle w:val="PargrafodaLista"/>
        <w:numPr>
          <w:ilvl w:val="0"/>
          <w:numId w:val="20"/>
        </w:numPr>
        <w:spacing w:after="0" w:line="240" w:lineRule="auto"/>
        <w:rPr>
          <w:rFonts w:ascii="Arial" w:hAnsi="Arial" w:cs="Arial"/>
          <w:color w:val="000000"/>
        </w:rPr>
      </w:pPr>
      <w:r w:rsidRPr="00FB047E">
        <w:rPr>
          <w:rFonts w:ascii="Arial" w:hAnsi="Arial" w:cs="Arial"/>
          <w:color w:val="000000"/>
        </w:rPr>
        <w:t>Usando a falta de DTC1 (Difteria, Tétano e Tosse Convulsa) como uma definição operacional para “zero dose”, quantas (e em que proporção) crianças zero dose existem no país e onde estão localizadas (no nível mais baixo para o qual existam dados fiáveis)?</w:t>
      </w:r>
    </w:p>
    <w:p w14:paraId="5D1A7017" w14:textId="77777777" w:rsidR="00F363C2" w:rsidRPr="00FB047E" w:rsidRDefault="00F363C2" w:rsidP="00FB047E">
      <w:pPr>
        <w:pStyle w:val="PargrafodaLista"/>
        <w:numPr>
          <w:ilvl w:val="0"/>
          <w:numId w:val="20"/>
        </w:numPr>
        <w:spacing w:after="0" w:line="240" w:lineRule="auto"/>
        <w:rPr>
          <w:rFonts w:ascii="Arial" w:hAnsi="Arial" w:cs="Arial"/>
          <w:color w:val="000000"/>
        </w:rPr>
      </w:pPr>
      <w:r w:rsidRPr="00FB047E">
        <w:rPr>
          <w:rFonts w:ascii="Arial" w:hAnsi="Arial" w:cs="Arial"/>
          <w:color w:val="000000"/>
        </w:rPr>
        <w:t>Porque não foram vacinadas estas crianças?</w:t>
      </w:r>
    </w:p>
    <w:p w14:paraId="0F4D8540" w14:textId="77777777" w:rsidR="00F363C2" w:rsidRPr="00FB047E" w:rsidRDefault="00F363C2" w:rsidP="00FB047E">
      <w:pPr>
        <w:pStyle w:val="PargrafodaLista"/>
        <w:numPr>
          <w:ilvl w:val="0"/>
          <w:numId w:val="20"/>
        </w:numPr>
        <w:spacing w:after="0" w:line="240" w:lineRule="auto"/>
        <w:rPr>
          <w:rFonts w:ascii="Arial" w:hAnsi="Arial" w:cs="Arial"/>
          <w:color w:val="000000"/>
        </w:rPr>
      </w:pPr>
      <w:r w:rsidRPr="00FB047E">
        <w:rPr>
          <w:rFonts w:ascii="Arial" w:hAnsi="Arial" w:cs="Arial"/>
          <w:color w:val="000000"/>
        </w:rPr>
        <w:t>Quais são as principais barreiras na oferta e na procura dos serviços de vacinação?</w:t>
      </w:r>
    </w:p>
    <w:p w14:paraId="3FA8804D" w14:textId="77777777" w:rsidR="00F363C2" w:rsidRPr="00FB047E" w:rsidRDefault="00F363C2" w:rsidP="00FB047E">
      <w:pPr>
        <w:pStyle w:val="PargrafodaLista"/>
        <w:numPr>
          <w:ilvl w:val="0"/>
          <w:numId w:val="20"/>
        </w:numPr>
        <w:spacing w:after="0" w:line="240" w:lineRule="auto"/>
        <w:rPr>
          <w:rFonts w:ascii="Arial" w:hAnsi="Arial" w:cs="Arial"/>
          <w:color w:val="000000"/>
        </w:rPr>
      </w:pPr>
      <w:r w:rsidRPr="00FB047E">
        <w:rPr>
          <w:rFonts w:ascii="Arial" w:hAnsi="Arial" w:cs="Arial"/>
          <w:color w:val="000000"/>
        </w:rPr>
        <w:lastRenderedPageBreak/>
        <w:t xml:space="preserve">Como se cruza isto com as identidades sociais, incluindo o género ou barreiras existentes relacionadas com o género? </w:t>
      </w:r>
    </w:p>
    <w:p w14:paraId="48D4BD6A" w14:textId="77777777" w:rsidR="00F363C2" w:rsidRPr="00FB047E" w:rsidRDefault="00F363C2" w:rsidP="00FB047E">
      <w:pPr>
        <w:pStyle w:val="PargrafodaLista"/>
        <w:numPr>
          <w:ilvl w:val="0"/>
          <w:numId w:val="20"/>
        </w:numPr>
        <w:spacing w:after="0" w:line="240" w:lineRule="auto"/>
        <w:rPr>
          <w:rFonts w:ascii="Arial" w:hAnsi="Arial" w:cs="Arial"/>
          <w:color w:val="000000"/>
        </w:rPr>
      </w:pPr>
      <w:r w:rsidRPr="00FB047E">
        <w:rPr>
          <w:rFonts w:ascii="Arial" w:hAnsi="Arial" w:cs="Arial"/>
          <w:color w:val="000000"/>
        </w:rPr>
        <w:t>Como variam estes motivos com o local?</w:t>
      </w:r>
    </w:p>
    <w:p w14:paraId="49CE68F5" w14:textId="77777777" w:rsidR="00F363C2" w:rsidRPr="00FB047E" w:rsidRDefault="00F363C2" w:rsidP="00FB047E">
      <w:pPr>
        <w:pStyle w:val="PargrafodaLista"/>
        <w:numPr>
          <w:ilvl w:val="0"/>
          <w:numId w:val="20"/>
        </w:numPr>
        <w:spacing w:after="0" w:line="240" w:lineRule="auto"/>
        <w:rPr>
          <w:rFonts w:ascii="Arial" w:hAnsi="Arial" w:cs="Arial"/>
          <w:color w:val="000000"/>
        </w:rPr>
      </w:pPr>
      <w:r w:rsidRPr="00FB047E">
        <w:rPr>
          <w:rFonts w:ascii="Arial" w:hAnsi="Arial" w:cs="Arial"/>
          <w:color w:val="000000"/>
        </w:rPr>
        <w:t>Podem também ser consideradas as seguintes barreiras do lado da oferta e da procura:</w:t>
      </w:r>
    </w:p>
    <w:p w14:paraId="11D3F383" w14:textId="77777777" w:rsidR="00F363C2" w:rsidRPr="00FB047E" w:rsidRDefault="00F363C2" w:rsidP="00FB047E">
      <w:pPr>
        <w:pStyle w:val="PargrafodaLista"/>
        <w:numPr>
          <w:ilvl w:val="0"/>
          <w:numId w:val="20"/>
        </w:numPr>
        <w:spacing w:after="0" w:line="240" w:lineRule="auto"/>
        <w:rPr>
          <w:rFonts w:ascii="Arial" w:hAnsi="Arial" w:cs="Arial"/>
          <w:color w:val="000000"/>
        </w:rPr>
      </w:pPr>
      <w:r w:rsidRPr="00FB047E">
        <w:rPr>
          <w:rFonts w:ascii="Arial" w:hAnsi="Arial" w:cs="Arial"/>
          <w:color w:val="000000"/>
        </w:rPr>
        <w:t>Acessibilidade do serviço: tempo de viagem ou distância até ao ponto de vacinação mais próximo, representação e participação das mulheres na tomada de decisão do programa de vacinação</w:t>
      </w:r>
    </w:p>
    <w:p w14:paraId="622E243F" w14:textId="77777777" w:rsidR="00F363C2" w:rsidRPr="00FB047E" w:rsidRDefault="00F363C2" w:rsidP="00823899">
      <w:pPr>
        <w:pStyle w:val="PargrafodaLista"/>
        <w:numPr>
          <w:ilvl w:val="0"/>
          <w:numId w:val="20"/>
        </w:numPr>
        <w:spacing w:after="0" w:line="240" w:lineRule="auto"/>
        <w:rPr>
          <w:rFonts w:ascii="Arial" w:hAnsi="Arial" w:cs="Arial"/>
          <w:color w:val="000000"/>
        </w:rPr>
      </w:pPr>
      <w:r w:rsidRPr="00FB047E">
        <w:rPr>
          <w:rFonts w:ascii="Arial" w:hAnsi="Arial" w:cs="Arial"/>
          <w:color w:val="000000"/>
        </w:rPr>
        <w:t xml:space="preserve">Cadeia de fornecimentos: disponibilidade de vacinas/níveis de </w:t>
      </w:r>
      <w:r w:rsidRPr="00823899">
        <w:rPr>
          <w:rFonts w:ascii="Arial" w:hAnsi="Arial" w:cs="Arial"/>
          <w:i/>
          <w:iCs/>
          <w:color w:val="000000"/>
        </w:rPr>
        <w:t>stocks</w:t>
      </w:r>
      <w:r w:rsidRPr="00FB047E">
        <w:rPr>
          <w:rFonts w:ascii="Arial" w:hAnsi="Arial" w:cs="Arial"/>
          <w:color w:val="000000"/>
        </w:rPr>
        <w:t>,</w:t>
      </w:r>
      <w:r>
        <w:rPr>
          <w:rFonts w:ascii="Arial" w:hAnsi="Arial" w:cs="Arial"/>
          <w:color w:val="000000"/>
        </w:rPr>
        <w:t xml:space="preserve"> </w:t>
      </w:r>
      <w:r w:rsidRPr="00FB047E">
        <w:rPr>
          <w:rFonts w:ascii="Arial" w:hAnsi="Arial" w:cs="Arial"/>
          <w:color w:val="000000"/>
        </w:rPr>
        <w:t>disponibilidade/funcionalidade dos equipamentos da cadeia de frio</w:t>
      </w:r>
    </w:p>
    <w:p w14:paraId="32A97885" w14:textId="77777777" w:rsidR="00F363C2" w:rsidRPr="00FB047E" w:rsidRDefault="00F363C2" w:rsidP="00FB047E">
      <w:pPr>
        <w:pStyle w:val="PargrafodaLista"/>
        <w:numPr>
          <w:ilvl w:val="0"/>
          <w:numId w:val="20"/>
        </w:numPr>
        <w:spacing w:after="0" w:line="240" w:lineRule="auto"/>
        <w:rPr>
          <w:rFonts w:ascii="Arial" w:hAnsi="Arial" w:cs="Arial"/>
          <w:color w:val="000000"/>
        </w:rPr>
      </w:pPr>
      <w:r w:rsidRPr="00FB047E">
        <w:rPr>
          <w:rFonts w:ascii="Arial" w:hAnsi="Arial" w:cs="Arial"/>
          <w:color w:val="000000"/>
        </w:rPr>
        <w:t>Recursos Humanos para a Saúde (HRH): disponibilidade do trabalhador de saúde (masculino e feminino), condições de trabalho, salário,</w:t>
      </w:r>
    </w:p>
    <w:p w14:paraId="274C3732" w14:textId="77777777" w:rsidR="00F363C2" w:rsidRPr="00FB047E" w:rsidRDefault="00F363C2" w:rsidP="00FB047E">
      <w:pPr>
        <w:pStyle w:val="PargrafodaLista"/>
        <w:numPr>
          <w:ilvl w:val="0"/>
          <w:numId w:val="20"/>
        </w:numPr>
        <w:spacing w:after="0" w:line="240" w:lineRule="auto"/>
        <w:rPr>
          <w:rFonts w:ascii="Arial" w:hAnsi="Arial" w:cs="Arial"/>
          <w:color w:val="000000"/>
        </w:rPr>
      </w:pPr>
      <w:r w:rsidRPr="00FB047E">
        <w:rPr>
          <w:rFonts w:ascii="Arial" w:hAnsi="Arial" w:cs="Arial"/>
          <w:color w:val="000000"/>
        </w:rPr>
        <w:t>Determinantes Comportamentais e Sociais (</w:t>
      </w:r>
      <w:proofErr w:type="spellStart"/>
      <w:r w:rsidRPr="00FB047E">
        <w:rPr>
          <w:rFonts w:ascii="Arial" w:hAnsi="Arial" w:cs="Arial"/>
          <w:color w:val="000000"/>
        </w:rPr>
        <w:t>BeSD</w:t>
      </w:r>
      <w:proofErr w:type="spellEnd"/>
      <w:r w:rsidRPr="00FB047E">
        <w:rPr>
          <w:rFonts w:ascii="Arial" w:hAnsi="Arial" w:cs="Arial"/>
          <w:color w:val="000000"/>
        </w:rPr>
        <w:t>): pensamento e sentimento, motivação, processos sociais, factores práticos</w:t>
      </w:r>
    </w:p>
    <w:p w14:paraId="486D8BD9" w14:textId="77777777" w:rsidR="00F363C2" w:rsidRPr="00FB047E" w:rsidRDefault="00F363C2" w:rsidP="00FB047E">
      <w:pPr>
        <w:pStyle w:val="PargrafodaLista"/>
        <w:numPr>
          <w:ilvl w:val="0"/>
          <w:numId w:val="20"/>
        </w:numPr>
        <w:spacing w:after="0" w:line="240" w:lineRule="auto"/>
        <w:rPr>
          <w:rFonts w:ascii="Arial" w:hAnsi="Arial" w:cs="Arial"/>
          <w:color w:val="000000"/>
        </w:rPr>
      </w:pPr>
      <w:r w:rsidRPr="00FB047E">
        <w:rPr>
          <w:rFonts w:ascii="Arial" w:hAnsi="Arial" w:cs="Arial"/>
          <w:color w:val="000000"/>
        </w:rPr>
        <w:t>Barreiras de género: recursos financeiros, educação e acesso à informação, poder da tomada de decisões familiares, mobilidade, tempo fora de casa (horário, tempo de espera, etc.), adequação dos serviços</w:t>
      </w:r>
    </w:p>
    <w:p w14:paraId="6206FB4D" w14:textId="77777777" w:rsidR="00F363C2" w:rsidRPr="00FB047E" w:rsidRDefault="00F363C2" w:rsidP="00FB047E">
      <w:pPr>
        <w:pStyle w:val="PargrafodaLista"/>
        <w:numPr>
          <w:ilvl w:val="0"/>
          <w:numId w:val="20"/>
        </w:numPr>
        <w:spacing w:after="0" w:line="240" w:lineRule="auto"/>
        <w:rPr>
          <w:rFonts w:ascii="Arial" w:hAnsi="Arial" w:cs="Arial"/>
          <w:bCs/>
          <w:color w:val="000000"/>
        </w:rPr>
      </w:pPr>
      <w:r w:rsidRPr="00FB047E">
        <w:rPr>
          <w:rFonts w:ascii="Arial" w:hAnsi="Arial" w:cs="Arial"/>
          <w:color w:val="000000"/>
        </w:rPr>
        <w:t xml:space="preserve">Barreiras socioeconómicas: índice de riqueza, educação materna, religião, etnia, taxa de casamentos infantis </w:t>
      </w:r>
    </w:p>
    <w:p w14:paraId="3A80337C" w14:textId="77777777" w:rsidR="00F363C2" w:rsidRPr="005776C6" w:rsidRDefault="00F363C2" w:rsidP="00FB047E">
      <w:pPr>
        <w:spacing w:after="0" w:line="240" w:lineRule="auto"/>
        <w:rPr>
          <w:rFonts w:ascii="Arial" w:hAnsi="Arial"/>
          <w:i/>
          <w:iCs/>
        </w:rPr>
      </w:pPr>
      <w:r>
        <w:rPr>
          <w:rFonts w:ascii="Arial" w:hAnsi="Arial"/>
          <w:i/>
        </w:rPr>
        <w:t>Até 500 palavras</w:t>
      </w:r>
    </w:p>
    <w:p w14:paraId="44E871BC" w14:textId="34173C2A" w:rsidR="00F363C2" w:rsidRPr="00D73DD9" w:rsidRDefault="00717199" w:rsidP="006A3EDC">
      <w:pPr>
        <w:pBdr>
          <w:top w:val="single" w:sz="4" w:space="1" w:color="auto"/>
          <w:left w:val="single" w:sz="4" w:space="4" w:color="auto"/>
          <w:bottom w:val="single" w:sz="4" w:space="1" w:color="auto"/>
          <w:right w:val="single" w:sz="4" w:space="4" w:color="auto"/>
        </w:pBdr>
        <w:spacing w:after="0" w:line="240" w:lineRule="auto"/>
        <w:jc w:val="both"/>
        <w:rPr>
          <w:rFonts w:ascii="Arial" w:hAnsi="Arial"/>
          <w:bCs/>
          <w:color w:val="0070C0"/>
          <w:sz w:val="20"/>
          <w:szCs w:val="20"/>
        </w:rPr>
      </w:pPr>
      <w:r w:rsidRPr="00D73DD9">
        <w:rPr>
          <w:rFonts w:ascii="Arial" w:hAnsi="Arial"/>
          <w:bCs/>
          <w:color w:val="0070C0"/>
          <w:sz w:val="20"/>
          <w:szCs w:val="20"/>
        </w:rPr>
        <w:t>A informação nacional disponível sobre crianças doses zero provém de duas fontes, por um lado, das informações administrativas dos relatórios mensais das unidades de saúde compiladas na plataforma DHIS2 até dezembro de 2021, e por outro lado, das estimativas anuais de cobertura da OMS -UNICEF realizado anualmente (Estimativa WUENIC) permite dados mais confiáveis ​​sobre o número de crianças que não recebem a vacina Penta1 (crianças dose zero). Em 2020, segundo dados administrativos, havia 174.334 crianças sem dose e segundo a WUENIC, 424.939. De acordo com o DHIS-2, para dezembro de 2021, são estimadas 244.185 crianças com dose zero, 40% a mais que no ano anterior. A projeção dos dados WUENIC para 2021 mostra um quadro mais sombrio; 432.873 crianças com zero doses Segundo o</w:t>
      </w:r>
      <w:r w:rsidR="00206678" w:rsidRPr="00D73DD9">
        <w:rPr>
          <w:rFonts w:ascii="Arial" w:hAnsi="Arial"/>
          <w:bCs/>
          <w:color w:val="0070C0"/>
          <w:sz w:val="20"/>
          <w:szCs w:val="20"/>
        </w:rPr>
        <w:t xml:space="preserve"> </w:t>
      </w:r>
      <w:r w:rsidRPr="00D73DD9">
        <w:rPr>
          <w:rFonts w:ascii="Arial" w:hAnsi="Arial"/>
          <w:bCs/>
          <w:color w:val="0070C0"/>
          <w:sz w:val="20"/>
          <w:szCs w:val="20"/>
        </w:rPr>
        <w:t>DHIS-12, Luanda acumula (30,0%)</w:t>
      </w:r>
      <w:r w:rsidR="00D7108F" w:rsidRPr="00D73DD9">
        <w:rPr>
          <w:rFonts w:ascii="Arial" w:hAnsi="Arial"/>
          <w:bCs/>
          <w:color w:val="0070C0"/>
          <w:sz w:val="20"/>
          <w:szCs w:val="20"/>
        </w:rPr>
        <w:t xml:space="preserve"> de zero doses</w:t>
      </w:r>
      <w:r w:rsidRPr="00D73DD9">
        <w:rPr>
          <w:rFonts w:ascii="Arial" w:hAnsi="Arial"/>
          <w:bCs/>
          <w:color w:val="0070C0"/>
          <w:sz w:val="20"/>
          <w:szCs w:val="20"/>
        </w:rPr>
        <w:t xml:space="preserve">, Huambo (15,7%), Bié (8,5%), Cunene (5,1%) e Cuanza Sul (2,8%) </w:t>
      </w:r>
      <w:r w:rsidR="00D7108F" w:rsidRPr="00D73DD9">
        <w:rPr>
          <w:rFonts w:ascii="Arial" w:hAnsi="Arial"/>
          <w:bCs/>
          <w:color w:val="0070C0"/>
          <w:sz w:val="20"/>
          <w:szCs w:val="20"/>
        </w:rPr>
        <w:t xml:space="preserve">em conjunto </w:t>
      </w:r>
      <w:r w:rsidRPr="00D73DD9">
        <w:rPr>
          <w:rFonts w:ascii="Arial" w:hAnsi="Arial"/>
          <w:bCs/>
          <w:color w:val="0070C0"/>
          <w:sz w:val="20"/>
          <w:szCs w:val="20"/>
        </w:rPr>
        <w:t xml:space="preserve">62,1% das crianças zero </w:t>
      </w:r>
      <w:r w:rsidR="00D7108F" w:rsidRPr="00D73DD9">
        <w:rPr>
          <w:rFonts w:ascii="Arial" w:hAnsi="Arial"/>
          <w:bCs/>
          <w:color w:val="0070C0"/>
          <w:sz w:val="20"/>
          <w:szCs w:val="20"/>
        </w:rPr>
        <w:t>dose d</w:t>
      </w:r>
      <w:r w:rsidRPr="00D73DD9">
        <w:rPr>
          <w:rFonts w:ascii="Arial" w:hAnsi="Arial"/>
          <w:bCs/>
          <w:color w:val="0070C0"/>
          <w:sz w:val="20"/>
          <w:szCs w:val="20"/>
        </w:rPr>
        <w:t>o país. Nestas províncias, 22 municípios respondem por cerca de 60% do número de crianças não vacinadas no país. Todos esses municípios foram selecionados.</w:t>
      </w:r>
      <w:r w:rsidR="00D7108F" w:rsidRPr="00D73DD9">
        <w:rPr>
          <w:rFonts w:ascii="Arial" w:hAnsi="Arial"/>
          <w:bCs/>
          <w:color w:val="0070C0"/>
          <w:sz w:val="20"/>
          <w:szCs w:val="20"/>
        </w:rPr>
        <w:t xml:space="preserve"> </w:t>
      </w:r>
      <w:r w:rsidRPr="00D73DD9">
        <w:rPr>
          <w:rFonts w:ascii="Arial" w:hAnsi="Arial"/>
          <w:bCs/>
          <w:color w:val="0070C0"/>
          <w:sz w:val="20"/>
          <w:szCs w:val="20"/>
        </w:rPr>
        <w:t>As causas de crianças com dose zero têm a ver com a reduzida rede de serviços públicos de saúde, sua má distribuição, as grandes distâncias. Dificuldades logísticas</w:t>
      </w:r>
      <w:r w:rsidR="006A3EDC" w:rsidRPr="00D73DD9">
        <w:rPr>
          <w:rFonts w:ascii="Arial" w:hAnsi="Arial"/>
          <w:bCs/>
          <w:color w:val="0070C0"/>
          <w:sz w:val="20"/>
          <w:szCs w:val="20"/>
        </w:rPr>
        <w:t xml:space="preserve"> dos serviços, </w:t>
      </w:r>
      <w:r w:rsidRPr="00D73DD9">
        <w:rPr>
          <w:rFonts w:ascii="Arial" w:hAnsi="Arial"/>
          <w:bCs/>
          <w:color w:val="0070C0"/>
          <w:sz w:val="20"/>
          <w:szCs w:val="20"/>
        </w:rPr>
        <w:t>transporte público insuficiente e de alto custo</w:t>
      </w:r>
      <w:r w:rsidR="00206678" w:rsidRPr="00D73DD9">
        <w:rPr>
          <w:rFonts w:ascii="Arial" w:hAnsi="Arial"/>
          <w:bCs/>
          <w:color w:val="0070C0"/>
          <w:sz w:val="20"/>
          <w:szCs w:val="20"/>
        </w:rPr>
        <w:t xml:space="preserve">. Las principais causes evitáveis são </w:t>
      </w:r>
      <w:r w:rsidRPr="00D73DD9">
        <w:rPr>
          <w:rFonts w:ascii="Arial" w:hAnsi="Arial"/>
          <w:bCs/>
          <w:color w:val="0070C0"/>
          <w:sz w:val="20"/>
          <w:szCs w:val="20"/>
        </w:rPr>
        <w:t>falhas na continuidade</w:t>
      </w:r>
      <w:r w:rsidR="00206678" w:rsidRPr="00D73DD9">
        <w:rPr>
          <w:rFonts w:ascii="Arial" w:hAnsi="Arial"/>
          <w:bCs/>
          <w:color w:val="0070C0"/>
          <w:sz w:val="20"/>
          <w:szCs w:val="20"/>
        </w:rPr>
        <w:t xml:space="preserve"> do atendimento </w:t>
      </w:r>
      <w:r w:rsidRPr="00D73DD9">
        <w:rPr>
          <w:rFonts w:ascii="Arial" w:hAnsi="Arial"/>
          <w:bCs/>
          <w:color w:val="0070C0"/>
          <w:sz w:val="20"/>
          <w:szCs w:val="20"/>
        </w:rPr>
        <w:t>e qualidade humana na prestação dos serviços fixos de vacinação</w:t>
      </w:r>
      <w:r w:rsidR="00206678" w:rsidRPr="00D73DD9">
        <w:rPr>
          <w:rFonts w:ascii="Arial" w:hAnsi="Arial"/>
          <w:bCs/>
          <w:color w:val="0070C0"/>
          <w:sz w:val="20"/>
          <w:szCs w:val="20"/>
        </w:rPr>
        <w:t>. La Pandemia</w:t>
      </w:r>
      <w:r w:rsidRPr="00D73DD9">
        <w:rPr>
          <w:rFonts w:ascii="Arial" w:hAnsi="Arial"/>
          <w:bCs/>
          <w:color w:val="0070C0"/>
          <w:sz w:val="20"/>
          <w:szCs w:val="20"/>
        </w:rPr>
        <w:t xml:space="preserve"> do COVID-19</w:t>
      </w:r>
      <w:r w:rsidR="00206678" w:rsidRPr="00D73DD9">
        <w:rPr>
          <w:rFonts w:ascii="Arial" w:hAnsi="Arial"/>
          <w:bCs/>
          <w:color w:val="0070C0"/>
          <w:sz w:val="20"/>
          <w:szCs w:val="20"/>
        </w:rPr>
        <w:t xml:space="preserve"> agrav</w:t>
      </w:r>
      <w:r w:rsidR="006A3EDC" w:rsidRPr="00D73DD9">
        <w:rPr>
          <w:rFonts w:ascii="Arial" w:hAnsi="Arial"/>
          <w:bCs/>
          <w:color w:val="0070C0"/>
          <w:sz w:val="20"/>
          <w:szCs w:val="20"/>
        </w:rPr>
        <w:t>ou</w:t>
      </w:r>
      <w:r w:rsidR="00206678" w:rsidRPr="00D73DD9">
        <w:rPr>
          <w:rFonts w:ascii="Arial" w:hAnsi="Arial"/>
          <w:bCs/>
          <w:color w:val="0070C0"/>
          <w:sz w:val="20"/>
          <w:szCs w:val="20"/>
        </w:rPr>
        <w:t xml:space="preserve"> os factores </w:t>
      </w:r>
      <w:r w:rsidR="006A3EDC" w:rsidRPr="00D73DD9">
        <w:rPr>
          <w:rFonts w:ascii="Arial" w:hAnsi="Arial"/>
          <w:bCs/>
          <w:color w:val="0070C0"/>
          <w:sz w:val="20"/>
          <w:szCs w:val="20"/>
        </w:rPr>
        <w:t xml:space="preserve">condicionantes incluindo </w:t>
      </w:r>
      <w:r w:rsidR="00206678" w:rsidRPr="00D73DD9">
        <w:rPr>
          <w:rFonts w:ascii="Arial" w:hAnsi="Arial"/>
          <w:bCs/>
          <w:color w:val="0070C0"/>
          <w:sz w:val="20"/>
          <w:szCs w:val="20"/>
        </w:rPr>
        <w:t>a escassez de r</w:t>
      </w:r>
      <w:r w:rsidRPr="00D73DD9">
        <w:rPr>
          <w:rFonts w:ascii="Arial" w:hAnsi="Arial"/>
          <w:bCs/>
          <w:color w:val="0070C0"/>
          <w:sz w:val="20"/>
          <w:szCs w:val="20"/>
        </w:rPr>
        <w:t xml:space="preserve">ecursos financeiros </w:t>
      </w:r>
      <w:r w:rsidR="00206678" w:rsidRPr="00D73DD9">
        <w:rPr>
          <w:rFonts w:ascii="Arial" w:hAnsi="Arial"/>
          <w:bCs/>
          <w:color w:val="0070C0"/>
          <w:sz w:val="20"/>
          <w:szCs w:val="20"/>
        </w:rPr>
        <w:t xml:space="preserve">a </w:t>
      </w:r>
      <w:r w:rsidRPr="00D73DD9">
        <w:rPr>
          <w:rFonts w:ascii="Arial" w:hAnsi="Arial"/>
          <w:bCs/>
          <w:color w:val="0070C0"/>
          <w:sz w:val="20"/>
          <w:szCs w:val="20"/>
        </w:rPr>
        <w:t xml:space="preserve">nível municipal </w:t>
      </w:r>
      <w:r w:rsidR="006A3EDC" w:rsidRPr="00D73DD9">
        <w:rPr>
          <w:rFonts w:ascii="Arial" w:hAnsi="Arial"/>
          <w:bCs/>
          <w:color w:val="0070C0"/>
          <w:sz w:val="20"/>
          <w:szCs w:val="20"/>
        </w:rPr>
        <w:t xml:space="preserve">para </w:t>
      </w:r>
      <w:r w:rsidRPr="00D73DD9">
        <w:rPr>
          <w:rFonts w:ascii="Arial" w:hAnsi="Arial"/>
          <w:bCs/>
          <w:color w:val="0070C0"/>
          <w:sz w:val="20"/>
          <w:szCs w:val="20"/>
        </w:rPr>
        <w:t>as atividades de extensão da vacinação a comunidades sem fácil acesso aos serviços públicos de saúde. Por outro lado, há insuficiente utilização de serviços privados e religiosos para vacinação.</w:t>
      </w:r>
      <w:r w:rsidR="006A3EDC" w:rsidRPr="00D73DD9">
        <w:rPr>
          <w:rFonts w:ascii="Arial" w:hAnsi="Arial"/>
          <w:bCs/>
          <w:color w:val="0070C0"/>
          <w:sz w:val="20"/>
          <w:szCs w:val="20"/>
        </w:rPr>
        <w:t xml:space="preserve"> </w:t>
      </w:r>
      <w:r w:rsidRPr="00D73DD9">
        <w:rPr>
          <w:rFonts w:ascii="Arial" w:hAnsi="Arial"/>
          <w:bCs/>
          <w:color w:val="0070C0"/>
          <w:sz w:val="20"/>
          <w:szCs w:val="20"/>
        </w:rPr>
        <w:t xml:space="preserve">O </w:t>
      </w:r>
      <w:r w:rsidR="00206678" w:rsidRPr="00D73DD9">
        <w:rPr>
          <w:rFonts w:ascii="Arial" w:hAnsi="Arial"/>
          <w:bCs/>
          <w:color w:val="0070C0"/>
          <w:sz w:val="20"/>
          <w:szCs w:val="20"/>
        </w:rPr>
        <w:t xml:space="preserve">inquérito </w:t>
      </w:r>
      <w:r w:rsidRPr="00D73DD9">
        <w:rPr>
          <w:rFonts w:ascii="Arial" w:hAnsi="Arial"/>
          <w:bCs/>
          <w:color w:val="0070C0"/>
          <w:sz w:val="20"/>
          <w:szCs w:val="20"/>
        </w:rPr>
        <w:t>nacional representativo de causas de não vacinação realizado em 2014 mostrou que 72% d</w:t>
      </w:r>
      <w:r w:rsidR="00206678" w:rsidRPr="00D73DD9">
        <w:rPr>
          <w:rFonts w:ascii="Arial" w:hAnsi="Arial"/>
          <w:bCs/>
          <w:color w:val="0070C0"/>
          <w:sz w:val="20"/>
          <w:szCs w:val="20"/>
        </w:rPr>
        <w:t xml:space="preserve">as mães </w:t>
      </w:r>
      <w:r w:rsidRPr="00D73DD9">
        <w:rPr>
          <w:rFonts w:ascii="Arial" w:hAnsi="Arial"/>
          <w:bCs/>
          <w:color w:val="0070C0"/>
          <w:sz w:val="20"/>
          <w:szCs w:val="20"/>
        </w:rPr>
        <w:t>entrevistad</w:t>
      </w:r>
      <w:r w:rsidR="00206678" w:rsidRPr="00D73DD9">
        <w:rPr>
          <w:rFonts w:ascii="Arial" w:hAnsi="Arial"/>
          <w:bCs/>
          <w:color w:val="0070C0"/>
          <w:sz w:val="20"/>
          <w:szCs w:val="20"/>
        </w:rPr>
        <w:t>a</w:t>
      </w:r>
      <w:r w:rsidRPr="00D73DD9">
        <w:rPr>
          <w:rFonts w:ascii="Arial" w:hAnsi="Arial"/>
          <w:bCs/>
          <w:color w:val="0070C0"/>
          <w:sz w:val="20"/>
          <w:szCs w:val="20"/>
        </w:rPr>
        <w:t xml:space="preserve">s não receberam tratamento educado, </w:t>
      </w:r>
      <w:r w:rsidR="00D7108F" w:rsidRPr="00D73DD9">
        <w:rPr>
          <w:rFonts w:ascii="Arial" w:hAnsi="Arial"/>
          <w:bCs/>
          <w:color w:val="0070C0"/>
          <w:sz w:val="20"/>
          <w:szCs w:val="20"/>
        </w:rPr>
        <w:t xml:space="preserve">69% </w:t>
      </w:r>
      <w:r w:rsidRPr="00D73DD9">
        <w:rPr>
          <w:rFonts w:ascii="Arial" w:hAnsi="Arial"/>
          <w:bCs/>
          <w:color w:val="0070C0"/>
          <w:sz w:val="20"/>
          <w:szCs w:val="20"/>
        </w:rPr>
        <w:t>longo tempo de espera</w:t>
      </w:r>
      <w:r w:rsidR="00D7108F" w:rsidRPr="00D73DD9">
        <w:rPr>
          <w:rFonts w:ascii="Arial" w:hAnsi="Arial"/>
          <w:bCs/>
          <w:color w:val="0070C0"/>
          <w:sz w:val="20"/>
          <w:szCs w:val="20"/>
        </w:rPr>
        <w:t>, 43%</w:t>
      </w:r>
      <w:r w:rsidRPr="00D73DD9">
        <w:rPr>
          <w:rFonts w:ascii="Arial" w:hAnsi="Arial"/>
          <w:bCs/>
          <w:color w:val="0070C0"/>
          <w:sz w:val="20"/>
          <w:szCs w:val="20"/>
        </w:rPr>
        <w:t xml:space="preserve"> falta de vacinas ou material, longas distâncias 34%, ausência de vacinador 29 %. Essas descobertas são semelhantes às pesquisas de conveniência recentes. Muitas dessas causas poderiam ser eliminadas e facilitar o acesso mais equitativo à vacinação. Por detrás de tudo isto há causas mais profundas que foram reveladas no inquérito MICS 2015 que mostra grandes iniquidades no acesso e utilização dos serviços de vacinação. Filhos de mães do primeiro quintil socioeconômico têm 17 vezes menos chances de não receber a vacina em relação aos filhos de mães do quinto quintil. Filhos de mães sem escolaridade têm 4 vezes menos chances de não serem vacinados do que filhos de mães com ensino superior. Filhos de mães em áreas rurais são três vezes mais propensos a não serem vacinados em relação aos filhos de mães urbanas. Desigualdades de gênero não foram encontradas. Em suma, as crianças </w:t>
      </w:r>
      <w:r w:rsidR="00D7108F" w:rsidRPr="00D73DD9">
        <w:rPr>
          <w:rFonts w:ascii="Arial" w:hAnsi="Arial"/>
          <w:bCs/>
          <w:color w:val="0070C0"/>
          <w:sz w:val="20"/>
          <w:szCs w:val="20"/>
        </w:rPr>
        <w:t>zero doses estão</w:t>
      </w:r>
      <w:r w:rsidRPr="00D73DD9">
        <w:rPr>
          <w:rFonts w:ascii="Arial" w:hAnsi="Arial"/>
          <w:bCs/>
          <w:color w:val="0070C0"/>
          <w:sz w:val="20"/>
          <w:szCs w:val="20"/>
        </w:rPr>
        <w:t xml:space="preserve"> em áreas urbanas e rurais periféricas, suas mães são das camadas econômicas mais pobres e menos escolarizadas. A responsabilidade dos serviços de saúde em termos de atendimento humanizado, melhoria da logística são fundamentais, assim como financiamento para extensão de equipamentos avançados e móveis para áreas próximas aos serviços de saúde.</w:t>
      </w:r>
    </w:p>
    <w:p w14:paraId="7A6BDD76" w14:textId="77777777" w:rsidR="006A3EDC" w:rsidRPr="00717199" w:rsidRDefault="006A3EDC" w:rsidP="006A3EDC">
      <w:pPr>
        <w:pBdr>
          <w:top w:val="single" w:sz="4" w:space="1" w:color="auto"/>
          <w:left w:val="single" w:sz="4" w:space="4" w:color="auto"/>
          <w:bottom w:val="single" w:sz="4" w:space="1" w:color="auto"/>
          <w:right w:val="single" w:sz="4" w:space="4" w:color="auto"/>
        </w:pBdr>
        <w:spacing w:after="0" w:line="240" w:lineRule="auto"/>
        <w:jc w:val="both"/>
        <w:rPr>
          <w:rFonts w:ascii="Arial" w:hAnsi="Arial"/>
          <w:bCs/>
          <w:color w:val="000000"/>
          <w:sz w:val="20"/>
          <w:szCs w:val="20"/>
        </w:rPr>
      </w:pPr>
    </w:p>
    <w:p w14:paraId="637805D2" w14:textId="77777777" w:rsidR="00F363C2" w:rsidRPr="00717199" w:rsidRDefault="00F363C2" w:rsidP="00FB047E">
      <w:pPr>
        <w:pBdr>
          <w:top w:val="single" w:sz="4" w:space="1" w:color="auto"/>
          <w:left w:val="single" w:sz="4" w:space="4" w:color="auto"/>
          <w:bottom w:val="single" w:sz="4" w:space="1" w:color="auto"/>
          <w:right w:val="single" w:sz="4" w:space="4" w:color="auto"/>
        </w:pBdr>
        <w:spacing w:after="0" w:line="240" w:lineRule="auto"/>
        <w:rPr>
          <w:rFonts w:ascii="Arial" w:hAnsi="Arial"/>
          <w:bCs/>
          <w:color w:val="000000"/>
        </w:rPr>
      </w:pPr>
    </w:p>
    <w:p w14:paraId="2E772545" w14:textId="77777777" w:rsidR="00F363C2" w:rsidRPr="002725E5" w:rsidRDefault="00F363C2" w:rsidP="00FB047E">
      <w:pPr>
        <w:pStyle w:val="PargrafodaLista"/>
        <w:keepNext/>
        <w:keepLines/>
        <w:numPr>
          <w:ilvl w:val="1"/>
          <w:numId w:val="15"/>
        </w:numPr>
        <w:spacing w:after="0" w:line="240" w:lineRule="auto"/>
        <w:ind w:left="709"/>
        <w:outlineLvl w:val="1"/>
        <w:rPr>
          <w:rFonts w:ascii="Arial" w:eastAsia="Yu Mincho" w:hAnsi="Arial" w:cs="Arial"/>
          <w:color w:val="4472C4"/>
          <w:sz w:val="24"/>
          <w:szCs w:val="24"/>
        </w:rPr>
      </w:pPr>
      <w:r>
        <w:rPr>
          <w:rFonts w:ascii="Arial" w:hAnsi="Arial"/>
          <w:color w:val="4472C4"/>
          <w:sz w:val="24"/>
        </w:rPr>
        <w:lastRenderedPageBreak/>
        <w:t>Recuo da cobertura vacinal.</w:t>
      </w:r>
    </w:p>
    <w:p w14:paraId="26D8F9D4" w14:textId="77777777" w:rsidR="00F363C2" w:rsidRPr="00FB047E" w:rsidRDefault="00F363C2" w:rsidP="00FB047E">
      <w:pPr>
        <w:spacing w:after="0" w:line="240" w:lineRule="auto"/>
        <w:rPr>
          <w:rFonts w:ascii="Arial" w:hAnsi="Arial"/>
          <w:iCs/>
        </w:rPr>
      </w:pPr>
      <w:r w:rsidRPr="00FB047E">
        <w:rPr>
          <w:rFonts w:ascii="Arial" w:hAnsi="Arial"/>
          <w:iCs/>
        </w:rPr>
        <w:t>Qual é o nível actual da cobertura vacinal de DTP3 no seu país a nível nacional e subnacional?</w:t>
      </w:r>
    </w:p>
    <w:p w14:paraId="39358D42" w14:textId="77777777" w:rsidR="00F363C2" w:rsidRPr="00FB047E" w:rsidRDefault="00F363C2" w:rsidP="00FB047E">
      <w:pPr>
        <w:spacing w:after="0" w:line="240" w:lineRule="auto"/>
        <w:rPr>
          <w:rFonts w:ascii="Arial" w:hAnsi="Arial"/>
          <w:iCs/>
        </w:rPr>
      </w:pPr>
      <w:r w:rsidRPr="00FB047E">
        <w:rPr>
          <w:rFonts w:ascii="Arial" w:hAnsi="Arial"/>
          <w:iCs/>
        </w:rPr>
        <w:t>Que mudanças foram registadas nos últimos anos?</w:t>
      </w:r>
    </w:p>
    <w:p w14:paraId="0AB3A3E2" w14:textId="77777777" w:rsidR="00F363C2" w:rsidRPr="00FB047E" w:rsidRDefault="00F363C2" w:rsidP="00FB047E">
      <w:pPr>
        <w:spacing w:after="0" w:line="240" w:lineRule="auto"/>
        <w:rPr>
          <w:rFonts w:ascii="Arial" w:hAnsi="Arial"/>
          <w:iCs/>
        </w:rPr>
      </w:pPr>
      <w:r w:rsidRPr="00FB047E">
        <w:rPr>
          <w:rFonts w:ascii="Arial" w:hAnsi="Arial"/>
          <w:iCs/>
        </w:rPr>
        <w:t>A mudança foi uniforme em todo o país ou as diferentes áreas registaram experiências diferentes?</w:t>
      </w:r>
    </w:p>
    <w:p w14:paraId="3EC79D55" w14:textId="77777777" w:rsidR="00F363C2" w:rsidRPr="00FB047E" w:rsidRDefault="00F363C2" w:rsidP="00FB047E">
      <w:pPr>
        <w:spacing w:after="0" w:line="240" w:lineRule="auto"/>
        <w:rPr>
          <w:rFonts w:ascii="Arial" w:hAnsi="Arial"/>
          <w:iCs/>
        </w:rPr>
      </w:pPr>
      <w:r w:rsidRPr="00FB047E">
        <w:rPr>
          <w:rFonts w:ascii="Arial" w:hAnsi="Arial"/>
          <w:iCs/>
        </w:rPr>
        <w:t>O que está por trás dessas mudanças (tanto do lado da oferta como da procura)?</w:t>
      </w:r>
    </w:p>
    <w:p w14:paraId="2B22E33F" w14:textId="77777777" w:rsidR="00F363C2" w:rsidRPr="00FB047E" w:rsidRDefault="00F363C2" w:rsidP="00FB047E">
      <w:pPr>
        <w:spacing w:after="0" w:line="240" w:lineRule="auto"/>
        <w:rPr>
          <w:rFonts w:ascii="Arial" w:hAnsi="Arial"/>
          <w:iCs/>
        </w:rPr>
      </w:pPr>
      <w:r w:rsidRPr="00FB047E">
        <w:rPr>
          <w:rFonts w:ascii="Arial" w:hAnsi="Arial"/>
          <w:iCs/>
        </w:rPr>
        <w:t>Houve diferentes motivadores a nível nacional e subnacional e em algumas áreas em comparação com outras?</w:t>
      </w:r>
    </w:p>
    <w:p w14:paraId="4434E543" w14:textId="77777777" w:rsidR="00F363C2" w:rsidRPr="00FB047E" w:rsidRDefault="00F363C2" w:rsidP="00FB047E">
      <w:pPr>
        <w:spacing w:after="0" w:line="240" w:lineRule="auto"/>
        <w:rPr>
          <w:rFonts w:ascii="Arial" w:hAnsi="Arial"/>
          <w:iCs/>
        </w:rPr>
      </w:pPr>
      <w:r w:rsidRPr="00FB047E">
        <w:rPr>
          <w:rFonts w:ascii="Arial" w:hAnsi="Arial"/>
          <w:iCs/>
        </w:rPr>
        <w:t>Qual foi o impacto dessas mudanças na população?</w:t>
      </w:r>
    </w:p>
    <w:p w14:paraId="6F37047C" w14:textId="77777777" w:rsidR="00F363C2" w:rsidRPr="00FB047E" w:rsidRDefault="00F363C2" w:rsidP="00FB047E">
      <w:pPr>
        <w:spacing w:after="0" w:line="240" w:lineRule="auto"/>
        <w:rPr>
          <w:rFonts w:ascii="Arial" w:hAnsi="Arial"/>
          <w:iCs/>
        </w:rPr>
      </w:pPr>
      <w:r w:rsidRPr="00FB047E">
        <w:rPr>
          <w:rFonts w:ascii="Arial" w:hAnsi="Arial"/>
          <w:iCs/>
        </w:rPr>
        <w:t>Alguns grupos da população foram mais ou menos afectados do que outros?</w:t>
      </w:r>
    </w:p>
    <w:p w14:paraId="7B402047" w14:textId="77777777" w:rsidR="00F363C2" w:rsidRPr="00FB047E" w:rsidRDefault="00F363C2" w:rsidP="00FB047E">
      <w:pPr>
        <w:spacing w:after="0" w:line="240" w:lineRule="auto"/>
        <w:rPr>
          <w:rFonts w:ascii="Arial" w:hAnsi="Arial"/>
          <w:iCs/>
        </w:rPr>
      </w:pPr>
      <w:r w:rsidRPr="00FB047E">
        <w:rPr>
          <w:rFonts w:ascii="Arial" w:hAnsi="Arial"/>
          <w:iCs/>
        </w:rPr>
        <w:t>Como e porquê?</w:t>
      </w:r>
    </w:p>
    <w:p w14:paraId="463F29E8" w14:textId="77777777" w:rsidR="00F363C2" w:rsidRDefault="00F363C2" w:rsidP="00FB047E">
      <w:pPr>
        <w:spacing w:after="0" w:line="240" w:lineRule="auto"/>
        <w:rPr>
          <w:rFonts w:ascii="Arial" w:hAnsi="Arial"/>
          <w:i/>
        </w:rPr>
      </w:pPr>
    </w:p>
    <w:p w14:paraId="24ABBFBF" w14:textId="77777777" w:rsidR="00F363C2" w:rsidRPr="005776C6" w:rsidRDefault="00F363C2" w:rsidP="00FB047E">
      <w:pPr>
        <w:spacing w:after="0" w:line="240" w:lineRule="auto"/>
        <w:rPr>
          <w:rFonts w:ascii="Arial" w:hAnsi="Arial"/>
          <w:i/>
          <w:iCs/>
        </w:rPr>
      </w:pPr>
      <w:r>
        <w:rPr>
          <w:rFonts w:ascii="Arial" w:hAnsi="Arial"/>
          <w:i/>
        </w:rPr>
        <w:t>Até 500 palavras</w:t>
      </w:r>
    </w:p>
    <w:p w14:paraId="00111227" w14:textId="77777777" w:rsidR="00DF1925" w:rsidRPr="00685743" w:rsidRDefault="00D73DD9" w:rsidP="00DF1925">
      <w:pPr>
        <w:pBdr>
          <w:top w:val="single" w:sz="4" w:space="1" w:color="auto"/>
          <w:left w:val="single" w:sz="4" w:space="4" w:color="auto"/>
          <w:bottom w:val="single" w:sz="4" w:space="1" w:color="auto"/>
          <w:right w:val="single" w:sz="4" w:space="4" w:color="auto"/>
        </w:pBdr>
        <w:spacing w:before="120" w:after="120"/>
        <w:jc w:val="both"/>
        <w:rPr>
          <w:rFonts w:ascii="Arial" w:hAnsi="Arial"/>
          <w:bCs/>
          <w:color w:val="0070C0"/>
          <w:sz w:val="20"/>
          <w:szCs w:val="20"/>
        </w:rPr>
      </w:pPr>
      <w:r w:rsidRPr="00685743">
        <w:rPr>
          <w:rFonts w:ascii="Arial" w:hAnsi="Arial"/>
          <w:bCs/>
          <w:color w:val="0070C0"/>
          <w:sz w:val="20"/>
          <w:szCs w:val="20"/>
        </w:rPr>
        <w:t xml:space="preserve">Ao igual que para cero doses a informação nacional disponível sobre crianças doses zero provém de duas fontes, por um lado, das informações administrativas dos relatórios mensais das unidades de saúde compiladas na plataforma DHIS2 e por outro lado, das estimativas anuais de cobertura da OMS -UNICEF realizado anualmente (Estimativa WUENIC) </w:t>
      </w:r>
      <w:r w:rsidR="00D070F3" w:rsidRPr="00685743">
        <w:rPr>
          <w:rFonts w:ascii="Arial" w:hAnsi="Arial"/>
          <w:bCs/>
          <w:color w:val="0070C0"/>
          <w:sz w:val="20"/>
          <w:szCs w:val="20"/>
        </w:rPr>
        <w:t xml:space="preserve">que </w:t>
      </w:r>
      <w:r w:rsidRPr="00685743">
        <w:rPr>
          <w:rFonts w:ascii="Arial" w:hAnsi="Arial"/>
          <w:bCs/>
          <w:color w:val="0070C0"/>
          <w:sz w:val="20"/>
          <w:szCs w:val="20"/>
        </w:rPr>
        <w:t>permite dados mais confiáveis ​​sobre as coberturas</w:t>
      </w:r>
      <w:r w:rsidR="00E85B22" w:rsidRPr="00685743">
        <w:rPr>
          <w:rFonts w:ascii="Arial" w:hAnsi="Arial"/>
          <w:bCs/>
          <w:color w:val="0070C0"/>
          <w:sz w:val="20"/>
          <w:szCs w:val="20"/>
        </w:rPr>
        <w:t>. A tendência da cobertura</w:t>
      </w:r>
      <w:r w:rsidR="00E63BBE" w:rsidRPr="00685743">
        <w:rPr>
          <w:rFonts w:ascii="Arial" w:hAnsi="Arial"/>
          <w:bCs/>
          <w:color w:val="0070C0"/>
          <w:sz w:val="20"/>
          <w:szCs w:val="20"/>
        </w:rPr>
        <w:t xml:space="preserve"> de vacinação </w:t>
      </w:r>
      <w:r w:rsidR="00E85B22" w:rsidRPr="00685743">
        <w:rPr>
          <w:rFonts w:ascii="Arial" w:hAnsi="Arial"/>
          <w:bCs/>
          <w:color w:val="0070C0"/>
          <w:sz w:val="20"/>
          <w:szCs w:val="20"/>
        </w:rPr>
        <w:t xml:space="preserve">de rotina </w:t>
      </w:r>
      <w:r w:rsidR="00D070F3" w:rsidRPr="00685743">
        <w:rPr>
          <w:rFonts w:ascii="Arial" w:hAnsi="Arial"/>
          <w:bCs/>
          <w:color w:val="0070C0"/>
          <w:sz w:val="20"/>
          <w:szCs w:val="20"/>
        </w:rPr>
        <w:t xml:space="preserve">(dados </w:t>
      </w:r>
      <w:r w:rsidR="00E63BBE" w:rsidRPr="00685743">
        <w:rPr>
          <w:rFonts w:ascii="Arial" w:hAnsi="Arial"/>
          <w:bCs/>
          <w:color w:val="0070C0"/>
          <w:sz w:val="20"/>
          <w:szCs w:val="20"/>
        </w:rPr>
        <w:t>administrativ</w:t>
      </w:r>
      <w:r w:rsidR="00D070F3" w:rsidRPr="00685743">
        <w:rPr>
          <w:rFonts w:ascii="Arial" w:hAnsi="Arial"/>
          <w:bCs/>
          <w:color w:val="0070C0"/>
          <w:sz w:val="20"/>
          <w:szCs w:val="20"/>
        </w:rPr>
        <w:t xml:space="preserve">os) </w:t>
      </w:r>
      <w:r w:rsidR="00E85B22" w:rsidRPr="00685743">
        <w:rPr>
          <w:rFonts w:ascii="Arial" w:hAnsi="Arial"/>
          <w:bCs/>
          <w:color w:val="0070C0"/>
          <w:sz w:val="20"/>
          <w:szCs w:val="20"/>
        </w:rPr>
        <w:t xml:space="preserve">em menores de um ano medida pelo </w:t>
      </w:r>
      <w:r w:rsidR="00E63BBE" w:rsidRPr="00685743">
        <w:rPr>
          <w:rFonts w:ascii="Arial" w:hAnsi="Arial"/>
          <w:bCs/>
          <w:color w:val="0070C0"/>
          <w:sz w:val="20"/>
          <w:szCs w:val="20"/>
        </w:rPr>
        <w:t xml:space="preserve">indicador </w:t>
      </w:r>
      <w:r w:rsidR="00E85B22" w:rsidRPr="00685743">
        <w:rPr>
          <w:rFonts w:ascii="Arial" w:hAnsi="Arial"/>
          <w:bCs/>
          <w:color w:val="0070C0"/>
          <w:sz w:val="20"/>
          <w:szCs w:val="20"/>
        </w:rPr>
        <w:t>Penta3 é decrescente,</w:t>
      </w:r>
      <w:r w:rsidR="00E63BBE" w:rsidRPr="00685743">
        <w:rPr>
          <w:rFonts w:ascii="Arial" w:hAnsi="Arial"/>
          <w:bCs/>
          <w:color w:val="0070C0"/>
          <w:sz w:val="20"/>
          <w:szCs w:val="20"/>
        </w:rPr>
        <w:t xml:space="preserve"> tendo iniciado a descer</w:t>
      </w:r>
      <w:r w:rsidR="00E85B22" w:rsidRPr="00685743">
        <w:rPr>
          <w:rFonts w:ascii="Arial" w:hAnsi="Arial"/>
          <w:bCs/>
          <w:color w:val="0070C0"/>
          <w:sz w:val="20"/>
          <w:szCs w:val="20"/>
        </w:rPr>
        <w:t xml:space="preserve"> mesmo antes da pandemia pois em 2018 era de 84%, caindo para 78% em 2019, </w:t>
      </w:r>
      <w:r w:rsidR="00E63BBE" w:rsidRPr="00685743">
        <w:rPr>
          <w:rFonts w:ascii="Arial" w:hAnsi="Arial"/>
          <w:bCs/>
          <w:color w:val="0070C0"/>
          <w:sz w:val="20"/>
          <w:szCs w:val="20"/>
        </w:rPr>
        <w:t xml:space="preserve">para </w:t>
      </w:r>
      <w:r w:rsidR="00E85B22" w:rsidRPr="00685743">
        <w:rPr>
          <w:rFonts w:ascii="Arial" w:hAnsi="Arial"/>
          <w:bCs/>
          <w:color w:val="0070C0"/>
          <w:sz w:val="20"/>
          <w:szCs w:val="20"/>
        </w:rPr>
        <w:t>72% em 2020 e 65% em 2021</w:t>
      </w:r>
      <w:r w:rsidR="00E63BBE" w:rsidRPr="00685743">
        <w:rPr>
          <w:rFonts w:ascii="Arial" w:hAnsi="Arial"/>
          <w:bCs/>
          <w:color w:val="0070C0"/>
          <w:sz w:val="20"/>
          <w:szCs w:val="20"/>
        </w:rPr>
        <w:t xml:space="preserve">. As estimativas OMS-UNICEF (WUENIC) são para todos os anos </w:t>
      </w:r>
      <w:r w:rsidR="00D070F3" w:rsidRPr="00685743">
        <w:rPr>
          <w:rFonts w:ascii="Arial" w:hAnsi="Arial"/>
          <w:bCs/>
          <w:color w:val="0070C0"/>
          <w:sz w:val="20"/>
          <w:szCs w:val="20"/>
        </w:rPr>
        <w:t xml:space="preserve">cerca de </w:t>
      </w:r>
      <w:r w:rsidR="00E85B22" w:rsidRPr="00685743">
        <w:rPr>
          <w:rFonts w:ascii="Arial" w:hAnsi="Arial"/>
          <w:bCs/>
          <w:color w:val="0070C0"/>
          <w:sz w:val="20"/>
          <w:szCs w:val="20"/>
        </w:rPr>
        <w:t>30% inferiores</w:t>
      </w:r>
      <w:r w:rsidR="00E63BBE" w:rsidRPr="00685743">
        <w:rPr>
          <w:rFonts w:ascii="Arial" w:hAnsi="Arial"/>
          <w:bCs/>
          <w:color w:val="0070C0"/>
          <w:sz w:val="20"/>
          <w:szCs w:val="20"/>
        </w:rPr>
        <w:t xml:space="preserve"> as coberturas estimadas pelos dados administrativos</w:t>
      </w:r>
      <w:r w:rsidR="00E85B22" w:rsidRPr="00685743">
        <w:rPr>
          <w:rFonts w:ascii="Arial" w:hAnsi="Arial"/>
          <w:bCs/>
          <w:color w:val="0070C0"/>
          <w:sz w:val="20"/>
          <w:szCs w:val="20"/>
        </w:rPr>
        <w:t xml:space="preserve"> o que é bastante preocupante pelos níveis e tendências d</w:t>
      </w:r>
      <w:r w:rsidR="00E63BBE" w:rsidRPr="00685743">
        <w:rPr>
          <w:rFonts w:ascii="Arial" w:hAnsi="Arial"/>
          <w:bCs/>
          <w:color w:val="0070C0"/>
          <w:sz w:val="20"/>
          <w:szCs w:val="20"/>
        </w:rPr>
        <w:t>a</w:t>
      </w:r>
      <w:r w:rsidR="00E85B22" w:rsidRPr="00685743">
        <w:rPr>
          <w:rFonts w:ascii="Arial" w:hAnsi="Arial"/>
          <w:bCs/>
          <w:color w:val="0070C0"/>
          <w:sz w:val="20"/>
          <w:szCs w:val="20"/>
        </w:rPr>
        <w:t xml:space="preserve"> cobertura </w:t>
      </w:r>
      <w:r w:rsidR="00E63BBE" w:rsidRPr="00685743">
        <w:rPr>
          <w:rFonts w:ascii="Arial" w:hAnsi="Arial"/>
          <w:bCs/>
          <w:color w:val="0070C0"/>
          <w:sz w:val="20"/>
          <w:szCs w:val="20"/>
        </w:rPr>
        <w:t xml:space="preserve">vacinal </w:t>
      </w:r>
      <w:r w:rsidR="00E85B22" w:rsidRPr="00685743">
        <w:rPr>
          <w:rFonts w:ascii="Arial" w:hAnsi="Arial"/>
          <w:bCs/>
          <w:color w:val="0070C0"/>
          <w:sz w:val="20"/>
          <w:szCs w:val="20"/>
        </w:rPr>
        <w:t>e por problemas na qualidade dos dados.</w:t>
      </w:r>
      <w:r w:rsidR="00D070F3" w:rsidRPr="00685743">
        <w:rPr>
          <w:rFonts w:asciiTheme="minorHAnsi" w:hAnsiTheme="minorHAnsi" w:cstheme="minorHAnsi"/>
          <w:iCs/>
          <w:color w:val="0070C0"/>
          <w:kern w:val="3"/>
        </w:rPr>
        <w:t xml:space="preserve"> </w:t>
      </w:r>
      <w:r w:rsidR="00D070F3" w:rsidRPr="00685743">
        <w:rPr>
          <w:rFonts w:ascii="Arial" w:hAnsi="Arial"/>
          <w:bCs/>
          <w:color w:val="0070C0"/>
          <w:sz w:val="20"/>
          <w:szCs w:val="20"/>
        </w:rPr>
        <w:t>Relativamente as coberturas provinciais, observa</w:t>
      </w:r>
      <w:r w:rsidR="0015206E" w:rsidRPr="00685743">
        <w:rPr>
          <w:rFonts w:ascii="Arial" w:hAnsi="Arial"/>
          <w:bCs/>
          <w:color w:val="0070C0"/>
          <w:sz w:val="20"/>
          <w:szCs w:val="20"/>
        </w:rPr>
        <w:t>-se</w:t>
      </w:r>
      <w:r w:rsidR="00D070F3" w:rsidRPr="00685743">
        <w:rPr>
          <w:rFonts w:ascii="Arial" w:hAnsi="Arial"/>
          <w:bCs/>
          <w:color w:val="0070C0"/>
          <w:sz w:val="20"/>
          <w:szCs w:val="20"/>
        </w:rPr>
        <w:t xml:space="preserve"> um </w:t>
      </w:r>
      <w:r w:rsidR="00D070F3" w:rsidRPr="00685743">
        <w:rPr>
          <w:rFonts w:ascii="Arial" w:hAnsi="Arial"/>
          <w:bCs/>
          <w:color w:val="0070C0"/>
          <w:sz w:val="20"/>
          <w:szCs w:val="20"/>
        </w:rPr>
        <w:t>deterioro marcado em 2021 onde 9 das 18 provincias mostraram coberturas inferiores a 60%</w:t>
      </w:r>
      <w:r w:rsidR="0015206E" w:rsidRPr="00685743">
        <w:rPr>
          <w:rFonts w:ascii="Arial" w:hAnsi="Arial"/>
          <w:bCs/>
          <w:color w:val="0070C0"/>
          <w:sz w:val="20"/>
          <w:szCs w:val="20"/>
        </w:rPr>
        <w:t xml:space="preserve"> nomeadamente Zaire</w:t>
      </w:r>
      <w:r w:rsidR="00D070F3" w:rsidRPr="00685743">
        <w:rPr>
          <w:rFonts w:ascii="Arial" w:hAnsi="Arial"/>
          <w:bCs/>
          <w:color w:val="0070C0"/>
          <w:sz w:val="20"/>
          <w:szCs w:val="20"/>
        </w:rPr>
        <w:t>, Bengo, Malanje, Lunda Norte, Bié, Huila, Namibe, Cunene e Cuando Cubango. Sete provincias atingiram coberturas entre 60-79%: Luanda, Uige, Cuanza Norte, Cuanza Sul, Benguela, Huila e Moxico. Somente a província da Lunda Sul tinha coberturas superiores a 80% (possivelmente por estar subestimada a população alvo). Não obstante os problemas, a Provincia de Luanda a mais populosa do País melhorou a cobertura Penta-3 em 2021 passando de 58%para 62%.</w:t>
      </w:r>
      <w:r w:rsidR="00DF1925" w:rsidRPr="00685743">
        <w:rPr>
          <w:rFonts w:ascii="Arial" w:hAnsi="Arial"/>
          <w:bCs/>
          <w:color w:val="0070C0"/>
          <w:sz w:val="20"/>
          <w:szCs w:val="20"/>
        </w:rPr>
        <w:t xml:space="preserve"> </w:t>
      </w:r>
      <w:r w:rsidR="00DF1925" w:rsidRPr="00685743">
        <w:rPr>
          <w:rFonts w:ascii="Arial" w:hAnsi="Arial" w:cs="Times New Roman"/>
          <w:color w:val="0070C0"/>
          <w:sz w:val="20"/>
          <w:szCs w:val="20"/>
        </w:rPr>
        <w:t>A análise das coberturas de vacinação de rotina (Penta-3) a nível municipal mostra</w:t>
      </w:r>
      <w:r w:rsidR="00DF1925" w:rsidRPr="00685743">
        <w:rPr>
          <w:rFonts w:ascii="Arial" w:hAnsi="Arial" w:cs="Times New Roman"/>
          <w:color w:val="0070C0"/>
          <w:sz w:val="20"/>
          <w:szCs w:val="20"/>
        </w:rPr>
        <w:t>m</w:t>
      </w:r>
      <w:r w:rsidR="00DF1925" w:rsidRPr="00685743">
        <w:rPr>
          <w:rFonts w:ascii="Arial" w:hAnsi="Arial" w:cs="Times New Roman"/>
          <w:color w:val="0070C0"/>
          <w:sz w:val="20"/>
          <w:szCs w:val="20"/>
        </w:rPr>
        <w:t xml:space="preserve"> uma situação muito ruim mesmo em 2020 que piorou em 2021. </w:t>
      </w:r>
      <w:r w:rsidR="00DF1925" w:rsidRPr="00685743">
        <w:rPr>
          <w:rFonts w:ascii="Arial" w:hAnsi="Arial" w:cs="Times New Roman"/>
          <w:color w:val="0070C0"/>
          <w:sz w:val="20"/>
          <w:szCs w:val="20"/>
        </w:rPr>
        <w:t>Em 2021 o</w:t>
      </w:r>
      <w:r w:rsidR="00DF1925" w:rsidRPr="00685743">
        <w:rPr>
          <w:rFonts w:ascii="Arial" w:hAnsi="Arial" w:cs="Times New Roman"/>
          <w:color w:val="0070C0"/>
          <w:sz w:val="20"/>
          <w:szCs w:val="20"/>
        </w:rPr>
        <w:t xml:space="preserve"> 46% dos municípios tiveram coberturas menores a 60%. </w:t>
      </w:r>
      <w:r w:rsidR="00DF1925" w:rsidRPr="00685743">
        <w:rPr>
          <w:rFonts w:ascii="Arial" w:hAnsi="Arial"/>
          <w:bCs/>
          <w:color w:val="0070C0"/>
          <w:sz w:val="20"/>
          <w:szCs w:val="20"/>
        </w:rPr>
        <w:t>Esta situação significa o acúmulo de crianças susceptíveis de doenças imunopreveníveis em todos os municípios do país. Estima-se de acordo a OMS/UNICEF WUENIC que nos últimos anos estão a se acumular anualmente entre 300.000 e 400.000 crianças sem vacinação que irão a apresentar surtos epidémicos de doenças comuns como a sarampo /Rubéola, rotavírus, c-PVDV-tipo2 com nefastas consequências para a saúde e bem-estar das crianças do país caso de não se tomar medidas que levem a sua rápida redução.</w:t>
      </w:r>
    </w:p>
    <w:p w14:paraId="548826E8" w14:textId="77777777" w:rsidR="00CB04CE" w:rsidRPr="00CB04CE" w:rsidRDefault="00CB04CE" w:rsidP="00CB04CE">
      <w:pPr>
        <w:pStyle w:val="PargrafodaLista"/>
        <w:keepNext/>
        <w:keepLines/>
        <w:spacing w:after="0" w:line="240" w:lineRule="auto"/>
        <w:ind w:left="360"/>
        <w:outlineLvl w:val="1"/>
        <w:rPr>
          <w:rFonts w:ascii="Arial" w:eastAsia="Yu Mincho" w:hAnsi="Arial" w:cs="Arial"/>
          <w:color w:val="4472C4"/>
          <w:sz w:val="24"/>
          <w:szCs w:val="24"/>
        </w:rPr>
      </w:pPr>
    </w:p>
    <w:p w14:paraId="57D15F16" w14:textId="6EBCAC1B" w:rsidR="00F363C2" w:rsidRPr="00CB04CE" w:rsidRDefault="00F363C2" w:rsidP="00FB047E">
      <w:pPr>
        <w:pStyle w:val="PargrafodaLista"/>
        <w:keepNext/>
        <w:keepLines/>
        <w:numPr>
          <w:ilvl w:val="0"/>
          <w:numId w:val="10"/>
        </w:numPr>
        <w:spacing w:after="0" w:line="240" w:lineRule="auto"/>
        <w:outlineLvl w:val="1"/>
        <w:rPr>
          <w:rFonts w:ascii="Arial" w:eastAsia="Yu Mincho" w:hAnsi="Arial" w:cs="Arial"/>
          <w:color w:val="4472C4"/>
          <w:sz w:val="24"/>
          <w:szCs w:val="24"/>
        </w:rPr>
      </w:pPr>
      <w:r>
        <w:rPr>
          <w:rFonts w:ascii="Arial" w:hAnsi="Arial"/>
          <w:color w:val="4472C4"/>
          <w:sz w:val="24"/>
        </w:rPr>
        <w:t>Aprendizagem contínua</w:t>
      </w:r>
    </w:p>
    <w:p w14:paraId="57238B62" w14:textId="77777777" w:rsidR="00CB04CE" w:rsidRPr="002725E5" w:rsidRDefault="00CB04CE" w:rsidP="00CB04CE">
      <w:pPr>
        <w:pStyle w:val="PargrafodaLista"/>
        <w:keepNext/>
        <w:keepLines/>
        <w:spacing w:after="0" w:line="240" w:lineRule="auto"/>
        <w:ind w:left="360"/>
        <w:outlineLvl w:val="1"/>
        <w:rPr>
          <w:rFonts w:ascii="Arial" w:eastAsia="Yu Mincho" w:hAnsi="Arial" w:cs="Arial"/>
          <w:color w:val="4472C4"/>
          <w:sz w:val="24"/>
          <w:szCs w:val="24"/>
        </w:rPr>
      </w:pPr>
    </w:p>
    <w:p w14:paraId="06A3FEF0" w14:textId="77777777" w:rsidR="00F363C2" w:rsidRDefault="00F363C2" w:rsidP="00FB047E">
      <w:pPr>
        <w:pStyle w:val="SemEspaamento"/>
        <w:spacing w:before="0" w:after="0"/>
      </w:pPr>
      <w:r>
        <w:t>Se for relevante, como se baseiam as intervenções planeadas nas tentativas anteriores de enfrentar esses desafios (no mesmo país ou aprendendo com a experiência de outro país)?</w:t>
      </w:r>
    </w:p>
    <w:p w14:paraId="66969DB5" w14:textId="77777777" w:rsidR="00F363C2" w:rsidRDefault="00F363C2" w:rsidP="00FB047E">
      <w:pPr>
        <w:pStyle w:val="SemEspaamento"/>
        <w:spacing w:before="0" w:after="0"/>
      </w:pPr>
      <w:r>
        <w:t>Como serão usadas as informações recolhidas como parte do Quadro de Responsabilização para ajustar e melhorar a implementação do programa?</w:t>
      </w:r>
    </w:p>
    <w:p w14:paraId="748DA480" w14:textId="77777777" w:rsidR="00F363C2" w:rsidRDefault="00F363C2" w:rsidP="00FB047E">
      <w:pPr>
        <w:pStyle w:val="SemEspaamento"/>
        <w:spacing w:before="0" w:after="0"/>
      </w:pPr>
      <w:r>
        <w:t>Com que frequência serão analisados e usados os dados?</w:t>
      </w:r>
    </w:p>
    <w:p w14:paraId="53A387DA" w14:textId="77777777" w:rsidR="00F363C2" w:rsidRDefault="00F363C2" w:rsidP="00FB047E">
      <w:pPr>
        <w:pStyle w:val="SemEspaamento"/>
        <w:spacing w:before="0" w:after="0"/>
      </w:pPr>
      <w:r>
        <w:t>Quem é responsável por garantir a realização da análise e da utilização dos dados?</w:t>
      </w:r>
    </w:p>
    <w:p w14:paraId="27595373" w14:textId="7C598C43" w:rsidR="00F363C2" w:rsidRDefault="00F363C2" w:rsidP="00FB047E">
      <w:pPr>
        <w:pStyle w:val="SemEspaamento"/>
        <w:spacing w:before="0" w:after="0"/>
      </w:pPr>
      <w:r>
        <w:t>Como serão integradas as perceções centradas na comunidade de utilizadores, beneficiários e OSC nas suas atividades de monitorização e aprendizagem?</w:t>
      </w:r>
    </w:p>
    <w:p w14:paraId="095F0440" w14:textId="77777777" w:rsidR="00F363C2" w:rsidRDefault="00F363C2" w:rsidP="00FB047E">
      <w:pPr>
        <w:pStyle w:val="SemEspaamento"/>
        <w:spacing w:before="0" w:after="0"/>
      </w:pPr>
      <w:r>
        <w:t>Como será medida a eficácia das abordagens às barreiras relacionadas com o género e outras barreiras à procura?</w:t>
      </w:r>
    </w:p>
    <w:p w14:paraId="14D7DBA6" w14:textId="0928CEE8" w:rsidR="00F363C2" w:rsidRDefault="00F363C2" w:rsidP="00FB047E">
      <w:pPr>
        <w:pStyle w:val="SemEspaamento"/>
        <w:spacing w:after="0"/>
        <w:rPr>
          <w:i/>
        </w:rPr>
      </w:pPr>
      <w:r>
        <w:rPr>
          <w:i/>
        </w:rPr>
        <w:lastRenderedPageBreak/>
        <w:t>Até 500 palavras</w:t>
      </w:r>
    </w:p>
    <w:p w14:paraId="3D79940A" w14:textId="787DC84A" w:rsidR="00D816AD" w:rsidRPr="00685743" w:rsidRDefault="00CB04CE" w:rsidP="00685743">
      <w:pPr>
        <w:pBdr>
          <w:top w:val="single" w:sz="4" w:space="1" w:color="auto"/>
          <w:left w:val="single" w:sz="4" w:space="4" w:color="auto"/>
          <w:bottom w:val="single" w:sz="4" w:space="1" w:color="auto"/>
          <w:right w:val="single" w:sz="4" w:space="4" w:color="auto"/>
        </w:pBdr>
        <w:spacing w:before="120" w:after="120"/>
        <w:jc w:val="both"/>
        <w:rPr>
          <w:rFonts w:ascii="Arial" w:hAnsi="Arial"/>
          <w:bCs/>
          <w:color w:val="0070C0"/>
          <w:sz w:val="20"/>
          <w:szCs w:val="20"/>
        </w:rPr>
      </w:pPr>
      <w:r w:rsidRPr="00685743">
        <w:rPr>
          <w:rFonts w:ascii="Arial" w:hAnsi="Arial"/>
          <w:bCs/>
          <w:color w:val="0070C0"/>
          <w:sz w:val="20"/>
          <w:szCs w:val="20"/>
        </w:rPr>
        <w:t xml:space="preserve">O aproveitamento de investimentos anteriores realizados na fase pós transição da cooperação GAVI que </w:t>
      </w:r>
      <w:r w:rsidR="008772EC" w:rsidRPr="00685743">
        <w:rPr>
          <w:rFonts w:ascii="Arial" w:hAnsi="Arial"/>
          <w:bCs/>
          <w:color w:val="0070C0"/>
          <w:sz w:val="20"/>
          <w:szCs w:val="20"/>
        </w:rPr>
        <w:t>consideramos deveriam ter continuidade é a c</w:t>
      </w:r>
      <w:r w:rsidRPr="00685743">
        <w:rPr>
          <w:rFonts w:ascii="Arial" w:hAnsi="Arial"/>
          <w:bCs/>
          <w:color w:val="0070C0"/>
          <w:sz w:val="20"/>
          <w:szCs w:val="20"/>
        </w:rPr>
        <w:t xml:space="preserve">onsolidação do </w:t>
      </w:r>
      <w:r w:rsidR="00C868AD" w:rsidRPr="00685743">
        <w:rPr>
          <w:rFonts w:ascii="Arial" w:hAnsi="Arial"/>
          <w:bCs/>
          <w:color w:val="0070C0"/>
          <w:sz w:val="20"/>
          <w:szCs w:val="20"/>
        </w:rPr>
        <w:t xml:space="preserve">100% de </w:t>
      </w:r>
      <w:r w:rsidRPr="00685743">
        <w:rPr>
          <w:rFonts w:ascii="Arial" w:hAnsi="Arial"/>
          <w:bCs/>
          <w:color w:val="0070C0"/>
          <w:sz w:val="20"/>
          <w:szCs w:val="20"/>
        </w:rPr>
        <w:t xml:space="preserve">financiamento nacional das vacinas novas e antigas </w:t>
      </w:r>
      <w:r w:rsidR="008772EC" w:rsidRPr="00685743">
        <w:rPr>
          <w:rFonts w:ascii="Arial" w:hAnsi="Arial"/>
          <w:bCs/>
          <w:color w:val="0070C0"/>
          <w:sz w:val="20"/>
          <w:szCs w:val="20"/>
        </w:rPr>
        <w:t>assim como do material de v</w:t>
      </w:r>
      <w:r w:rsidRPr="00685743">
        <w:rPr>
          <w:rFonts w:ascii="Arial" w:hAnsi="Arial"/>
          <w:bCs/>
          <w:color w:val="0070C0"/>
          <w:sz w:val="20"/>
          <w:szCs w:val="20"/>
        </w:rPr>
        <w:t xml:space="preserve">acinação </w:t>
      </w:r>
      <w:r w:rsidR="009438AD" w:rsidRPr="00685743">
        <w:rPr>
          <w:rFonts w:ascii="Arial" w:hAnsi="Arial"/>
          <w:bCs/>
          <w:color w:val="0070C0"/>
          <w:sz w:val="20"/>
          <w:szCs w:val="20"/>
        </w:rPr>
        <w:t>financiado pelo</w:t>
      </w:r>
      <w:r w:rsidRPr="00685743">
        <w:rPr>
          <w:rFonts w:ascii="Arial" w:hAnsi="Arial"/>
          <w:bCs/>
          <w:color w:val="0070C0"/>
          <w:sz w:val="20"/>
          <w:szCs w:val="20"/>
        </w:rPr>
        <w:t xml:space="preserve"> Estado</w:t>
      </w:r>
      <w:r w:rsidR="008772EC" w:rsidRPr="00685743">
        <w:rPr>
          <w:rFonts w:ascii="Arial" w:hAnsi="Arial"/>
          <w:bCs/>
          <w:color w:val="0070C0"/>
          <w:sz w:val="20"/>
          <w:szCs w:val="20"/>
        </w:rPr>
        <w:t xml:space="preserve"> </w:t>
      </w:r>
      <w:r w:rsidR="00C868AD" w:rsidRPr="00685743">
        <w:rPr>
          <w:rFonts w:ascii="Arial" w:hAnsi="Arial"/>
          <w:bCs/>
          <w:color w:val="0070C0"/>
          <w:sz w:val="20"/>
          <w:szCs w:val="20"/>
        </w:rPr>
        <w:t xml:space="preserve">(excepto a vacina IPV). E de salientar que </w:t>
      </w:r>
      <w:r w:rsidR="008772EC" w:rsidRPr="00685743">
        <w:rPr>
          <w:rFonts w:ascii="Arial" w:hAnsi="Arial"/>
          <w:bCs/>
          <w:color w:val="0070C0"/>
          <w:sz w:val="20"/>
          <w:szCs w:val="20"/>
        </w:rPr>
        <w:t xml:space="preserve">mesmo nas crises </w:t>
      </w:r>
      <w:r w:rsidR="00C868AD" w:rsidRPr="00685743">
        <w:rPr>
          <w:rFonts w:ascii="Arial" w:hAnsi="Arial"/>
          <w:bCs/>
          <w:color w:val="0070C0"/>
          <w:sz w:val="20"/>
          <w:szCs w:val="20"/>
        </w:rPr>
        <w:t xml:space="preserve">financeiras </w:t>
      </w:r>
      <w:r w:rsidR="008772EC" w:rsidRPr="00685743">
        <w:rPr>
          <w:rFonts w:ascii="Arial" w:hAnsi="Arial"/>
          <w:bCs/>
          <w:color w:val="0070C0"/>
          <w:sz w:val="20"/>
          <w:szCs w:val="20"/>
        </w:rPr>
        <w:t>profundas de 20</w:t>
      </w:r>
      <w:r w:rsidR="00C868AD" w:rsidRPr="00685743">
        <w:rPr>
          <w:rFonts w:ascii="Arial" w:hAnsi="Arial"/>
          <w:bCs/>
          <w:color w:val="0070C0"/>
          <w:sz w:val="20"/>
          <w:szCs w:val="20"/>
        </w:rPr>
        <w:t>1</w:t>
      </w:r>
      <w:r w:rsidR="008772EC" w:rsidRPr="00685743">
        <w:rPr>
          <w:rFonts w:ascii="Arial" w:hAnsi="Arial"/>
          <w:bCs/>
          <w:color w:val="0070C0"/>
          <w:sz w:val="20"/>
          <w:szCs w:val="20"/>
        </w:rPr>
        <w:t>9,2020</w:t>
      </w:r>
      <w:r w:rsidR="00C868AD" w:rsidRPr="00685743">
        <w:rPr>
          <w:rFonts w:ascii="Arial" w:hAnsi="Arial"/>
          <w:bCs/>
          <w:color w:val="0070C0"/>
          <w:sz w:val="20"/>
          <w:szCs w:val="20"/>
        </w:rPr>
        <w:t xml:space="preserve"> </w:t>
      </w:r>
      <w:r w:rsidR="008772EC" w:rsidRPr="00685743">
        <w:rPr>
          <w:rFonts w:ascii="Arial" w:hAnsi="Arial"/>
          <w:bCs/>
          <w:color w:val="0070C0"/>
          <w:sz w:val="20"/>
          <w:szCs w:val="20"/>
        </w:rPr>
        <w:t xml:space="preserve">e 2021 </w:t>
      </w:r>
      <w:r w:rsidR="00C868AD" w:rsidRPr="00685743">
        <w:rPr>
          <w:rFonts w:ascii="Arial" w:hAnsi="Arial"/>
          <w:bCs/>
          <w:color w:val="0070C0"/>
          <w:sz w:val="20"/>
          <w:szCs w:val="20"/>
        </w:rPr>
        <w:t xml:space="preserve">com a caída dos preços do petróleo motor da economia de Angola, </w:t>
      </w:r>
      <w:r w:rsidR="008772EC" w:rsidRPr="00685743">
        <w:rPr>
          <w:rFonts w:ascii="Arial" w:hAnsi="Arial"/>
          <w:bCs/>
          <w:color w:val="0070C0"/>
          <w:sz w:val="20"/>
          <w:szCs w:val="20"/>
        </w:rPr>
        <w:t xml:space="preserve">o financiamento das vacinas teve prioridade a outras despesas importantes para </w:t>
      </w:r>
      <w:r w:rsidR="00C868AD" w:rsidRPr="00685743">
        <w:rPr>
          <w:rFonts w:ascii="Arial" w:hAnsi="Arial"/>
          <w:bCs/>
          <w:color w:val="0070C0"/>
          <w:sz w:val="20"/>
          <w:szCs w:val="20"/>
        </w:rPr>
        <w:t>o</w:t>
      </w:r>
      <w:r w:rsidR="008772EC" w:rsidRPr="00685743">
        <w:rPr>
          <w:rFonts w:ascii="Arial" w:hAnsi="Arial"/>
          <w:bCs/>
          <w:color w:val="0070C0"/>
          <w:sz w:val="20"/>
          <w:szCs w:val="20"/>
        </w:rPr>
        <w:t xml:space="preserve"> </w:t>
      </w:r>
      <w:r w:rsidR="00C868AD" w:rsidRPr="00685743">
        <w:rPr>
          <w:rFonts w:ascii="Arial" w:hAnsi="Arial"/>
          <w:bCs/>
          <w:color w:val="0070C0"/>
          <w:sz w:val="20"/>
          <w:szCs w:val="20"/>
        </w:rPr>
        <w:t>E</w:t>
      </w:r>
      <w:r w:rsidR="008772EC" w:rsidRPr="00685743">
        <w:rPr>
          <w:rFonts w:ascii="Arial" w:hAnsi="Arial"/>
          <w:bCs/>
          <w:color w:val="0070C0"/>
          <w:sz w:val="20"/>
          <w:szCs w:val="20"/>
        </w:rPr>
        <w:t>stado</w:t>
      </w:r>
      <w:r w:rsidR="00A426D1" w:rsidRPr="00685743">
        <w:rPr>
          <w:rFonts w:ascii="Arial" w:hAnsi="Arial"/>
          <w:bCs/>
          <w:color w:val="0070C0"/>
          <w:sz w:val="20"/>
          <w:szCs w:val="20"/>
        </w:rPr>
        <w:t xml:space="preserve"> em parte pela eficaz advocacia com o Ministério das finanças</w:t>
      </w:r>
      <w:r w:rsidR="008772EC" w:rsidRPr="00685743">
        <w:rPr>
          <w:rFonts w:ascii="Arial" w:hAnsi="Arial"/>
          <w:bCs/>
          <w:color w:val="0070C0"/>
          <w:sz w:val="20"/>
          <w:szCs w:val="20"/>
        </w:rPr>
        <w:t>.</w:t>
      </w:r>
      <w:r w:rsidR="00C868AD" w:rsidRPr="00685743">
        <w:rPr>
          <w:rFonts w:ascii="Arial" w:hAnsi="Arial"/>
          <w:bCs/>
          <w:color w:val="0070C0"/>
          <w:sz w:val="20"/>
          <w:szCs w:val="20"/>
        </w:rPr>
        <w:t xml:space="preserve"> A f</w:t>
      </w:r>
      <w:r w:rsidRPr="00685743">
        <w:rPr>
          <w:rFonts w:ascii="Arial" w:hAnsi="Arial"/>
          <w:bCs/>
          <w:color w:val="0070C0"/>
          <w:sz w:val="20"/>
          <w:szCs w:val="20"/>
        </w:rPr>
        <w:t xml:space="preserve">ormação de gestores do programa de vacinação do </w:t>
      </w:r>
      <w:r w:rsidR="00A426D1" w:rsidRPr="00685743">
        <w:rPr>
          <w:rFonts w:ascii="Arial" w:hAnsi="Arial"/>
          <w:bCs/>
          <w:color w:val="0070C0"/>
          <w:sz w:val="20"/>
          <w:szCs w:val="20"/>
        </w:rPr>
        <w:t>nível médio</w:t>
      </w:r>
      <w:r w:rsidRPr="00685743">
        <w:rPr>
          <w:rFonts w:ascii="Arial" w:hAnsi="Arial"/>
          <w:bCs/>
          <w:color w:val="0070C0"/>
          <w:sz w:val="20"/>
          <w:szCs w:val="20"/>
        </w:rPr>
        <w:t xml:space="preserve"> em parceria com a Universidade Agostinho Neto</w:t>
      </w:r>
      <w:r w:rsidR="00C868AD" w:rsidRPr="00685743">
        <w:rPr>
          <w:rFonts w:ascii="Arial" w:hAnsi="Arial"/>
          <w:bCs/>
          <w:color w:val="0070C0"/>
          <w:sz w:val="20"/>
          <w:szCs w:val="20"/>
        </w:rPr>
        <w:t xml:space="preserve"> e </w:t>
      </w:r>
      <w:r w:rsidRPr="00685743">
        <w:rPr>
          <w:rFonts w:ascii="Arial" w:hAnsi="Arial"/>
          <w:bCs/>
          <w:color w:val="0070C0"/>
          <w:sz w:val="20"/>
          <w:szCs w:val="20"/>
        </w:rPr>
        <w:t>OMS</w:t>
      </w:r>
      <w:r w:rsidR="00C868AD" w:rsidRPr="00685743">
        <w:rPr>
          <w:rFonts w:ascii="Arial" w:hAnsi="Arial"/>
          <w:bCs/>
          <w:color w:val="0070C0"/>
          <w:sz w:val="20"/>
          <w:szCs w:val="20"/>
        </w:rPr>
        <w:t xml:space="preserve"> crio capacidade nacional </w:t>
      </w:r>
      <w:r w:rsidR="00A426D1" w:rsidRPr="00685743">
        <w:rPr>
          <w:rFonts w:ascii="Arial" w:hAnsi="Arial"/>
          <w:bCs/>
          <w:color w:val="0070C0"/>
          <w:sz w:val="20"/>
          <w:szCs w:val="20"/>
        </w:rPr>
        <w:t xml:space="preserve">docente, que pode ser utilizada para continuar com a formação de </w:t>
      </w:r>
      <w:r w:rsidR="00C868AD" w:rsidRPr="00685743">
        <w:rPr>
          <w:rFonts w:ascii="Arial" w:hAnsi="Arial"/>
          <w:bCs/>
          <w:color w:val="0070C0"/>
          <w:sz w:val="20"/>
          <w:szCs w:val="20"/>
        </w:rPr>
        <w:t>mandos médios nas provincias e municípios</w:t>
      </w:r>
      <w:r w:rsidR="00A426D1" w:rsidRPr="00685743">
        <w:rPr>
          <w:rFonts w:ascii="Arial" w:hAnsi="Arial"/>
          <w:bCs/>
          <w:color w:val="0070C0"/>
          <w:sz w:val="20"/>
          <w:szCs w:val="20"/>
        </w:rPr>
        <w:t>, importante por ter transcorrido, mas de 3 anos desde o último curso</w:t>
      </w:r>
      <w:r w:rsidR="00A778BD" w:rsidRPr="00685743">
        <w:rPr>
          <w:rFonts w:ascii="Arial" w:hAnsi="Arial"/>
          <w:bCs/>
          <w:color w:val="0070C0"/>
          <w:sz w:val="20"/>
          <w:szCs w:val="20"/>
        </w:rPr>
        <w:t xml:space="preserve"> e que muitos gestores foram promovidos ou mudados a outras áreas</w:t>
      </w:r>
      <w:r w:rsidR="00A426D1" w:rsidRPr="00685743">
        <w:rPr>
          <w:rFonts w:ascii="Arial" w:hAnsi="Arial"/>
          <w:bCs/>
          <w:color w:val="0070C0"/>
          <w:sz w:val="20"/>
          <w:szCs w:val="20"/>
        </w:rPr>
        <w:t>. Um investimento inovativo do período póst-transição</w:t>
      </w:r>
      <w:r w:rsidR="002A7816" w:rsidRPr="00685743">
        <w:rPr>
          <w:rFonts w:ascii="Arial" w:hAnsi="Arial"/>
          <w:bCs/>
          <w:color w:val="0070C0"/>
          <w:sz w:val="20"/>
          <w:szCs w:val="20"/>
        </w:rPr>
        <w:t xml:space="preserve"> </w:t>
      </w:r>
      <w:r w:rsidR="00A426D1" w:rsidRPr="00685743">
        <w:rPr>
          <w:rFonts w:ascii="Arial" w:hAnsi="Arial"/>
          <w:bCs/>
          <w:color w:val="0070C0"/>
          <w:sz w:val="20"/>
          <w:szCs w:val="20"/>
        </w:rPr>
        <w:t>foi a i</w:t>
      </w:r>
      <w:r w:rsidRPr="00685743">
        <w:rPr>
          <w:rFonts w:ascii="Arial" w:hAnsi="Arial"/>
          <w:bCs/>
          <w:color w:val="0070C0"/>
          <w:sz w:val="20"/>
          <w:szCs w:val="20"/>
        </w:rPr>
        <w:t xml:space="preserve">mplementação da gestão digital de </w:t>
      </w:r>
      <w:r w:rsidR="002A7816" w:rsidRPr="00685743">
        <w:rPr>
          <w:rFonts w:ascii="Arial" w:hAnsi="Arial"/>
          <w:bCs/>
          <w:color w:val="0070C0"/>
          <w:sz w:val="20"/>
          <w:szCs w:val="20"/>
        </w:rPr>
        <w:t xml:space="preserve">stock de </w:t>
      </w:r>
      <w:r w:rsidRPr="00685743">
        <w:rPr>
          <w:rFonts w:ascii="Arial" w:hAnsi="Arial"/>
          <w:bCs/>
          <w:color w:val="0070C0"/>
          <w:sz w:val="20"/>
          <w:szCs w:val="20"/>
        </w:rPr>
        <w:t xml:space="preserve">vacinas e material de vacinação </w:t>
      </w:r>
      <w:r w:rsidR="002A7816" w:rsidRPr="00685743">
        <w:rPr>
          <w:rFonts w:ascii="Arial" w:hAnsi="Arial"/>
          <w:bCs/>
          <w:color w:val="0070C0"/>
          <w:sz w:val="20"/>
          <w:szCs w:val="20"/>
        </w:rPr>
        <w:t xml:space="preserve">de rotina utilizando a plataforma </w:t>
      </w:r>
      <w:r w:rsidRPr="00685743">
        <w:rPr>
          <w:rFonts w:ascii="Arial" w:hAnsi="Arial"/>
          <w:bCs/>
          <w:color w:val="0070C0"/>
          <w:sz w:val="20"/>
          <w:szCs w:val="20"/>
        </w:rPr>
        <w:t>IOTA</w:t>
      </w:r>
      <w:r w:rsidR="002A7816" w:rsidRPr="00685743">
        <w:rPr>
          <w:rFonts w:ascii="Arial" w:hAnsi="Arial"/>
          <w:bCs/>
          <w:color w:val="0070C0"/>
          <w:sz w:val="20"/>
          <w:szCs w:val="20"/>
        </w:rPr>
        <w:t xml:space="preserve">, </w:t>
      </w:r>
      <w:r w:rsidR="00A778BD" w:rsidRPr="00685743">
        <w:rPr>
          <w:rFonts w:ascii="Arial" w:hAnsi="Arial"/>
          <w:bCs/>
          <w:color w:val="0070C0"/>
          <w:sz w:val="20"/>
          <w:szCs w:val="20"/>
        </w:rPr>
        <w:t>que também é</w:t>
      </w:r>
      <w:r w:rsidR="002A7816" w:rsidRPr="00685743">
        <w:rPr>
          <w:rFonts w:ascii="Arial" w:hAnsi="Arial"/>
          <w:bCs/>
          <w:color w:val="0070C0"/>
          <w:sz w:val="20"/>
          <w:szCs w:val="20"/>
        </w:rPr>
        <w:t xml:space="preserve"> de grande utilidade para gerir em tempo real as vacinas da COVID-19 até o posto de vacinação. Dado o enorme défice de cadeia de frio o e</w:t>
      </w:r>
      <w:r w:rsidRPr="00685743">
        <w:rPr>
          <w:rFonts w:ascii="Arial" w:hAnsi="Arial"/>
          <w:bCs/>
          <w:color w:val="0070C0"/>
          <w:sz w:val="20"/>
          <w:szCs w:val="20"/>
        </w:rPr>
        <w:t>quipamento de cadeia de frio para novos postos de vacinação, que se pretende dar continuidade principalmente com fundos de governo</w:t>
      </w:r>
      <w:r w:rsidR="002A7816" w:rsidRPr="00685743">
        <w:rPr>
          <w:rFonts w:ascii="Arial" w:hAnsi="Arial"/>
          <w:bCs/>
          <w:color w:val="0070C0"/>
          <w:sz w:val="20"/>
          <w:szCs w:val="20"/>
        </w:rPr>
        <w:t xml:space="preserve"> e importante para a recuperação de coberturas e fazer sustentável a vacinação principalmente rural das cri</w:t>
      </w:r>
      <w:r w:rsidR="00704DC3" w:rsidRPr="00685743">
        <w:rPr>
          <w:rFonts w:ascii="Arial" w:hAnsi="Arial"/>
          <w:bCs/>
          <w:color w:val="0070C0"/>
          <w:sz w:val="20"/>
          <w:szCs w:val="20"/>
        </w:rPr>
        <w:t>a</w:t>
      </w:r>
      <w:r w:rsidR="002A7816" w:rsidRPr="00685743">
        <w:rPr>
          <w:rFonts w:ascii="Arial" w:hAnsi="Arial"/>
          <w:bCs/>
          <w:color w:val="0070C0"/>
          <w:sz w:val="20"/>
          <w:szCs w:val="20"/>
        </w:rPr>
        <w:t xml:space="preserve">nças actualmente excluídas </w:t>
      </w:r>
      <w:r w:rsidR="00704DC3" w:rsidRPr="00685743">
        <w:rPr>
          <w:rFonts w:ascii="Arial" w:hAnsi="Arial"/>
          <w:bCs/>
          <w:color w:val="0070C0"/>
          <w:sz w:val="20"/>
          <w:szCs w:val="20"/>
        </w:rPr>
        <w:t xml:space="preserve">por el insuficiente </w:t>
      </w:r>
      <w:r w:rsidR="00D816AD" w:rsidRPr="00685743">
        <w:rPr>
          <w:rFonts w:ascii="Arial" w:hAnsi="Arial"/>
          <w:bCs/>
          <w:color w:val="0070C0"/>
          <w:sz w:val="20"/>
          <w:szCs w:val="20"/>
        </w:rPr>
        <w:t xml:space="preserve">financiamento </w:t>
      </w:r>
      <w:r w:rsidR="00704DC3" w:rsidRPr="00685743">
        <w:rPr>
          <w:rFonts w:ascii="Arial" w:hAnsi="Arial"/>
          <w:bCs/>
          <w:color w:val="0070C0"/>
          <w:sz w:val="20"/>
          <w:szCs w:val="20"/>
        </w:rPr>
        <w:t xml:space="preserve">e médios para </w:t>
      </w:r>
      <w:r w:rsidR="00D816AD" w:rsidRPr="00685743">
        <w:rPr>
          <w:rFonts w:ascii="Arial" w:hAnsi="Arial"/>
          <w:bCs/>
          <w:color w:val="0070C0"/>
          <w:sz w:val="20"/>
          <w:szCs w:val="20"/>
        </w:rPr>
        <w:t xml:space="preserve">implementar </w:t>
      </w:r>
      <w:r w:rsidR="00704DC3" w:rsidRPr="00685743">
        <w:rPr>
          <w:rFonts w:ascii="Arial" w:hAnsi="Arial"/>
          <w:bCs/>
          <w:color w:val="0070C0"/>
          <w:sz w:val="20"/>
          <w:szCs w:val="20"/>
        </w:rPr>
        <w:t xml:space="preserve">equipas móveis. Os módulos de </w:t>
      </w:r>
      <w:r w:rsidR="00A778BD" w:rsidRPr="00685743">
        <w:rPr>
          <w:rFonts w:ascii="Arial" w:hAnsi="Arial"/>
          <w:bCs/>
          <w:color w:val="0070C0"/>
          <w:sz w:val="20"/>
          <w:szCs w:val="20"/>
        </w:rPr>
        <w:t>capacitação e</w:t>
      </w:r>
      <w:r w:rsidR="00D816AD" w:rsidRPr="00685743">
        <w:rPr>
          <w:rFonts w:ascii="Arial" w:hAnsi="Arial"/>
          <w:bCs/>
          <w:color w:val="0070C0"/>
          <w:sz w:val="20"/>
          <w:szCs w:val="20"/>
        </w:rPr>
        <w:t>m</w:t>
      </w:r>
      <w:r w:rsidR="00A778BD" w:rsidRPr="00685743">
        <w:rPr>
          <w:rFonts w:ascii="Arial" w:hAnsi="Arial"/>
          <w:bCs/>
          <w:color w:val="0070C0"/>
          <w:sz w:val="20"/>
          <w:szCs w:val="20"/>
        </w:rPr>
        <w:t xml:space="preserve"> Imunização</w:t>
      </w:r>
      <w:r w:rsidRPr="00685743">
        <w:rPr>
          <w:rFonts w:ascii="Arial" w:hAnsi="Arial"/>
          <w:bCs/>
          <w:color w:val="0070C0"/>
          <w:sz w:val="20"/>
          <w:szCs w:val="20"/>
        </w:rPr>
        <w:t xml:space="preserve"> em </w:t>
      </w:r>
      <w:r w:rsidR="00D816AD" w:rsidRPr="00685743">
        <w:rPr>
          <w:rFonts w:ascii="Arial" w:hAnsi="Arial"/>
          <w:bCs/>
          <w:color w:val="0070C0"/>
          <w:sz w:val="20"/>
          <w:szCs w:val="20"/>
        </w:rPr>
        <w:t>P</w:t>
      </w:r>
      <w:r w:rsidRPr="00685743">
        <w:rPr>
          <w:rFonts w:ascii="Arial" w:hAnsi="Arial"/>
          <w:bCs/>
          <w:color w:val="0070C0"/>
          <w:sz w:val="20"/>
          <w:szCs w:val="20"/>
        </w:rPr>
        <w:t xml:space="preserve">ráctica </w:t>
      </w:r>
      <w:r w:rsidR="00704DC3" w:rsidRPr="00685743">
        <w:rPr>
          <w:rFonts w:ascii="Arial" w:hAnsi="Arial"/>
          <w:bCs/>
          <w:color w:val="0070C0"/>
          <w:sz w:val="20"/>
          <w:szCs w:val="20"/>
        </w:rPr>
        <w:t xml:space="preserve">desenvolvidos para </w:t>
      </w:r>
      <w:r w:rsidR="00D816AD" w:rsidRPr="00685743">
        <w:rPr>
          <w:rFonts w:ascii="Arial" w:hAnsi="Arial"/>
          <w:bCs/>
          <w:color w:val="0070C0"/>
          <w:sz w:val="20"/>
          <w:szCs w:val="20"/>
        </w:rPr>
        <w:t>Á</w:t>
      </w:r>
      <w:r w:rsidR="00704DC3" w:rsidRPr="00685743">
        <w:rPr>
          <w:rFonts w:ascii="Arial" w:hAnsi="Arial"/>
          <w:bCs/>
          <w:color w:val="0070C0"/>
          <w:sz w:val="20"/>
          <w:szCs w:val="20"/>
        </w:rPr>
        <w:t>frica pela OMS</w:t>
      </w:r>
      <w:r w:rsidRPr="00685743">
        <w:rPr>
          <w:rFonts w:ascii="Arial" w:hAnsi="Arial"/>
          <w:bCs/>
          <w:color w:val="0070C0"/>
          <w:sz w:val="20"/>
          <w:szCs w:val="20"/>
        </w:rPr>
        <w:t xml:space="preserve"> pretende-se dar continuidade</w:t>
      </w:r>
      <w:r w:rsidR="00D816AD" w:rsidRPr="00685743">
        <w:rPr>
          <w:rFonts w:ascii="Arial" w:hAnsi="Arial"/>
          <w:bCs/>
          <w:color w:val="0070C0"/>
          <w:sz w:val="20"/>
          <w:szCs w:val="20"/>
        </w:rPr>
        <w:t xml:space="preserve">, más </w:t>
      </w:r>
      <w:r w:rsidRPr="00685743">
        <w:rPr>
          <w:rFonts w:ascii="Arial" w:hAnsi="Arial"/>
          <w:bCs/>
          <w:color w:val="0070C0"/>
          <w:sz w:val="20"/>
          <w:szCs w:val="20"/>
        </w:rPr>
        <w:t>mediante formação a distância</w:t>
      </w:r>
      <w:r w:rsidR="00704DC3" w:rsidRPr="00685743">
        <w:rPr>
          <w:rFonts w:ascii="Arial" w:hAnsi="Arial"/>
          <w:bCs/>
          <w:color w:val="0070C0"/>
          <w:sz w:val="20"/>
          <w:szCs w:val="20"/>
        </w:rPr>
        <w:t>. Avançar na melhoria da qualidade dos dados e a utilização d</w:t>
      </w:r>
      <w:r w:rsidRPr="00685743">
        <w:rPr>
          <w:rFonts w:ascii="Arial" w:hAnsi="Arial"/>
          <w:bCs/>
          <w:color w:val="0070C0"/>
          <w:sz w:val="20"/>
          <w:szCs w:val="20"/>
        </w:rPr>
        <w:t xml:space="preserve">a plataforma DHIS-2, </w:t>
      </w:r>
      <w:r w:rsidR="00704DC3" w:rsidRPr="00685743">
        <w:rPr>
          <w:rFonts w:ascii="Arial" w:hAnsi="Arial"/>
          <w:bCs/>
          <w:color w:val="0070C0"/>
          <w:sz w:val="20"/>
          <w:szCs w:val="20"/>
        </w:rPr>
        <w:t xml:space="preserve">não somente para recopilar </w:t>
      </w:r>
      <w:r w:rsidR="00A778BD" w:rsidRPr="00685743">
        <w:rPr>
          <w:rFonts w:ascii="Arial" w:hAnsi="Arial"/>
          <w:bCs/>
          <w:color w:val="0070C0"/>
          <w:sz w:val="20"/>
          <w:szCs w:val="20"/>
        </w:rPr>
        <w:t>dados,</w:t>
      </w:r>
      <w:r w:rsidR="00704DC3" w:rsidRPr="00685743">
        <w:rPr>
          <w:rFonts w:ascii="Arial" w:hAnsi="Arial"/>
          <w:bCs/>
          <w:color w:val="0070C0"/>
          <w:sz w:val="20"/>
          <w:szCs w:val="20"/>
        </w:rPr>
        <w:t xml:space="preserve"> mas e fundamentalmente para a </w:t>
      </w:r>
      <w:r w:rsidRPr="00685743">
        <w:rPr>
          <w:rFonts w:ascii="Arial" w:hAnsi="Arial"/>
          <w:bCs/>
          <w:color w:val="0070C0"/>
          <w:sz w:val="20"/>
          <w:szCs w:val="20"/>
        </w:rPr>
        <w:t xml:space="preserve">realização de encontros de análise de informação </w:t>
      </w:r>
      <w:r w:rsidR="00704DC3" w:rsidRPr="00685743">
        <w:rPr>
          <w:rFonts w:ascii="Arial" w:hAnsi="Arial"/>
          <w:bCs/>
          <w:color w:val="0070C0"/>
          <w:sz w:val="20"/>
          <w:szCs w:val="20"/>
        </w:rPr>
        <w:t xml:space="preserve">para tomada d decisões que ajudem </w:t>
      </w:r>
      <w:r w:rsidR="00A778BD" w:rsidRPr="00685743">
        <w:rPr>
          <w:rFonts w:ascii="Arial" w:hAnsi="Arial"/>
          <w:bCs/>
          <w:color w:val="0070C0"/>
          <w:sz w:val="20"/>
          <w:szCs w:val="20"/>
        </w:rPr>
        <w:t xml:space="preserve">a reduzir as iniquidades </w:t>
      </w:r>
      <w:r w:rsidR="00D816AD" w:rsidRPr="00685743">
        <w:rPr>
          <w:rFonts w:ascii="Arial" w:hAnsi="Arial"/>
          <w:bCs/>
          <w:color w:val="0070C0"/>
          <w:sz w:val="20"/>
          <w:szCs w:val="20"/>
        </w:rPr>
        <w:t xml:space="preserve">e por outra parte melhor o uso crítico dos dados </w:t>
      </w:r>
      <w:r w:rsidR="00A778BD" w:rsidRPr="00685743">
        <w:rPr>
          <w:rFonts w:ascii="Arial" w:hAnsi="Arial"/>
          <w:bCs/>
          <w:color w:val="0070C0"/>
          <w:sz w:val="20"/>
          <w:szCs w:val="20"/>
        </w:rPr>
        <w:t>a confiabilidade do sistema. A m</w:t>
      </w:r>
      <w:r w:rsidRPr="00685743">
        <w:rPr>
          <w:rFonts w:ascii="Arial" w:hAnsi="Arial"/>
          <w:bCs/>
          <w:color w:val="0070C0"/>
          <w:sz w:val="20"/>
          <w:szCs w:val="20"/>
        </w:rPr>
        <w:t xml:space="preserve">icro planificação municipal participativa e organização de equipas móveis e avançadas de vacinação, pretende-se </w:t>
      </w:r>
      <w:r w:rsidR="00A778BD" w:rsidRPr="00685743">
        <w:rPr>
          <w:rFonts w:ascii="Arial" w:hAnsi="Arial"/>
          <w:bCs/>
          <w:color w:val="0070C0"/>
          <w:sz w:val="20"/>
          <w:szCs w:val="20"/>
        </w:rPr>
        <w:t xml:space="preserve">levar-lha </w:t>
      </w:r>
      <w:proofErr w:type="gramStart"/>
      <w:r w:rsidR="00A778BD" w:rsidRPr="00685743">
        <w:rPr>
          <w:rFonts w:ascii="Arial" w:hAnsi="Arial"/>
          <w:bCs/>
          <w:color w:val="0070C0"/>
          <w:sz w:val="20"/>
          <w:szCs w:val="20"/>
        </w:rPr>
        <w:t>ate</w:t>
      </w:r>
      <w:proofErr w:type="gramEnd"/>
      <w:r w:rsidR="00A778BD" w:rsidRPr="00685743">
        <w:rPr>
          <w:rFonts w:ascii="Arial" w:hAnsi="Arial"/>
          <w:bCs/>
          <w:color w:val="0070C0"/>
          <w:sz w:val="20"/>
          <w:szCs w:val="20"/>
        </w:rPr>
        <w:t xml:space="preserve"> nível de </w:t>
      </w:r>
      <w:r w:rsidR="00D816AD" w:rsidRPr="00685743">
        <w:rPr>
          <w:rFonts w:ascii="Arial" w:hAnsi="Arial"/>
          <w:bCs/>
          <w:color w:val="0070C0"/>
          <w:sz w:val="20"/>
          <w:szCs w:val="20"/>
        </w:rPr>
        <w:t>bairro</w:t>
      </w:r>
      <w:r w:rsidR="00A778BD" w:rsidRPr="00685743">
        <w:rPr>
          <w:rFonts w:ascii="Arial" w:hAnsi="Arial"/>
          <w:bCs/>
          <w:color w:val="0070C0"/>
          <w:sz w:val="20"/>
          <w:szCs w:val="20"/>
        </w:rPr>
        <w:t xml:space="preserve"> ou comunas para implementa-lha </w:t>
      </w:r>
      <w:r w:rsidRPr="00685743">
        <w:rPr>
          <w:rFonts w:ascii="Arial" w:hAnsi="Arial"/>
          <w:bCs/>
          <w:color w:val="0070C0"/>
          <w:sz w:val="20"/>
          <w:szCs w:val="20"/>
        </w:rPr>
        <w:t>com critérios de equidade para áreas mais vulneráveis</w:t>
      </w:r>
      <w:r w:rsidR="00A778BD" w:rsidRPr="00685743">
        <w:rPr>
          <w:rFonts w:ascii="Arial" w:hAnsi="Arial"/>
          <w:bCs/>
          <w:color w:val="0070C0"/>
          <w:sz w:val="20"/>
          <w:szCs w:val="20"/>
        </w:rPr>
        <w:t xml:space="preserve"> onde abundam as zero </w:t>
      </w:r>
      <w:r w:rsidR="0081246E" w:rsidRPr="00685743">
        <w:rPr>
          <w:rFonts w:ascii="Arial" w:hAnsi="Arial"/>
          <w:bCs/>
          <w:color w:val="0070C0"/>
          <w:sz w:val="20"/>
          <w:szCs w:val="20"/>
        </w:rPr>
        <w:t>doses</w:t>
      </w:r>
      <w:r w:rsidR="009438AD" w:rsidRPr="00685743">
        <w:rPr>
          <w:rFonts w:ascii="Arial" w:hAnsi="Arial"/>
          <w:bCs/>
          <w:color w:val="0070C0"/>
          <w:sz w:val="20"/>
          <w:szCs w:val="20"/>
        </w:rPr>
        <w:t>. A</w:t>
      </w:r>
      <w:r w:rsidR="003F09F6" w:rsidRPr="00685743">
        <w:rPr>
          <w:rFonts w:ascii="Arial" w:hAnsi="Arial"/>
          <w:bCs/>
          <w:color w:val="0070C0"/>
          <w:sz w:val="20"/>
          <w:szCs w:val="20"/>
        </w:rPr>
        <w:t xml:space="preserve"> Unidade de Monitorização da Direcção Nacional de Saúde Pública criada com apoio do plano pós transição</w:t>
      </w:r>
      <w:r w:rsidR="009438AD" w:rsidRPr="00685743">
        <w:rPr>
          <w:rFonts w:ascii="Arial" w:hAnsi="Arial"/>
          <w:bCs/>
          <w:color w:val="0070C0"/>
          <w:sz w:val="20"/>
          <w:szCs w:val="20"/>
        </w:rPr>
        <w:t xml:space="preserve"> terá a missão de sistematizar a informação e preparar relatórios. A proposta actual pretende realizar </w:t>
      </w:r>
      <w:r w:rsidR="003F09F6" w:rsidRPr="00685743">
        <w:rPr>
          <w:rFonts w:ascii="Arial" w:hAnsi="Arial"/>
          <w:bCs/>
          <w:color w:val="0070C0"/>
          <w:sz w:val="20"/>
          <w:szCs w:val="20"/>
        </w:rPr>
        <w:t>maior trabalho com as organizações de base comuni</w:t>
      </w:r>
      <w:r w:rsidR="009438AD" w:rsidRPr="00685743">
        <w:rPr>
          <w:rFonts w:ascii="Arial" w:hAnsi="Arial"/>
          <w:bCs/>
          <w:color w:val="0070C0"/>
          <w:sz w:val="20"/>
          <w:szCs w:val="20"/>
        </w:rPr>
        <w:t xml:space="preserve">tária e maior </w:t>
      </w:r>
      <w:r w:rsidR="003F09F6" w:rsidRPr="00685743">
        <w:rPr>
          <w:rFonts w:ascii="Arial" w:hAnsi="Arial"/>
          <w:bCs/>
          <w:color w:val="0070C0"/>
          <w:sz w:val="20"/>
          <w:szCs w:val="20"/>
        </w:rPr>
        <w:t xml:space="preserve">apoio </w:t>
      </w:r>
      <w:r w:rsidR="009438AD" w:rsidRPr="00685743">
        <w:rPr>
          <w:rFonts w:ascii="Arial" w:hAnsi="Arial"/>
          <w:bCs/>
          <w:color w:val="0070C0"/>
          <w:sz w:val="20"/>
          <w:szCs w:val="20"/>
        </w:rPr>
        <w:t xml:space="preserve">às </w:t>
      </w:r>
      <w:r w:rsidR="003F09F6" w:rsidRPr="00685743">
        <w:rPr>
          <w:rFonts w:ascii="Arial" w:hAnsi="Arial"/>
          <w:bCs/>
          <w:color w:val="0070C0"/>
          <w:sz w:val="20"/>
          <w:szCs w:val="20"/>
        </w:rPr>
        <w:t xml:space="preserve">ONGs locais. </w:t>
      </w:r>
      <w:r w:rsidR="009438AD" w:rsidRPr="00685743">
        <w:rPr>
          <w:rFonts w:ascii="Arial" w:hAnsi="Arial"/>
          <w:bCs/>
          <w:color w:val="0070C0"/>
          <w:sz w:val="20"/>
          <w:szCs w:val="20"/>
        </w:rPr>
        <w:t xml:space="preserve">Nos </w:t>
      </w:r>
      <w:r w:rsidR="003F09F6" w:rsidRPr="00685743">
        <w:rPr>
          <w:rFonts w:ascii="Arial" w:hAnsi="Arial"/>
          <w:bCs/>
          <w:color w:val="0070C0"/>
          <w:sz w:val="20"/>
          <w:szCs w:val="20"/>
        </w:rPr>
        <w:t xml:space="preserve">encontros participativos de microplanificação participarão os membros destas organizações, assim como nos encontros de avaliação que foram planificados eles </w:t>
      </w:r>
      <w:r w:rsidR="003D1F88" w:rsidRPr="00685743">
        <w:rPr>
          <w:rFonts w:ascii="Arial" w:hAnsi="Arial"/>
          <w:bCs/>
          <w:color w:val="0070C0"/>
          <w:sz w:val="20"/>
          <w:szCs w:val="20"/>
        </w:rPr>
        <w:t>terão voz, assim mesmo os Gabinetes do Utente que se pretende instalar nos centros de saúde com apoio da Direção de Humanização do atendimento do Ministério da Saúde</w:t>
      </w:r>
      <w:r w:rsidR="009438AD" w:rsidRPr="00685743">
        <w:rPr>
          <w:rFonts w:ascii="Arial" w:hAnsi="Arial"/>
          <w:bCs/>
          <w:color w:val="0070C0"/>
          <w:sz w:val="20"/>
          <w:szCs w:val="20"/>
        </w:rPr>
        <w:t xml:space="preserve"> darão voz</w:t>
      </w:r>
      <w:r w:rsidR="003D1F88" w:rsidRPr="00685743">
        <w:rPr>
          <w:rFonts w:ascii="Arial" w:hAnsi="Arial"/>
          <w:bCs/>
          <w:color w:val="0070C0"/>
          <w:sz w:val="20"/>
          <w:szCs w:val="20"/>
        </w:rPr>
        <w:t>.</w:t>
      </w:r>
      <w:r w:rsidR="0081246E" w:rsidRPr="00685743">
        <w:rPr>
          <w:rFonts w:ascii="Arial" w:hAnsi="Arial"/>
          <w:bCs/>
          <w:color w:val="0070C0"/>
          <w:sz w:val="20"/>
          <w:szCs w:val="20"/>
        </w:rPr>
        <w:t xml:space="preserve"> As medições dos câmbios positivos nas barreiras ao atendimento terão seguimento específico por consultores e inquéritos de seguimento estão previstos. Por outro lado, os relatórios de supervisão farão enfase neste aspeito</w:t>
      </w:r>
    </w:p>
    <w:p w14:paraId="2DE0968E" w14:textId="0A20FC25" w:rsidR="00F363C2" w:rsidRPr="002725E5" w:rsidRDefault="00CB04CE" w:rsidP="00685743">
      <w:pPr>
        <w:spacing w:before="120" w:after="120"/>
        <w:jc w:val="both"/>
        <w:rPr>
          <w:rFonts w:ascii="Arial" w:eastAsia="Yu Mincho" w:hAnsi="Arial"/>
          <w:color w:val="4472C4"/>
          <w:sz w:val="24"/>
          <w:szCs w:val="24"/>
        </w:rPr>
      </w:pPr>
      <w:proofErr w:type="gramStart"/>
      <w:r w:rsidRPr="00C868AD">
        <w:rPr>
          <w:rFonts w:ascii="Arial" w:hAnsi="Arial"/>
          <w:bCs/>
          <w:color w:val="000000"/>
          <w:sz w:val="20"/>
          <w:szCs w:val="20"/>
        </w:rPr>
        <w:t>.</w:t>
      </w:r>
      <w:r w:rsidR="00F363C2">
        <w:rPr>
          <w:rFonts w:ascii="Arial" w:hAnsi="Arial"/>
          <w:color w:val="4472C4"/>
          <w:sz w:val="24"/>
        </w:rPr>
        <w:t>Documentos</w:t>
      </w:r>
      <w:proofErr w:type="gramEnd"/>
      <w:r w:rsidR="00F363C2">
        <w:rPr>
          <w:rFonts w:ascii="Arial" w:hAnsi="Arial"/>
          <w:color w:val="4472C4"/>
          <w:sz w:val="24"/>
        </w:rPr>
        <w:t xml:space="preserve"> suplementares</w:t>
      </w:r>
    </w:p>
    <w:p w14:paraId="6D17AE9E" w14:textId="77777777" w:rsidR="00F363C2" w:rsidRPr="00FB047E" w:rsidRDefault="00F363C2" w:rsidP="00FB047E">
      <w:pPr>
        <w:spacing w:after="0" w:line="240" w:lineRule="auto"/>
        <w:rPr>
          <w:rFonts w:ascii="Arial" w:hAnsi="Arial"/>
        </w:rPr>
      </w:pPr>
      <w:r w:rsidRPr="00FB047E">
        <w:rPr>
          <w:rFonts w:ascii="Arial" w:hAnsi="Arial"/>
        </w:rPr>
        <w:t>Se disponível, incluir no pedido qualquer um dos seguintes documentos para apoiar as informações contidas na pasta de trabalho de detalhes da Pedido de Ajuda e esta descrição, por exemplo:</w:t>
      </w:r>
    </w:p>
    <w:p w14:paraId="0765B4FD" w14:textId="77960D8C" w:rsidR="00F363C2" w:rsidRPr="00FB047E" w:rsidRDefault="00F363C2" w:rsidP="00FB047E">
      <w:pPr>
        <w:pStyle w:val="PargrafodaLista"/>
        <w:numPr>
          <w:ilvl w:val="0"/>
          <w:numId w:val="13"/>
        </w:numPr>
        <w:spacing w:after="0" w:line="240" w:lineRule="auto"/>
        <w:rPr>
          <w:rFonts w:ascii="Arial" w:hAnsi="Arial"/>
          <w:color w:val="auto"/>
        </w:rPr>
      </w:pPr>
      <w:r w:rsidRPr="6F297C52">
        <w:rPr>
          <w:rFonts w:ascii="Arial" w:hAnsi="Arial"/>
          <w:color w:val="auto"/>
        </w:rPr>
        <w:t>Documentos para evidenciar o processo de desenvolvimento da Teoria da Mudança descrita, por ex., atas de reuniões, listas de presença, materiais de seminários, etc.</w:t>
      </w:r>
    </w:p>
    <w:p w14:paraId="422D1F3E" w14:textId="77777777" w:rsidR="00F363C2" w:rsidRPr="00FB047E" w:rsidRDefault="00F363C2" w:rsidP="00FB047E">
      <w:pPr>
        <w:pStyle w:val="PargrafodaLista"/>
        <w:numPr>
          <w:ilvl w:val="0"/>
          <w:numId w:val="13"/>
        </w:numPr>
        <w:spacing w:after="0" w:line="240" w:lineRule="auto"/>
        <w:rPr>
          <w:rFonts w:ascii="Arial" w:hAnsi="Arial"/>
          <w:color w:val="auto"/>
        </w:rPr>
      </w:pPr>
      <w:r w:rsidRPr="00FB047E">
        <w:rPr>
          <w:rFonts w:ascii="Arial" w:hAnsi="Arial"/>
          <w:color w:val="auto"/>
        </w:rPr>
        <w:t>Evidência de compromissos por parte das principais partes interessadas para dar prioridade às crianças zero dose e apoiar a implementação desta intervenção, por ex., declarações, comunicados de imprensa, compromissos políticos</w:t>
      </w:r>
    </w:p>
    <w:p w14:paraId="478D59B4" w14:textId="5EB1A2F2" w:rsidR="00F363C2" w:rsidRPr="00FB047E" w:rsidRDefault="00F363C2" w:rsidP="00FB047E">
      <w:pPr>
        <w:pStyle w:val="PargrafodaLista"/>
        <w:numPr>
          <w:ilvl w:val="0"/>
          <w:numId w:val="13"/>
        </w:numPr>
        <w:spacing w:after="0" w:line="240" w:lineRule="auto"/>
        <w:rPr>
          <w:rFonts w:ascii="Arial" w:hAnsi="Arial" w:cs="Arial"/>
          <w:color w:val="auto"/>
        </w:rPr>
      </w:pPr>
      <w:r w:rsidRPr="6F297C52">
        <w:rPr>
          <w:rFonts w:ascii="Arial" w:hAnsi="Arial"/>
          <w:color w:val="auto"/>
        </w:rPr>
        <w:t>Materiais de apoio para evidenciar os diferentes elementos do Pedido de Apoio (apresentação do problema, atividades propostas, etc.), por ex., análises, avaliações, relatórios, resumos, estudos, fontes e análises de dados existentes a nível de país, etc.</w:t>
      </w:r>
    </w:p>
    <w:p w14:paraId="3EF024CF" w14:textId="77303214" w:rsidR="00F363C2" w:rsidRPr="002725E5" w:rsidRDefault="00F363C2" w:rsidP="00FB047E">
      <w:pPr>
        <w:pStyle w:val="PargrafodaLista"/>
        <w:numPr>
          <w:ilvl w:val="0"/>
          <w:numId w:val="13"/>
        </w:numPr>
        <w:spacing w:after="0" w:line="240" w:lineRule="auto"/>
        <w:rPr>
          <w:rFonts w:ascii="Arial" w:hAnsi="Arial" w:cs="Arial"/>
          <w:color w:val="auto"/>
        </w:rPr>
      </w:pPr>
      <w:r w:rsidRPr="00FB047E">
        <w:rPr>
          <w:rFonts w:ascii="Arial" w:hAnsi="Arial"/>
          <w:color w:val="auto"/>
        </w:rPr>
        <w:t>Informações sobre esforços complementares por parte do governo nacional/</w:t>
      </w:r>
      <w:r w:rsidR="001F239F" w:rsidRPr="00FB047E">
        <w:rPr>
          <w:rFonts w:ascii="Arial" w:hAnsi="Arial"/>
          <w:color w:val="auto"/>
        </w:rPr>
        <w:t>subnacional</w:t>
      </w:r>
      <w:r w:rsidRPr="00FB047E">
        <w:rPr>
          <w:rFonts w:ascii="Arial" w:hAnsi="Arial"/>
          <w:color w:val="auto"/>
        </w:rPr>
        <w:t xml:space="preserve"> e/ou outros parceiros e financiadores</w:t>
      </w:r>
    </w:p>
    <w:p w14:paraId="1BAEC033" w14:textId="77777777" w:rsidR="00F363C2" w:rsidRDefault="00F363C2" w:rsidP="00FB047E">
      <w:pPr>
        <w:spacing w:after="0" w:line="240" w:lineRule="auto"/>
        <w:rPr>
          <w:rFonts w:ascii="Arial" w:hAnsi="Arial"/>
        </w:rPr>
      </w:pPr>
      <w:r w:rsidRPr="00FB047E">
        <w:rPr>
          <w:rFonts w:ascii="Arial" w:hAnsi="Arial"/>
        </w:rPr>
        <w:t xml:space="preserve">Enumerar os nomes dos ficheiros dos documentos comprovativos fornecidos e a sua relevância. </w:t>
      </w:r>
    </w:p>
    <w:p w14:paraId="7194DBDC" w14:textId="77777777" w:rsidR="00F363C2" w:rsidRPr="00FB047E" w:rsidRDefault="00F363C2" w:rsidP="00FB047E">
      <w:pPr>
        <w:spacing w:after="0" w:line="240" w:lineRule="auto"/>
        <w:rPr>
          <w:rFonts w:ascii="Arial" w:hAnsi="Arial"/>
        </w:rPr>
      </w:pPr>
    </w:p>
    <w:p w14:paraId="4C211C60" w14:textId="054FCA4F" w:rsidR="009C475A" w:rsidRDefault="00685743" w:rsidP="00EB40AC">
      <w:pPr>
        <w:pStyle w:val="PargrafodaLista"/>
        <w:numPr>
          <w:ilvl w:val="0"/>
          <w:numId w:val="23"/>
        </w:numPr>
        <w:pBdr>
          <w:top w:val="single" w:sz="4" w:space="1" w:color="auto"/>
          <w:left w:val="single" w:sz="4" w:space="4" w:color="auto"/>
          <w:bottom w:val="single" w:sz="4" w:space="1" w:color="auto"/>
          <w:right w:val="single" w:sz="4" w:space="4" w:color="auto"/>
        </w:pBdr>
        <w:spacing w:after="0" w:line="240" w:lineRule="auto"/>
        <w:rPr>
          <w:rFonts w:ascii="Arial" w:hAnsi="Arial"/>
        </w:rPr>
      </w:pPr>
      <w:r>
        <w:rPr>
          <w:rFonts w:ascii="Arial" w:hAnsi="Arial"/>
        </w:rPr>
        <w:t xml:space="preserve">Carta da Ministra da Saúde </w:t>
      </w:r>
    </w:p>
    <w:p w14:paraId="6110E282" w14:textId="06824822" w:rsidR="00685743" w:rsidRDefault="00685743" w:rsidP="00EB40AC">
      <w:pPr>
        <w:pStyle w:val="PargrafodaLista"/>
        <w:numPr>
          <w:ilvl w:val="0"/>
          <w:numId w:val="23"/>
        </w:numPr>
        <w:pBdr>
          <w:top w:val="single" w:sz="4" w:space="1" w:color="auto"/>
          <w:left w:val="single" w:sz="4" w:space="4" w:color="auto"/>
          <w:bottom w:val="single" w:sz="4" w:space="1" w:color="auto"/>
          <w:right w:val="single" w:sz="4" w:space="4" w:color="auto"/>
        </w:pBdr>
        <w:spacing w:after="0" w:line="240" w:lineRule="auto"/>
        <w:rPr>
          <w:rFonts w:ascii="Arial" w:hAnsi="Arial"/>
        </w:rPr>
      </w:pPr>
      <w:r>
        <w:rPr>
          <w:rFonts w:ascii="Arial" w:hAnsi="Arial"/>
        </w:rPr>
        <w:t xml:space="preserve">Sumário do workshop de discussão da Teoria da </w:t>
      </w:r>
      <w:r w:rsidR="00EB40AC">
        <w:rPr>
          <w:rFonts w:ascii="Arial" w:hAnsi="Arial"/>
        </w:rPr>
        <w:t>Mudança GAVI</w:t>
      </w:r>
      <w:r>
        <w:rPr>
          <w:rFonts w:ascii="Arial" w:hAnsi="Arial"/>
        </w:rPr>
        <w:t>- Equipa técnica do PAV Angola</w:t>
      </w:r>
      <w:r w:rsidR="00EB40AC">
        <w:rPr>
          <w:rFonts w:ascii="Arial" w:hAnsi="Arial"/>
        </w:rPr>
        <w:t>;</w:t>
      </w:r>
    </w:p>
    <w:p w14:paraId="327C60D2" w14:textId="61D130C0" w:rsidR="00EB40AC" w:rsidRDefault="00EB40AC" w:rsidP="00EB40AC">
      <w:pPr>
        <w:pStyle w:val="PargrafodaLista"/>
        <w:numPr>
          <w:ilvl w:val="0"/>
          <w:numId w:val="23"/>
        </w:numPr>
        <w:pBdr>
          <w:top w:val="single" w:sz="4" w:space="1" w:color="auto"/>
          <w:left w:val="single" w:sz="4" w:space="4" w:color="auto"/>
          <w:bottom w:val="single" w:sz="4" w:space="1" w:color="auto"/>
          <w:right w:val="single" w:sz="4" w:space="4" w:color="auto"/>
        </w:pBdr>
        <w:spacing w:after="0" w:line="240" w:lineRule="auto"/>
        <w:rPr>
          <w:rFonts w:ascii="Arial" w:hAnsi="Arial"/>
        </w:rPr>
      </w:pPr>
      <w:r>
        <w:rPr>
          <w:rFonts w:ascii="Arial" w:hAnsi="Arial"/>
        </w:rPr>
        <w:t>Sumário do Workshop sobre Teoria da Mudança com as províncias;</w:t>
      </w:r>
    </w:p>
    <w:p w14:paraId="642F274A" w14:textId="77777777" w:rsidR="00EB40AC" w:rsidRPr="00EB40AC" w:rsidRDefault="00EB40AC" w:rsidP="00EB40AC">
      <w:pPr>
        <w:pStyle w:val="PargrafodaLista"/>
        <w:numPr>
          <w:ilvl w:val="0"/>
          <w:numId w:val="23"/>
        </w:numPr>
        <w:pBdr>
          <w:top w:val="single" w:sz="4" w:space="1" w:color="auto"/>
          <w:left w:val="single" w:sz="4" w:space="4" w:color="auto"/>
          <w:bottom w:val="single" w:sz="4" w:space="1" w:color="auto"/>
          <w:right w:val="single" w:sz="4" w:space="4" w:color="auto"/>
        </w:pBdr>
        <w:spacing w:after="0" w:line="240" w:lineRule="auto"/>
        <w:rPr>
          <w:rFonts w:ascii="Arial" w:hAnsi="Arial"/>
        </w:rPr>
      </w:pPr>
      <w:r w:rsidRPr="00EB40AC">
        <w:rPr>
          <w:rFonts w:ascii="Arial" w:hAnsi="Arial"/>
        </w:rPr>
        <w:t>Consultas exploratórias a Sociedade Civil de Algumas Províncias</w:t>
      </w:r>
    </w:p>
    <w:p w14:paraId="31482F96" w14:textId="5BF28C27" w:rsidR="00EB40AC" w:rsidRPr="00685743" w:rsidRDefault="00EB40AC" w:rsidP="00EB40AC">
      <w:pPr>
        <w:pStyle w:val="PargrafodaLista"/>
        <w:numPr>
          <w:ilvl w:val="0"/>
          <w:numId w:val="23"/>
        </w:numPr>
        <w:pBdr>
          <w:top w:val="single" w:sz="4" w:space="1" w:color="auto"/>
          <w:left w:val="single" w:sz="4" w:space="4" w:color="auto"/>
          <w:bottom w:val="single" w:sz="4" w:space="1" w:color="auto"/>
          <w:right w:val="single" w:sz="4" w:space="4" w:color="auto"/>
        </w:pBdr>
        <w:spacing w:after="0" w:line="240" w:lineRule="auto"/>
        <w:rPr>
          <w:rFonts w:ascii="Arial" w:hAnsi="Arial"/>
        </w:rPr>
      </w:pPr>
      <w:r>
        <w:rPr>
          <w:rFonts w:ascii="Arial" w:hAnsi="Arial"/>
        </w:rPr>
        <w:t xml:space="preserve">Resultados do Inquérito de obstáculos a vacinação </w:t>
      </w:r>
    </w:p>
    <w:sectPr w:rsidR="00EB40AC" w:rsidRPr="00685743" w:rsidSect="00476FA7">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0AB63" w14:textId="77777777" w:rsidR="000727D6" w:rsidRDefault="000727D6" w:rsidP="002A6654">
      <w:pPr>
        <w:spacing w:after="0" w:line="240" w:lineRule="auto"/>
      </w:pPr>
      <w:r>
        <w:separator/>
      </w:r>
    </w:p>
  </w:endnote>
  <w:endnote w:type="continuationSeparator" w:id="0">
    <w:p w14:paraId="02FB0C34" w14:textId="77777777" w:rsidR="000727D6" w:rsidRDefault="000727D6" w:rsidP="002A6654">
      <w:pPr>
        <w:spacing w:after="0" w:line="240" w:lineRule="auto"/>
      </w:pPr>
      <w:r>
        <w:continuationSeparator/>
      </w:r>
    </w:p>
  </w:endnote>
  <w:endnote w:type="continuationNotice" w:id="1">
    <w:p w14:paraId="1D956CB5" w14:textId="77777777" w:rsidR="000727D6" w:rsidRDefault="00072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6C283" w14:textId="77777777" w:rsidR="00CA0249" w:rsidRDefault="00CA024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77777777" w:rsidR="00F363C2" w:rsidRPr="00B97F10" w:rsidRDefault="00F363C2">
    <w:pPr>
      <w:pStyle w:val="Rodap"/>
      <w:jc w:val="right"/>
      <w:rPr>
        <w:color w:val="0070C0"/>
      </w:rPr>
    </w:pPr>
    <w:r w:rsidRPr="00B97F10">
      <w:rPr>
        <w:color w:val="0070C0"/>
      </w:rPr>
      <w:fldChar w:fldCharType="begin"/>
    </w:r>
    <w:r w:rsidRPr="00B97F10">
      <w:rPr>
        <w:color w:val="0070C0"/>
      </w:rPr>
      <w:instrText xml:space="preserve"> PAGE   \* MERGEFORMAT </w:instrText>
    </w:r>
    <w:r w:rsidRPr="00B97F10">
      <w:rPr>
        <w:color w:val="0070C0"/>
      </w:rPr>
      <w:fldChar w:fldCharType="separate"/>
    </w:r>
    <w:r>
      <w:rPr>
        <w:noProof/>
        <w:color w:val="0070C0"/>
      </w:rPr>
      <w:t>1</w:t>
    </w:r>
    <w:r w:rsidRPr="00B97F10">
      <w:rPr>
        <w:color w:val="0070C0"/>
      </w:rPr>
      <w:fldChar w:fldCharType="end"/>
    </w:r>
  </w:p>
  <w:p w14:paraId="6BD18F9B" w14:textId="77777777" w:rsidR="00F363C2" w:rsidRDefault="00F363C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1226E" w14:textId="77777777" w:rsidR="00CA0249" w:rsidRDefault="00CA024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EBCB7" w14:textId="77777777" w:rsidR="000727D6" w:rsidRDefault="000727D6" w:rsidP="002A6654">
      <w:pPr>
        <w:spacing w:after="0" w:line="240" w:lineRule="auto"/>
      </w:pPr>
      <w:r>
        <w:separator/>
      </w:r>
    </w:p>
  </w:footnote>
  <w:footnote w:type="continuationSeparator" w:id="0">
    <w:p w14:paraId="2917680B" w14:textId="77777777" w:rsidR="000727D6" w:rsidRDefault="000727D6" w:rsidP="002A6654">
      <w:pPr>
        <w:spacing w:after="0" w:line="240" w:lineRule="auto"/>
      </w:pPr>
      <w:r>
        <w:continuationSeparator/>
      </w:r>
    </w:p>
  </w:footnote>
  <w:footnote w:type="continuationNotice" w:id="1">
    <w:p w14:paraId="38A79799" w14:textId="77777777" w:rsidR="000727D6" w:rsidRDefault="00072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A2603" w14:textId="77777777" w:rsidR="00CA0249" w:rsidRDefault="00CA024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75F40" w14:textId="44EAD9B0" w:rsidR="00F363C2" w:rsidRDefault="0003664C">
    <w:pPr>
      <w:pStyle w:val="Cabealho"/>
    </w:pPr>
    <w:r>
      <w:rPr>
        <w:noProof/>
      </w:rPr>
      <mc:AlternateContent>
        <mc:Choice Requires="wps">
          <w:drawing>
            <wp:anchor distT="0" distB="0" distL="114300" distR="114300" simplePos="0" relativeHeight="251656192" behindDoc="0" locked="0" layoutInCell="1" allowOverlap="1" wp14:anchorId="0C266BD1" wp14:editId="5533F27F">
              <wp:simplePos x="0" y="0"/>
              <wp:positionH relativeFrom="column">
                <wp:posOffset>2301240</wp:posOffset>
              </wp:positionH>
              <wp:positionV relativeFrom="page">
                <wp:posOffset>71755</wp:posOffset>
              </wp:positionV>
              <wp:extent cx="4366260" cy="79438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6260" cy="794385"/>
                      </a:xfrm>
                      <a:prstGeom prst="rect">
                        <a:avLst/>
                      </a:prstGeom>
                      <a:noFill/>
                      <a:ln>
                        <a:noFill/>
                      </a:ln>
                    </wps:spPr>
                    <wps:txbx>
                      <w:txbxContent>
                        <w:p w14:paraId="11CB02B3" w14:textId="0FCDC5B0" w:rsidR="00F363C2" w:rsidRPr="00FB047E" w:rsidRDefault="00F363C2" w:rsidP="00FB047E">
                          <w:pPr>
                            <w:spacing w:after="0"/>
                            <w:rPr>
                              <w:b/>
                              <w:color w:val="0070C0"/>
                              <w:sz w:val="24"/>
                            </w:rPr>
                          </w:pPr>
                          <w:r>
                            <w:rPr>
                              <w:b/>
                              <w:color w:val="0070C0"/>
                              <w:sz w:val="24"/>
                            </w:rPr>
                            <w:t xml:space="preserve">Abordagem Gavi a PRM: </w:t>
                          </w:r>
                          <w:r w:rsidRPr="00FB047E">
                            <w:rPr>
                              <w:b/>
                              <w:color w:val="0070C0"/>
                              <w:sz w:val="24"/>
                            </w:rPr>
                            <w:t>Modelo para Descrição de Apoio à Teoria da Mudança de Intervenções</w:t>
                          </w:r>
                          <w:r w:rsidR="00EC1ECE">
                            <w:rPr>
                              <w:b/>
                              <w:color w:val="0070C0"/>
                              <w:sz w:val="24"/>
                            </w:rPr>
                            <w:t>-Alvo</w:t>
                          </w:r>
                        </w:p>
                        <w:p w14:paraId="4604C364" w14:textId="77777777" w:rsidR="00F363C2" w:rsidRPr="00B76B32" w:rsidRDefault="00F363C2" w:rsidP="00800C74">
                          <w:pPr>
                            <w:spacing w:after="0"/>
                            <w:rPr>
                              <w:color w:val="0070C0"/>
                            </w:rPr>
                          </w:pPr>
                          <w:r>
                            <w:rPr>
                              <w:color w:val="0070C0"/>
                            </w:rPr>
                            <w:t>Agosto de 2021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66BD1" id="_x0000_t202" coordsize="21600,21600" o:spt="202" path="m,l,21600r21600,l21600,xe">
              <v:stroke joinstyle="miter"/>
              <v:path gradientshapeok="t" o:connecttype="rect"/>
            </v:shapetype>
            <v:shape id="Text Box 17" o:spid="_x0000_s1026" type="#_x0000_t202" style="position:absolute;margin-left:181.2pt;margin-top:5.65pt;width:343.8pt;height:6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" filled="f" stroked="f">
              <v:textbox>
                <w:txbxContent>
                  <w:p w14:paraId="11CB02B3" w14:textId="0FCDC5B0" w:rsidR="00F363C2" w:rsidRPr="00FB047E" w:rsidRDefault="00F363C2" w:rsidP="00FB047E">
                    <w:pPr>
                      <w:spacing w:after="0"/>
                      <w:rPr>
                        <w:b/>
                        <w:color w:val="0070C0"/>
                        <w:sz w:val="24"/>
                      </w:rPr>
                    </w:pPr>
                    <w:r>
                      <w:rPr>
                        <w:b/>
                        <w:color w:val="0070C0"/>
                        <w:sz w:val="24"/>
                      </w:rPr>
                      <w:t xml:space="preserve">Abordagem Gavi a PRM: </w:t>
                    </w:r>
                    <w:r w:rsidRPr="00FB047E">
                      <w:rPr>
                        <w:b/>
                        <w:color w:val="0070C0"/>
                        <w:sz w:val="24"/>
                      </w:rPr>
                      <w:t>Modelo para Descrição de Apoio à Teoria da Mudança de Intervenções</w:t>
                    </w:r>
                    <w:r w:rsidR="00EC1ECE">
                      <w:rPr>
                        <w:b/>
                        <w:color w:val="0070C0"/>
                        <w:sz w:val="24"/>
                      </w:rPr>
                      <w:t>-Alvo</w:t>
                    </w:r>
                  </w:p>
                  <w:p w14:paraId="4604C364" w14:textId="77777777" w:rsidR="00F363C2" w:rsidRPr="00B76B32" w:rsidRDefault="00F363C2" w:rsidP="00800C74">
                    <w:pPr>
                      <w:spacing w:after="0"/>
                      <w:rPr>
                        <w:color w:val="0070C0"/>
                      </w:rPr>
                    </w:pPr>
                    <w:r>
                      <w:rPr>
                        <w:color w:val="0070C0"/>
                      </w:rPr>
                      <w:t>Agosto de 2021</w:t>
                    </w:r>
                  </w:p>
                </w:txbxContent>
              </v:textbox>
              <w10:wrap anchory="page"/>
            </v:shape>
          </w:pict>
        </mc:Fallback>
      </mc:AlternateContent>
    </w:r>
    <w:r w:rsidR="00EE239E">
      <w:rPr>
        <w:noProof/>
        <w:lang w:eastAsia="pt-PT"/>
      </w:rPr>
      <w:drawing>
        <wp:anchor distT="0" distB="0" distL="114300" distR="114300" simplePos="0" relativeHeight="251660288" behindDoc="1" locked="0" layoutInCell="1" allowOverlap="1" wp14:anchorId="6B880C16" wp14:editId="7D8E5C8B">
          <wp:simplePos x="0" y="0"/>
          <wp:positionH relativeFrom="margin">
            <wp:posOffset>-7620</wp:posOffset>
          </wp:positionH>
          <wp:positionV relativeFrom="page">
            <wp:posOffset>251460</wp:posOffset>
          </wp:positionV>
          <wp:extent cx="1186180" cy="439420"/>
          <wp:effectExtent l="0" t="0" r="0" b="0"/>
          <wp:wrapTight wrapText="bothSides">
            <wp:wrapPolygon edited="0">
              <wp:start x="14916" y="0"/>
              <wp:lineTo x="347" y="2809"/>
              <wp:lineTo x="0" y="11237"/>
              <wp:lineTo x="347" y="20601"/>
              <wp:lineTo x="18732" y="20601"/>
              <wp:lineTo x="19079" y="20601"/>
              <wp:lineTo x="21161" y="15919"/>
              <wp:lineTo x="21161" y="3746"/>
              <wp:lineTo x="19079" y="0"/>
              <wp:lineTo x="14916"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l="10297" t="21860" r="10744" b="21696"/>
                  <a:stretch>
                    <a:fillRect/>
                  </a:stretch>
                </pic:blipFill>
                <pic:spPr bwMode="auto">
                  <a:xfrm>
                    <a:off x="0" y="0"/>
                    <a:ext cx="1186180" cy="4394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7" distR="114297" simplePos="0" relativeHeight="251657216" behindDoc="0" locked="0" layoutInCell="1" allowOverlap="1" wp14:anchorId="599E68F4" wp14:editId="26B0FAE8">
              <wp:simplePos x="0" y="0"/>
              <wp:positionH relativeFrom="column">
                <wp:posOffset>2293619</wp:posOffset>
              </wp:positionH>
              <wp:positionV relativeFrom="page">
                <wp:posOffset>254635</wp:posOffset>
              </wp:positionV>
              <wp:extent cx="0" cy="439420"/>
              <wp:effectExtent l="0" t="0" r="19050" b="177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noFill/>
                      <a:ln w="6350" cap="flat" cmpd="sng" algn="ctr">
                        <a:solidFill>
                          <a:srgbClr val="00A1DE"/>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9864BB" id="Straight Connector 4" o:spid="_x0000_s1026" style="position:absolute;z-index:2516572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page;mso-width-percent:0;mso-height-percent:0;mso-width-relative:page;mso-height-relative:page" from="180.6pt,20.05pt" to="180.6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" strokecolor="#00a1de" strokeweight=".5pt">
              <v:stroke joinstyle="miter"/>
              <o:lock v:ext="edit" shapetype="f"/>
              <w10:wrap anchory="page"/>
            </v:line>
          </w:pict>
        </mc:Fallback>
      </mc:AlternateContent>
    </w:r>
    <w:r>
      <w:rPr>
        <w:noProof/>
      </w:rPr>
      <mc:AlternateContent>
        <mc:Choice Requires="wps">
          <w:drawing>
            <wp:anchor distT="0" distB="0" distL="114300" distR="114300" simplePos="0" relativeHeight="251659264" behindDoc="1" locked="0" layoutInCell="1" allowOverlap="1" wp14:anchorId="0DF44CDA" wp14:editId="35740A15">
              <wp:simplePos x="0" y="0"/>
              <wp:positionH relativeFrom="page">
                <wp:posOffset>-7620</wp:posOffset>
              </wp:positionH>
              <wp:positionV relativeFrom="page">
                <wp:posOffset>810895</wp:posOffset>
              </wp:positionV>
              <wp:extent cx="7772400" cy="660400"/>
              <wp:effectExtent l="0" t="0" r="0" b="0"/>
              <wp:wrapNone/>
              <wp:docPr id="19" name="Rectangle: Rounded Corner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660400"/>
                      </a:xfrm>
                      <a:prstGeom prst="roundRect">
                        <a:avLst>
                          <a:gd name="adj" fmla="val 50000"/>
                        </a:avLst>
                      </a:prstGeom>
                      <a:solidFill>
                        <a:sysClr val="window" lastClr="FFFFFF"/>
                      </a:solidFill>
                      <a:ln w="6350" cap="flat" cmpd="sng" algn="ctr">
                        <a:noFill/>
                        <a:prstDash val="solid"/>
                        <a:miter lim="800000"/>
                      </a:ln>
                      <a:effectLst/>
                    </wps:spPr>
                    <wps:txbx>
                      <w:txbxContent>
                        <w:p w14:paraId="16DEB4AB" w14:textId="77777777" w:rsidR="00F363C2" w:rsidRDefault="00F363C2" w:rsidP="00800C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DF44CDA" id="Rectangle: Rounded Corners 19" o:spid="_x0000_s1027" style="position:absolute;margin-left:-.6pt;margin-top:63.85pt;width:612pt;height: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" fillcolor="window" stroked="f" strokeweight=".5pt">
              <v:stroke joinstyle="miter"/>
              <v:textbox>
                <w:txbxContent>
                  <w:p w14:paraId="16DEB4AB" w14:textId="77777777" w:rsidR="00F363C2" w:rsidRDefault="00F363C2" w:rsidP="00800C74">
                    <w:pPr>
                      <w:jc w:val="center"/>
                    </w:pPr>
                  </w:p>
                </w:txbxContent>
              </v:textbox>
              <w10:wrap anchorx="page" anchory="page"/>
            </v:roundrect>
          </w:pict>
        </mc:Fallback>
      </mc:AlternateContent>
    </w:r>
    <w:r>
      <w:rPr>
        <w:noProof/>
      </w:rPr>
      <mc:AlternateContent>
        <mc:Choice Requires="wps">
          <w:drawing>
            <wp:anchor distT="0" distB="0" distL="114300" distR="114300" simplePos="0" relativeHeight="251658240" behindDoc="1" locked="0" layoutInCell="1" allowOverlap="1" wp14:anchorId="0423852A" wp14:editId="5A00839A">
              <wp:simplePos x="0" y="0"/>
              <wp:positionH relativeFrom="column">
                <wp:posOffset>-922020</wp:posOffset>
              </wp:positionH>
              <wp:positionV relativeFrom="page">
                <wp:posOffset>-210185</wp:posOffset>
              </wp:positionV>
              <wp:extent cx="7772400" cy="141795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417955"/>
                      </a:xfrm>
                      <a:prstGeom prst="rect">
                        <a:avLst/>
                      </a:prstGeom>
                      <a:solidFill>
                        <a:srgbClr val="F2F2F1"/>
                      </a:solidFill>
                      <a:ln w="6350" cap="flat" cmpd="sng" algn="ctr">
                        <a:noFill/>
                        <a:prstDash val="solid"/>
                        <a:miter lim="800000"/>
                      </a:ln>
                      <a:effectLst/>
                    </wps:spPr>
                    <wps:txbx>
                      <w:txbxContent>
                        <w:p w14:paraId="0AD9C6F4" w14:textId="77777777" w:rsidR="00F363C2" w:rsidRDefault="00F363C2" w:rsidP="00800C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23852A" id="Rectangle 3" o:spid="_x0000_s1028" style="position:absolute;margin-left:-72.6pt;margin-top:-16.55pt;width:612pt;height:11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" fillcolor="#f2f2f1" stroked="f" strokeweight=".5pt">
              <v:textbox>
                <w:txbxContent>
                  <w:p w14:paraId="0AD9C6F4" w14:textId="77777777" w:rsidR="00F363C2" w:rsidRDefault="00F363C2" w:rsidP="00800C74">
                    <w:pPr>
                      <w:jc w:val="center"/>
                    </w:pPr>
                  </w:p>
                </w:txbxContent>
              </v:textbox>
              <w10:wrap anchory="page"/>
            </v:rect>
          </w:pict>
        </mc:Fallback>
      </mc:AlternateContent>
    </w:r>
    <w:r>
      <w:rPr>
        <w:noProof/>
      </w:rPr>
      <mc:AlternateContent>
        <mc:Choice Requires="wps">
          <w:drawing>
            <wp:anchor distT="0" distB="0" distL="114300" distR="114300" simplePos="0" relativeHeight="251655168" behindDoc="0" locked="0" layoutInCell="0" allowOverlap="1" wp14:anchorId="604075CF" wp14:editId="2F07553E">
              <wp:simplePos x="0" y="0"/>
              <wp:positionH relativeFrom="page">
                <wp:posOffset>0</wp:posOffset>
              </wp:positionH>
              <wp:positionV relativeFrom="page">
                <wp:posOffset>190500</wp:posOffset>
              </wp:positionV>
              <wp:extent cx="7772400" cy="273050"/>
              <wp:effectExtent l="0" t="0" r="0" b="0"/>
              <wp:wrapNone/>
              <wp:docPr id="1" name="MSIPCM26d548799633d4d15517c464" descr="{&quot;HashCode&quot;:2027334168,&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273050"/>
                      </a:xfrm>
                      <a:prstGeom prst="rect">
                        <a:avLst/>
                      </a:prstGeom>
                      <a:noFill/>
                      <a:ln w="6350">
                        <a:noFill/>
                      </a:ln>
                    </wps:spPr>
                    <wps:txbx>
                      <w:txbxContent>
                        <w:p w14:paraId="4B1F511A" w14:textId="77777777" w:rsidR="00F363C2" w:rsidRPr="002A6654" w:rsidRDefault="00F363C2" w:rsidP="002A6654">
                          <w:pPr>
                            <w:spacing w:after="0"/>
                            <w:rPr>
                              <w:rFonts w:cs="Calibri"/>
                              <w:color w:val="000000"/>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4075CF" id="MSIPCM26d548799633d4d15517c464" o:spid="_x0000_s1029" type="#_x0000_t202" alt="{&quot;HashCode&quot;:2027334168,&quot;Height&quot;:792.0,&quot;Width&quot;:612.0,&quot;Placement&quot;:&quot;Header&quot;,&quot;Index&quot;:&quot;Primary&quot;,&quot;Section&quot;:1,&quot;Top&quot;:0.0,&quot;Left&quot;:0.0}" style="position:absolute;margin-left:0;margin-top:15pt;width:612pt;height:2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" o:allowincell="f" filled="f" stroked="f" strokeweight=".5pt">
              <v:textbox inset="20pt,0,,0">
                <w:txbxContent>
                  <w:p w14:paraId="4B1F511A" w14:textId="77777777" w:rsidR="00F363C2" w:rsidRPr="002A6654" w:rsidRDefault="00F363C2" w:rsidP="002A6654">
                    <w:pPr>
                      <w:spacing w:after="0"/>
                      <w:rPr>
                        <w:rFonts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EB000" w14:textId="77777777" w:rsidR="00CA0249" w:rsidRDefault="00CA024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3A0"/>
    <w:multiLevelType w:val="hybridMultilevel"/>
    <w:tmpl w:val="EDAA292C"/>
    <w:lvl w:ilvl="0" w:tplc="2E5E3DFA">
      <w:start w:val="1"/>
      <w:numFmt w:val="bullet"/>
      <w:lvlText w:val="●"/>
      <w:lvlJc w:val="left"/>
      <w:pPr>
        <w:ind w:left="360" w:hanging="360"/>
      </w:pPr>
      <w:rPr>
        <w:rFonts w:hint="default"/>
        <w:u w:val="no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E93696"/>
    <w:multiLevelType w:val="hybridMultilevel"/>
    <w:tmpl w:val="9F4CCC0C"/>
    <w:lvl w:ilvl="0" w:tplc="0C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633A52"/>
    <w:multiLevelType w:val="hybridMultilevel"/>
    <w:tmpl w:val="2F089D68"/>
    <w:lvl w:ilvl="0" w:tplc="C0786768">
      <w:start w:val="1"/>
      <w:numFmt w:val="bullet"/>
      <w:lvlText w:val=""/>
      <w:lvlJc w:val="left"/>
      <w:pPr>
        <w:tabs>
          <w:tab w:val="num" w:pos="786"/>
        </w:tabs>
        <w:ind w:left="786" w:hanging="360"/>
      </w:pPr>
      <w:rPr>
        <w:rFonts w:ascii="Symbol" w:hAnsi="Symbol" w:hint="default"/>
        <w:color w:val="auto"/>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AAB7D35"/>
    <w:multiLevelType w:val="hybridMultilevel"/>
    <w:tmpl w:val="E0A81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0122D2"/>
    <w:multiLevelType w:val="hybridMultilevel"/>
    <w:tmpl w:val="9A2ABED0"/>
    <w:lvl w:ilvl="0" w:tplc="0809000F">
      <w:start w:val="1"/>
      <w:numFmt w:val="decimal"/>
      <w:lvlText w:val="%1."/>
      <w:lvlJc w:val="left"/>
      <w:pPr>
        <w:ind w:left="720" w:hanging="360"/>
      </w:pPr>
      <w:rPr>
        <w:rFonts w:eastAsia="Times New Roman"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34254C0"/>
    <w:multiLevelType w:val="hybridMultilevel"/>
    <w:tmpl w:val="0086881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E1722E"/>
    <w:multiLevelType w:val="hybridMultilevel"/>
    <w:tmpl w:val="E9BA30A4"/>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28E065FA"/>
    <w:multiLevelType w:val="hybridMultilevel"/>
    <w:tmpl w:val="181AEB0E"/>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30A85FC5"/>
    <w:multiLevelType w:val="multilevel"/>
    <w:tmpl w:val="C5BA1272"/>
    <w:lvl w:ilvl="0">
      <w:start w:val="1"/>
      <w:numFmt w:val="decimal"/>
      <w:lvlText w:val="%1."/>
      <w:lvlJc w:val="left"/>
      <w:pPr>
        <w:ind w:left="360" w:hanging="360"/>
      </w:pPr>
      <w:rPr>
        <w:rFonts w:cs="Times New Roman"/>
      </w:rPr>
    </w:lvl>
    <w:lvl w:ilvl="1">
      <w:start w:val="1"/>
      <w:numFmt w:val="bullet"/>
      <w:lvlText w:val="○"/>
      <w:lvlJc w:val="left"/>
      <w:pPr>
        <w:ind w:left="1080" w:hanging="360"/>
      </w:pPr>
    </w:lvl>
    <w:lvl w:ilvl="2">
      <w:start w:val="1"/>
      <w:numFmt w:val="bullet"/>
      <w:lvlText w:val="■"/>
      <w:lvlJc w:val="left"/>
      <w:pPr>
        <w:ind w:left="1800" w:hanging="180"/>
      </w:pPr>
    </w:lvl>
    <w:lvl w:ilvl="3">
      <w:start w:val="1"/>
      <w:numFmt w:val="bullet"/>
      <w:lvlText w:val="●"/>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 w15:restartNumberingAfterBreak="0">
    <w:nsid w:val="335465F1"/>
    <w:multiLevelType w:val="hybridMultilevel"/>
    <w:tmpl w:val="5BEAA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D76D32"/>
    <w:multiLevelType w:val="hybridMultilevel"/>
    <w:tmpl w:val="E4C64512"/>
    <w:lvl w:ilvl="0" w:tplc="12D4CBF6">
      <w:start w:val="1"/>
      <w:numFmt w:val="lowerLetter"/>
      <w:lvlText w:val="%1)"/>
      <w:lvlJc w:val="left"/>
      <w:pPr>
        <w:ind w:left="720" w:hanging="360"/>
      </w:pPr>
      <w:rPr>
        <w:rFonts w:cs="Times New Roman" w:hint="default"/>
        <w:i w:val="0"/>
        <w:iCs w:val="0"/>
      </w:rPr>
    </w:lvl>
    <w:lvl w:ilvl="1" w:tplc="EC0E81F0">
      <w:start w:val="1"/>
      <w:numFmt w:val="lowerRoman"/>
      <w:lvlText w:val="%2."/>
      <w:lvlJc w:val="right"/>
      <w:pPr>
        <w:ind w:left="1440" w:hanging="360"/>
      </w:pPr>
      <w:rPr>
        <w:rFonts w:cs="Times New Roman"/>
        <w:i w:val="0"/>
        <w:iCs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1EA738F"/>
    <w:multiLevelType w:val="multilevel"/>
    <w:tmpl w:val="5BEAA2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DD01E3"/>
    <w:multiLevelType w:val="hybridMultilevel"/>
    <w:tmpl w:val="04E8B882"/>
    <w:lvl w:ilvl="0" w:tplc="2E5E3DFA">
      <w:start w:val="1"/>
      <w:numFmt w:val="bullet"/>
      <w:lvlText w:val="●"/>
      <w:lvlJc w:val="left"/>
      <w:pPr>
        <w:ind w:left="360" w:hanging="360"/>
      </w:pPr>
      <w:rPr>
        <w:u w:val="none"/>
      </w:rPr>
    </w:lvl>
    <w:lvl w:ilvl="1" w:tplc="29FE80B6">
      <w:start w:val="1"/>
      <w:numFmt w:val="bullet"/>
      <w:lvlText w:val="○"/>
      <w:lvlJc w:val="left"/>
      <w:pPr>
        <w:ind w:left="1080" w:hanging="360"/>
      </w:pPr>
      <w:rPr>
        <w:u w:val="none"/>
      </w:rPr>
    </w:lvl>
    <w:lvl w:ilvl="2" w:tplc="49829290">
      <w:start w:val="1"/>
      <w:numFmt w:val="bullet"/>
      <w:lvlText w:val="■"/>
      <w:lvlJc w:val="left"/>
      <w:pPr>
        <w:ind w:left="1800" w:hanging="360"/>
      </w:pPr>
      <w:rPr>
        <w:u w:val="none"/>
      </w:rPr>
    </w:lvl>
    <w:lvl w:ilvl="3" w:tplc="0F348C20">
      <w:start w:val="1"/>
      <w:numFmt w:val="bullet"/>
      <w:lvlText w:val="●"/>
      <w:lvlJc w:val="left"/>
      <w:pPr>
        <w:ind w:left="2520" w:hanging="360"/>
      </w:pPr>
      <w:rPr>
        <w:u w:val="none"/>
      </w:rPr>
    </w:lvl>
    <w:lvl w:ilvl="4" w:tplc="3A2E6AD6">
      <w:start w:val="1"/>
      <w:numFmt w:val="bullet"/>
      <w:lvlText w:val="○"/>
      <w:lvlJc w:val="left"/>
      <w:pPr>
        <w:ind w:left="3240" w:hanging="360"/>
      </w:pPr>
      <w:rPr>
        <w:u w:val="none"/>
      </w:rPr>
    </w:lvl>
    <w:lvl w:ilvl="5" w:tplc="0660D644">
      <w:start w:val="1"/>
      <w:numFmt w:val="bullet"/>
      <w:lvlText w:val="■"/>
      <w:lvlJc w:val="left"/>
      <w:pPr>
        <w:ind w:left="3960" w:hanging="360"/>
      </w:pPr>
      <w:rPr>
        <w:u w:val="none"/>
      </w:rPr>
    </w:lvl>
    <w:lvl w:ilvl="6" w:tplc="72127738">
      <w:start w:val="1"/>
      <w:numFmt w:val="bullet"/>
      <w:lvlText w:val="●"/>
      <w:lvlJc w:val="left"/>
      <w:pPr>
        <w:ind w:left="4680" w:hanging="360"/>
      </w:pPr>
      <w:rPr>
        <w:u w:val="none"/>
      </w:rPr>
    </w:lvl>
    <w:lvl w:ilvl="7" w:tplc="381C0F8A">
      <w:start w:val="1"/>
      <w:numFmt w:val="bullet"/>
      <w:lvlText w:val="○"/>
      <w:lvlJc w:val="left"/>
      <w:pPr>
        <w:ind w:left="5400" w:hanging="360"/>
      </w:pPr>
      <w:rPr>
        <w:u w:val="none"/>
      </w:rPr>
    </w:lvl>
    <w:lvl w:ilvl="8" w:tplc="8604D2DA">
      <w:start w:val="1"/>
      <w:numFmt w:val="bullet"/>
      <w:lvlText w:val="■"/>
      <w:lvlJc w:val="left"/>
      <w:pPr>
        <w:ind w:left="6120" w:hanging="360"/>
      </w:pPr>
      <w:rPr>
        <w:u w:val="none"/>
      </w:rPr>
    </w:lvl>
  </w:abstractNum>
  <w:abstractNum w:abstractNumId="13" w15:restartNumberingAfterBreak="0">
    <w:nsid w:val="47A71A04"/>
    <w:multiLevelType w:val="hybridMultilevel"/>
    <w:tmpl w:val="A3129C8C"/>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FD02E4A"/>
    <w:multiLevelType w:val="hybridMultilevel"/>
    <w:tmpl w:val="A7E814C8"/>
    <w:lvl w:ilvl="0" w:tplc="EBF4B2BE">
      <w:start w:val="1"/>
      <w:numFmt w:val="bullet"/>
      <w:lvlText w:val="-"/>
      <w:lvlJc w:val="left"/>
      <w:pPr>
        <w:ind w:left="720" w:hanging="360"/>
      </w:pPr>
      <w:rPr>
        <w:rFonts w:ascii="Arial" w:eastAsia="Times New Roman" w:hAnsi="Aria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F017DB"/>
    <w:multiLevelType w:val="hybridMultilevel"/>
    <w:tmpl w:val="0172B57A"/>
    <w:lvl w:ilvl="0" w:tplc="0C000011">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6" w15:restartNumberingAfterBreak="0">
    <w:nsid w:val="5D1A6800"/>
    <w:multiLevelType w:val="hybridMultilevel"/>
    <w:tmpl w:val="DB6695C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64B1274A"/>
    <w:multiLevelType w:val="hybridMultilevel"/>
    <w:tmpl w:val="E59C1B7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64C22CD6"/>
    <w:multiLevelType w:val="hybridMultilevel"/>
    <w:tmpl w:val="E0862262"/>
    <w:lvl w:ilvl="0" w:tplc="0809000F">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9" w15:restartNumberingAfterBreak="0">
    <w:nsid w:val="6A284E08"/>
    <w:multiLevelType w:val="hybridMultilevel"/>
    <w:tmpl w:val="8818754E"/>
    <w:lvl w:ilvl="0" w:tplc="29FE80B6">
      <w:start w:val="1"/>
      <w:numFmt w:val="bullet"/>
      <w:lvlText w:val="○"/>
      <w:lvlJc w:val="left"/>
      <w:pPr>
        <w:ind w:left="360" w:hanging="360"/>
      </w:pPr>
      <w:rPr>
        <w:rFonts w:hint="default"/>
        <w:u w:val="no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FF262DD"/>
    <w:multiLevelType w:val="hybridMultilevel"/>
    <w:tmpl w:val="1B3C0B1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E13210"/>
    <w:multiLevelType w:val="hybridMultilevel"/>
    <w:tmpl w:val="BA0ABC52"/>
    <w:lvl w:ilvl="0" w:tplc="2E5E3DFA">
      <w:start w:val="1"/>
      <w:numFmt w:val="bullet"/>
      <w:lvlText w:val="●"/>
      <w:lvlJc w:val="left"/>
      <w:pPr>
        <w:ind w:left="360" w:hanging="360"/>
      </w:pPr>
      <w:rPr>
        <w:rFonts w:hint="default"/>
        <w:u w:val="no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DB55FC0"/>
    <w:multiLevelType w:val="hybridMultilevel"/>
    <w:tmpl w:val="6E5A1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7"/>
  </w:num>
  <w:num w:numId="3">
    <w:abstractNumId w:val="8"/>
  </w:num>
  <w:num w:numId="4">
    <w:abstractNumId w:val="3"/>
  </w:num>
  <w:num w:numId="5">
    <w:abstractNumId w:val="22"/>
  </w:num>
  <w:num w:numId="6">
    <w:abstractNumId w:val="12"/>
  </w:num>
  <w:num w:numId="7">
    <w:abstractNumId w:val="0"/>
  </w:num>
  <w:num w:numId="8">
    <w:abstractNumId w:val="21"/>
  </w:num>
  <w:num w:numId="9">
    <w:abstractNumId w:val="19"/>
  </w:num>
  <w:num w:numId="10">
    <w:abstractNumId w:val="18"/>
  </w:num>
  <w:num w:numId="11">
    <w:abstractNumId w:val="9"/>
  </w:num>
  <w:num w:numId="12">
    <w:abstractNumId w:val="6"/>
  </w:num>
  <w:num w:numId="13">
    <w:abstractNumId w:val="16"/>
  </w:num>
  <w:num w:numId="14">
    <w:abstractNumId w:val="5"/>
  </w:num>
  <w:num w:numId="15">
    <w:abstractNumId w:val="13"/>
  </w:num>
  <w:num w:numId="16">
    <w:abstractNumId w:val="4"/>
  </w:num>
  <w:num w:numId="17">
    <w:abstractNumId w:val="14"/>
  </w:num>
  <w:num w:numId="18">
    <w:abstractNumId w:val="20"/>
  </w:num>
  <w:num w:numId="19">
    <w:abstractNumId w:val="11"/>
  </w:num>
  <w:num w:numId="20">
    <w:abstractNumId w:val="2"/>
  </w:num>
  <w:num w:numId="21">
    <w:abstractNumId w:val="1"/>
  </w:num>
  <w:num w:numId="22">
    <w:abstractNumId w:val="7"/>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jI1NzU3NDIzMjJQ0lEKTi0uzszPAykwrAUAwajepywAAAA="/>
  </w:docVars>
  <w:rsids>
    <w:rsidRoot w:val="00784613"/>
    <w:rsid w:val="0000572A"/>
    <w:rsid w:val="0002120C"/>
    <w:rsid w:val="0002293F"/>
    <w:rsid w:val="0003664C"/>
    <w:rsid w:val="00042F9D"/>
    <w:rsid w:val="00043818"/>
    <w:rsid w:val="00047ADD"/>
    <w:rsid w:val="00051452"/>
    <w:rsid w:val="000547FF"/>
    <w:rsid w:val="00055BEC"/>
    <w:rsid w:val="000727D6"/>
    <w:rsid w:val="000732C1"/>
    <w:rsid w:val="00083941"/>
    <w:rsid w:val="00090AC7"/>
    <w:rsid w:val="000B0BCC"/>
    <w:rsid w:val="000B2E3D"/>
    <w:rsid w:val="000D11EA"/>
    <w:rsid w:val="000D69F7"/>
    <w:rsid w:val="00110BED"/>
    <w:rsid w:val="001206C8"/>
    <w:rsid w:val="00123AD8"/>
    <w:rsid w:val="00127A23"/>
    <w:rsid w:val="00127EF3"/>
    <w:rsid w:val="0013340C"/>
    <w:rsid w:val="0014051E"/>
    <w:rsid w:val="00147792"/>
    <w:rsid w:val="0015206E"/>
    <w:rsid w:val="0015511B"/>
    <w:rsid w:val="00176825"/>
    <w:rsid w:val="001800D1"/>
    <w:rsid w:val="0019747B"/>
    <w:rsid w:val="001A36DB"/>
    <w:rsid w:val="001B127B"/>
    <w:rsid w:val="001C11A7"/>
    <w:rsid w:val="001D3097"/>
    <w:rsid w:val="001D3D8C"/>
    <w:rsid w:val="001E2179"/>
    <w:rsid w:val="001E5FFD"/>
    <w:rsid w:val="001F239F"/>
    <w:rsid w:val="001F2996"/>
    <w:rsid w:val="00206678"/>
    <w:rsid w:val="00213D37"/>
    <w:rsid w:val="002205FA"/>
    <w:rsid w:val="002310DE"/>
    <w:rsid w:val="00231189"/>
    <w:rsid w:val="002364D6"/>
    <w:rsid w:val="0025249E"/>
    <w:rsid w:val="00262A84"/>
    <w:rsid w:val="0026766F"/>
    <w:rsid w:val="002725E5"/>
    <w:rsid w:val="00281E9C"/>
    <w:rsid w:val="00290B16"/>
    <w:rsid w:val="0029339B"/>
    <w:rsid w:val="00296463"/>
    <w:rsid w:val="002A293E"/>
    <w:rsid w:val="002A6654"/>
    <w:rsid w:val="002A7816"/>
    <w:rsid w:val="002C7FD9"/>
    <w:rsid w:val="002D732C"/>
    <w:rsid w:val="002F32BF"/>
    <w:rsid w:val="002F5921"/>
    <w:rsid w:val="00331841"/>
    <w:rsid w:val="00335A1A"/>
    <w:rsid w:val="0034140A"/>
    <w:rsid w:val="0034198D"/>
    <w:rsid w:val="00344A52"/>
    <w:rsid w:val="00362823"/>
    <w:rsid w:val="0036296A"/>
    <w:rsid w:val="00367A59"/>
    <w:rsid w:val="00387144"/>
    <w:rsid w:val="003907B3"/>
    <w:rsid w:val="00393601"/>
    <w:rsid w:val="00394D39"/>
    <w:rsid w:val="00396B73"/>
    <w:rsid w:val="003A0234"/>
    <w:rsid w:val="003A455F"/>
    <w:rsid w:val="003D1F88"/>
    <w:rsid w:val="003D59A3"/>
    <w:rsid w:val="003D6FFF"/>
    <w:rsid w:val="003E0BE8"/>
    <w:rsid w:val="003F09F6"/>
    <w:rsid w:val="00402279"/>
    <w:rsid w:val="00402D3A"/>
    <w:rsid w:val="00403CF4"/>
    <w:rsid w:val="004249A0"/>
    <w:rsid w:val="00424EFD"/>
    <w:rsid w:val="00425775"/>
    <w:rsid w:val="004272E5"/>
    <w:rsid w:val="0043379C"/>
    <w:rsid w:val="00433E12"/>
    <w:rsid w:val="00444358"/>
    <w:rsid w:val="00447869"/>
    <w:rsid w:val="004527B0"/>
    <w:rsid w:val="00453709"/>
    <w:rsid w:val="0046563B"/>
    <w:rsid w:val="00465DE6"/>
    <w:rsid w:val="00476FA7"/>
    <w:rsid w:val="00493914"/>
    <w:rsid w:val="00496C3A"/>
    <w:rsid w:val="004B3B4F"/>
    <w:rsid w:val="004B3DDD"/>
    <w:rsid w:val="004B7CF0"/>
    <w:rsid w:val="004C5B2C"/>
    <w:rsid w:val="004D2712"/>
    <w:rsid w:val="004D3B2F"/>
    <w:rsid w:val="004E0684"/>
    <w:rsid w:val="004E2812"/>
    <w:rsid w:val="004F5881"/>
    <w:rsid w:val="00501A6B"/>
    <w:rsid w:val="00511D1F"/>
    <w:rsid w:val="005151BD"/>
    <w:rsid w:val="005250D8"/>
    <w:rsid w:val="005350A5"/>
    <w:rsid w:val="00536949"/>
    <w:rsid w:val="0054530F"/>
    <w:rsid w:val="00563C02"/>
    <w:rsid w:val="005749F1"/>
    <w:rsid w:val="005776C6"/>
    <w:rsid w:val="00594977"/>
    <w:rsid w:val="00597F42"/>
    <w:rsid w:val="005A07DF"/>
    <w:rsid w:val="005A6365"/>
    <w:rsid w:val="005B004B"/>
    <w:rsid w:val="005B2735"/>
    <w:rsid w:val="005B30B2"/>
    <w:rsid w:val="005B5050"/>
    <w:rsid w:val="005C085E"/>
    <w:rsid w:val="005C1E09"/>
    <w:rsid w:val="005C6726"/>
    <w:rsid w:val="005D0658"/>
    <w:rsid w:val="005D3440"/>
    <w:rsid w:val="005D60A5"/>
    <w:rsid w:val="005F42F7"/>
    <w:rsid w:val="00605E2E"/>
    <w:rsid w:val="00621E39"/>
    <w:rsid w:val="00631A0E"/>
    <w:rsid w:val="00632253"/>
    <w:rsid w:val="00643F0A"/>
    <w:rsid w:val="00660165"/>
    <w:rsid w:val="00661F2D"/>
    <w:rsid w:val="00662BCE"/>
    <w:rsid w:val="00677667"/>
    <w:rsid w:val="00682579"/>
    <w:rsid w:val="00685743"/>
    <w:rsid w:val="006A3EDC"/>
    <w:rsid w:val="006B16B7"/>
    <w:rsid w:val="006C6E7E"/>
    <w:rsid w:val="006F211E"/>
    <w:rsid w:val="00704DC3"/>
    <w:rsid w:val="00715BA2"/>
    <w:rsid w:val="00717199"/>
    <w:rsid w:val="00725EE2"/>
    <w:rsid w:val="0073093F"/>
    <w:rsid w:val="00742548"/>
    <w:rsid w:val="007572E5"/>
    <w:rsid w:val="007665C9"/>
    <w:rsid w:val="007702A7"/>
    <w:rsid w:val="007714BC"/>
    <w:rsid w:val="007732EA"/>
    <w:rsid w:val="00784613"/>
    <w:rsid w:val="007A02DC"/>
    <w:rsid w:val="007A415D"/>
    <w:rsid w:val="007A7342"/>
    <w:rsid w:val="007C347D"/>
    <w:rsid w:val="007D28F8"/>
    <w:rsid w:val="007D4BBD"/>
    <w:rsid w:val="007D725B"/>
    <w:rsid w:val="007E1AA0"/>
    <w:rsid w:val="007E6BEA"/>
    <w:rsid w:val="007E72D3"/>
    <w:rsid w:val="007E76F5"/>
    <w:rsid w:val="007F32FB"/>
    <w:rsid w:val="007F3464"/>
    <w:rsid w:val="00800C74"/>
    <w:rsid w:val="008105EF"/>
    <w:rsid w:val="0081246E"/>
    <w:rsid w:val="00821939"/>
    <w:rsid w:val="0082314B"/>
    <w:rsid w:val="00823899"/>
    <w:rsid w:val="00830582"/>
    <w:rsid w:val="00836D3B"/>
    <w:rsid w:val="008378C1"/>
    <w:rsid w:val="008455AE"/>
    <w:rsid w:val="008512F8"/>
    <w:rsid w:val="00855059"/>
    <w:rsid w:val="0086117F"/>
    <w:rsid w:val="00865817"/>
    <w:rsid w:val="008772EC"/>
    <w:rsid w:val="00884B4C"/>
    <w:rsid w:val="00895684"/>
    <w:rsid w:val="00897AF9"/>
    <w:rsid w:val="008A4C28"/>
    <w:rsid w:val="008D3FEE"/>
    <w:rsid w:val="008F20BA"/>
    <w:rsid w:val="008F4498"/>
    <w:rsid w:val="008F64BC"/>
    <w:rsid w:val="00940EBD"/>
    <w:rsid w:val="009438AD"/>
    <w:rsid w:val="009628A1"/>
    <w:rsid w:val="009972D7"/>
    <w:rsid w:val="009A048D"/>
    <w:rsid w:val="009A33E2"/>
    <w:rsid w:val="009B02E6"/>
    <w:rsid w:val="009B1CE3"/>
    <w:rsid w:val="009B5BB8"/>
    <w:rsid w:val="009C035E"/>
    <w:rsid w:val="009C1C3F"/>
    <w:rsid w:val="009C475A"/>
    <w:rsid w:val="009C5F5C"/>
    <w:rsid w:val="009D18DB"/>
    <w:rsid w:val="009D2AAC"/>
    <w:rsid w:val="009D79D1"/>
    <w:rsid w:val="009F40A8"/>
    <w:rsid w:val="009F4E1C"/>
    <w:rsid w:val="00A01B89"/>
    <w:rsid w:val="00A020CF"/>
    <w:rsid w:val="00A36E58"/>
    <w:rsid w:val="00A4129C"/>
    <w:rsid w:val="00A426D1"/>
    <w:rsid w:val="00A42AD7"/>
    <w:rsid w:val="00A4326A"/>
    <w:rsid w:val="00A472EA"/>
    <w:rsid w:val="00A6190D"/>
    <w:rsid w:val="00A6581E"/>
    <w:rsid w:val="00A666A3"/>
    <w:rsid w:val="00A6793F"/>
    <w:rsid w:val="00A7063B"/>
    <w:rsid w:val="00A778BD"/>
    <w:rsid w:val="00A94AE3"/>
    <w:rsid w:val="00AB74F1"/>
    <w:rsid w:val="00AD561E"/>
    <w:rsid w:val="00AF139D"/>
    <w:rsid w:val="00AF659B"/>
    <w:rsid w:val="00B17F13"/>
    <w:rsid w:val="00B22F0B"/>
    <w:rsid w:val="00B32C3B"/>
    <w:rsid w:val="00B45F3A"/>
    <w:rsid w:val="00B628E6"/>
    <w:rsid w:val="00B64011"/>
    <w:rsid w:val="00B76B32"/>
    <w:rsid w:val="00B97F10"/>
    <w:rsid w:val="00BA2D65"/>
    <w:rsid w:val="00BA502E"/>
    <w:rsid w:val="00BA58AE"/>
    <w:rsid w:val="00BB3F0B"/>
    <w:rsid w:val="00BB5281"/>
    <w:rsid w:val="00BC3003"/>
    <w:rsid w:val="00BC5758"/>
    <w:rsid w:val="00BD53B4"/>
    <w:rsid w:val="00BF0E9E"/>
    <w:rsid w:val="00C13A17"/>
    <w:rsid w:val="00C17F5C"/>
    <w:rsid w:val="00C22627"/>
    <w:rsid w:val="00C23321"/>
    <w:rsid w:val="00C243C6"/>
    <w:rsid w:val="00C43B5D"/>
    <w:rsid w:val="00C52CEF"/>
    <w:rsid w:val="00C74AC5"/>
    <w:rsid w:val="00C868AD"/>
    <w:rsid w:val="00C87FA2"/>
    <w:rsid w:val="00CA0249"/>
    <w:rsid w:val="00CA6F84"/>
    <w:rsid w:val="00CB04CE"/>
    <w:rsid w:val="00CD5E54"/>
    <w:rsid w:val="00CE11F2"/>
    <w:rsid w:val="00D070F3"/>
    <w:rsid w:val="00D2133B"/>
    <w:rsid w:val="00D2490F"/>
    <w:rsid w:val="00D26A29"/>
    <w:rsid w:val="00D30F1C"/>
    <w:rsid w:val="00D507D4"/>
    <w:rsid w:val="00D7108F"/>
    <w:rsid w:val="00D71B41"/>
    <w:rsid w:val="00D73DD9"/>
    <w:rsid w:val="00D816AD"/>
    <w:rsid w:val="00D87AE6"/>
    <w:rsid w:val="00DA7BA8"/>
    <w:rsid w:val="00DB5424"/>
    <w:rsid w:val="00DC311B"/>
    <w:rsid w:val="00DF1925"/>
    <w:rsid w:val="00DF6D2C"/>
    <w:rsid w:val="00E03AA1"/>
    <w:rsid w:val="00E14990"/>
    <w:rsid w:val="00E16CB2"/>
    <w:rsid w:val="00E32AD3"/>
    <w:rsid w:val="00E3722C"/>
    <w:rsid w:val="00E6115E"/>
    <w:rsid w:val="00E63BBE"/>
    <w:rsid w:val="00E67E98"/>
    <w:rsid w:val="00E74033"/>
    <w:rsid w:val="00E74B51"/>
    <w:rsid w:val="00E76B61"/>
    <w:rsid w:val="00E80D77"/>
    <w:rsid w:val="00E852B4"/>
    <w:rsid w:val="00E85529"/>
    <w:rsid w:val="00E85B22"/>
    <w:rsid w:val="00E91A44"/>
    <w:rsid w:val="00E96538"/>
    <w:rsid w:val="00E968A4"/>
    <w:rsid w:val="00EA67F8"/>
    <w:rsid w:val="00EB40AC"/>
    <w:rsid w:val="00EB4A9B"/>
    <w:rsid w:val="00EC15A0"/>
    <w:rsid w:val="00EC1ECE"/>
    <w:rsid w:val="00ED0C92"/>
    <w:rsid w:val="00ED48D7"/>
    <w:rsid w:val="00ED7C54"/>
    <w:rsid w:val="00EE239E"/>
    <w:rsid w:val="00EE3623"/>
    <w:rsid w:val="00F121BB"/>
    <w:rsid w:val="00F1681C"/>
    <w:rsid w:val="00F31A74"/>
    <w:rsid w:val="00F363C2"/>
    <w:rsid w:val="00F36C59"/>
    <w:rsid w:val="00F41890"/>
    <w:rsid w:val="00F45140"/>
    <w:rsid w:val="00F5534D"/>
    <w:rsid w:val="00F5662B"/>
    <w:rsid w:val="00F569E7"/>
    <w:rsid w:val="00F633F5"/>
    <w:rsid w:val="00FA1ED3"/>
    <w:rsid w:val="00FB047E"/>
    <w:rsid w:val="00FB3DFE"/>
    <w:rsid w:val="00FE0CD8"/>
    <w:rsid w:val="00FE1585"/>
    <w:rsid w:val="00FE2F9A"/>
    <w:rsid w:val="00FE61A7"/>
    <w:rsid w:val="0C8411BA"/>
    <w:rsid w:val="13A27FCC"/>
    <w:rsid w:val="1AB90395"/>
    <w:rsid w:val="244FAD1B"/>
    <w:rsid w:val="2FC5E9BE"/>
    <w:rsid w:val="378E9996"/>
    <w:rsid w:val="505E589B"/>
    <w:rsid w:val="605379D4"/>
    <w:rsid w:val="6F297C5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34CC7"/>
  <w15:docId w15:val="{43088DD7-8B8D-4890-B978-793EED7F6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FA7"/>
    <w:pPr>
      <w:spacing w:after="160" w:line="259" w:lineRule="auto"/>
    </w:pPr>
    <w:rPr>
      <w:sz w:val="22"/>
      <w:szCs w:val="22"/>
      <w:lang w:val="pt-PT" w:eastAsia="en-US"/>
    </w:rPr>
  </w:style>
  <w:style w:type="paragraph" w:styleId="Ttulo1">
    <w:name w:val="heading 1"/>
    <w:basedOn w:val="Normal"/>
    <w:next w:val="Normal"/>
    <w:link w:val="Ttulo1Carter"/>
    <w:uiPriority w:val="99"/>
    <w:qFormat/>
    <w:rsid w:val="00331841"/>
    <w:pPr>
      <w:keepNext/>
      <w:keepLines/>
      <w:spacing w:before="240" w:after="0"/>
      <w:outlineLvl w:val="0"/>
    </w:pPr>
    <w:rPr>
      <w:rFonts w:ascii="Calibri Light" w:eastAsia="Yu Gothic Light" w:hAnsi="Calibri Light" w:cs="Times New Roman"/>
      <w:color w:val="2F5496"/>
      <w:sz w:val="32"/>
      <w:szCs w:val="32"/>
    </w:rPr>
  </w:style>
  <w:style w:type="paragraph" w:styleId="Ttulo2">
    <w:name w:val="heading 2"/>
    <w:basedOn w:val="Normal"/>
    <w:next w:val="Normal"/>
    <w:link w:val="Ttulo2Carter"/>
    <w:uiPriority w:val="99"/>
    <w:qFormat/>
    <w:rsid w:val="00090AC7"/>
    <w:pPr>
      <w:keepNext/>
      <w:keepLines/>
      <w:spacing w:before="40" w:after="0"/>
      <w:outlineLvl w:val="1"/>
    </w:pPr>
    <w:rPr>
      <w:rFonts w:ascii="Calibri Light" w:eastAsia="Yu Gothic Light" w:hAnsi="Calibri Light" w:cs="Times New Roman"/>
      <w:color w:val="2F5496"/>
      <w:sz w:val="26"/>
      <w:szCs w:val="26"/>
    </w:rPr>
  </w:style>
  <w:style w:type="paragraph" w:styleId="Ttulo3">
    <w:name w:val="heading 3"/>
    <w:basedOn w:val="Normal"/>
    <w:next w:val="Normal"/>
    <w:link w:val="Ttulo3Carter"/>
    <w:autoRedefine/>
    <w:uiPriority w:val="99"/>
    <w:qFormat/>
    <w:rsid w:val="005250D8"/>
    <w:pPr>
      <w:keepNext/>
      <w:keepLines/>
      <w:spacing w:before="160" w:after="120"/>
      <w:outlineLvl w:val="2"/>
    </w:pPr>
    <w:rPr>
      <w:rFonts w:ascii="Arial" w:eastAsia="Yu Gothic Light" w:hAnsi="Arial" w:cs="Times New Roman"/>
      <w:color w:val="4472C4"/>
      <w:sz w:val="24"/>
      <w:szCs w:val="24"/>
    </w:rPr>
  </w:style>
  <w:style w:type="paragraph" w:styleId="Ttulo4">
    <w:name w:val="heading 4"/>
    <w:basedOn w:val="Normal"/>
    <w:next w:val="Normal"/>
    <w:link w:val="Ttulo4Carter"/>
    <w:uiPriority w:val="99"/>
    <w:qFormat/>
    <w:rsid w:val="005350A5"/>
    <w:pPr>
      <w:keepNext/>
      <w:keepLines/>
      <w:spacing w:before="40" w:after="0"/>
      <w:outlineLvl w:val="3"/>
    </w:pPr>
    <w:rPr>
      <w:rFonts w:ascii="Calibri Light" w:eastAsia="Yu Gothic Light" w:hAnsi="Calibri Light" w:cs="Times New Roman"/>
      <w:i/>
      <w:iCs/>
      <w:color w:val="2F549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link w:val="Ttulo1"/>
    <w:uiPriority w:val="99"/>
    <w:locked/>
    <w:rsid w:val="00331841"/>
    <w:rPr>
      <w:rFonts w:ascii="Calibri Light" w:eastAsia="Yu Gothic Light" w:hAnsi="Calibri Light" w:cs="Times New Roman"/>
      <w:color w:val="2F5496"/>
      <w:sz w:val="32"/>
      <w:szCs w:val="32"/>
    </w:rPr>
  </w:style>
  <w:style w:type="character" w:customStyle="1" w:styleId="Ttulo2Carter">
    <w:name w:val="Título 2 Caráter"/>
    <w:link w:val="Ttulo2"/>
    <w:uiPriority w:val="99"/>
    <w:semiHidden/>
    <w:locked/>
    <w:rsid w:val="00090AC7"/>
    <w:rPr>
      <w:rFonts w:ascii="Calibri Light" w:eastAsia="Yu Gothic Light" w:hAnsi="Calibri Light" w:cs="Times New Roman"/>
      <w:color w:val="2F5496"/>
      <w:sz w:val="26"/>
      <w:szCs w:val="26"/>
    </w:rPr>
  </w:style>
  <w:style w:type="character" w:customStyle="1" w:styleId="Ttulo3Carter">
    <w:name w:val="Título 3 Caráter"/>
    <w:link w:val="Ttulo3"/>
    <w:uiPriority w:val="99"/>
    <w:locked/>
    <w:rsid w:val="005250D8"/>
    <w:rPr>
      <w:rFonts w:ascii="Arial" w:eastAsia="Yu Gothic Light" w:hAnsi="Arial" w:cs="Times New Roman"/>
      <w:color w:val="4472C4"/>
      <w:sz w:val="24"/>
      <w:szCs w:val="24"/>
      <w:lang w:val="pt-PT"/>
    </w:rPr>
  </w:style>
  <w:style w:type="character" w:customStyle="1" w:styleId="Ttulo4Carter">
    <w:name w:val="Título 4 Caráter"/>
    <w:link w:val="Ttulo4"/>
    <w:uiPriority w:val="99"/>
    <w:locked/>
    <w:rsid w:val="005350A5"/>
    <w:rPr>
      <w:rFonts w:ascii="Calibri Light" w:eastAsia="Yu Gothic Light" w:hAnsi="Calibri Light" w:cs="Times New Roman"/>
      <w:i/>
      <w:iCs/>
      <w:color w:val="2F5496"/>
    </w:rPr>
  </w:style>
  <w:style w:type="character" w:customStyle="1" w:styleId="SemEspaamentoCarter">
    <w:name w:val="Sem Espaçamento Caráter"/>
    <w:link w:val="SemEspaamento"/>
    <w:uiPriority w:val="99"/>
    <w:locked/>
    <w:rsid w:val="00784613"/>
    <w:rPr>
      <w:rFonts w:ascii="Arial" w:hAnsi="Arial" w:cs="Times New Roman"/>
      <w:sz w:val="22"/>
      <w:szCs w:val="22"/>
      <w:lang w:val="pt-PT" w:eastAsia="en-US" w:bidi="ar-SA"/>
    </w:rPr>
  </w:style>
  <w:style w:type="paragraph" w:styleId="SemEspaamento">
    <w:name w:val="No Spacing"/>
    <w:link w:val="SemEspaamentoCarter"/>
    <w:uiPriority w:val="99"/>
    <w:qFormat/>
    <w:rsid w:val="00784613"/>
    <w:pPr>
      <w:spacing w:before="120" w:after="120"/>
    </w:pPr>
    <w:rPr>
      <w:rFonts w:ascii="Arial" w:hAnsi="Arial"/>
      <w:sz w:val="22"/>
      <w:szCs w:val="22"/>
      <w:lang w:val="pt-PT" w:eastAsia="en-US"/>
    </w:rPr>
  </w:style>
  <w:style w:type="paragraph" w:styleId="PargrafodaLista">
    <w:name w:val="List Paragraph"/>
    <w:aliases w:val="Citation List,references,Bullet Points,Liste Paragraf,List Bullet-OpsManual,Table of contents numbered,List Paragraph Char Char,List Paragraph1,Bullets,Graphic,Resume Title,Ha,Text,Use Case List Paragraph,Proposal Bullet List,bl"/>
    <w:basedOn w:val="Normal"/>
    <w:link w:val="PargrafodaListaCarter"/>
    <w:uiPriority w:val="34"/>
    <w:qFormat/>
    <w:rsid w:val="00784613"/>
    <w:pPr>
      <w:ind w:left="720"/>
      <w:contextualSpacing/>
    </w:pPr>
    <w:rPr>
      <w:rFonts w:cs="Times New Roman"/>
      <w:color w:val="2F5496"/>
      <w:sz w:val="20"/>
      <w:szCs w:val="20"/>
    </w:rPr>
  </w:style>
  <w:style w:type="character" w:styleId="Refdecomentrio">
    <w:name w:val="annotation reference"/>
    <w:uiPriority w:val="99"/>
    <w:semiHidden/>
    <w:rsid w:val="00784613"/>
    <w:rPr>
      <w:rFonts w:cs="Times New Roman"/>
      <w:sz w:val="16"/>
      <w:szCs w:val="16"/>
    </w:rPr>
  </w:style>
  <w:style w:type="paragraph" w:styleId="Textodecomentrio">
    <w:name w:val="annotation text"/>
    <w:basedOn w:val="Normal"/>
    <w:link w:val="TextodecomentrioCarter"/>
    <w:uiPriority w:val="99"/>
    <w:rsid w:val="00784613"/>
    <w:pPr>
      <w:spacing w:line="240" w:lineRule="auto"/>
    </w:pPr>
    <w:rPr>
      <w:color w:val="2F5496"/>
      <w:sz w:val="20"/>
      <w:szCs w:val="20"/>
    </w:rPr>
  </w:style>
  <w:style w:type="character" w:customStyle="1" w:styleId="TextodecomentrioCarter">
    <w:name w:val="Texto de comentário Caráter"/>
    <w:link w:val="Textodecomentrio"/>
    <w:uiPriority w:val="99"/>
    <w:locked/>
    <w:rsid w:val="00784613"/>
    <w:rPr>
      <w:rFonts w:cs="Times New Roman"/>
      <w:color w:val="2F5496"/>
      <w:sz w:val="20"/>
      <w:szCs w:val="20"/>
      <w:lang w:val="pt-PT"/>
    </w:rPr>
  </w:style>
  <w:style w:type="table" w:styleId="TabelacomGrelha">
    <w:name w:val="Table Grid"/>
    <w:basedOn w:val="Tabelanormal"/>
    <w:uiPriority w:val="99"/>
    <w:rsid w:val="003318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arter">
    <w:name w:val="Parágrafo da Lista Caráter"/>
    <w:aliases w:val="Citation List Caráter,references Caráter,Bullet Points Caráter,Liste Paragraf Caráter,List Bullet-OpsManual Caráter,Table of contents numbered Caráter,List Paragraph Char Char Caráter,List Paragraph1 Caráter,Bullets Caráter"/>
    <w:link w:val="PargrafodaLista"/>
    <w:uiPriority w:val="99"/>
    <w:locked/>
    <w:rsid w:val="00331841"/>
    <w:rPr>
      <w:color w:val="2F5496"/>
      <w:lang w:val="pt-PT"/>
    </w:rPr>
  </w:style>
  <w:style w:type="character" w:styleId="Hiperligao">
    <w:name w:val="Hyperlink"/>
    <w:uiPriority w:val="99"/>
    <w:rsid w:val="00331841"/>
    <w:rPr>
      <w:rFonts w:cs="Times New Roman"/>
      <w:color w:val="0563C1"/>
      <w:u w:val="single"/>
    </w:rPr>
  </w:style>
  <w:style w:type="paragraph" w:styleId="Assuntodecomentrio">
    <w:name w:val="annotation subject"/>
    <w:basedOn w:val="Textodecomentrio"/>
    <w:next w:val="Textodecomentrio"/>
    <w:link w:val="AssuntodecomentrioCarter"/>
    <w:uiPriority w:val="99"/>
    <w:semiHidden/>
    <w:rsid w:val="00E74033"/>
    <w:rPr>
      <w:b/>
      <w:bCs/>
      <w:color w:val="auto"/>
    </w:rPr>
  </w:style>
  <w:style w:type="character" w:customStyle="1" w:styleId="AssuntodecomentrioCarter">
    <w:name w:val="Assunto de comentário Caráter"/>
    <w:link w:val="Assuntodecomentrio"/>
    <w:uiPriority w:val="99"/>
    <w:semiHidden/>
    <w:locked/>
    <w:rsid w:val="00E74033"/>
    <w:rPr>
      <w:rFonts w:cs="Times New Roman"/>
      <w:b/>
      <w:bCs/>
      <w:color w:val="2F5496"/>
      <w:sz w:val="20"/>
      <w:szCs w:val="20"/>
      <w:lang w:val="pt-PT"/>
    </w:rPr>
  </w:style>
  <w:style w:type="table" w:customStyle="1" w:styleId="GridTable4-Accent11">
    <w:name w:val="Grid Table 4 - Accent 11"/>
    <w:uiPriority w:val="99"/>
    <w:rsid w:val="004249A0"/>
    <w:rPr>
      <w:lang w:val="pt-PT" w:eastAsia="pt-PT"/>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style>
  <w:style w:type="table" w:customStyle="1" w:styleId="GridTable41">
    <w:name w:val="Grid Table 41"/>
    <w:uiPriority w:val="99"/>
    <w:rsid w:val="004249A0"/>
    <w:rPr>
      <w:lang w:val="pt-PT" w:eastAsia="pt-PT"/>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style>
  <w:style w:type="paragraph" w:styleId="Cabealho">
    <w:name w:val="header"/>
    <w:basedOn w:val="Normal"/>
    <w:link w:val="CabealhoCarter"/>
    <w:uiPriority w:val="99"/>
    <w:rsid w:val="002A6654"/>
    <w:pPr>
      <w:tabs>
        <w:tab w:val="center" w:pos="4513"/>
        <w:tab w:val="right" w:pos="9026"/>
      </w:tabs>
      <w:spacing w:after="0" w:line="240" w:lineRule="auto"/>
    </w:pPr>
  </w:style>
  <w:style w:type="character" w:customStyle="1" w:styleId="CabealhoCarter">
    <w:name w:val="Cabeçalho Caráter"/>
    <w:link w:val="Cabealho"/>
    <w:uiPriority w:val="99"/>
    <w:locked/>
    <w:rsid w:val="002A6654"/>
    <w:rPr>
      <w:rFonts w:cs="Times New Roman"/>
    </w:rPr>
  </w:style>
  <w:style w:type="paragraph" w:styleId="Rodap">
    <w:name w:val="footer"/>
    <w:basedOn w:val="Normal"/>
    <w:link w:val="RodapCarter"/>
    <w:uiPriority w:val="99"/>
    <w:rsid w:val="002A6654"/>
    <w:pPr>
      <w:tabs>
        <w:tab w:val="center" w:pos="4513"/>
        <w:tab w:val="right" w:pos="9026"/>
      </w:tabs>
      <w:spacing w:after="0" w:line="240" w:lineRule="auto"/>
    </w:pPr>
  </w:style>
  <w:style w:type="character" w:customStyle="1" w:styleId="RodapCarter">
    <w:name w:val="Rodapé Caráter"/>
    <w:link w:val="Rodap"/>
    <w:uiPriority w:val="99"/>
    <w:locked/>
    <w:rsid w:val="002A6654"/>
    <w:rPr>
      <w:rFonts w:cs="Times New Roman"/>
    </w:rPr>
  </w:style>
  <w:style w:type="character" w:styleId="Hiperligaovisitada">
    <w:name w:val="FollowedHyperlink"/>
    <w:uiPriority w:val="99"/>
    <w:semiHidden/>
    <w:rsid w:val="0034198D"/>
    <w:rPr>
      <w:rFonts w:cs="Times New Roman"/>
      <w:color w:val="954F72"/>
      <w:u w:val="single"/>
    </w:rPr>
  </w:style>
  <w:style w:type="character" w:customStyle="1" w:styleId="Mention1">
    <w:name w:val="Mention1"/>
    <w:uiPriority w:val="99"/>
    <w:rsid w:val="00367A59"/>
    <w:rPr>
      <w:rFonts w:cs="Times New Roman"/>
      <w:color w:val="2B579A"/>
      <w:shd w:val="clear" w:color="auto" w:fill="E1DFDD"/>
    </w:rPr>
  </w:style>
  <w:style w:type="character" w:customStyle="1" w:styleId="UnresolvedMention1">
    <w:name w:val="Unresolved Mention1"/>
    <w:uiPriority w:val="99"/>
    <w:rsid w:val="00367A59"/>
    <w:rPr>
      <w:rFonts w:cs="Times New Roman"/>
      <w:color w:val="605E5C"/>
      <w:shd w:val="clear" w:color="auto" w:fill="E1DFDD"/>
    </w:rPr>
  </w:style>
  <w:style w:type="paragraph" w:styleId="Corpodetexto">
    <w:name w:val="Body Text"/>
    <w:basedOn w:val="Normal"/>
    <w:link w:val="CorpodetextoCarter"/>
    <w:uiPriority w:val="99"/>
    <w:rsid w:val="004F5881"/>
    <w:pPr>
      <w:keepNext/>
      <w:keepLines/>
      <w:spacing w:before="160" w:after="120"/>
      <w:outlineLvl w:val="1"/>
    </w:pPr>
    <w:rPr>
      <w:rFonts w:ascii="Arial" w:hAnsi="Arial"/>
      <w:bCs/>
      <w:color w:val="000000"/>
    </w:rPr>
  </w:style>
  <w:style w:type="character" w:customStyle="1" w:styleId="CorpodetextoCarter">
    <w:name w:val="Corpo de texto Caráter"/>
    <w:link w:val="Corpodetexto"/>
    <w:uiPriority w:val="99"/>
    <w:locked/>
    <w:rsid w:val="004F5881"/>
    <w:rPr>
      <w:rFonts w:ascii="Arial" w:hAnsi="Arial" w:cs="Arial"/>
      <w:bCs/>
      <w:color w:val="000000"/>
    </w:rPr>
  </w:style>
  <w:style w:type="paragraph" w:styleId="Reviso">
    <w:name w:val="Revision"/>
    <w:hidden/>
    <w:uiPriority w:val="99"/>
    <w:semiHidden/>
    <w:rsid w:val="00EE239E"/>
    <w:rPr>
      <w:sz w:val="22"/>
      <w:szCs w:val="22"/>
      <w:lang w:val="pt-PT" w:eastAsia="en-US"/>
    </w:rPr>
  </w:style>
  <w:style w:type="character" w:styleId="nfase">
    <w:name w:val="Emphasis"/>
    <w:basedOn w:val="Tipodeletrapredefinidodopargrafo"/>
    <w:qFormat/>
    <w:locked/>
    <w:rsid w:val="00CB04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17221">
      <w:marLeft w:val="0"/>
      <w:marRight w:val="0"/>
      <w:marTop w:val="0"/>
      <w:marBottom w:val="0"/>
      <w:divBdr>
        <w:top w:val="none" w:sz="0" w:space="0" w:color="auto"/>
        <w:left w:val="none" w:sz="0" w:space="0" w:color="auto"/>
        <w:bottom w:val="none" w:sz="0" w:space="0" w:color="auto"/>
        <w:right w:val="none" w:sz="0" w:space="0" w:color="auto"/>
      </w:divBdr>
    </w:div>
    <w:div w:id="468017222">
      <w:marLeft w:val="0"/>
      <w:marRight w:val="0"/>
      <w:marTop w:val="0"/>
      <w:marBottom w:val="0"/>
      <w:divBdr>
        <w:top w:val="none" w:sz="0" w:space="0" w:color="auto"/>
        <w:left w:val="none" w:sz="0" w:space="0" w:color="auto"/>
        <w:bottom w:val="none" w:sz="0" w:space="0" w:color="auto"/>
        <w:right w:val="none" w:sz="0" w:space="0" w:color="auto"/>
      </w:divBdr>
    </w:div>
    <w:div w:id="468017224">
      <w:marLeft w:val="0"/>
      <w:marRight w:val="0"/>
      <w:marTop w:val="0"/>
      <w:marBottom w:val="0"/>
      <w:divBdr>
        <w:top w:val="none" w:sz="0" w:space="0" w:color="auto"/>
        <w:left w:val="none" w:sz="0" w:space="0" w:color="auto"/>
        <w:bottom w:val="none" w:sz="0" w:space="0" w:color="auto"/>
        <w:right w:val="none" w:sz="0" w:space="0" w:color="auto"/>
      </w:divBdr>
    </w:div>
    <w:div w:id="468017225">
      <w:marLeft w:val="0"/>
      <w:marRight w:val="0"/>
      <w:marTop w:val="0"/>
      <w:marBottom w:val="0"/>
      <w:divBdr>
        <w:top w:val="none" w:sz="0" w:space="0" w:color="auto"/>
        <w:left w:val="none" w:sz="0" w:space="0" w:color="auto"/>
        <w:bottom w:val="none" w:sz="0" w:space="0" w:color="auto"/>
        <w:right w:val="none" w:sz="0" w:space="0" w:color="auto"/>
      </w:divBdr>
      <w:divsChild>
        <w:div w:id="4680172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avi.org/news/document-library/zero-dose-analysis-car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echnet-21.org/en/library/main/7095-technical-resources-for-improving-immunization-coverage-and-equ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ur01.safelinks.protection.outlook.com/?url=https://www.unicef.org/eca/media/15101/file&amp;data=04|01|kharper@gavi.org|ecff25595ce244fbd9ae08d94dbd5446|1de6d9f30daf4df6b9d65959f16f6118|0|0|637626297814558823|Unknown|TWFpbGZsb3d8eyJWIjoiMC4wLjAwMDAiLCJQIjoiV2luMzIiLCJBTiI6Ik1haWwiLCJXVCI6Mn0=|1000&amp;sdata=yZXYRKb1A26ivMZjWHNfSrArXOYns2LBmGZTmkg9yqM=&amp;reserved=0"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1.safelinks.protection.outlook.com/?url=https://www.gavi.org/sites/default/files/document/programmatic-policies/UNICEF-ROSA-Practical-Guidance-on-Immunization-and-Gender-2019.pdf&amp;data=04|01|kharper@gavi.org|ecff25595ce244fbd9ae08d94dbd5446|1de6d9f30daf4df6b9d65959f16f6118|0|0|637626297814558823|Unknown|TWFpbGZsb3d8eyJWIjoiMC4wLjAwMDAiLCJQIjoiV2luMzIiLCJBTiI6Ik1haWwiLCJXVCI6Mn0=|1000&amp;sdata=aGugW4HoYGCyKe4Yc1qhQq57+Qzv0bQArqamK8BbM5A=&amp;reserved=0"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5894003-98dc-4f3e-8669-85b90bdbcc8c">GAVI-438364776-950226</_dlc_DocId>
    <TaxCatchAll xmlns="d0706217-df7c-4bf4-936d-b09aa3b837af" xsi:nil="true"/>
    <_dlc_DocIdUrl xmlns="55894003-98dc-4f3e-8669-85b90bdbcc8c">
      <Url>https://gavinet.sharepoint.com/teams/PAP/srp/_layouts/15/DocIdRedir.aspx?ID=GAVI-438364776-950226</Url>
      <Description>GAVI-438364776-950226</Description>
    </_dlc_DocIdUrl>
    <lcf76f155ced4ddcb4097134ff3c332f xmlns="5c2490db-6e42-4989-a0fb-d6ff54a6a7d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93cb0222-e980-4273-ad97-85dba3159c09" ContentTypeId="0x0101009954897F3EE3CC4ABB9FB9EDAC9CDEBC"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33B654-AF13-4751-9C28-F1F5DB4C9F9F}">
  <ds:schemaRefs>
    <ds:schemaRef ds:uri="http://schemas.microsoft.com/office/2006/metadata/properties"/>
    <ds:schemaRef ds:uri="http://schemas.microsoft.com/office/infopath/2007/PartnerControls"/>
    <ds:schemaRef ds:uri="55894003-98dc-4f3e-8669-85b90bdbcc8c"/>
    <ds:schemaRef ds:uri="d0706217-df7c-4bf4-936d-b09aa3b837af"/>
  </ds:schemaRefs>
</ds:datastoreItem>
</file>

<file path=customXml/itemProps2.xml><?xml version="1.0" encoding="utf-8"?>
<ds:datastoreItem xmlns:ds="http://schemas.openxmlformats.org/officeDocument/2006/customXml" ds:itemID="{6A697E3A-0F95-4B13-B51B-A97508CC7711}">
  <ds:schemaRefs>
    <ds:schemaRef ds:uri="http://schemas.openxmlformats.org/officeDocument/2006/bibliography"/>
  </ds:schemaRefs>
</ds:datastoreItem>
</file>

<file path=customXml/itemProps3.xml><?xml version="1.0" encoding="utf-8"?>
<ds:datastoreItem xmlns:ds="http://schemas.openxmlformats.org/officeDocument/2006/customXml" ds:itemID="{F56F4D2F-540C-4DCE-A54A-E1A10445E590}">
  <ds:schemaRefs>
    <ds:schemaRef ds:uri="Microsoft.SharePoint.Taxonomy.ContentTypeSync"/>
  </ds:schemaRefs>
</ds:datastoreItem>
</file>

<file path=customXml/itemProps4.xml><?xml version="1.0" encoding="utf-8"?>
<ds:datastoreItem xmlns:ds="http://schemas.openxmlformats.org/officeDocument/2006/customXml" ds:itemID="{9C9D8F69-64F1-4DE9-9B50-D924230D7AF8}">
  <ds:schemaRefs>
    <ds:schemaRef ds:uri="http://schemas.microsoft.com/sharepoint/events"/>
  </ds:schemaRefs>
</ds:datastoreItem>
</file>

<file path=customXml/itemProps5.xml><?xml version="1.0" encoding="utf-8"?>
<ds:datastoreItem xmlns:ds="http://schemas.openxmlformats.org/officeDocument/2006/customXml" ds:itemID="{3A87183D-FACB-4860-A304-B2A32D1A2D4E}"/>
</file>

<file path=customXml/itemProps6.xml><?xml version="1.0" encoding="utf-8"?>
<ds:datastoreItem xmlns:ds="http://schemas.openxmlformats.org/officeDocument/2006/customXml" ds:itemID="{C498AAB9-6427-4396-BF7B-F0BE7D1260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3586</Words>
  <Characters>20444</Characters>
  <Application>Microsoft Office Word</Application>
  <DocSecurity>0</DocSecurity>
  <Lines>170</Lines>
  <Paragraphs>47</Paragraphs>
  <ScaleCrop>false</ScaleCrop>
  <HeadingPairs>
    <vt:vector size="2" baseType="variant">
      <vt:variant>
        <vt:lpstr>Título</vt:lpstr>
      </vt:variant>
      <vt:variant>
        <vt:i4>1</vt:i4>
      </vt:variant>
    </vt:vector>
  </HeadingPairs>
  <TitlesOfParts>
    <vt:vector size="1" baseType="lpstr">
      <vt:lpstr>Abordagem Gavi a Países com Rendimento Médio</vt:lpstr>
    </vt:vector>
  </TitlesOfParts>
  <Company/>
  <LinksUpToDate>false</LinksUpToDate>
  <CharactersWithSpaces>23983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Abordagem Gavi a Países com Rendimento Médio</dc:title>
  <dc:subject/>
  <dc:creator>Kim Harper</dc:creator>
  <cp:keywords/>
  <dc:description/>
  <cp:lastModifiedBy>Jorge Rolando Mariscal Padilla</cp:lastModifiedBy>
  <cp:revision>2</cp:revision>
  <cp:lastPrinted>2021-12-02T09:55:00Z</cp:lastPrinted>
  <dcterms:created xsi:type="dcterms:W3CDTF">2022-01-16T20:22:00Z</dcterms:created>
  <dcterms:modified xsi:type="dcterms:W3CDTF">2022-01-16T20:22:00Z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_dlc_DocIdItemGuid">
    <vt:lpwstr>de8c7bcc-0363-4b72-8ab9-d0b9bc4473e3</vt:lpwstr>
  </property>
  <property fmtid="{D5CDD505-2E9C-101B-9397-08002B2CF9AE}" pid="4" name="MSIP_Label_0a957285-7815-485a-9751-5b273b784ad5_Enabled">
    <vt:lpwstr>true</vt:lpwstr>
  </property>
  <property fmtid="{D5CDD505-2E9C-101B-9397-08002B2CF9AE}" pid="5" name="MSIP_Label_0a957285-7815-485a-9751-5b273b784ad5_SetDate">
    <vt:lpwstr>2021-08-04T16:27:14Z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83efa7a2-29c2-4a3a-a70a-0000a8219a23</vt:lpwstr>
  </property>
  <property fmtid="{D5CDD505-2E9C-101B-9397-08002B2CF9AE}" pid="10" name="MSIP_Label_0a957285-7815-485a-9751-5b273b784ad5_ContentBits">
    <vt:lpwstr>0</vt:lpwstr>
  </property>
  <property fmtid="{D5CDD505-2E9C-101B-9397-08002B2CF9AE}" pid="11" name="TaxCatchAll">
    <vt:lpwstr/>
  </property>
  <property fmtid="{D5CDD505-2E9C-101B-9397-08002B2CF9AE}" pid="12" name="_dlc_DocId">
    <vt:lpwstr>GAVI-1131328320-151367</vt:lpwstr>
  </property>
  <property fmtid="{D5CDD505-2E9C-101B-9397-08002B2CF9AE}" pid="13" name="_dlc_DocIdUrl">
    <vt:lpwstr>https://gavinet.sharepoint.com/teams/COP/ifs/_layouts/15/DocIdRedir.aspx?ID=GAVI-1131328320-151367, GAVI-1131328320-151367</vt:lpwstr>
  </property>
</Properties>
</file>