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56B6" w14:textId="77777777" w:rsidR="00F362F4" w:rsidRPr="00F362F4" w:rsidRDefault="00F362F4" w:rsidP="00F362F4">
      <w:pPr>
        <w:rPr>
          <w:lang w:val="en-GB"/>
        </w:rPr>
      </w:pPr>
    </w:p>
    <w:p w14:paraId="60FEA920" w14:textId="1ECAD990" w:rsidR="00EA0E8B" w:rsidRPr="002C0581" w:rsidRDefault="00EA0E8B" w:rsidP="00FC4A11">
      <w:pPr>
        <w:pStyle w:val="Heading1"/>
        <w:spacing w:before="0" w:after="0" w:line="340" w:lineRule="exact"/>
        <w:rPr>
          <w:b/>
          <w:color w:val="70AD47" w:themeColor="accent6"/>
          <w:sz w:val="24"/>
        </w:rPr>
      </w:pPr>
      <w:r>
        <w:rPr>
          <w:b/>
          <w:color w:val="70AD47" w:themeColor="accent6"/>
          <w:sz w:val="24"/>
        </w:rPr>
        <w:t>MODELE</w:t>
      </w:r>
    </w:p>
    <w:p w14:paraId="7C19C58D" w14:textId="6FF7F0CD" w:rsidR="000301CD" w:rsidRDefault="000301CD" w:rsidP="00FC4A11">
      <w:pPr>
        <w:spacing w:line="300" w:lineRule="exact"/>
        <w:rPr>
          <w:b/>
          <w:color w:val="4472C4" w:themeColor="accent1"/>
          <w:sz w:val="36"/>
          <w:szCs w:val="36"/>
        </w:rPr>
      </w:pPr>
    </w:p>
    <w:p w14:paraId="53D369CF" w14:textId="447DD311" w:rsidR="00ED3033" w:rsidRPr="007E71D0" w:rsidRDefault="00545156" w:rsidP="00ED3033">
      <w:pPr>
        <w:spacing w:line="300" w:lineRule="exact"/>
        <w:jc w:val="center"/>
        <w:rPr>
          <w:b/>
          <w:bCs/>
          <w:color w:val="4471C4"/>
          <w:sz w:val="36"/>
          <w:szCs w:val="24"/>
        </w:rPr>
      </w:pPr>
      <w:r w:rsidRPr="007E71D0">
        <w:rPr>
          <w:b/>
          <w:bCs/>
          <w:color w:val="4471C4"/>
          <w:sz w:val="36"/>
          <w:szCs w:val="24"/>
        </w:rPr>
        <w:t>Togo</w:t>
      </w:r>
    </w:p>
    <w:p w14:paraId="3C1608B9" w14:textId="77777777" w:rsidR="00ED3033" w:rsidRDefault="00ED3033" w:rsidP="00FC4A11">
      <w:pPr>
        <w:spacing w:line="300" w:lineRule="exact"/>
        <w:rPr>
          <w:b/>
          <w:color w:val="4472C4" w:themeColor="accent1"/>
          <w:sz w:val="36"/>
          <w:szCs w:val="36"/>
        </w:rPr>
      </w:pPr>
    </w:p>
    <w:p w14:paraId="104F20A4" w14:textId="77CEDDF4" w:rsidR="00EA7614" w:rsidRDefault="000301CD" w:rsidP="00EC07F0">
      <w:pPr>
        <w:spacing w:line="240" w:lineRule="auto"/>
        <w:jc w:val="center"/>
        <w:rPr>
          <w:b/>
          <w:color w:val="4471C4"/>
          <w:sz w:val="32"/>
          <w:szCs w:val="32"/>
        </w:rPr>
      </w:pPr>
      <w:r>
        <w:rPr>
          <w:b/>
          <w:color w:val="4471C4"/>
          <w:sz w:val="32"/>
        </w:rPr>
        <w:t>Justification de l'assistance pays ciblée du Cadre d'engagement des partenaires</w:t>
      </w:r>
    </w:p>
    <w:p w14:paraId="299FEA98" w14:textId="14379F3C" w:rsidR="00EA7614" w:rsidRPr="000301CD" w:rsidRDefault="000301CD" w:rsidP="00EC07F0">
      <w:pPr>
        <w:spacing w:line="240" w:lineRule="auto"/>
        <w:jc w:val="center"/>
        <w:rPr>
          <w:bCs/>
          <w:color w:val="808080" w:themeColor="background1" w:themeShade="80"/>
          <w:sz w:val="32"/>
          <w:szCs w:val="32"/>
        </w:rPr>
      </w:pPr>
      <w:proofErr w:type="gramStart"/>
      <w:r>
        <w:rPr>
          <w:b/>
          <w:color w:val="4472C4" w:themeColor="accent1"/>
          <w:sz w:val="32"/>
        </w:rPr>
        <w:t>pour</w:t>
      </w:r>
      <w:proofErr w:type="gramEnd"/>
      <w:r>
        <w:rPr>
          <w:b/>
          <w:color w:val="4472C4" w:themeColor="accent1"/>
          <w:sz w:val="32"/>
        </w:rPr>
        <w:t xml:space="preserve"> la planification</w:t>
      </w:r>
      <w:r>
        <w:rPr>
          <w:b/>
          <w:sz w:val="32"/>
        </w:rPr>
        <w:t xml:space="preserve"> </w:t>
      </w:r>
      <w:r>
        <w:rPr>
          <w:b/>
          <w:color w:val="4471C4"/>
          <w:sz w:val="32"/>
        </w:rPr>
        <w:t xml:space="preserve">pluriannuelle 2022-2025 </w:t>
      </w:r>
    </w:p>
    <w:p w14:paraId="505C9912" w14:textId="7D52F66A" w:rsidR="000301CD" w:rsidRPr="006615A7" w:rsidRDefault="000301CD" w:rsidP="00FC4A11">
      <w:pPr>
        <w:spacing w:line="300" w:lineRule="exact"/>
        <w:rPr>
          <w:bCs/>
          <w:color w:val="808080" w:themeColor="background1" w:themeShade="80"/>
        </w:rPr>
      </w:pPr>
    </w:p>
    <w:p w14:paraId="0E23D244" w14:textId="1D5F69EF" w:rsidR="000D0267" w:rsidRDefault="00322FAC" w:rsidP="00FC4A11">
      <w:pPr>
        <w:spacing w:line="300" w:lineRule="exact"/>
        <w:rPr>
          <w:bCs/>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rPr>
      </w:pPr>
      <w:r>
        <w:rPr>
          <w:i/>
          <w:color w:val="808080" w:themeColor="background1" w:themeShade="80"/>
        </w:rPr>
        <w:t>(Rempli par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004C6B53">
        <w:tc>
          <w:tcPr>
            <w:tcW w:w="2185" w:type="dxa"/>
            <w:shd w:val="clear" w:color="auto" w:fill="DEEAF6" w:themeFill="accent5" w:themeFillTint="33"/>
          </w:tcPr>
          <w:p w14:paraId="7BD2C001" w14:textId="20F00943" w:rsidR="00FB048D" w:rsidRPr="002A4662" w:rsidRDefault="00FB048D" w:rsidP="00FC4A11">
            <w:pPr>
              <w:spacing w:line="300" w:lineRule="exact"/>
              <w:rPr>
                <w:b/>
              </w:rPr>
            </w:pPr>
            <w:r w:rsidRPr="002A4662">
              <w:rPr>
                <w:b/>
              </w:rPr>
              <w:t>Enveloppe totale</w:t>
            </w:r>
          </w:p>
        </w:tc>
        <w:tc>
          <w:tcPr>
            <w:tcW w:w="5748" w:type="dxa"/>
            <w:gridSpan w:val="2"/>
            <w:shd w:val="clear" w:color="auto" w:fill="DEEAF6" w:themeFill="accent5" w:themeFillTint="33"/>
          </w:tcPr>
          <w:p w14:paraId="5F1CD927" w14:textId="6426DCE3" w:rsidR="00FB048D" w:rsidRPr="002A4662" w:rsidRDefault="00FB048D" w:rsidP="00FC4A11">
            <w:pPr>
              <w:spacing w:line="300" w:lineRule="exact"/>
              <w:rPr>
                <w:b/>
              </w:rPr>
            </w:pPr>
            <w:r w:rsidRPr="002A4662">
              <w:rPr>
                <w:b/>
              </w:rPr>
              <w:t>Allocation indicative pour 2022-2025</w:t>
            </w:r>
          </w:p>
        </w:tc>
        <w:tc>
          <w:tcPr>
            <w:tcW w:w="1134" w:type="dxa"/>
            <w:shd w:val="clear" w:color="auto" w:fill="DEEAF6" w:themeFill="accent5" w:themeFillTint="33"/>
          </w:tcPr>
          <w:p w14:paraId="7640021E" w14:textId="0969877A" w:rsidR="00FB048D" w:rsidRPr="00372D1F" w:rsidRDefault="00FB048D" w:rsidP="00FC4A11">
            <w:pPr>
              <w:spacing w:line="300" w:lineRule="exact"/>
              <w:rPr>
                <w:b/>
              </w:rPr>
            </w:pPr>
            <w:r>
              <w:rPr>
                <w:b/>
              </w:rPr>
              <w:t>%</w:t>
            </w:r>
          </w:p>
        </w:tc>
      </w:tr>
      <w:tr w:rsidR="00FB048D" w14:paraId="150C4E2A" w14:textId="117ACA42" w:rsidTr="004C6B53">
        <w:tc>
          <w:tcPr>
            <w:tcW w:w="2185" w:type="dxa"/>
            <w:vMerge w:val="restart"/>
            <w:shd w:val="clear" w:color="auto" w:fill="FFFFFF" w:themeFill="background1"/>
          </w:tcPr>
          <w:p w14:paraId="731ED098" w14:textId="1E35387B" w:rsidR="00FB048D" w:rsidRPr="002A4662" w:rsidRDefault="003122CA" w:rsidP="00FC4A11">
            <w:pPr>
              <w:spacing w:line="300" w:lineRule="exact"/>
              <w:rPr>
                <w:bCs/>
                <w:color w:val="808080" w:themeColor="background1" w:themeShade="80"/>
              </w:rPr>
            </w:pPr>
            <w:r w:rsidRPr="007E71D0">
              <w:rPr>
                <w:rStyle w:val="normaltextrun"/>
                <w:color w:val="0000FF"/>
                <w:shd w:val="clear" w:color="auto" w:fill="FFFFFF"/>
              </w:rPr>
              <w:t>1'855’310 USD</w:t>
            </w:r>
            <w:r w:rsidRPr="007E71D0">
              <w:rPr>
                <w:rStyle w:val="eop"/>
                <w:color w:val="0000FF"/>
                <w:shd w:val="clear" w:color="auto" w:fill="FFFFFF"/>
              </w:rPr>
              <w:t> </w:t>
            </w:r>
          </w:p>
        </w:tc>
        <w:tc>
          <w:tcPr>
            <w:tcW w:w="787" w:type="dxa"/>
            <w:shd w:val="clear" w:color="auto" w:fill="E2EFD9" w:themeFill="accent6" w:themeFillTint="33"/>
          </w:tcPr>
          <w:p w14:paraId="7CFDAA42" w14:textId="1406FB5F" w:rsidR="00FB048D" w:rsidRPr="002A4662" w:rsidRDefault="00FB048D" w:rsidP="00FC4A11">
            <w:pPr>
              <w:spacing w:line="300" w:lineRule="exact"/>
              <w:rPr>
                <w:b/>
              </w:rPr>
            </w:pPr>
            <w:r w:rsidRPr="002A4662">
              <w:rPr>
                <w:b/>
              </w:rPr>
              <w:t>2022</w:t>
            </w:r>
          </w:p>
        </w:tc>
        <w:tc>
          <w:tcPr>
            <w:tcW w:w="4961" w:type="dxa"/>
            <w:shd w:val="clear" w:color="auto" w:fill="E2EFD9" w:themeFill="accent6" w:themeFillTint="33"/>
          </w:tcPr>
          <w:p w14:paraId="00353A5A" w14:textId="62E1F6C6" w:rsidR="00FB048D" w:rsidRPr="007E71D0" w:rsidRDefault="007E4664" w:rsidP="00FC4A11">
            <w:pPr>
              <w:spacing w:line="300" w:lineRule="exact"/>
              <w:rPr>
                <w:color w:val="0000FF"/>
              </w:rPr>
            </w:pPr>
            <w:r w:rsidRPr="007E71D0">
              <w:rPr>
                <w:rStyle w:val="normaltextrun"/>
                <w:color w:val="0000FF"/>
                <w:shd w:val="clear" w:color="auto" w:fill="FFFFFF"/>
              </w:rPr>
              <w:t>750’000 USD</w:t>
            </w:r>
            <w:r w:rsidRPr="007E71D0">
              <w:rPr>
                <w:rStyle w:val="eop"/>
                <w:color w:val="0000FF"/>
                <w:shd w:val="clear" w:color="auto" w:fill="FFFFFF"/>
              </w:rPr>
              <w:t> </w:t>
            </w:r>
          </w:p>
        </w:tc>
        <w:tc>
          <w:tcPr>
            <w:tcW w:w="1134" w:type="dxa"/>
            <w:shd w:val="clear" w:color="auto" w:fill="E2EFD9" w:themeFill="accent6" w:themeFillTint="33"/>
          </w:tcPr>
          <w:p w14:paraId="2EADFDF3" w14:textId="062DEFF0" w:rsidR="00FB048D" w:rsidRPr="007E71D0" w:rsidRDefault="007E4664" w:rsidP="00FC4A11">
            <w:pPr>
              <w:spacing w:line="300" w:lineRule="exact"/>
              <w:rPr>
                <w:bCs/>
                <w:color w:val="0000FF"/>
                <w:lang w:val="en-GB"/>
              </w:rPr>
            </w:pPr>
            <w:r w:rsidRPr="007E71D0">
              <w:rPr>
                <w:bCs/>
                <w:color w:val="0000FF"/>
                <w:lang w:val="en-GB"/>
              </w:rPr>
              <w:t>40.4%</w:t>
            </w:r>
          </w:p>
        </w:tc>
      </w:tr>
      <w:tr w:rsidR="00FB048D" w14:paraId="3A3CDB53" w14:textId="7AF48707" w:rsidTr="004C6B53">
        <w:tc>
          <w:tcPr>
            <w:tcW w:w="2185" w:type="dxa"/>
            <w:vMerge/>
          </w:tcPr>
          <w:p w14:paraId="0CA26921" w14:textId="77777777" w:rsidR="00FB048D" w:rsidRPr="002A4662"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5CF45603" w14:textId="2F76FA56" w:rsidR="00FB048D" w:rsidRPr="002A4662" w:rsidRDefault="00FB048D" w:rsidP="00FC4A11">
            <w:pPr>
              <w:spacing w:line="300" w:lineRule="exact"/>
              <w:rPr>
                <w:b/>
              </w:rPr>
            </w:pPr>
            <w:r w:rsidRPr="002A4662">
              <w:rPr>
                <w:b/>
              </w:rPr>
              <w:t>2023</w:t>
            </w:r>
          </w:p>
        </w:tc>
        <w:tc>
          <w:tcPr>
            <w:tcW w:w="4961" w:type="dxa"/>
            <w:shd w:val="clear" w:color="auto" w:fill="E2EFD9" w:themeFill="accent6" w:themeFillTint="33"/>
          </w:tcPr>
          <w:p w14:paraId="4DA7D255" w14:textId="11C4FC0C" w:rsidR="00FB048D" w:rsidRPr="007E71D0" w:rsidRDefault="007E4664" w:rsidP="00FC4A11">
            <w:pPr>
              <w:spacing w:line="300" w:lineRule="exact"/>
              <w:rPr>
                <w:color w:val="0000FF"/>
              </w:rPr>
            </w:pPr>
            <w:r w:rsidRPr="007E71D0">
              <w:rPr>
                <w:rStyle w:val="normaltextrun"/>
                <w:color w:val="0000FF"/>
                <w:shd w:val="clear" w:color="auto" w:fill="FFFFFF"/>
              </w:rPr>
              <w:t>1’105’310 USD</w:t>
            </w:r>
            <w:r w:rsidRPr="007E71D0">
              <w:rPr>
                <w:rStyle w:val="eop"/>
                <w:color w:val="0000FF"/>
                <w:shd w:val="clear" w:color="auto" w:fill="FFFFFF"/>
              </w:rPr>
              <w:t> </w:t>
            </w:r>
          </w:p>
        </w:tc>
        <w:tc>
          <w:tcPr>
            <w:tcW w:w="1134" w:type="dxa"/>
            <w:shd w:val="clear" w:color="auto" w:fill="E2EFD9" w:themeFill="accent6" w:themeFillTint="33"/>
          </w:tcPr>
          <w:p w14:paraId="11ED1C8B" w14:textId="4A8F5438" w:rsidR="00FB048D" w:rsidRPr="007E71D0" w:rsidRDefault="007E4664" w:rsidP="00FC4A11">
            <w:pPr>
              <w:spacing w:line="300" w:lineRule="exact"/>
              <w:rPr>
                <w:bCs/>
                <w:color w:val="0000FF"/>
                <w:lang w:val="en-GB"/>
              </w:rPr>
            </w:pPr>
            <w:r w:rsidRPr="007E71D0">
              <w:rPr>
                <w:bCs/>
                <w:color w:val="0000FF"/>
                <w:lang w:val="en-GB"/>
              </w:rPr>
              <w:t>59.6%</w:t>
            </w:r>
          </w:p>
        </w:tc>
      </w:tr>
    </w:tbl>
    <w:p w14:paraId="1F6083B3" w14:textId="77777777" w:rsidR="00A47FCF" w:rsidRDefault="00A47FCF" w:rsidP="00FC4A11">
      <w:pPr>
        <w:spacing w:line="300" w:lineRule="exact"/>
        <w:rPr>
          <w:bCs/>
          <w:color w:val="808080" w:themeColor="background1" w:themeShade="80"/>
          <w:lang w:val="en-GB"/>
        </w:rPr>
      </w:pPr>
    </w:p>
    <w:p w14:paraId="52D793FC" w14:textId="20F38797" w:rsidR="000E69CF" w:rsidRPr="00825DFB" w:rsidRDefault="00FB7375" w:rsidP="00825DFB">
      <w:pPr>
        <w:pStyle w:val="ListParagraph"/>
        <w:numPr>
          <w:ilvl w:val="0"/>
          <w:numId w:val="4"/>
        </w:numPr>
        <w:spacing w:line="300" w:lineRule="exact"/>
        <w:ind w:left="426"/>
        <w:rPr>
          <w:bCs/>
          <w:color w:val="808080" w:themeColor="background1" w:themeShade="80"/>
        </w:rPr>
      </w:pPr>
      <w:r>
        <w:rPr>
          <w:b/>
          <w:color w:val="70AD47" w:themeColor="accent6"/>
          <w:sz w:val="26"/>
        </w:rPr>
        <w:t>Principaux objectifs du PEV et difficultés/goulots d'étranglement connus (0,5 page)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650EB6" w14:paraId="4DE8D376" w14:textId="77777777" w:rsidTr="00250642">
        <w:tc>
          <w:tcPr>
            <w:tcW w:w="9214" w:type="dxa"/>
            <w:tcBorders>
              <w:bottom w:val="single" w:sz="6" w:space="0" w:color="auto"/>
            </w:tcBorders>
            <w:shd w:val="clear" w:color="auto" w:fill="F2F2F2" w:themeFill="background1" w:themeFillShade="F2"/>
          </w:tcPr>
          <w:p w14:paraId="7976640A" w14:textId="4E0AAE28" w:rsidR="00650EB6" w:rsidRPr="00650EB6" w:rsidRDefault="00650EB6" w:rsidP="00871FCF">
            <w:pPr>
              <w:spacing w:line="300" w:lineRule="exact"/>
              <w:rPr>
                <w:b/>
                <w:i/>
                <w:iCs/>
                <w:color w:val="000000" w:themeColor="text1"/>
                <w:sz w:val="20"/>
                <w:szCs w:val="20"/>
              </w:rPr>
            </w:pPr>
            <w:r>
              <w:rPr>
                <w:b/>
                <w:i/>
                <w:sz w:val="20"/>
              </w:rPr>
              <w:t>1.1</w:t>
            </w:r>
            <w:r>
              <w:rPr>
                <w:b/>
                <w:i/>
                <w:sz w:val="20"/>
              </w:rPr>
              <w:tab/>
              <w:t xml:space="preserve">Veuillez indiquer tout contexte national qui est important pour comprendre la vision du pays et la demande d'assistance pays ciblée de Gavi. Quels effets spécifiques ces facteurs </w:t>
            </w:r>
            <w:r w:rsidR="004C15D1">
              <w:rPr>
                <w:b/>
                <w:i/>
                <w:sz w:val="20"/>
              </w:rPr>
              <w:t>ont-ils</w:t>
            </w:r>
            <w:r>
              <w:rPr>
                <w:b/>
                <w:i/>
                <w:sz w:val="20"/>
              </w:rPr>
              <w:t xml:space="preserve"> sur le programme national de </w:t>
            </w:r>
            <w:proofErr w:type="gramStart"/>
            <w:r>
              <w:rPr>
                <w:b/>
                <w:i/>
                <w:sz w:val="20"/>
              </w:rPr>
              <w:t>vaccination?</w:t>
            </w:r>
            <w:proofErr w:type="gramEnd"/>
          </w:p>
        </w:tc>
      </w:tr>
      <w:tr w:rsidR="00650EB6" w14:paraId="79578C2F" w14:textId="77777777" w:rsidTr="00250642">
        <w:tc>
          <w:tcPr>
            <w:tcW w:w="9214" w:type="dxa"/>
            <w:tcBorders>
              <w:top w:val="single" w:sz="6" w:space="0" w:color="auto"/>
              <w:left w:val="single" w:sz="6" w:space="0" w:color="auto"/>
              <w:bottom w:val="single" w:sz="6" w:space="0" w:color="auto"/>
              <w:right w:val="single" w:sz="6" w:space="0" w:color="auto"/>
            </w:tcBorders>
          </w:tcPr>
          <w:p w14:paraId="2A056AE6" w14:textId="77777777" w:rsidR="00B33760" w:rsidRDefault="00B33760" w:rsidP="00863875">
            <w:pPr>
              <w:spacing w:line="300" w:lineRule="exact"/>
              <w:jc w:val="both"/>
              <w:rPr>
                <w:rFonts w:ascii="Arial'" w:hAnsi="Arial'"/>
                <w:color w:val="0000FF"/>
              </w:rPr>
            </w:pPr>
          </w:p>
          <w:p w14:paraId="38781287" w14:textId="541E508F" w:rsidR="00894CBB" w:rsidRPr="00863875" w:rsidRDefault="00894CBB" w:rsidP="00863875">
            <w:pPr>
              <w:spacing w:line="300" w:lineRule="exact"/>
              <w:jc w:val="both"/>
              <w:rPr>
                <w:rFonts w:ascii="Arial'" w:hAnsi="Arial'"/>
                <w:color w:val="0000FF"/>
              </w:rPr>
            </w:pPr>
            <w:r w:rsidRPr="00863875">
              <w:rPr>
                <w:rFonts w:ascii="Arial'" w:hAnsi="Arial'"/>
                <w:color w:val="0000FF"/>
              </w:rPr>
              <w:t xml:space="preserve">La crise sanitaire liée à la COVID 19 a eu des impacts </w:t>
            </w:r>
            <w:r w:rsidR="00626D43" w:rsidRPr="00863875">
              <w:rPr>
                <w:rFonts w:ascii="Arial'" w:hAnsi="Arial'"/>
                <w:color w:val="0000FF"/>
              </w:rPr>
              <w:t xml:space="preserve">négatifs </w:t>
            </w:r>
            <w:r w:rsidRPr="00863875">
              <w:rPr>
                <w:rFonts w:ascii="Arial'" w:hAnsi="Arial'"/>
                <w:color w:val="0000FF"/>
              </w:rPr>
              <w:t xml:space="preserve">sur les couvertures vaccinales des districts sanitaires du pays. En effet le personnel dédié à la surveillance et à la mise en œuvre du PEV systématique a été mobilisé pour faire face à la riposte à la pandémie </w:t>
            </w:r>
            <w:r w:rsidR="00DD45AB" w:rsidRPr="00863875">
              <w:rPr>
                <w:rFonts w:ascii="Arial'" w:hAnsi="Arial'"/>
                <w:color w:val="0000FF"/>
              </w:rPr>
              <w:t xml:space="preserve">de </w:t>
            </w:r>
            <w:r w:rsidRPr="00863875">
              <w:rPr>
                <w:rFonts w:ascii="Arial'" w:hAnsi="Arial'"/>
                <w:color w:val="0000FF"/>
              </w:rPr>
              <w:t>COVID</w:t>
            </w:r>
            <w:r w:rsidR="00DD45AB" w:rsidRPr="00863875">
              <w:rPr>
                <w:rFonts w:ascii="Arial'" w:hAnsi="Arial'"/>
                <w:color w:val="0000FF"/>
              </w:rPr>
              <w:t>-19</w:t>
            </w:r>
            <w:r w:rsidRPr="00863875">
              <w:rPr>
                <w:rFonts w:ascii="Arial'" w:hAnsi="Arial'"/>
                <w:color w:val="0000FF"/>
              </w:rPr>
              <w:t xml:space="preserve"> y compris le déploiement des vaccins contre la COVID</w:t>
            </w:r>
            <w:r w:rsidR="00DD45AB" w:rsidRPr="00863875">
              <w:rPr>
                <w:rFonts w:ascii="Arial'" w:hAnsi="Arial'"/>
                <w:color w:val="0000FF"/>
              </w:rPr>
              <w:t>-19</w:t>
            </w:r>
            <w:r w:rsidRPr="00863875">
              <w:rPr>
                <w:rFonts w:ascii="Arial'" w:hAnsi="Arial'"/>
                <w:color w:val="0000FF"/>
              </w:rPr>
              <w:t>.</w:t>
            </w:r>
          </w:p>
          <w:p w14:paraId="0252D587" w14:textId="4AF42E84" w:rsidR="00894CBB" w:rsidRPr="00863875" w:rsidRDefault="00894CBB" w:rsidP="00863875">
            <w:pPr>
              <w:spacing w:line="300" w:lineRule="exact"/>
              <w:jc w:val="both"/>
              <w:rPr>
                <w:rFonts w:ascii="Arial'" w:hAnsi="Arial'"/>
                <w:color w:val="0000FF"/>
              </w:rPr>
            </w:pPr>
            <w:r w:rsidRPr="00863875">
              <w:rPr>
                <w:rFonts w:ascii="Arial'" w:hAnsi="Arial'"/>
                <w:color w:val="0000FF"/>
              </w:rPr>
              <w:t>La survenue de cette pandémie a encore mis en exergue les insuffisances des ressources humaines et des capacités nécessaires pour apporter les services d</w:t>
            </w:r>
            <w:r w:rsidR="009420DB">
              <w:rPr>
                <w:rFonts w:ascii="Arial'" w:hAnsi="Arial'"/>
                <w:color w:val="0000FF"/>
              </w:rPr>
              <w:t>e</w:t>
            </w:r>
            <w:r w:rsidRPr="00863875">
              <w:rPr>
                <w:rFonts w:ascii="Arial'" w:hAnsi="Arial'"/>
                <w:color w:val="0000FF"/>
              </w:rPr>
              <w:t xml:space="preserve"> vaccination à toute la population san</w:t>
            </w:r>
            <w:r w:rsidR="000E69AD" w:rsidRPr="00863875">
              <w:rPr>
                <w:rFonts w:ascii="Arial'" w:hAnsi="Arial'"/>
                <w:color w:val="0000FF"/>
              </w:rPr>
              <w:t>s</w:t>
            </w:r>
            <w:r w:rsidRPr="00863875">
              <w:rPr>
                <w:rFonts w:ascii="Arial'" w:hAnsi="Arial'"/>
                <w:color w:val="0000FF"/>
              </w:rPr>
              <w:t xml:space="preserve"> exception, mais aussi pour mettre en œuvre une surveillance épidémiologique optimale des maladies cibles du PEV ainsi que des investigations de qualité autour des cas.</w:t>
            </w:r>
          </w:p>
          <w:p w14:paraId="6CC2F382" w14:textId="14A94DFB" w:rsidR="00A82AC1" w:rsidRPr="00085E71" w:rsidRDefault="00894CBB" w:rsidP="00A82AC1">
            <w:pPr>
              <w:spacing w:line="300" w:lineRule="exact"/>
              <w:jc w:val="both"/>
              <w:rPr>
                <w:rFonts w:ascii="Arial'" w:hAnsi="Arial'"/>
                <w:color w:val="0000FF"/>
              </w:rPr>
            </w:pPr>
            <w:r w:rsidRPr="00863875">
              <w:rPr>
                <w:rFonts w:ascii="Arial'" w:hAnsi="Arial'"/>
                <w:color w:val="0000FF"/>
              </w:rPr>
              <w:t>En 2021, la couverture en Penta 3, était de 90%, celle de RR1</w:t>
            </w:r>
            <w:r w:rsidR="009420DB">
              <w:rPr>
                <w:rFonts w:ascii="Arial'" w:hAnsi="Arial'"/>
                <w:color w:val="0000FF"/>
              </w:rPr>
              <w:t xml:space="preserve"> à</w:t>
            </w:r>
            <w:r w:rsidRPr="00863875">
              <w:rPr>
                <w:rFonts w:ascii="Arial'" w:hAnsi="Arial'"/>
                <w:color w:val="0000FF"/>
              </w:rPr>
              <w:t xml:space="preserve"> 84% et celle de RR2 à 64%</w:t>
            </w:r>
            <w:r w:rsidR="00810A0D" w:rsidRPr="00863875">
              <w:rPr>
                <w:rFonts w:ascii="Arial'" w:hAnsi="Arial'"/>
                <w:color w:val="0000FF"/>
              </w:rPr>
              <w:t>. Il est noté une f</w:t>
            </w:r>
            <w:r w:rsidRPr="00863875">
              <w:rPr>
                <w:rFonts w:ascii="Arial'" w:hAnsi="Arial'"/>
                <w:color w:val="0000FF"/>
              </w:rPr>
              <w:t>aiblesse de la vaccination dans la 2ème année de vie des enfants (2YL) qui se traduit par une faible CV RR2 (64%) et un abandon RR1-RR2 élevé (23%)</w:t>
            </w:r>
            <w:r w:rsidR="00810A0D" w:rsidRPr="00863875">
              <w:rPr>
                <w:rFonts w:ascii="Arial'" w:hAnsi="Arial'"/>
                <w:color w:val="0000FF"/>
              </w:rPr>
              <w:t>.</w:t>
            </w:r>
            <w:r w:rsidR="00A82AC1" w:rsidRPr="00085E71">
              <w:rPr>
                <w:rFonts w:ascii="Arial'" w:hAnsi="Arial'"/>
                <w:color w:val="0000FF"/>
              </w:rPr>
              <w:t xml:space="preserve"> </w:t>
            </w:r>
          </w:p>
          <w:p w14:paraId="3C77D03C" w14:textId="3E21495C" w:rsidR="00A82AC1" w:rsidRDefault="00A82AC1" w:rsidP="00A82AC1">
            <w:pPr>
              <w:spacing w:line="300" w:lineRule="exact"/>
              <w:jc w:val="both"/>
              <w:rPr>
                <w:rFonts w:ascii="Arial'" w:hAnsi="Arial'"/>
                <w:color w:val="0000FF"/>
              </w:rPr>
            </w:pPr>
            <w:r w:rsidRPr="00085E71">
              <w:rPr>
                <w:rFonts w:ascii="Arial'" w:hAnsi="Arial'"/>
                <w:color w:val="0000FF"/>
              </w:rPr>
              <w:t xml:space="preserve">Le tableau ci-dessous montre l’évolution des </w:t>
            </w:r>
            <w:r w:rsidR="009420DB">
              <w:rPr>
                <w:rFonts w:ascii="Arial'" w:hAnsi="Arial'"/>
                <w:color w:val="0000FF"/>
              </w:rPr>
              <w:t>CV</w:t>
            </w:r>
            <w:r w:rsidR="009420DB" w:rsidRPr="00085E71">
              <w:rPr>
                <w:rFonts w:ascii="Arial'" w:hAnsi="Arial'"/>
                <w:color w:val="0000FF"/>
              </w:rPr>
              <w:t xml:space="preserve"> </w:t>
            </w:r>
            <w:r w:rsidRPr="00085E71">
              <w:rPr>
                <w:rFonts w:ascii="Arial'" w:hAnsi="Arial'"/>
                <w:color w:val="0000FF"/>
              </w:rPr>
              <w:t>de 2019 à 2021</w:t>
            </w:r>
          </w:p>
          <w:p w14:paraId="6FD81C2D" w14:textId="77777777" w:rsidR="0032617D" w:rsidRDefault="0032617D" w:rsidP="00A82AC1">
            <w:pPr>
              <w:spacing w:line="300" w:lineRule="exact"/>
              <w:jc w:val="both"/>
              <w:rPr>
                <w:rFonts w:ascii="Arial'" w:hAnsi="Arial'"/>
                <w:b/>
                <w:bCs/>
                <w:color w:val="0000FF"/>
              </w:rPr>
            </w:pPr>
          </w:p>
          <w:p w14:paraId="7C78F894" w14:textId="3A4E7B2C" w:rsidR="00B33760" w:rsidRPr="00B33760" w:rsidRDefault="00B33760" w:rsidP="00A82AC1">
            <w:pPr>
              <w:spacing w:line="300" w:lineRule="exact"/>
              <w:jc w:val="both"/>
              <w:rPr>
                <w:rFonts w:ascii="Arial'" w:hAnsi="Arial'"/>
                <w:b/>
                <w:bCs/>
                <w:color w:val="0000FF"/>
              </w:rPr>
            </w:pPr>
            <w:r w:rsidRPr="00B33760">
              <w:rPr>
                <w:rFonts w:ascii="Arial'" w:hAnsi="Arial'"/>
                <w:b/>
                <w:bCs/>
                <w:color w:val="0000FF"/>
              </w:rPr>
              <w:t>Evolution des couvertures vaccinales au Togo : 2019 - 2021</w:t>
            </w:r>
          </w:p>
          <w:tbl>
            <w:tblPr>
              <w:tblStyle w:val="TableGrid"/>
              <w:tblW w:w="8957" w:type="dxa"/>
              <w:tblLook w:val="04A0" w:firstRow="1" w:lastRow="0" w:firstColumn="1" w:lastColumn="0" w:noHBand="0" w:noVBand="1"/>
            </w:tblPr>
            <w:tblGrid>
              <w:gridCol w:w="1455"/>
              <w:gridCol w:w="1444"/>
              <w:gridCol w:w="1550"/>
              <w:gridCol w:w="1442"/>
              <w:gridCol w:w="1442"/>
              <w:gridCol w:w="1624"/>
            </w:tblGrid>
            <w:tr w:rsidR="00A82AC1" w:rsidRPr="00A82AC1" w14:paraId="6D751467" w14:textId="77777777" w:rsidTr="00250642">
              <w:trPr>
                <w:trHeight w:val="585"/>
              </w:trPr>
              <w:tc>
                <w:tcPr>
                  <w:tcW w:w="1455" w:type="dxa"/>
                </w:tcPr>
                <w:p w14:paraId="0E04B791" w14:textId="77777777" w:rsidR="00A82AC1" w:rsidRPr="00A82AC1" w:rsidRDefault="00A82AC1" w:rsidP="00A82AC1">
                  <w:pPr>
                    <w:spacing w:line="300" w:lineRule="exact"/>
                    <w:jc w:val="both"/>
                    <w:rPr>
                      <w:rFonts w:ascii="Arial'" w:hAnsi="Arial'"/>
                      <w:b/>
                      <w:color w:val="0000FF"/>
                    </w:rPr>
                  </w:pPr>
                  <w:proofErr w:type="spellStart"/>
                  <w:r w:rsidRPr="00A82AC1">
                    <w:rPr>
                      <w:rFonts w:ascii="Arial'" w:hAnsi="Arial'"/>
                      <w:b/>
                      <w:color w:val="0000FF"/>
                    </w:rPr>
                    <w:t>Annnées</w:t>
                  </w:r>
                  <w:proofErr w:type="spellEnd"/>
                </w:p>
              </w:tc>
              <w:tc>
                <w:tcPr>
                  <w:tcW w:w="1444" w:type="dxa"/>
                </w:tcPr>
                <w:p w14:paraId="6602FA88"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t>%BCG</w:t>
                  </w:r>
                </w:p>
              </w:tc>
              <w:tc>
                <w:tcPr>
                  <w:tcW w:w="1550" w:type="dxa"/>
                </w:tcPr>
                <w:p w14:paraId="1B5230D7"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t>%PENTA3</w:t>
                  </w:r>
                </w:p>
              </w:tc>
              <w:tc>
                <w:tcPr>
                  <w:tcW w:w="1442" w:type="dxa"/>
                </w:tcPr>
                <w:p w14:paraId="3B285E21"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t>%RR1</w:t>
                  </w:r>
                </w:p>
              </w:tc>
              <w:tc>
                <w:tcPr>
                  <w:tcW w:w="1442" w:type="dxa"/>
                </w:tcPr>
                <w:p w14:paraId="16AFF068"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t>%RR2</w:t>
                  </w:r>
                </w:p>
              </w:tc>
              <w:tc>
                <w:tcPr>
                  <w:tcW w:w="1624" w:type="dxa"/>
                </w:tcPr>
                <w:p w14:paraId="76A68624"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t>%RR1/RR2</w:t>
                  </w:r>
                </w:p>
              </w:tc>
            </w:tr>
            <w:tr w:rsidR="00A82AC1" w:rsidRPr="00A82AC1" w14:paraId="4C917FC7" w14:textId="77777777" w:rsidTr="00250642">
              <w:trPr>
                <w:trHeight w:val="553"/>
              </w:trPr>
              <w:tc>
                <w:tcPr>
                  <w:tcW w:w="1455" w:type="dxa"/>
                </w:tcPr>
                <w:p w14:paraId="3F9CA10A"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t>2019</w:t>
                  </w:r>
                </w:p>
              </w:tc>
              <w:tc>
                <w:tcPr>
                  <w:tcW w:w="1444" w:type="dxa"/>
                </w:tcPr>
                <w:p w14:paraId="76DACC94"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84</w:t>
                  </w:r>
                </w:p>
              </w:tc>
              <w:tc>
                <w:tcPr>
                  <w:tcW w:w="1550" w:type="dxa"/>
                </w:tcPr>
                <w:p w14:paraId="42E742B3"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91</w:t>
                  </w:r>
                </w:p>
              </w:tc>
              <w:tc>
                <w:tcPr>
                  <w:tcW w:w="1442" w:type="dxa"/>
                </w:tcPr>
                <w:p w14:paraId="3CF6AD76"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89</w:t>
                  </w:r>
                </w:p>
              </w:tc>
              <w:tc>
                <w:tcPr>
                  <w:tcW w:w="1442" w:type="dxa"/>
                </w:tcPr>
                <w:p w14:paraId="5E6958F0"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74</w:t>
                  </w:r>
                </w:p>
              </w:tc>
              <w:tc>
                <w:tcPr>
                  <w:tcW w:w="1624" w:type="dxa"/>
                </w:tcPr>
                <w:p w14:paraId="0A85DD8F"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24</w:t>
                  </w:r>
                </w:p>
              </w:tc>
            </w:tr>
            <w:tr w:rsidR="00A82AC1" w:rsidRPr="00A82AC1" w14:paraId="3DA90E6F" w14:textId="77777777" w:rsidTr="00250642">
              <w:trPr>
                <w:trHeight w:val="585"/>
              </w:trPr>
              <w:tc>
                <w:tcPr>
                  <w:tcW w:w="1455" w:type="dxa"/>
                </w:tcPr>
                <w:p w14:paraId="04DFE46A"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lastRenderedPageBreak/>
                    <w:t>2020</w:t>
                  </w:r>
                </w:p>
              </w:tc>
              <w:tc>
                <w:tcPr>
                  <w:tcW w:w="1444" w:type="dxa"/>
                </w:tcPr>
                <w:p w14:paraId="1C4A784C"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82</w:t>
                  </w:r>
                </w:p>
              </w:tc>
              <w:tc>
                <w:tcPr>
                  <w:tcW w:w="1550" w:type="dxa"/>
                </w:tcPr>
                <w:p w14:paraId="6FF5C184"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89</w:t>
                  </w:r>
                </w:p>
              </w:tc>
              <w:tc>
                <w:tcPr>
                  <w:tcW w:w="1442" w:type="dxa"/>
                </w:tcPr>
                <w:p w14:paraId="420DD0DA"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83</w:t>
                  </w:r>
                </w:p>
              </w:tc>
              <w:tc>
                <w:tcPr>
                  <w:tcW w:w="1442" w:type="dxa"/>
                </w:tcPr>
                <w:p w14:paraId="27120441"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60</w:t>
                  </w:r>
                </w:p>
              </w:tc>
              <w:tc>
                <w:tcPr>
                  <w:tcW w:w="1624" w:type="dxa"/>
                </w:tcPr>
                <w:p w14:paraId="7939E8E8"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28</w:t>
                  </w:r>
                </w:p>
              </w:tc>
            </w:tr>
            <w:tr w:rsidR="00A82AC1" w:rsidRPr="00A82AC1" w14:paraId="39E781FA" w14:textId="77777777" w:rsidTr="00250642">
              <w:trPr>
                <w:trHeight w:val="553"/>
              </w:trPr>
              <w:tc>
                <w:tcPr>
                  <w:tcW w:w="1455" w:type="dxa"/>
                </w:tcPr>
                <w:p w14:paraId="199B7F6F" w14:textId="77777777" w:rsidR="00A82AC1" w:rsidRPr="00A82AC1" w:rsidRDefault="00A82AC1" w:rsidP="00A82AC1">
                  <w:pPr>
                    <w:spacing w:line="300" w:lineRule="exact"/>
                    <w:jc w:val="both"/>
                    <w:rPr>
                      <w:rFonts w:ascii="Arial'" w:hAnsi="Arial'"/>
                      <w:b/>
                      <w:color w:val="0000FF"/>
                    </w:rPr>
                  </w:pPr>
                  <w:r w:rsidRPr="00A82AC1">
                    <w:rPr>
                      <w:rFonts w:ascii="Arial'" w:hAnsi="Arial'"/>
                      <w:b/>
                      <w:color w:val="0000FF"/>
                    </w:rPr>
                    <w:t>2021</w:t>
                  </w:r>
                </w:p>
              </w:tc>
              <w:tc>
                <w:tcPr>
                  <w:tcW w:w="1444" w:type="dxa"/>
                </w:tcPr>
                <w:p w14:paraId="7D748742"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84</w:t>
                  </w:r>
                </w:p>
              </w:tc>
              <w:tc>
                <w:tcPr>
                  <w:tcW w:w="1550" w:type="dxa"/>
                </w:tcPr>
                <w:p w14:paraId="7A75E92E"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90</w:t>
                  </w:r>
                </w:p>
              </w:tc>
              <w:tc>
                <w:tcPr>
                  <w:tcW w:w="1442" w:type="dxa"/>
                </w:tcPr>
                <w:p w14:paraId="187F93CE"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84</w:t>
                  </w:r>
                </w:p>
              </w:tc>
              <w:tc>
                <w:tcPr>
                  <w:tcW w:w="1442" w:type="dxa"/>
                </w:tcPr>
                <w:p w14:paraId="715616AE"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64</w:t>
                  </w:r>
                </w:p>
              </w:tc>
              <w:tc>
                <w:tcPr>
                  <w:tcW w:w="1624" w:type="dxa"/>
                </w:tcPr>
                <w:p w14:paraId="0EB1110B" w14:textId="77777777" w:rsidR="00A82AC1" w:rsidRPr="00A82AC1" w:rsidRDefault="00A82AC1" w:rsidP="00A82AC1">
                  <w:pPr>
                    <w:spacing w:line="300" w:lineRule="exact"/>
                    <w:jc w:val="both"/>
                    <w:rPr>
                      <w:rFonts w:ascii="Arial'" w:hAnsi="Arial'"/>
                      <w:color w:val="0000FF"/>
                    </w:rPr>
                  </w:pPr>
                  <w:r w:rsidRPr="00A82AC1">
                    <w:rPr>
                      <w:rFonts w:ascii="Arial'" w:hAnsi="Arial'"/>
                      <w:color w:val="0000FF"/>
                    </w:rPr>
                    <w:t>23</w:t>
                  </w:r>
                </w:p>
              </w:tc>
            </w:tr>
          </w:tbl>
          <w:p w14:paraId="22FBD73D" w14:textId="1CE7303D" w:rsidR="00A82AC1" w:rsidRPr="00863875" w:rsidRDefault="00A82AC1" w:rsidP="00863875">
            <w:pPr>
              <w:spacing w:line="300" w:lineRule="exact"/>
              <w:jc w:val="both"/>
              <w:rPr>
                <w:rFonts w:ascii="Arial'" w:hAnsi="Arial'"/>
                <w:color w:val="0000FF"/>
              </w:rPr>
            </w:pPr>
          </w:p>
          <w:p w14:paraId="31CECB59" w14:textId="535F4E93" w:rsidR="00894CBB" w:rsidRPr="00863875" w:rsidRDefault="00894CBB" w:rsidP="00863875">
            <w:pPr>
              <w:spacing w:line="300" w:lineRule="exact"/>
              <w:jc w:val="both"/>
              <w:rPr>
                <w:rFonts w:ascii="Arial'" w:hAnsi="Arial'"/>
                <w:color w:val="0000FF"/>
              </w:rPr>
            </w:pPr>
            <w:r w:rsidRPr="00863875">
              <w:rPr>
                <w:rFonts w:ascii="Arial'" w:hAnsi="Arial'"/>
                <w:color w:val="0000FF"/>
              </w:rPr>
              <w:t>Les principaux goulots identifiés lors de l’analyse dans les différents districts sont : l’accessibilité géographique et la disponibilité des ressources humaines pour la vaccination des enfants et l’utilisation initiale des services de vaccination par les femmes enceintes. Les principales causes de ces goulots sont : la couverture géographique en infrastructures sanitaires</w:t>
            </w:r>
            <w:r w:rsidR="00A82AC1">
              <w:rPr>
                <w:rFonts w:ascii="Arial'" w:hAnsi="Arial'"/>
                <w:color w:val="0000FF"/>
              </w:rPr>
              <w:t xml:space="preserve"> (</w:t>
            </w:r>
            <w:r w:rsidR="00A82AC1" w:rsidRPr="00A82AC1">
              <w:rPr>
                <w:rFonts w:ascii="Arial'" w:hAnsi="Arial'"/>
                <w:color w:val="0000FF"/>
              </w:rPr>
              <w:t>Selon les données de la carte sanitaire 2021, le taux d’accessibilité géographique des populations aux services de santé est de 76,45%</w:t>
            </w:r>
            <w:r w:rsidR="00A82AC1">
              <w:rPr>
                <w:rFonts w:ascii="Arial'" w:hAnsi="Arial'"/>
                <w:color w:val="0000FF"/>
              </w:rPr>
              <w:t>)</w:t>
            </w:r>
            <w:r w:rsidR="00A82AC1" w:rsidRPr="00A82AC1">
              <w:rPr>
                <w:rFonts w:ascii="Arial'" w:hAnsi="Arial'"/>
                <w:color w:val="0000FF"/>
              </w:rPr>
              <w:t>.</w:t>
            </w:r>
            <w:r w:rsidRPr="00863875">
              <w:rPr>
                <w:rFonts w:ascii="Arial'" w:hAnsi="Arial'"/>
                <w:color w:val="0000FF"/>
              </w:rPr>
              <w:t xml:space="preserve">, la démotivation des parents </w:t>
            </w:r>
            <w:proofErr w:type="gramStart"/>
            <w:r w:rsidRPr="00863875">
              <w:rPr>
                <w:rFonts w:ascii="Arial'" w:hAnsi="Arial'"/>
                <w:color w:val="0000FF"/>
              </w:rPr>
              <w:t>suite aux</w:t>
            </w:r>
            <w:proofErr w:type="gramEnd"/>
            <w:r w:rsidRPr="00863875">
              <w:rPr>
                <w:rFonts w:ascii="Arial'" w:hAnsi="Arial'"/>
                <w:color w:val="0000FF"/>
              </w:rPr>
              <w:t xml:space="preserve"> MAPI qui engendrent des dépenses</w:t>
            </w:r>
            <w:r>
              <w:rPr>
                <w:color w:val="92D050"/>
              </w:rPr>
              <w:t xml:space="preserve"> </w:t>
            </w:r>
            <w:r w:rsidRPr="00863875">
              <w:rPr>
                <w:rFonts w:ascii="Arial'" w:hAnsi="Arial'"/>
                <w:color w:val="0000FF"/>
              </w:rPr>
              <w:t>supplémentaires, le temps d’attente trop long, l’insuffisance des stratégies avancées, les us et coutumes, le mauvais accueil du personnel de santé, les r</w:t>
            </w:r>
            <w:r w:rsidR="00626D43" w:rsidRPr="00863875">
              <w:rPr>
                <w:rFonts w:ascii="Arial'" w:hAnsi="Arial'"/>
                <w:color w:val="0000FF"/>
              </w:rPr>
              <w:t>u</w:t>
            </w:r>
            <w:r w:rsidRPr="00863875">
              <w:rPr>
                <w:rFonts w:ascii="Arial'" w:hAnsi="Arial'"/>
                <w:color w:val="0000FF"/>
              </w:rPr>
              <w:t>meurs sur la vaccination.</w:t>
            </w:r>
          </w:p>
          <w:p w14:paraId="59D2C74B" w14:textId="0BBC23D3" w:rsidR="00545156" w:rsidRPr="00863875" w:rsidRDefault="00810A0D" w:rsidP="00863875">
            <w:pPr>
              <w:spacing w:line="300" w:lineRule="exact"/>
              <w:jc w:val="both"/>
              <w:rPr>
                <w:rFonts w:ascii="Arial'" w:hAnsi="Arial'"/>
                <w:color w:val="0000FF"/>
              </w:rPr>
            </w:pPr>
            <w:r w:rsidRPr="00863875">
              <w:rPr>
                <w:rFonts w:ascii="Arial'" w:hAnsi="Arial'"/>
                <w:color w:val="0000FF"/>
              </w:rPr>
              <w:t>Cette situation est exacerbée par les c</w:t>
            </w:r>
            <w:r w:rsidR="00545156" w:rsidRPr="00863875">
              <w:rPr>
                <w:rFonts w:ascii="Arial'" w:hAnsi="Arial'"/>
                <w:color w:val="0000FF"/>
              </w:rPr>
              <w:t xml:space="preserve">onséquences énormes </w:t>
            </w:r>
            <w:r w:rsidRPr="00863875">
              <w:rPr>
                <w:rFonts w:ascii="Arial'" w:hAnsi="Arial'"/>
                <w:color w:val="0000FF"/>
              </w:rPr>
              <w:t>de la COVID</w:t>
            </w:r>
            <w:r w:rsidR="004A21FC" w:rsidRPr="00863875">
              <w:rPr>
                <w:rFonts w:ascii="Arial'" w:hAnsi="Arial'"/>
                <w:color w:val="0000FF"/>
              </w:rPr>
              <w:t>-19</w:t>
            </w:r>
            <w:r w:rsidRPr="00863875">
              <w:rPr>
                <w:rFonts w:ascii="Arial'" w:hAnsi="Arial'"/>
                <w:color w:val="0000FF"/>
              </w:rPr>
              <w:t xml:space="preserve"> </w:t>
            </w:r>
            <w:r w:rsidR="00545156" w:rsidRPr="00863875">
              <w:rPr>
                <w:rFonts w:ascii="Arial'" w:hAnsi="Arial'"/>
                <w:color w:val="0000FF"/>
              </w:rPr>
              <w:t xml:space="preserve">sur les prestations de santé </w:t>
            </w:r>
            <w:r w:rsidRPr="00863875">
              <w:rPr>
                <w:rFonts w:ascii="Arial'" w:hAnsi="Arial'"/>
                <w:color w:val="0000FF"/>
              </w:rPr>
              <w:t xml:space="preserve">avec une </w:t>
            </w:r>
            <w:r w:rsidR="00545156" w:rsidRPr="00863875">
              <w:rPr>
                <w:rFonts w:ascii="Arial'" w:hAnsi="Arial'"/>
                <w:color w:val="0000FF"/>
              </w:rPr>
              <w:t>réduction de l’offre des services</w:t>
            </w:r>
            <w:r w:rsidRPr="00863875">
              <w:rPr>
                <w:rFonts w:ascii="Arial'" w:hAnsi="Arial'"/>
                <w:color w:val="0000FF"/>
              </w:rPr>
              <w:t xml:space="preserve"> de santé ; ce qui va augmenter le </w:t>
            </w:r>
            <w:r w:rsidR="00545156" w:rsidRPr="00863875">
              <w:rPr>
                <w:rFonts w:ascii="Arial'" w:hAnsi="Arial'"/>
                <w:color w:val="0000FF"/>
              </w:rPr>
              <w:t>risque de recrudescence des épidémies (polio, fièvre jaune, choléra</w:t>
            </w:r>
            <w:r w:rsidR="009C59BA" w:rsidRPr="00863875">
              <w:rPr>
                <w:rFonts w:ascii="Arial'" w:hAnsi="Arial'"/>
                <w:color w:val="0000FF"/>
              </w:rPr>
              <w:t xml:space="preserve">, </w:t>
            </w:r>
            <w:proofErr w:type="gramStart"/>
            <w:r w:rsidR="009C59BA" w:rsidRPr="00863875">
              <w:rPr>
                <w:rFonts w:ascii="Arial'" w:hAnsi="Arial'"/>
                <w:color w:val="0000FF"/>
              </w:rPr>
              <w:t>rougeole</w:t>
            </w:r>
            <w:r w:rsidR="00545156" w:rsidRPr="00863875">
              <w:rPr>
                <w:rFonts w:ascii="Arial'" w:hAnsi="Arial'"/>
                <w:color w:val="0000FF"/>
              </w:rPr>
              <w:t>,…</w:t>
            </w:r>
            <w:proofErr w:type="gramEnd"/>
            <w:r w:rsidR="00545156" w:rsidRPr="00863875">
              <w:rPr>
                <w:rFonts w:ascii="Arial'" w:hAnsi="Arial'"/>
                <w:color w:val="0000FF"/>
              </w:rPr>
              <w:t>)</w:t>
            </w:r>
          </w:p>
          <w:p w14:paraId="7B5414FB" w14:textId="5267D656" w:rsidR="00810A0D" w:rsidRPr="00863875" w:rsidRDefault="00810A0D" w:rsidP="00863875">
            <w:pPr>
              <w:spacing w:line="300" w:lineRule="exact"/>
              <w:jc w:val="both"/>
              <w:rPr>
                <w:rFonts w:ascii="Arial'" w:hAnsi="Arial'"/>
                <w:color w:val="0000FF"/>
              </w:rPr>
            </w:pPr>
          </w:p>
          <w:p w14:paraId="51A19ED5" w14:textId="3203607D" w:rsidR="007B1B81" w:rsidRDefault="007B1B81" w:rsidP="00863875">
            <w:pPr>
              <w:spacing w:line="300" w:lineRule="exact"/>
              <w:jc w:val="both"/>
              <w:rPr>
                <w:rFonts w:ascii="Arial'" w:hAnsi="Arial'"/>
                <w:color w:val="0000FF"/>
              </w:rPr>
            </w:pPr>
            <w:r w:rsidRPr="00863875">
              <w:rPr>
                <w:rFonts w:ascii="Arial'" w:hAnsi="Arial'"/>
                <w:color w:val="0000FF"/>
              </w:rPr>
              <w:t>L</w:t>
            </w:r>
            <w:r w:rsidR="00B33760">
              <w:rPr>
                <w:rFonts w:ascii="Arial'" w:hAnsi="Arial'"/>
                <w:color w:val="0000FF"/>
              </w:rPr>
              <w:t>e</w:t>
            </w:r>
            <w:r w:rsidRPr="00863875">
              <w:rPr>
                <w:rFonts w:ascii="Arial'" w:hAnsi="Arial'"/>
                <w:color w:val="0000FF"/>
              </w:rPr>
              <w:t xml:space="preserve">s besoins en assistance technique </w:t>
            </w:r>
            <w:r w:rsidR="00B33760">
              <w:rPr>
                <w:rFonts w:ascii="Arial'" w:hAnsi="Arial'"/>
                <w:color w:val="0000FF"/>
              </w:rPr>
              <w:t xml:space="preserve">identifiés de façon conjointe sont les </w:t>
            </w:r>
            <w:r w:rsidR="0021001B">
              <w:rPr>
                <w:rFonts w:ascii="Arial'" w:hAnsi="Arial'"/>
                <w:color w:val="0000FF"/>
              </w:rPr>
              <w:t>s</w:t>
            </w:r>
            <w:r w:rsidR="00B33760">
              <w:rPr>
                <w:rFonts w:ascii="Arial'" w:hAnsi="Arial'"/>
                <w:color w:val="0000FF"/>
              </w:rPr>
              <w:t>uivants :</w:t>
            </w:r>
          </w:p>
          <w:p w14:paraId="3E4E2B36" w14:textId="57DC8F08" w:rsidR="0000021F" w:rsidRDefault="0000021F" w:rsidP="0000021F">
            <w:pPr>
              <w:spacing w:line="300" w:lineRule="exact"/>
              <w:jc w:val="both"/>
              <w:rPr>
                <w:rFonts w:ascii="Arial'" w:hAnsi="Arial'"/>
                <w:color w:val="0000FF"/>
              </w:rPr>
            </w:pPr>
          </w:p>
          <w:tbl>
            <w:tblPr>
              <w:tblStyle w:val="TableGrid"/>
              <w:tblpPr w:leftFromText="141" w:rightFromText="141" w:horzAnchor="page" w:tblpX="135" w:tblpY="-693"/>
              <w:tblW w:w="9273" w:type="dxa"/>
              <w:tblLook w:val="04A0" w:firstRow="1" w:lastRow="0" w:firstColumn="1" w:lastColumn="0" w:noHBand="0" w:noVBand="1"/>
            </w:tblPr>
            <w:tblGrid>
              <w:gridCol w:w="7547"/>
              <w:gridCol w:w="864"/>
              <w:gridCol w:w="862"/>
            </w:tblGrid>
            <w:tr w:rsidR="00250642" w:rsidRPr="00250642" w14:paraId="3392A61A" w14:textId="77777777" w:rsidTr="00250642">
              <w:trPr>
                <w:trHeight w:val="174"/>
              </w:trPr>
              <w:tc>
                <w:tcPr>
                  <w:tcW w:w="4069" w:type="pct"/>
                </w:tcPr>
                <w:p w14:paraId="09B97DD1" w14:textId="77777777" w:rsidR="0000021F" w:rsidRPr="00250642" w:rsidRDefault="0000021F" w:rsidP="00250642">
                  <w:pPr>
                    <w:spacing w:line="240" w:lineRule="auto"/>
                    <w:contextualSpacing/>
                    <w:jc w:val="center"/>
                    <w:rPr>
                      <w:b/>
                      <w:color w:val="0000FF"/>
                      <w:sz w:val="20"/>
                      <w:szCs w:val="20"/>
                    </w:rPr>
                  </w:pPr>
                  <w:r w:rsidRPr="00250642">
                    <w:rPr>
                      <w:b/>
                      <w:color w:val="0000FF"/>
                      <w:sz w:val="20"/>
                      <w:szCs w:val="20"/>
                    </w:rPr>
                    <w:lastRenderedPageBreak/>
                    <w:t>Activités</w:t>
                  </w:r>
                </w:p>
              </w:tc>
              <w:tc>
                <w:tcPr>
                  <w:tcW w:w="466" w:type="pct"/>
                </w:tcPr>
                <w:p w14:paraId="2C1C8209" w14:textId="77777777" w:rsidR="0000021F" w:rsidRPr="00250642" w:rsidRDefault="0000021F" w:rsidP="00250642">
                  <w:pPr>
                    <w:spacing w:line="240" w:lineRule="auto"/>
                    <w:contextualSpacing/>
                    <w:jc w:val="center"/>
                    <w:rPr>
                      <w:b/>
                      <w:color w:val="0000FF"/>
                      <w:sz w:val="20"/>
                      <w:szCs w:val="20"/>
                    </w:rPr>
                  </w:pPr>
                  <w:r w:rsidRPr="00250642">
                    <w:rPr>
                      <w:b/>
                      <w:color w:val="0000FF"/>
                      <w:sz w:val="20"/>
                      <w:szCs w:val="20"/>
                    </w:rPr>
                    <w:t>2022</w:t>
                  </w:r>
                </w:p>
              </w:tc>
              <w:tc>
                <w:tcPr>
                  <w:tcW w:w="465" w:type="pct"/>
                </w:tcPr>
                <w:p w14:paraId="5CB55534" w14:textId="77777777" w:rsidR="0000021F" w:rsidRPr="00250642" w:rsidRDefault="0000021F" w:rsidP="00250642">
                  <w:pPr>
                    <w:spacing w:line="240" w:lineRule="auto"/>
                    <w:contextualSpacing/>
                    <w:jc w:val="center"/>
                    <w:rPr>
                      <w:b/>
                      <w:color w:val="0000FF"/>
                      <w:sz w:val="20"/>
                      <w:szCs w:val="20"/>
                    </w:rPr>
                  </w:pPr>
                  <w:r w:rsidRPr="00250642">
                    <w:rPr>
                      <w:b/>
                      <w:color w:val="0000FF"/>
                      <w:sz w:val="20"/>
                      <w:szCs w:val="20"/>
                    </w:rPr>
                    <w:t>2023</w:t>
                  </w:r>
                </w:p>
              </w:tc>
            </w:tr>
            <w:tr w:rsidR="00250642" w:rsidRPr="00250642" w14:paraId="7B0D28C5" w14:textId="77777777" w:rsidTr="00250642">
              <w:trPr>
                <w:trHeight w:val="197"/>
              </w:trPr>
              <w:tc>
                <w:tcPr>
                  <w:tcW w:w="4069" w:type="pct"/>
                </w:tcPr>
                <w:p w14:paraId="1BFAF0BD"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Faire une étude sur l’identification des enfants zéro dose</w:t>
                  </w:r>
                </w:p>
              </w:tc>
              <w:tc>
                <w:tcPr>
                  <w:tcW w:w="466" w:type="pct"/>
                  <w:vAlign w:val="center"/>
                </w:tcPr>
                <w:p w14:paraId="04F24C78"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5E6C47D9" w14:textId="77777777" w:rsidR="0000021F" w:rsidRPr="00250642" w:rsidRDefault="0000021F" w:rsidP="00250642">
                  <w:pPr>
                    <w:spacing w:line="240" w:lineRule="auto"/>
                    <w:contextualSpacing/>
                    <w:jc w:val="center"/>
                    <w:rPr>
                      <w:color w:val="0000FF"/>
                      <w:sz w:val="20"/>
                      <w:szCs w:val="20"/>
                    </w:rPr>
                  </w:pPr>
                </w:p>
              </w:tc>
            </w:tr>
            <w:tr w:rsidR="00250642" w:rsidRPr="00250642" w14:paraId="1A5A43A0" w14:textId="77777777" w:rsidTr="00250642">
              <w:trPr>
                <w:trHeight w:val="197"/>
              </w:trPr>
              <w:tc>
                <w:tcPr>
                  <w:tcW w:w="4069" w:type="pct"/>
                </w:tcPr>
                <w:p w14:paraId="42E1FEB5"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Elaborer la Stratégie Nationale d’Immunisation </w:t>
                  </w:r>
                </w:p>
              </w:tc>
              <w:tc>
                <w:tcPr>
                  <w:tcW w:w="466" w:type="pct"/>
                  <w:vAlign w:val="center"/>
                </w:tcPr>
                <w:p w14:paraId="72F54A61"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47336944" w14:textId="77777777" w:rsidR="0000021F" w:rsidRPr="00250642" w:rsidRDefault="0000021F" w:rsidP="00250642">
                  <w:pPr>
                    <w:spacing w:line="240" w:lineRule="auto"/>
                    <w:contextualSpacing/>
                    <w:jc w:val="center"/>
                    <w:rPr>
                      <w:color w:val="0000FF"/>
                      <w:sz w:val="20"/>
                      <w:szCs w:val="20"/>
                    </w:rPr>
                  </w:pPr>
                </w:p>
              </w:tc>
            </w:tr>
            <w:tr w:rsidR="00250642" w:rsidRPr="00250642" w14:paraId="1C578312" w14:textId="77777777" w:rsidTr="00250642">
              <w:trPr>
                <w:trHeight w:val="395"/>
              </w:trPr>
              <w:tc>
                <w:tcPr>
                  <w:tcW w:w="4069" w:type="pct"/>
                </w:tcPr>
                <w:p w14:paraId="13E11683"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Organiser la campagne de suivi des enfants de 9 mois à 5 ans contre la rougeole et la rubéole  </w:t>
                  </w:r>
                </w:p>
              </w:tc>
              <w:tc>
                <w:tcPr>
                  <w:tcW w:w="466" w:type="pct"/>
                  <w:vAlign w:val="center"/>
                </w:tcPr>
                <w:p w14:paraId="3D295AB5"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7689B7A7" w14:textId="77777777" w:rsidR="0000021F" w:rsidRPr="00250642" w:rsidRDefault="0000021F" w:rsidP="00250642">
                  <w:pPr>
                    <w:spacing w:line="240" w:lineRule="auto"/>
                    <w:contextualSpacing/>
                    <w:jc w:val="center"/>
                    <w:rPr>
                      <w:color w:val="0000FF"/>
                      <w:sz w:val="20"/>
                      <w:szCs w:val="20"/>
                    </w:rPr>
                  </w:pPr>
                </w:p>
              </w:tc>
            </w:tr>
            <w:tr w:rsidR="00250642" w:rsidRPr="00250642" w14:paraId="79BFD4DC" w14:textId="77777777" w:rsidTr="00250642">
              <w:trPr>
                <w:trHeight w:val="395"/>
              </w:trPr>
              <w:tc>
                <w:tcPr>
                  <w:tcW w:w="4069" w:type="pct"/>
                </w:tcPr>
                <w:p w14:paraId="644C17B0" w14:textId="595A6DBB"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Soumettre les documents pour l’élaboration du plan consolidé des interventions de GAVI</w:t>
                  </w:r>
                  <w:r w:rsidR="00021AE0">
                    <w:rPr>
                      <w:color w:val="0000FF"/>
                      <w:sz w:val="20"/>
                      <w:szCs w:val="20"/>
                    </w:rPr>
                    <w:t xml:space="preserve"> (FPP)</w:t>
                  </w:r>
                </w:p>
              </w:tc>
              <w:tc>
                <w:tcPr>
                  <w:tcW w:w="466" w:type="pct"/>
                  <w:vAlign w:val="center"/>
                </w:tcPr>
                <w:p w14:paraId="5635A615"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63316A17" w14:textId="77777777" w:rsidR="0000021F" w:rsidRPr="00250642" w:rsidRDefault="0000021F" w:rsidP="00250642">
                  <w:pPr>
                    <w:spacing w:line="240" w:lineRule="auto"/>
                    <w:contextualSpacing/>
                    <w:jc w:val="center"/>
                    <w:rPr>
                      <w:color w:val="0000FF"/>
                      <w:sz w:val="20"/>
                      <w:szCs w:val="20"/>
                    </w:rPr>
                  </w:pPr>
                </w:p>
              </w:tc>
            </w:tr>
            <w:tr w:rsidR="00250642" w:rsidRPr="00250642" w14:paraId="7D530D3F" w14:textId="77777777" w:rsidTr="00250642">
              <w:trPr>
                <w:trHeight w:val="388"/>
              </w:trPr>
              <w:tc>
                <w:tcPr>
                  <w:tcW w:w="4069" w:type="pct"/>
                </w:tcPr>
                <w:p w14:paraId="4F55FA53"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Soumettre les documents pour introduction du vaccin contre le paludisme dans le PEV</w:t>
                  </w:r>
                </w:p>
              </w:tc>
              <w:tc>
                <w:tcPr>
                  <w:tcW w:w="466" w:type="pct"/>
                  <w:vAlign w:val="center"/>
                </w:tcPr>
                <w:p w14:paraId="30712C7A"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00C4147F" w14:textId="77777777" w:rsidR="0000021F" w:rsidRPr="00250642" w:rsidRDefault="0000021F" w:rsidP="00250642">
                  <w:pPr>
                    <w:spacing w:line="240" w:lineRule="auto"/>
                    <w:contextualSpacing/>
                    <w:jc w:val="center"/>
                    <w:rPr>
                      <w:color w:val="0000FF"/>
                      <w:sz w:val="20"/>
                      <w:szCs w:val="20"/>
                    </w:rPr>
                  </w:pPr>
                </w:p>
              </w:tc>
            </w:tr>
            <w:tr w:rsidR="00250642" w:rsidRPr="00250642" w14:paraId="5CC6D910" w14:textId="77777777" w:rsidTr="00250642">
              <w:trPr>
                <w:trHeight w:val="395"/>
              </w:trPr>
              <w:tc>
                <w:tcPr>
                  <w:tcW w:w="4069" w:type="pct"/>
                </w:tcPr>
                <w:p w14:paraId="7630242B"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Mettre à jour les outils d'analyse de goulot d'étranglement, de monitorage intégré, de </w:t>
                  </w:r>
                  <w:proofErr w:type="gramStart"/>
                  <w:r w:rsidRPr="00250642">
                    <w:rPr>
                      <w:color w:val="0000FF"/>
                      <w:sz w:val="20"/>
                      <w:szCs w:val="20"/>
                    </w:rPr>
                    <w:t>micro planification</w:t>
                  </w:r>
                  <w:proofErr w:type="gramEnd"/>
                  <w:r w:rsidRPr="00250642">
                    <w:rPr>
                      <w:color w:val="0000FF"/>
                      <w:sz w:val="20"/>
                      <w:szCs w:val="20"/>
                    </w:rPr>
                    <w:t xml:space="preserve"> et planification opérationnelle</w:t>
                  </w:r>
                </w:p>
              </w:tc>
              <w:tc>
                <w:tcPr>
                  <w:tcW w:w="466" w:type="pct"/>
                  <w:vAlign w:val="center"/>
                </w:tcPr>
                <w:p w14:paraId="2FE87BC9"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04E192BC" w14:textId="77777777" w:rsidR="0000021F" w:rsidRPr="00250642" w:rsidRDefault="0000021F" w:rsidP="00250642">
                  <w:pPr>
                    <w:spacing w:line="240" w:lineRule="auto"/>
                    <w:contextualSpacing/>
                    <w:jc w:val="center"/>
                    <w:rPr>
                      <w:color w:val="0000FF"/>
                      <w:sz w:val="20"/>
                      <w:szCs w:val="20"/>
                    </w:rPr>
                  </w:pPr>
                </w:p>
              </w:tc>
            </w:tr>
            <w:tr w:rsidR="00250642" w:rsidRPr="00250642" w14:paraId="4C6C380F" w14:textId="77777777" w:rsidTr="00250642">
              <w:trPr>
                <w:trHeight w:val="395"/>
              </w:trPr>
              <w:tc>
                <w:tcPr>
                  <w:tcW w:w="4069" w:type="pct"/>
                </w:tcPr>
                <w:p w14:paraId="53821F71"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Appuyer la réalisation de la cartographie des 5 chambres froides dans 3 régions (1 Centrale, 1 Savane, 1 Plateaux) et 2 au Niveau Central </w:t>
                  </w:r>
                </w:p>
              </w:tc>
              <w:tc>
                <w:tcPr>
                  <w:tcW w:w="466" w:type="pct"/>
                  <w:vAlign w:val="center"/>
                </w:tcPr>
                <w:p w14:paraId="41FD09B8"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236A9F41" w14:textId="77777777" w:rsidR="0000021F" w:rsidRPr="00250642" w:rsidRDefault="0000021F" w:rsidP="00250642">
                  <w:pPr>
                    <w:spacing w:line="240" w:lineRule="auto"/>
                    <w:contextualSpacing/>
                    <w:jc w:val="center"/>
                    <w:rPr>
                      <w:color w:val="0000FF"/>
                      <w:sz w:val="20"/>
                      <w:szCs w:val="20"/>
                    </w:rPr>
                  </w:pPr>
                </w:p>
              </w:tc>
            </w:tr>
            <w:tr w:rsidR="00250642" w:rsidRPr="00250642" w14:paraId="23526CC6" w14:textId="77777777" w:rsidTr="00250642">
              <w:trPr>
                <w:trHeight w:val="197"/>
              </w:trPr>
              <w:tc>
                <w:tcPr>
                  <w:tcW w:w="4069" w:type="pct"/>
                </w:tcPr>
                <w:p w14:paraId="6EAF812C"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Evaluer l’approche Papa Champion</w:t>
                  </w:r>
                </w:p>
              </w:tc>
              <w:tc>
                <w:tcPr>
                  <w:tcW w:w="466" w:type="pct"/>
                  <w:vAlign w:val="center"/>
                </w:tcPr>
                <w:p w14:paraId="5DFB5A23"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0EBDD2F3" w14:textId="77777777" w:rsidR="0000021F" w:rsidRPr="00250642" w:rsidRDefault="0000021F" w:rsidP="00250642">
                  <w:pPr>
                    <w:spacing w:line="240" w:lineRule="auto"/>
                    <w:contextualSpacing/>
                    <w:jc w:val="center"/>
                    <w:rPr>
                      <w:color w:val="0000FF"/>
                      <w:sz w:val="20"/>
                      <w:szCs w:val="20"/>
                    </w:rPr>
                  </w:pPr>
                </w:p>
              </w:tc>
            </w:tr>
            <w:tr w:rsidR="00250642" w:rsidRPr="00250642" w14:paraId="4B120810" w14:textId="77777777" w:rsidTr="00250642">
              <w:trPr>
                <w:trHeight w:val="395"/>
              </w:trPr>
              <w:tc>
                <w:tcPr>
                  <w:tcW w:w="4069" w:type="pct"/>
                </w:tcPr>
                <w:p w14:paraId="2C23C01F"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l’élaboration d’un nouveau Plan intégré de communication intégrant la communication de risque et le dialogue communautaire</w:t>
                  </w:r>
                </w:p>
              </w:tc>
              <w:tc>
                <w:tcPr>
                  <w:tcW w:w="466" w:type="pct"/>
                  <w:vAlign w:val="center"/>
                </w:tcPr>
                <w:p w14:paraId="728E3715"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54E407F4" w14:textId="77777777" w:rsidR="0000021F" w:rsidRPr="00250642" w:rsidRDefault="0000021F" w:rsidP="00250642">
                  <w:pPr>
                    <w:spacing w:line="240" w:lineRule="auto"/>
                    <w:contextualSpacing/>
                    <w:jc w:val="center"/>
                    <w:rPr>
                      <w:color w:val="0000FF"/>
                      <w:sz w:val="20"/>
                      <w:szCs w:val="20"/>
                    </w:rPr>
                  </w:pPr>
                </w:p>
              </w:tc>
            </w:tr>
            <w:tr w:rsidR="00250642" w:rsidRPr="00250642" w14:paraId="0472D8A1" w14:textId="77777777" w:rsidTr="00250642">
              <w:trPr>
                <w:trHeight w:val="395"/>
              </w:trPr>
              <w:tc>
                <w:tcPr>
                  <w:tcW w:w="4069" w:type="pct"/>
                </w:tcPr>
                <w:p w14:paraId="0DCC2149"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l’élaboration de la nouvelle politique nationale de la santé et du nouveau PNDS</w:t>
                  </w:r>
                </w:p>
              </w:tc>
              <w:tc>
                <w:tcPr>
                  <w:tcW w:w="466" w:type="pct"/>
                  <w:vAlign w:val="center"/>
                </w:tcPr>
                <w:p w14:paraId="6B25AE55"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1F9DD14A"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22378CA5" w14:textId="77777777" w:rsidTr="00250642">
              <w:trPr>
                <w:trHeight w:val="395"/>
              </w:trPr>
              <w:tc>
                <w:tcPr>
                  <w:tcW w:w="4069" w:type="pct"/>
                </w:tcPr>
                <w:p w14:paraId="44ED5CAC"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la préparation de la 3ème demande de soutien de GAVI au renforcement du système de santé (RSS3)</w:t>
                  </w:r>
                </w:p>
              </w:tc>
              <w:tc>
                <w:tcPr>
                  <w:tcW w:w="466" w:type="pct"/>
                  <w:vAlign w:val="center"/>
                </w:tcPr>
                <w:p w14:paraId="61091790"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34D9CA6D" w14:textId="77777777" w:rsidR="0000021F" w:rsidRPr="00250642" w:rsidRDefault="0000021F" w:rsidP="00250642">
                  <w:pPr>
                    <w:spacing w:line="240" w:lineRule="auto"/>
                    <w:contextualSpacing/>
                    <w:jc w:val="center"/>
                    <w:rPr>
                      <w:color w:val="0000FF"/>
                      <w:sz w:val="20"/>
                      <w:szCs w:val="20"/>
                    </w:rPr>
                  </w:pPr>
                </w:p>
              </w:tc>
            </w:tr>
            <w:tr w:rsidR="00250642" w:rsidRPr="00250642" w14:paraId="29004385" w14:textId="77777777" w:rsidTr="00250642">
              <w:trPr>
                <w:trHeight w:val="593"/>
              </w:trPr>
              <w:tc>
                <w:tcPr>
                  <w:tcW w:w="4069" w:type="pct"/>
                </w:tcPr>
                <w:p w14:paraId="481B4FA3"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l’organisation de l’évaluation post campagne de vaccination de rattrapage contre la méningite à méningocoque A chez les enfants de 1 à 8 ans</w:t>
                  </w:r>
                </w:p>
              </w:tc>
              <w:tc>
                <w:tcPr>
                  <w:tcW w:w="466" w:type="pct"/>
                  <w:vAlign w:val="center"/>
                </w:tcPr>
                <w:p w14:paraId="5ACAF4CF"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371E85D0" w14:textId="77777777" w:rsidR="0000021F" w:rsidRPr="00250642" w:rsidRDefault="0000021F" w:rsidP="00250642">
                  <w:pPr>
                    <w:spacing w:line="240" w:lineRule="auto"/>
                    <w:contextualSpacing/>
                    <w:jc w:val="center"/>
                    <w:rPr>
                      <w:color w:val="0000FF"/>
                      <w:sz w:val="20"/>
                      <w:szCs w:val="20"/>
                    </w:rPr>
                  </w:pPr>
                </w:p>
              </w:tc>
            </w:tr>
            <w:tr w:rsidR="00250642" w:rsidRPr="00250642" w14:paraId="5E6A48CD" w14:textId="77777777" w:rsidTr="00250642">
              <w:trPr>
                <w:trHeight w:val="395"/>
              </w:trPr>
              <w:tc>
                <w:tcPr>
                  <w:tcW w:w="4069" w:type="pct"/>
                </w:tcPr>
                <w:p w14:paraId="0A2B1FAF"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l’organisation de l’évaluation post campagne de vaccination de rattrapage avec le VPI chez les enfants de 3 à 6 ans</w:t>
                  </w:r>
                </w:p>
              </w:tc>
              <w:tc>
                <w:tcPr>
                  <w:tcW w:w="466" w:type="pct"/>
                  <w:vAlign w:val="center"/>
                </w:tcPr>
                <w:p w14:paraId="336B324D"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32757084" w14:textId="77777777" w:rsidR="0000021F" w:rsidRPr="00250642" w:rsidRDefault="0000021F" w:rsidP="00250642">
                  <w:pPr>
                    <w:spacing w:line="240" w:lineRule="auto"/>
                    <w:contextualSpacing/>
                    <w:jc w:val="center"/>
                    <w:rPr>
                      <w:color w:val="0000FF"/>
                      <w:sz w:val="20"/>
                      <w:szCs w:val="20"/>
                    </w:rPr>
                  </w:pPr>
                </w:p>
              </w:tc>
            </w:tr>
            <w:tr w:rsidR="00250642" w:rsidRPr="00250642" w14:paraId="0784CE27" w14:textId="77777777" w:rsidTr="00250642">
              <w:trPr>
                <w:trHeight w:val="197"/>
              </w:trPr>
              <w:tc>
                <w:tcPr>
                  <w:tcW w:w="4069" w:type="pct"/>
                </w:tcPr>
                <w:p w14:paraId="2E77B9F0"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Appuyer l’évaluation post introduction du vaccin </w:t>
                  </w:r>
                  <w:proofErr w:type="spellStart"/>
                  <w:r w:rsidRPr="00250642">
                    <w:rPr>
                      <w:color w:val="0000FF"/>
                      <w:sz w:val="20"/>
                      <w:szCs w:val="20"/>
                    </w:rPr>
                    <w:t>MenAfriVac</w:t>
                  </w:r>
                  <w:proofErr w:type="spellEnd"/>
                </w:p>
              </w:tc>
              <w:tc>
                <w:tcPr>
                  <w:tcW w:w="466" w:type="pct"/>
                  <w:vAlign w:val="center"/>
                </w:tcPr>
                <w:p w14:paraId="42250162"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20B2D43C" w14:textId="77777777" w:rsidR="0000021F" w:rsidRPr="00250642" w:rsidRDefault="0000021F" w:rsidP="00250642">
                  <w:pPr>
                    <w:spacing w:line="240" w:lineRule="auto"/>
                    <w:contextualSpacing/>
                    <w:jc w:val="center"/>
                    <w:rPr>
                      <w:color w:val="0000FF"/>
                      <w:sz w:val="20"/>
                      <w:szCs w:val="20"/>
                    </w:rPr>
                  </w:pPr>
                </w:p>
              </w:tc>
            </w:tr>
            <w:tr w:rsidR="00250642" w:rsidRPr="00250642" w14:paraId="1CF2C55B" w14:textId="77777777" w:rsidTr="00250642">
              <w:trPr>
                <w:trHeight w:val="197"/>
              </w:trPr>
              <w:tc>
                <w:tcPr>
                  <w:tcW w:w="4069" w:type="pct"/>
                </w:tcPr>
                <w:p w14:paraId="0CE5652B"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Introduire la deuxième dose du VPI dans le PEV de routine</w:t>
                  </w:r>
                </w:p>
              </w:tc>
              <w:tc>
                <w:tcPr>
                  <w:tcW w:w="466" w:type="pct"/>
                  <w:vAlign w:val="center"/>
                </w:tcPr>
                <w:p w14:paraId="5766E289"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210D794A" w14:textId="77777777" w:rsidR="0000021F" w:rsidRPr="00250642" w:rsidRDefault="0000021F" w:rsidP="00250642">
                  <w:pPr>
                    <w:spacing w:line="240" w:lineRule="auto"/>
                    <w:contextualSpacing/>
                    <w:jc w:val="center"/>
                    <w:rPr>
                      <w:color w:val="0000FF"/>
                      <w:sz w:val="20"/>
                      <w:szCs w:val="20"/>
                    </w:rPr>
                  </w:pPr>
                </w:p>
              </w:tc>
            </w:tr>
            <w:tr w:rsidR="00250642" w:rsidRPr="00250642" w14:paraId="3943DA54" w14:textId="77777777" w:rsidTr="00250642">
              <w:trPr>
                <w:trHeight w:val="197"/>
              </w:trPr>
              <w:tc>
                <w:tcPr>
                  <w:tcW w:w="4069" w:type="pct"/>
                </w:tcPr>
                <w:p w14:paraId="2889F3C0"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l'évaluation post introduction de la deuxième dose du VPI</w:t>
                  </w:r>
                </w:p>
              </w:tc>
              <w:tc>
                <w:tcPr>
                  <w:tcW w:w="466" w:type="pct"/>
                  <w:vAlign w:val="center"/>
                </w:tcPr>
                <w:p w14:paraId="4F58CF5C"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1D17E89F" w14:textId="77777777" w:rsidR="0000021F" w:rsidRPr="00250642" w:rsidRDefault="0000021F" w:rsidP="00250642">
                  <w:pPr>
                    <w:spacing w:line="240" w:lineRule="auto"/>
                    <w:contextualSpacing/>
                    <w:jc w:val="center"/>
                    <w:rPr>
                      <w:color w:val="0000FF"/>
                      <w:sz w:val="20"/>
                      <w:szCs w:val="20"/>
                    </w:rPr>
                  </w:pPr>
                </w:p>
              </w:tc>
            </w:tr>
            <w:tr w:rsidR="00250642" w:rsidRPr="00250642" w14:paraId="3C316D0E" w14:textId="77777777" w:rsidTr="00250642">
              <w:trPr>
                <w:trHeight w:val="791"/>
              </w:trPr>
              <w:tc>
                <w:tcPr>
                  <w:tcW w:w="4069" w:type="pct"/>
                </w:tcPr>
                <w:p w14:paraId="7B1B95B0" w14:textId="4022DB30"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Accompagner le </w:t>
                  </w:r>
                  <w:r w:rsidR="001D2BE2">
                    <w:rPr>
                      <w:color w:val="0000FF"/>
                      <w:sz w:val="20"/>
                      <w:szCs w:val="20"/>
                    </w:rPr>
                    <w:t>M</w:t>
                  </w:r>
                  <w:r w:rsidRPr="00250642">
                    <w:rPr>
                      <w:color w:val="0000FF"/>
                      <w:sz w:val="20"/>
                      <w:szCs w:val="20"/>
                    </w:rPr>
                    <w:t xml:space="preserve">inistère dans la mise en œuvre effective des monitorages intégrés, d'analyse des goulots d'étranglement, d'élaboration </w:t>
                  </w:r>
                  <w:proofErr w:type="gramStart"/>
                  <w:r w:rsidRPr="00250642">
                    <w:rPr>
                      <w:color w:val="0000FF"/>
                      <w:sz w:val="20"/>
                      <w:szCs w:val="20"/>
                    </w:rPr>
                    <w:t>des micro</w:t>
                  </w:r>
                  <w:proofErr w:type="gramEnd"/>
                  <w:r w:rsidRPr="00250642">
                    <w:rPr>
                      <w:color w:val="0000FF"/>
                      <w:sz w:val="20"/>
                      <w:szCs w:val="20"/>
                    </w:rPr>
                    <w:t xml:space="preserve"> plan au niveau des formations sanitaires et d'élaboration des plans d'action opérationnel au niveau des districts et régions</w:t>
                  </w:r>
                </w:p>
              </w:tc>
              <w:tc>
                <w:tcPr>
                  <w:tcW w:w="466" w:type="pct"/>
                  <w:vAlign w:val="center"/>
                </w:tcPr>
                <w:p w14:paraId="6C4A8496"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01CD4DE1"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3AED8293" w14:textId="77777777" w:rsidTr="00250642">
              <w:trPr>
                <w:trHeight w:val="395"/>
              </w:trPr>
              <w:tc>
                <w:tcPr>
                  <w:tcW w:w="4069" w:type="pct"/>
                </w:tcPr>
                <w:p w14:paraId="4F319465"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Poursuivre la mise en </w:t>
                  </w:r>
                  <w:proofErr w:type="spellStart"/>
                  <w:r w:rsidRPr="00250642">
                    <w:rPr>
                      <w:color w:val="0000FF"/>
                      <w:sz w:val="20"/>
                      <w:szCs w:val="20"/>
                    </w:rPr>
                    <w:t>oeuvre</w:t>
                  </w:r>
                  <w:proofErr w:type="spellEnd"/>
                  <w:r w:rsidRPr="00250642">
                    <w:rPr>
                      <w:color w:val="0000FF"/>
                      <w:sz w:val="20"/>
                      <w:szCs w:val="20"/>
                    </w:rPr>
                    <w:t xml:space="preserve"> de la stratégie urbaine dans la Région Grand Lomé</w:t>
                  </w:r>
                </w:p>
              </w:tc>
              <w:tc>
                <w:tcPr>
                  <w:tcW w:w="466" w:type="pct"/>
                  <w:vAlign w:val="center"/>
                </w:tcPr>
                <w:p w14:paraId="3C16BD29"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4F6398E6"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4A7C8E93" w14:textId="77777777" w:rsidTr="00250642">
              <w:trPr>
                <w:trHeight w:val="395"/>
              </w:trPr>
              <w:tc>
                <w:tcPr>
                  <w:tcW w:w="4069" w:type="pct"/>
                </w:tcPr>
                <w:p w14:paraId="44B72522"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Poursuivre l'analyse d'équité dans la vaccination dans les districts sanitaires à faible performance</w:t>
                  </w:r>
                </w:p>
              </w:tc>
              <w:tc>
                <w:tcPr>
                  <w:tcW w:w="466" w:type="pct"/>
                  <w:vAlign w:val="center"/>
                </w:tcPr>
                <w:p w14:paraId="41185A20"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5E46501F"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3F72B557" w14:textId="77777777" w:rsidTr="00250642">
              <w:trPr>
                <w:trHeight w:val="197"/>
              </w:trPr>
              <w:tc>
                <w:tcPr>
                  <w:tcW w:w="4069" w:type="pct"/>
                </w:tcPr>
                <w:p w14:paraId="27768B06"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la formation en gestion de la logistique du PEV</w:t>
                  </w:r>
                </w:p>
              </w:tc>
              <w:tc>
                <w:tcPr>
                  <w:tcW w:w="466" w:type="pct"/>
                  <w:vAlign w:val="center"/>
                </w:tcPr>
                <w:p w14:paraId="09C0350F"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2DC025B1"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1A9E6B32" w14:textId="77777777" w:rsidTr="00250642">
              <w:trPr>
                <w:trHeight w:val="197"/>
              </w:trPr>
              <w:tc>
                <w:tcPr>
                  <w:tcW w:w="4069" w:type="pct"/>
                </w:tcPr>
                <w:p w14:paraId="2EA3B3BB"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l’utilisation du SMT dans les régions et districts</w:t>
                  </w:r>
                </w:p>
              </w:tc>
              <w:tc>
                <w:tcPr>
                  <w:tcW w:w="466" w:type="pct"/>
                  <w:vAlign w:val="center"/>
                </w:tcPr>
                <w:p w14:paraId="5932E0B4"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0FE33615"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7899A511" w14:textId="77777777" w:rsidTr="00250642">
              <w:trPr>
                <w:trHeight w:val="395"/>
              </w:trPr>
              <w:tc>
                <w:tcPr>
                  <w:tcW w:w="4069" w:type="pct"/>
                </w:tcPr>
                <w:p w14:paraId="4A830D0B"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Appuyer la mise en </w:t>
                  </w:r>
                  <w:proofErr w:type="spellStart"/>
                  <w:r w:rsidRPr="00250642">
                    <w:rPr>
                      <w:color w:val="0000FF"/>
                      <w:sz w:val="20"/>
                      <w:szCs w:val="20"/>
                    </w:rPr>
                    <w:t>oeuvre</w:t>
                  </w:r>
                  <w:proofErr w:type="spellEnd"/>
                  <w:r w:rsidRPr="00250642">
                    <w:rPr>
                      <w:color w:val="0000FF"/>
                      <w:sz w:val="20"/>
                      <w:szCs w:val="20"/>
                    </w:rPr>
                    <w:t xml:space="preserve"> des interventions du Plan Intégré de communication validé</w:t>
                  </w:r>
                </w:p>
              </w:tc>
              <w:tc>
                <w:tcPr>
                  <w:tcW w:w="466" w:type="pct"/>
                  <w:vAlign w:val="center"/>
                </w:tcPr>
                <w:p w14:paraId="20983B76"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0B2DD6E4"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5A292497" w14:textId="77777777" w:rsidTr="00250642">
              <w:trPr>
                <w:trHeight w:val="189"/>
              </w:trPr>
              <w:tc>
                <w:tcPr>
                  <w:tcW w:w="4069" w:type="pct"/>
                </w:tcPr>
                <w:p w14:paraId="395E7EE1"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l’amélioration de la qualité des données</w:t>
                  </w:r>
                </w:p>
              </w:tc>
              <w:tc>
                <w:tcPr>
                  <w:tcW w:w="466" w:type="pct"/>
                  <w:vAlign w:val="center"/>
                </w:tcPr>
                <w:p w14:paraId="79364165"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3177C0B8"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56743696" w14:textId="77777777" w:rsidTr="00250642">
              <w:trPr>
                <w:trHeight w:val="197"/>
              </w:trPr>
              <w:tc>
                <w:tcPr>
                  <w:tcW w:w="4069" w:type="pct"/>
                </w:tcPr>
                <w:p w14:paraId="776D9536"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les activités de pharmacovigilance</w:t>
                  </w:r>
                </w:p>
              </w:tc>
              <w:tc>
                <w:tcPr>
                  <w:tcW w:w="466" w:type="pct"/>
                  <w:vAlign w:val="center"/>
                </w:tcPr>
                <w:p w14:paraId="42022916"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67EEFD31"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1AAFD73A" w14:textId="77777777" w:rsidTr="00250642">
              <w:trPr>
                <w:trHeight w:val="197"/>
              </w:trPr>
              <w:tc>
                <w:tcPr>
                  <w:tcW w:w="4069" w:type="pct"/>
                </w:tcPr>
                <w:p w14:paraId="435F0703"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la préparation et l’introduction des nouveaux vaccins</w:t>
                  </w:r>
                </w:p>
              </w:tc>
              <w:tc>
                <w:tcPr>
                  <w:tcW w:w="466" w:type="pct"/>
                  <w:vAlign w:val="center"/>
                </w:tcPr>
                <w:p w14:paraId="2F9CD4DC"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2E9EBC70"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61E8B827" w14:textId="77777777" w:rsidTr="00250642">
              <w:trPr>
                <w:trHeight w:val="395"/>
              </w:trPr>
              <w:tc>
                <w:tcPr>
                  <w:tcW w:w="4069" w:type="pct"/>
                </w:tcPr>
                <w:p w14:paraId="66E08AEF"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le Ministère de la santé dans la mise en place en son sein, d'une unité de gestion rationnelle et efficace des subventions allouées par GAVI</w:t>
                  </w:r>
                </w:p>
              </w:tc>
              <w:tc>
                <w:tcPr>
                  <w:tcW w:w="466" w:type="pct"/>
                  <w:vAlign w:val="center"/>
                </w:tcPr>
                <w:p w14:paraId="4F3EDBE0"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3985ED2D"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55058433" w14:textId="77777777" w:rsidTr="00250642">
              <w:trPr>
                <w:trHeight w:val="395"/>
              </w:trPr>
              <w:tc>
                <w:tcPr>
                  <w:tcW w:w="4069" w:type="pct"/>
                </w:tcPr>
                <w:p w14:paraId="37EDA415"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le fonctionnement des organes de coordination (GTCV, CNEP, GTC, CNC, CCIA)</w:t>
                  </w:r>
                </w:p>
              </w:tc>
              <w:tc>
                <w:tcPr>
                  <w:tcW w:w="466" w:type="pct"/>
                  <w:vAlign w:val="center"/>
                </w:tcPr>
                <w:p w14:paraId="32BC9365"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c>
                <w:tcPr>
                  <w:tcW w:w="465" w:type="pct"/>
                  <w:vAlign w:val="center"/>
                </w:tcPr>
                <w:p w14:paraId="076F5466"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1A522ED0" w14:textId="77777777" w:rsidTr="00250642">
              <w:trPr>
                <w:trHeight w:val="395"/>
              </w:trPr>
              <w:tc>
                <w:tcPr>
                  <w:tcW w:w="4069" w:type="pct"/>
                </w:tcPr>
                <w:p w14:paraId="4FAD8CBE"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Organiser une campagne de rattrapage des filles de 10 à 14 ans contre le VPH</w:t>
                  </w:r>
                </w:p>
              </w:tc>
              <w:tc>
                <w:tcPr>
                  <w:tcW w:w="466" w:type="pct"/>
                  <w:vAlign w:val="center"/>
                </w:tcPr>
                <w:p w14:paraId="4FFD244C" w14:textId="77777777" w:rsidR="0000021F" w:rsidRPr="00250642" w:rsidRDefault="0000021F" w:rsidP="00250642">
                  <w:pPr>
                    <w:spacing w:line="240" w:lineRule="auto"/>
                    <w:contextualSpacing/>
                    <w:jc w:val="center"/>
                    <w:rPr>
                      <w:color w:val="0000FF"/>
                      <w:sz w:val="20"/>
                      <w:szCs w:val="20"/>
                    </w:rPr>
                  </w:pPr>
                </w:p>
              </w:tc>
              <w:tc>
                <w:tcPr>
                  <w:tcW w:w="465" w:type="pct"/>
                  <w:vAlign w:val="center"/>
                </w:tcPr>
                <w:p w14:paraId="3D665831"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5C03560C" w14:textId="77777777" w:rsidTr="00250642">
              <w:trPr>
                <w:trHeight w:val="197"/>
              </w:trPr>
              <w:tc>
                <w:tcPr>
                  <w:tcW w:w="4069" w:type="pct"/>
                </w:tcPr>
                <w:p w14:paraId="5DDAA153"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 xml:space="preserve">Introduire le vaccin VPH dans le PEV chez les filles de 09 ans </w:t>
                  </w:r>
                </w:p>
              </w:tc>
              <w:tc>
                <w:tcPr>
                  <w:tcW w:w="466" w:type="pct"/>
                  <w:vAlign w:val="center"/>
                </w:tcPr>
                <w:p w14:paraId="276BDD19" w14:textId="77777777" w:rsidR="0000021F" w:rsidRPr="00250642" w:rsidRDefault="0000021F" w:rsidP="00250642">
                  <w:pPr>
                    <w:spacing w:line="240" w:lineRule="auto"/>
                    <w:contextualSpacing/>
                    <w:jc w:val="center"/>
                    <w:rPr>
                      <w:color w:val="0000FF"/>
                      <w:sz w:val="20"/>
                      <w:szCs w:val="20"/>
                    </w:rPr>
                  </w:pPr>
                </w:p>
              </w:tc>
              <w:tc>
                <w:tcPr>
                  <w:tcW w:w="465" w:type="pct"/>
                  <w:vAlign w:val="center"/>
                </w:tcPr>
                <w:p w14:paraId="700DC9CB"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35E744B1" w14:textId="77777777" w:rsidTr="00250642">
              <w:trPr>
                <w:trHeight w:val="395"/>
              </w:trPr>
              <w:tc>
                <w:tcPr>
                  <w:tcW w:w="4069" w:type="pct"/>
                </w:tcPr>
                <w:p w14:paraId="0708FA62"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Appuyer la formation EPIVAC pour la recherche opérationnelle dans les régions et districts</w:t>
                  </w:r>
                </w:p>
              </w:tc>
              <w:tc>
                <w:tcPr>
                  <w:tcW w:w="466" w:type="pct"/>
                  <w:vAlign w:val="center"/>
                </w:tcPr>
                <w:p w14:paraId="7E7A23EA" w14:textId="77777777" w:rsidR="0000021F" w:rsidRPr="00250642" w:rsidRDefault="0000021F" w:rsidP="00250642">
                  <w:pPr>
                    <w:spacing w:line="240" w:lineRule="auto"/>
                    <w:contextualSpacing/>
                    <w:jc w:val="center"/>
                    <w:rPr>
                      <w:color w:val="0000FF"/>
                      <w:sz w:val="20"/>
                      <w:szCs w:val="20"/>
                    </w:rPr>
                  </w:pPr>
                </w:p>
              </w:tc>
              <w:tc>
                <w:tcPr>
                  <w:tcW w:w="465" w:type="pct"/>
                  <w:vAlign w:val="center"/>
                </w:tcPr>
                <w:p w14:paraId="2EC0CF8E"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r w:rsidR="00250642" w:rsidRPr="00250642" w14:paraId="41576B32" w14:textId="77777777" w:rsidTr="00250642">
              <w:trPr>
                <w:trHeight w:val="189"/>
              </w:trPr>
              <w:tc>
                <w:tcPr>
                  <w:tcW w:w="4069" w:type="pct"/>
                </w:tcPr>
                <w:p w14:paraId="0443066F" w14:textId="77777777" w:rsidR="0000021F" w:rsidRPr="00250642" w:rsidRDefault="0000021F" w:rsidP="00250642">
                  <w:pPr>
                    <w:pStyle w:val="ListParagraph"/>
                    <w:numPr>
                      <w:ilvl w:val="0"/>
                      <w:numId w:val="10"/>
                    </w:numPr>
                    <w:spacing w:line="240" w:lineRule="auto"/>
                    <w:jc w:val="both"/>
                    <w:rPr>
                      <w:color w:val="0000FF"/>
                      <w:sz w:val="20"/>
                      <w:szCs w:val="20"/>
                    </w:rPr>
                  </w:pPr>
                  <w:r w:rsidRPr="00250642">
                    <w:rPr>
                      <w:color w:val="0000FF"/>
                      <w:sz w:val="20"/>
                      <w:szCs w:val="20"/>
                    </w:rPr>
                    <w:t>Organiser la revue externe du PEV</w:t>
                  </w:r>
                </w:p>
              </w:tc>
              <w:tc>
                <w:tcPr>
                  <w:tcW w:w="466" w:type="pct"/>
                  <w:vAlign w:val="center"/>
                </w:tcPr>
                <w:p w14:paraId="1A5A726B" w14:textId="77777777" w:rsidR="0000021F" w:rsidRPr="00250642" w:rsidRDefault="0000021F" w:rsidP="00250642">
                  <w:pPr>
                    <w:spacing w:line="240" w:lineRule="auto"/>
                    <w:contextualSpacing/>
                    <w:jc w:val="center"/>
                    <w:rPr>
                      <w:color w:val="0000FF"/>
                      <w:sz w:val="20"/>
                      <w:szCs w:val="20"/>
                    </w:rPr>
                  </w:pPr>
                </w:p>
              </w:tc>
              <w:tc>
                <w:tcPr>
                  <w:tcW w:w="465" w:type="pct"/>
                  <w:vAlign w:val="center"/>
                </w:tcPr>
                <w:p w14:paraId="1AE43F27" w14:textId="77777777" w:rsidR="0000021F" w:rsidRPr="00250642" w:rsidRDefault="0000021F" w:rsidP="00250642">
                  <w:pPr>
                    <w:spacing w:line="240" w:lineRule="auto"/>
                    <w:contextualSpacing/>
                    <w:jc w:val="center"/>
                    <w:rPr>
                      <w:color w:val="0000FF"/>
                      <w:sz w:val="20"/>
                      <w:szCs w:val="20"/>
                    </w:rPr>
                  </w:pPr>
                  <w:r w:rsidRPr="00250642">
                    <w:rPr>
                      <w:color w:val="0000FF"/>
                      <w:sz w:val="20"/>
                      <w:szCs w:val="20"/>
                    </w:rPr>
                    <w:t>X</w:t>
                  </w:r>
                </w:p>
              </w:tc>
            </w:tr>
          </w:tbl>
          <w:p w14:paraId="78052B35" w14:textId="604AA814" w:rsidR="002F0949" w:rsidRPr="00250642" w:rsidRDefault="002F0949" w:rsidP="00250642">
            <w:pPr>
              <w:spacing w:line="300" w:lineRule="exact"/>
              <w:jc w:val="both"/>
              <w:rPr>
                <w:color w:val="92D050"/>
              </w:rPr>
            </w:pPr>
          </w:p>
        </w:tc>
      </w:tr>
    </w:tbl>
    <w:p w14:paraId="434C7691" w14:textId="77777777" w:rsidR="000759BE" w:rsidRPr="006615A7" w:rsidRDefault="000759BE" w:rsidP="00FC4A11">
      <w:pPr>
        <w:spacing w:line="300" w:lineRule="exact"/>
        <w:rPr>
          <w:bCs/>
          <w:color w:val="808080" w:themeColor="background1" w:themeShade="80"/>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rPr>
      </w:pPr>
      <w:r>
        <w:rPr>
          <w:b/>
          <w:color w:val="70AD47" w:themeColor="accent6"/>
          <w:sz w:val="26"/>
        </w:rPr>
        <w:t>Besoins actuels en AT de votre système de vaccination (1-2 pages)</w:t>
      </w:r>
    </w:p>
    <w:p w14:paraId="53A7E955" w14:textId="3EAA59A0" w:rsidR="00085E71" w:rsidRPr="00B33760" w:rsidRDefault="00EC2EA5" w:rsidP="00B33760">
      <w:pPr>
        <w:pStyle w:val="ListParagraph"/>
        <w:spacing w:line="300" w:lineRule="exact"/>
        <w:ind w:left="142"/>
      </w:pPr>
      <w:r>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r:id="rId13" w:history="1">
        <w:r>
          <w:rPr>
            <w:rStyle w:val="Hyperlink"/>
            <w:b/>
            <w:i/>
            <w:sz w:val="20"/>
          </w:rPr>
          <w:t>Directives sur le financement des programmes</w:t>
        </w:r>
      </w:hyperlink>
      <w:r>
        <w:rPr>
          <w:b/>
          <w:i/>
          <w:sz w:val="20"/>
        </w:rPr>
        <w:t xml:space="preserve"> de Gavi. Le pays peut planifier pour la durée restante de son actuelle subvention de RSS</w:t>
      </w:r>
    </w:p>
    <w:p w14:paraId="3592C200" w14:textId="77777777" w:rsidR="00085E71" w:rsidRDefault="00085E71" w:rsidP="00372D1F">
      <w:pPr>
        <w:pStyle w:val="ListParagraph"/>
        <w:spacing w:line="300" w:lineRule="exact"/>
        <w:ind w:left="426"/>
        <w:rPr>
          <w:i/>
          <w:color w:val="808080" w:themeColor="background1" w:themeShade="80"/>
        </w:rPr>
      </w:pPr>
    </w:p>
    <w:p w14:paraId="1D079834" w14:textId="2009DA49" w:rsidR="00655D56" w:rsidRDefault="00372D1F" w:rsidP="00372D1F">
      <w:pPr>
        <w:pStyle w:val="ListParagraph"/>
        <w:spacing w:line="300" w:lineRule="exact"/>
        <w:ind w:left="426"/>
        <w:rPr>
          <w:i/>
          <w:color w:val="808080" w:themeColor="background1" w:themeShade="80"/>
        </w:rPr>
      </w:pPr>
      <w:r>
        <w:rPr>
          <w:i/>
          <w:color w:val="808080" w:themeColor="background1" w:themeShade="80"/>
        </w:rPr>
        <w:t>(N'hésitez pas à ajouter des lignes, si nécessaire)</w:t>
      </w:r>
    </w:p>
    <w:tbl>
      <w:tblPr>
        <w:tblW w:w="5137" w:type="pct"/>
        <w:tblLook w:val="04A0" w:firstRow="1" w:lastRow="0" w:firstColumn="1" w:lastColumn="0" w:noHBand="0" w:noVBand="1"/>
      </w:tblPr>
      <w:tblGrid>
        <w:gridCol w:w="2663"/>
        <w:gridCol w:w="4841"/>
        <w:gridCol w:w="1213"/>
        <w:gridCol w:w="1289"/>
      </w:tblGrid>
      <w:tr w:rsidR="0000021F" w:rsidRPr="00D77867" w14:paraId="53005741" w14:textId="77777777" w:rsidTr="007E71D0">
        <w:trPr>
          <w:trHeight w:val="370"/>
        </w:trPr>
        <w:tc>
          <w:tcPr>
            <w:tcW w:w="3749" w:type="pct"/>
            <w:gridSpan w:val="2"/>
            <w:tcBorders>
              <w:top w:val="single" w:sz="8" w:space="0" w:color="auto"/>
              <w:left w:val="single" w:sz="8" w:space="0" w:color="auto"/>
              <w:bottom w:val="single" w:sz="8" w:space="0" w:color="auto"/>
              <w:right w:val="single" w:sz="8" w:space="0" w:color="auto"/>
            </w:tcBorders>
            <w:shd w:val="clear" w:color="000000" w:fill="DEEAF6"/>
            <w:vAlign w:val="center"/>
            <w:hideMark/>
          </w:tcPr>
          <w:p w14:paraId="5C13F85B" w14:textId="77777777" w:rsidR="0000021F" w:rsidRPr="00D77867" w:rsidRDefault="0000021F" w:rsidP="000215EC">
            <w:pPr>
              <w:spacing w:line="240" w:lineRule="auto"/>
              <w:jc w:val="center"/>
              <w:rPr>
                <w:rFonts w:eastAsia="Times New Roman"/>
                <w:b/>
                <w:bCs/>
                <w:color w:val="000000"/>
                <w:lang w:val="en-US"/>
              </w:rPr>
            </w:pPr>
            <w:r w:rsidRPr="00D77867">
              <w:rPr>
                <w:rFonts w:eastAsia="Times New Roman"/>
                <w:b/>
                <w:bCs/>
                <w:color w:val="000000"/>
              </w:rPr>
              <w:t>Plan de haut niveau</w:t>
            </w:r>
          </w:p>
        </w:tc>
        <w:tc>
          <w:tcPr>
            <w:tcW w:w="606" w:type="pct"/>
            <w:tcBorders>
              <w:top w:val="single" w:sz="8" w:space="0" w:color="auto"/>
              <w:left w:val="nil"/>
              <w:bottom w:val="single" w:sz="8" w:space="0" w:color="auto"/>
              <w:right w:val="single" w:sz="8" w:space="0" w:color="auto"/>
            </w:tcBorders>
            <w:shd w:val="clear" w:color="000000" w:fill="DEEAF6"/>
            <w:vAlign w:val="center"/>
            <w:hideMark/>
          </w:tcPr>
          <w:p w14:paraId="052B90EE" w14:textId="77777777" w:rsidR="0000021F" w:rsidRPr="00D77867" w:rsidRDefault="0000021F" w:rsidP="000215EC">
            <w:pPr>
              <w:spacing w:line="240" w:lineRule="auto"/>
              <w:jc w:val="center"/>
              <w:rPr>
                <w:rFonts w:eastAsia="Times New Roman"/>
                <w:b/>
                <w:bCs/>
                <w:color w:val="000000"/>
                <w:lang w:val="en-US"/>
              </w:rPr>
            </w:pPr>
            <w:r w:rsidRPr="00D77867">
              <w:rPr>
                <w:rFonts w:eastAsia="Times New Roman"/>
                <w:b/>
                <w:bCs/>
              </w:rPr>
              <w:t>Budget (USD)</w:t>
            </w:r>
          </w:p>
        </w:tc>
        <w:tc>
          <w:tcPr>
            <w:tcW w:w="645" w:type="pct"/>
            <w:tcBorders>
              <w:top w:val="single" w:sz="8" w:space="0" w:color="auto"/>
              <w:left w:val="nil"/>
              <w:bottom w:val="single" w:sz="8" w:space="0" w:color="auto"/>
              <w:right w:val="single" w:sz="8" w:space="0" w:color="auto"/>
            </w:tcBorders>
            <w:shd w:val="clear" w:color="000000" w:fill="DEEAF6"/>
            <w:vAlign w:val="center"/>
            <w:hideMark/>
          </w:tcPr>
          <w:p w14:paraId="7363B414" w14:textId="77777777" w:rsidR="0000021F" w:rsidRPr="00D77867" w:rsidRDefault="0000021F" w:rsidP="000215EC">
            <w:pPr>
              <w:spacing w:line="240" w:lineRule="auto"/>
              <w:jc w:val="center"/>
              <w:rPr>
                <w:rFonts w:eastAsia="Times New Roman"/>
                <w:b/>
                <w:bCs/>
                <w:color w:val="000000"/>
                <w:sz w:val="24"/>
                <w:szCs w:val="24"/>
                <w:lang w:val="en-US"/>
              </w:rPr>
            </w:pPr>
            <w:r w:rsidRPr="00D77867">
              <w:rPr>
                <w:rFonts w:eastAsia="Times New Roman"/>
                <w:b/>
                <w:bCs/>
                <w:sz w:val="24"/>
                <w:szCs w:val="24"/>
              </w:rPr>
              <w:t>%</w:t>
            </w:r>
          </w:p>
        </w:tc>
      </w:tr>
      <w:tr w:rsidR="0000021F" w:rsidRPr="00D77867" w14:paraId="3E41AA85" w14:textId="77777777" w:rsidTr="007E71D0">
        <w:trPr>
          <w:trHeight w:val="256"/>
        </w:trPr>
        <w:tc>
          <w:tcPr>
            <w:tcW w:w="3749" w:type="pct"/>
            <w:gridSpan w:val="2"/>
            <w:tcBorders>
              <w:top w:val="single" w:sz="8" w:space="0" w:color="auto"/>
              <w:left w:val="single" w:sz="8" w:space="0" w:color="auto"/>
              <w:bottom w:val="single" w:sz="8" w:space="0" w:color="auto"/>
              <w:right w:val="single" w:sz="8" w:space="0" w:color="auto"/>
            </w:tcBorders>
            <w:shd w:val="clear" w:color="000000" w:fill="E2EFD9"/>
            <w:vAlign w:val="center"/>
            <w:hideMark/>
          </w:tcPr>
          <w:p w14:paraId="4F203958" w14:textId="77777777" w:rsidR="0000021F" w:rsidRPr="00D77867" w:rsidRDefault="0000021F" w:rsidP="000215EC">
            <w:pPr>
              <w:spacing w:line="240" w:lineRule="auto"/>
              <w:jc w:val="center"/>
              <w:rPr>
                <w:rFonts w:eastAsia="Times New Roman"/>
                <w:b/>
                <w:bCs/>
                <w:color w:val="0000FF"/>
                <w:lang w:val="en-US"/>
              </w:rPr>
            </w:pPr>
            <w:r w:rsidRPr="00D77867">
              <w:rPr>
                <w:rFonts w:eastAsia="Times New Roman"/>
                <w:b/>
                <w:bCs/>
                <w:color w:val="0000FF"/>
              </w:rPr>
              <w:t xml:space="preserve"> Année 2022</w:t>
            </w:r>
          </w:p>
        </w:tc>
        <w:tc>
          <w:tcPr>
            <w:tcW w:w="606" w:type="pct"/>
            <w:tcBorders>
              <w:top w:val="nil"/>
              <w:left w:val="nil"/>
              <w:bottom w:val="single" w:sz="8" w:space="0" w:color="auto"/>
              <w:right w:val="single" w:sz="8" w:space="0" w:color="auto"/>
            </w:tcBorders>
            <w:shd w:val="clear" w:color="000000" w:fill="E2EFD9"/>
            <w:vAlign w:val="center"/>
            <w:hideMark/>
          </w:tcPr>
          <w:p w14:paraId="2244D1EB" w14:textId="77777777" w:rsidR="0000021F" w:rsidRPr="00D77867" w:rsidRDefault="0000021F" w:rsidP="000215EC">
            <w:pPr>
              <w:spacing w:line="240" w:lineRule="auto"/>
              <w:jc w:val="center"/>
              <w:rPr>
                <w:rFonts w:eastAsia="Times New Roman"/>
                <w:b/>
                <w:bCs/>
                <w:color w:val="0000FF"/>
                <w:lang w:val="en-US"/>
              </w:rPr>
            </w:pPr>
            <w:r w:rsidRPr="00D77867">
              <w:rPr>
                <w:rFonts w:eastAsia="Times New Roman"/>
                <w:b/>
                <w:bCs/>
                <w:color w:val="0000FF"/>
                <w:lang w:val="en-US"/>
              </w:rPr>
              <w:t>455 209</w:t>
            </w:r>
          </w:p>
        </w:tc>
        <w:tc>
          <w:tcPr>
            <w:tcW w:w="645" w:type="pct"/>
            <w:tcBorders>
              <w:top w:val="nil"/>
              <w:left w:val="nil"/>
              <w:bottom w:val="single" w:sz="8" w:space="0" w:color="auto"/>
              <w:right w:val="single" w:sz="8" w:space="0" w:color="auto"/>
            </w:tcBorders>
            <w:shd w:val="clear" w:color="000000" w:fill="E2EFD9"/>
            <w:vAlign w:val="center"/>
            <w:hideMark/>
          </w:tcPr>
          <w:p w14:paraId="4535DBE5" w14:textId="77777777" w:rsidR="0000021F" w:rsidRPr="00D77867" w:rsidRDefault="0000021F" w:rsidP="000215EC">
            <w:pPr>
              <w:spacing w:line="240" w:lineRule="auto"/>
              <w:jc w:val="right"/>
              <w:rPr>
                <w:rFonts w:eastAsia="Times New Roman"/>
                <w:b/>
                <w:bCs/>
                <w:color w:val="0000FF"/>
                <w:lang w:val="en-US"/>
              </w:rPr>
            </w:pPr>
            <w:r w:rsidRPr="00D77867">
              <w:rPr>
                <w:rFonts w:eastAsia="Times New Roman"/>
                <w:b/>
                <w:bCs/>
                <w:color w:val="0000FF"/>
                <w:lang w:val="en-GB"/>
              </w:rPr>
              <w:t> </w:t>
            </w:r>
          </w:p>
        </w:tc>
      </w:tr>
      <w:tr w:rsidR="007E71D0" w:rsidRPr="00D77867" w14:paraId="101FC8B6" w14:textId="77777777" w:rsidTr="007E71D0">
        <w:trPr>
          <w:trHeight w:val="358"/>
        </w:trPr>
        <w:tc>
          <w:tcPr>
            <w:tcW w:w="1331" w:type="pct"/>
            <w:tcBorders>
              <w:top w:val="nil"/>
              <w:left w:val="single" w:sz="8" w:space="0" w:color="auto"/>
              <w:bottom w:val="single" w:sz="8" w:space="0" w:color="auto"/>
              <w:right w:val="single" w:sz="8" w:space="0" w:color="auto"/>
            </w:tcBorders>
            <w:shd w:val="clear" w:color="000000" w:fill="FCE4D6"/>
            <w:vAlign w:val="center"/>
            <w:hideMark/>
          </w:tcPr>
          <w:p w14:paraId="78379158" w14:textId="77777777" w:rsidR="0000021F" w:rsidRPr="00D77867" w:rsidRDefault="0000021F" w:rsidP="000215EC">
            <w:pPr>
              <w:spacing w:line="240" w:lineRule="auto"/>
              <w:jc w:val="both"/>
              <w:rPr>
                <w:rFonts w:eastAsia="Times New Roman"/>
                <w:color w:val="0000FF"/>
                <w:lang w:val="en-US"/>
              </w:rPr>
            </w:pPr>
            <w:r w:rsidRPr="00D77867">
              <w:rPr>
                <w:rFonts w:eastAsia="Times New Roman"/>
                <w:color w:val="0000FF"/>
              </w:rPr>
              <w:t>Domaine d’investissement</w:t>
            </w:r>
          </w:p>
        </w:tc>
        <w:tc>
          <w:tcPr>
            <w:tcW w:w="2419" w:type="pct"/>
            <w:tcBorders>
              <w:top w:val="nil"/>
              <w:left w:val="nil"/>
              <w:bottom w:val="single" w:sz="8" w:space="0" w:color="auto"/>
              <w:right w:val="single" w:sz="8" w:space="0" w:color="auto"/>
            </w:tcBorders>
            <w:shd w:val="clear" w:color="000000" w:fill="FCE4D6"/>
            <w:vAlign w:val="center"/>
            <w:hideMark/>
          </w:tcPr>
          <w:p w14:paraId="06CFE5CB" w14:textId="77777777" w:rsidR="0000021F" w:rsidRPr="00D77867" w:rsidRDefault="0000021F" w:rsidP="000215EC">
            <w:pPr>
              <w:spacing w:line="240" w:lineRule="auto"/>
              <w:rPr>
                <w:rFonts w:eastAsia="Times New Roman"/>
                <w:color w:val="0000FF"/>
                <w:lang w:val="en-US"/>
              </w:rPr>
            </w:pPr>
            <w:r w:rsidRPr="00D77867">
              <w:rPr>
                <w:rFonts w:eastAsia="Times New Roman"/>
                <w:color w:val="0000FF"/>
              </w:rPr>
              <w:t>Objectif de haut niveau</w:t>
            </w:r>
          </w:p>
        </w:tc>
        <w:tc>
          <w:tcPr>
            <w:tcW w:w="606" w:type="pct"/>
            <w:tcBorders>
              <w:top w:val="nil"/>
              <w:left w:val="nil"/>
              <w:bottom w:val="single" w:sz="8" w:space="0" w:color="auto"/>
              <w:right w:val="single" w:sz="8" w:space="0" w:color="auto"/>
            </w:tcBorders>
            <w:shd w:val="clear" w:color="000000" w:fill="FCE4D6"/>
            <w:vAlign w:val="center"/>
            <w:hideMark/>
          </w:tcPr>
          <w:p w14:paraId="70AF43EE"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color w:val="0000FF"/>
                <w:sz w:val="20"/>
                <w:szCs w:val="20"/>
                <w:lang w:val="en-US"/>
              </w:rPr>
              <w:t> </w:t>
            </w:r>
          </w:p>
        </w:tc>
        <w:tc>
          <w:tcPr>
            <w:tcW w:w="645" w:type="pct"/>
            <w:tcBorders>
              <w:top w:val="nil"/>
              <w:left w:val="nil"/>
              <w:bottom w:val="single" w:sz="8" w:space="0" w:color="auto"/>
              <w:right w:val="single" w:sz="8" w:space="0" w:color="auto"/>
            </w:tcBorders>
            <w:shd w:val="clear" w:color="000000" w:fill="FCE4D6"/>
            <w:vAlign w:val="center"/>
            <w:hideMark/>
          </w:tcPr>
          <w:p w14:paraId="0ECE0197"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bCs/>
                <w:color w:val="0000FF"/>
                <w:sz w:val="20"/>
                <w:szCs w:val="20"/>
                <w:lang w:val="en-GB"/>
              </w:rPr>
              <w:t> </w:t>
            </w:r>
          </w:p>
        </w:tc>
      </w:tr>
      <w:tr w:rsidR="007E71D0" w:rsidRPr="00D77867" w14:paraId="6A551781"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2E63B334"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Gouvernance, politique, Planification stratégique et gestion du programme</w:t>
            </w:r>
          </w:p>
        </w:tc>
        <w:tc>
          <w:tcPr>
            <w:tcW w:w="2419" w:type="pct"/>
            <w:tcBorders>
              <w:top w:val="nil"/>
              <w:left w:val="nil"/>
              <w:bottom w:val="single" w:sz="8" w:space="0" w:color="auto"/>
              <w:right w:val="single" w:sz="8" w:space="0" w:color="auto"/>
            </w:tcBorders>
            <w:shd w:val="clear" w:color="auto" w:fill="auto"/>
            <w:vAlign w:val="center"/>
            <w:hideMark/>
          </w:tcPr>
          <w:p w14:paraId="41DE9780" w14:textId="77777777" w:rsidR="0000021F" w:rsidRPr="00D77867" w:rsidRDefault="0000021F" w:rsidP="000215EC">
            <w:pPr>
              <w:spacing w:line="240" w:lineRule="auto"/>
              <w:rPr>
                <w:rFonts w:eastAsia="Times New Roman"/>
                <w:color w:val="0000FF"/>
              </w:rPr>
            </w:pPr>
            <w:r w:rsidRPr="00D77867">
              <w:rPr>
                <w:rFonts w:eastAsia="Times New Roman"/>
                <w:color w:val="0000FF"/>
              </w:rPr>
              <w:t xml:space="preserve">Améliorer l’organisation, la coordination de la gestion des programmes au niveau central et opérationnel </w:t>
            </w:r>
          </w:p>
        </w:tc>
        <w:tc>
          <w:tcPr>
            <w:tcW w:w="606" w:type="pct"/>
            <w:tcBorders>
              <w:top w:val="nil"/>
              <w:left w:val="nil"/>
              <w:bottom w:val="single" w:sz="8" w:space="0" w:color="auto"/>
              <w:right w:val="single" w:sz="8" w:space="0" w:color="auto"/>
            </w:tcBorders>
            <w:shd w:val="clear" w:color="000000" w:fill="FFFFFF"/>
            <w:vAlign w:val="center"/>
            <w:hideMark/>
          </w:tcPr>
          <w:p w14:paraId="1366D987"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90 062</w:t>
            </w:r>
          </w:p>
        </w:tc>
        <w:tc>
          <w:tcPr>
            <w:tcW w:w="645" w:type="pct"/>
            <w:tcBorders>
              <w:top w:val="nil"/>
              <w:left w:val="nil"/>
              <w:bottom w:val="single" w:sz="8" w:space="0" w:color="auto"/>
              <w:right w:val="single" w:sz="8" w:space="0" w:color="auto"/>
            </w:tcBorders>
            <w:shd w:val="clear" w:color="000000" w:fill="FFFFFF"/>
            <w:vAlign w:val="center"/>
            <w:hideMark/>
          </w:tcPr>
          <w:p w14:paraId="6BB3C337"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19,8</w:t>
            </w:r>
          </w:p>
        </w:tc>
      </w:tr>
      <w:tr w:rsidR="007E71D0" w:rsidRPr="00D77867" w14:paraId="7044DE5A"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5D7399E3"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Gouvernance, politique, Planification stratégique et gestion du programme</w:t>
            </w:r>
          </w:p>
        </w:tc>
        <w:tc>
          <w:tcPr>
            <w:tcW w:w="2419" w:type="pct"/>
            <w:tcBorders>
              <w:top w:val="nil"/>
              <w:left w:val="nil"/>
              <w:bottom w:val="single" w:sz="8" w:space="0" w:color="auto"/>
              <w:right w:val="single" w:sz="8" w:space="0" w:color="auto"/>
            </w:tcBorders>
            <w:shd w:val="clear" w:color="auto" w:fill="auto"/>
            <w:vAlign w:val="center"/>
            <w:hideMark/>
          </w:tcPr>
          <w:p w14:paraId="36E37421" w14:textId="77777777" w:rsidR="0000021F" w:rsidRPr="00D77867" w:rsidRDefault="0000021F" w:rsidP="000215EC">
            <w:pPr>
              <w:spacing w:line="240" w:lineRule="auto"/>
              <w:rPr>
                <w:rFonts w:eastAsia="Times New Roman"/>
                <w:color w:val="0000FF"/>
              </w:rPr>
            </w:pPr>
            <w:r w:rsidRPr="00D77867">
              <w:rPr>
                <w:rFonts w:eastAsia="Times New Roman"/>
                <w:color w:val="0000FF"/>
              </w:rPr>
              <w:t>Elaborer la nouvelle stratégie nationale d'immunisation</w:t>
            </w:r>
          </w:p>
        </w:tc>
        <w:tc>
          <w:tcPr>
            <w:tcW w:w="606" w:type="pct"/>
            <w:tcBorders>
              <w:top w:val="nil"/>
              <w:left w:val="nil"/>
              <w:bottom w:val="single" w:sz="8" w:space="0" w:color="auto"/>
              <w:right w:val="single" w:sz="8" w:space="0" w:color="auto"/>
            </w:tcBorders>
            <w:shd w:val="clear" w:color="000000" w:fill="FFFFFF"/>
            <w:vAlign w:val="center"/>
            <w:hideMark/>
          </w:tcPr>
          <w:p w14:paraId="4EEAE796"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lang w:val="en-US"/>
              </w:rPr>
              <w:t>27 000</w:t>
            </w:r>
          </w:p>
        </w:tc>
        <w:tc>
          <w:tcPr>
            <w:tcW w:w="645" w:type="pct"/>
            <w:tcBorders>
              <w:top w:val="nil"/>
              <w:left w:val="nil"/>
              <w:bottom w:val="single" w:sz="8" w:space="0" w:color="auto"/>
              <w:right w:val="single" w:sz="8" w:space="0" w:color="auto"/>
            </w:tcBorders>
            <w:shd w:val="clear" w:color="000000" w:fill="FFFFFF"/>
            <w:vAlign w:val="center"/>
            <w:hideMark/>
          </w:tcPr>
          <w:p w14:paraId="24C337EA"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lang w:val="en-US"/>
              </w:rPr>
              <w:t>5,9</w:t>
            </w:r>
          </w:p>
        </w:tc>
      </w:tr>
      <w:tr w:rsidR="007E71D0" w:rsidRPr="00D77867" w14:paraId="7714A67B"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1D131470"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Surveillance des Maladies évitables par la vaccination</w:t>
            </w:r>
          </w:p>
        </w:tc>
        <w:tc>
          <w:tcPr>
            <w:tcW w:w="2419" w:type="pct"/>
            <w:tcBorders>
              <w:top w:val="nil"/>
              <w:left w:val="nil"/>
              <w:bottom w:val="single" w:sz="8" w:space="0" w:color="auto"/>
              <w:right w:val="single" w:sz="8" w:space="0" w:color="auto"/>
            </w:tcBorders>
            <w:shd w:val="clear" w:color="000000" w:fill="FFFFFF"/>
            <w:vAlign w:val="center"/>
            <w:hideMark/>
          </w:tcPr>
          <w:p w14:paraId="0003DC57" w14:textId="77777777" w:rsidR="0000021F" w:rsidRPr="00D77867" w:rsidRDefault="0000021F" w:rsidP="000215EC">
            <w:pPr>
              <w:spacing w:line="240" w:lineRule="auto"/>
              <w:rPr>
                <w:rFonts w:eastAsia="Times New Roman"/>
                <w:color w:val="0000FF"/>
              </w:rPr>
            </w:pPr>
            <w:r w:rsidRPr="00D77867">
              <w:rPr>
                <w:rFonts w:eastAsia="Times New Roman"/>
                <w:color w:val="0000FF"/>
              </w:rPr>
              <w:t xml:space="preserve">Appuyer le pays à maintenir la couverture en DTC3 </w:t>
            </w:r>
            <w:proofErr w:type="spellStart"/>
            <w:r w:rsidRPr="00D77867">
              <w:rPr>
                <w:rFonts w:eastAsia="Times New Roman"/>
                <w:color w:val="0000FF"/>
              </w:rPr>
              <w:t>au dessus</w:t>
            </w:r>
            <w:proofErr w:type="spellEnd"/>
            <w:r w:rsidRPr="00D77867">
              <w:rPr>
                <w:rFonts w:eastAsia="Times New Roman"/>
                <w:color w:val="0000FF"/>
              </w:rPr>
              <w:t xml:space="preserve"> de 90% et Apporter un appui technique pour maintenir les indicateurs de surveillance des PFA, de la rougeole à un niveau performant</w:t>
            </w:r>
          </w:p>
        </w:tc>
        <w:tc>
          <w:tcPr>
            <w:tcW w:w="606" w:type="pct"/>
            <w:tcBorders>
              <w:top w:val="nil"/>
              <w:left w:val="nil"/>
              <w:bottom w:val="single" w:sz="8" w:space="0" w:color="auto"/>
              <w:right w:val="single" w:sz="8" w:space="0" w:color="auto"/>
            </w:tcBorders>
            <w:shd w:val="clear" w:color="000000" w:fill="FFFFFF"/>
            <w:vAlign w:val="center"/>
            <w:hideMark/>
          </w:tcPr>
          <w:p w14:paraId="2F28AC4E"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71 422</w:t>
            </w:r>
          </w:p>
        </w:tc>
        <w:tc>
          <w:tcPr>
            <w:tcW w:w="645" w:type="pct"/>
            <w:tcBorders>
              <w:top w:val="nil"/>
              <w:left w:val="nil"/>
              <w:bottom w:val="single" w:sz="8" w:space="0" w:color="auto"/>
              <w:right w:val="single" w:sz="8" w:space="0" w:color="auto"/>
            </w:tcBorders>
            <w:shd w:val="clear" w:color="000000" w:fill="FFFFFF"/>
            <w:vAlign w:val="center"/>
            <w:hideMark/>
          </w:tcPr>
          <w:p w14:paraId="4666F6BE"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rPr>
              <w:t>15,7</w:t>
            </w:r>
          </w:p>
        </w:tc>
      </w:tr>
      <w:tr w:rsidR="007E71D0" w:rsidRPr="00D77867" w14:paraId="6D78410A"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6E43C1E7"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Gouvernance, politique, Planification stratégique et gestion du programme</w:t>
            </w:r>
          </w:p>
        </w:tc>
        <w:tc>
          <w:tcPr>
            <w:tcW w:w="2419" w:type="pct"/>
            <w:tcBorders>
              <w:top w:val="nil"/>
              <w:left w:val="nil"/>
              <w:bottom w:val="single" w:sz="8" w:space="0" w:color="auto"/>
              <w:right w:val="single" w:sz="8" w:space="0" w:color="auto"/>
            </w:tcBorders>
            <w:shd w:val="clear" w:color="000000" w:fill="FFFFFF"/>
            <w:vAlign w:val="center"/>
            <w:hideMark/>
          </w:tcPr>
          <w:p w14:paraId="3872B99F"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Appuyer le pays à introduire les nouveaux vaccins et mettre en œuvre des AVS de qualité</w:t>
            </w:r>
          </w:p>
        </w:tc>
        <w:tc>
          <w:tcPr>
            <w:tcW w:w="606" w:type="pct"/>
            <w:tcBorders>
              <w:top w:val="nil"/>
              <w:left w:val="nil"/>
              <w:bottom w:val="single" w:sz="8" w:space="0" w:color="auto"/>
              <w:right w:val="single" w:sz="8" w:space="0" w:color="auto"/>
            </w:tcBorders>
            <w:shd w:val="clear" w:color="000000" w:fill="FFFFFF"/>
            <w:vAlign w:val="center"/>
            <w:hideMark/>
          </w:tcPr>
          <w:p w14:paraId="2447E899"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26 750</w:t>
            </w:r>
          </w:p>
        </w:tc>
        <w:tc>
          <w:tcPr>
            <w:tcW w:w="645" w:type="pct"/>
            <w:tcBorders>
              <w:top w:val="nil"/>
              <w:left w:val="nil"/>
              <w:bottom w:val="single" w:sz="8" w:space="0" w:color="auto"/>
              <w:right w:val="single" w:sz="8" w:space="0" w:color="auto"/>
            </w:tcBorders>
            <w:shd w:val="clear" w:color="000000" w:fill="FFFFFF"/>
            <w:vAlign w:val="center"/>
            <w:hideMark/>
          </w:tcPr>
          <w:p w14:paraId="75B2F545"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rPr>
              <w:t>5,9</w:t>
            </w:r>
          </w:p>
        </w:tc>
      </w:tr>
      <w:tr w:rsidR="007E71D0" w:rsidRPr="00D77867" w14:paraId="78967B88"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396408E8"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Systèmes d'</w:t>
            </w:r>
            <w:proofErr w:type="spellStart"/>
            <w:r w:rsidRPr="00D77867">
              <w:rPr>
                <w:rFonts w:eastAsia="Times New Roman"/>
                <w:color w:val="0000FF"/>
                <w:sz w:val="20"/>
                <w:szCs w:val="20"/>
              </w:rPr>
              <w:t>informationsanitaire</w:t>
            </w:r>
            <w:proofErr w:type="spellEnd"/>
            <w:r w:rsidRPr="00D77867">
              <w:rPr>
                <w:rFonts w:eastAsia="Times New Roman"/>
                <w:color w:val="0000FF"/>
                <w:sz w:val="20"/>
                <w:szCs w:val="20"/>
              </w:rPr>
              <w:t xml:space="preserve"> et suivi et apprentissage</w:t>
            </w:r>
          </w:p>
        </w:tc>
        <w:tc>
          <w:tcPr>
            <w:tcW w:w="2419" w:type="pct"/>
            <w:tcBorders>
              <w:top w:val="nil"/>
              <w:left w:val="nil"/>
              <w:bottom w:val="single" w:sz="8" w:space="0" w:color="auto"/>
              <w:right w:val="single" w:sz="8" w:space="0" w:color="auto"/>
            </w:tcBorders>
            <w:shd w:val="clear" w:color="000000" w:fill="FFFFFF"/>
            <w:vAlign w:val="center"/>
            <w:hideMark/>
          </w:tcPr>
          <w:p w14:paraId="4DB671E4"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Apporter un appui pour assurer la sécurité vaccinale à tous les niveaux</w:t>
            </w:r>
          </w:p>
        </w:tc>
        <w:tc>
          <w:tcPr>
            <w:tcW w:w="606" w:type="pct"/>
            <w:tcBorders>
              <w:top w:val="nil"/>
              <w:left w:val="nil"/>
              <w:bottom w:val="single" w:sz="8" w:space="0" w:color="auto"/>
              <w:right w:val="single" w:sz="8" w:space="0" w:color="auto"/>
            </w:tcBorders>
            <w:shd w:val="clear" w:color="000000" w:fill="FFFFFF"/>
            <w:vAlign w:val="center"/>
            <w:hideMark/>
          </w:tcPr>
          <w:p w14:paraId="6B3C07D9"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20 865</w:t>
            </w:r>
          </w:p>
        </w:tc>
        <w:tc>
          <w:tcPr>
            <w:tcW w:w="645" w:type="pct"/>
            <w:tcBorders>
              <w:top w:val="nil"/>
              <w:left w:val="nil"/>
              <w:bottom w:val="single" w:sz="8" w:space="0" w:color="auto"/>
              <w:right w:val="single" w:sz="8" w:space="0" w:color="auto"/>
            </w:tcBorders>
            <w:shd w:val="clear" w:color="000000" w:fill="FFFFFF"/>
            <w:vAlign w:val="center"/>
            <w:hideMark/>
          </w:tcPr>
          <w:p w14:paraId="79060FBB"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rPr>
              <w:t>4,6</w:t>
            </w:r>
          </w:p>
        </w:tc>
      </w:tr>
      <w:tr w:rsidR="007E71D0" w:rsidRPr="00D77867" w14:paraId="512512BA" w14:textId="77777777" w:rsidTr="007E71D0">
        <w:trPr>
          <w:trHeight w:val="532"/>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400E0153"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Ressources humaines pour la santé</w:t>
            </w:r>
          </w:p>
        </w:tc>
        <w:tc>
          <w:tcPr>
            <w:tcW w:w="2419" w:type="pct"/>
            <w:tcBorders>
              <w:top w:val="nil"/>
              <w:left w:val="nil"/>
              <w:bottom w:val="single" w:sz="8" w:space="0" w:color="auto"/>
              <w:right w:val="single" w:sz="8" w:space="0" w:color="auto"/>
            </w:tcBorders>
            <w:shd w:val="clear" w:color="000000" w:fill="FFFFFF"/>
            <w:vAlign w:val="center"/>
            <w:hideMark/>
          </w:tcPr>
          <w:p w14:paraId="74559CCC"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Apporter un appui technique pour le renforcement des capacités des acteurs en gestion du PEV</w:t>
            </w:r>
          </w:p>
        </w:tc>
        <w:tc>
          <w:tcPr>
            <w:tcW w:w="606" w:type="pct"/>
            <w:tcBorders>
              <w:top w:val="nil"/>
              <w:left w:val="nil"/>
              <w:bottom w:val="single" w:sz="8" w:space="0" w:color="auto"/>
              <w:right w:val="single" w:sz="8" w:space="0" w:color="auto"/>
            </w:tcBorders>
            <w:shd w:val="clear" w:color="000000" w:fill="FFFFFF"/>
            <w:vAlign w:val="center"/>
            <w:hideMark/>
          </w:tcPr>
          <w:p w14:paraId="136D4189"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26 750</w:t>
            </w:r>
          </w:p>
        </w:tc>
        <w:tc>
          <w:tcPr>
            <w:tcW w:w="645" w:type="pct"/>
            <w:tcBorders>
              <w:top w:val="nil"/>
              <w:left w:val="nil"/>
              <w:bottom w:val="single" w:sz="8" w:space="0" w:color="auto"/>
              <w:right w:val="single" w:sz="8" w:space="0" w:color="auto"/>
            </w:tcBorders>
            <w:shd w:val="clear" w:color="000000" w:fill="FFFFFF"/>
            <w:vAlign w:val="center"/>
            <w:hideMark/>
          </w:tcPr>
          <w:p w14:paraId="6177EF52"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rPr>
              <w:t>5,9</w:t>
            </w:r>
          </w:p>
        </w:tc>
      </w:tr>
      <w:tr w:rsidR="007E71D0" w:rsidRPr="00D77867" w14:paraId="31EC861F"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164C3FAA"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color w:val="0000FF"/>
                <w:sz w:val="20"/>
                <w:szCs w:val="20"/>
              </w:rPr>
              <w:t xml:space="preserve"> Chaine d’approvisionnement </w:t>
            </w:r>
          </w:p>
        </w:tc>
        <w:tc>
          <w:tcPr>
            <w:tcW w:w="2419" w:type="pct"/>
            <w:tcBorders>
              <w:top w:val="nil"/>
              <w:left w:val="nil"/>
              <w:bottom w:val="single" w:sz="8" w:space="0" w:color="auto"/>
              <w:right w:val="single" w:sz="8" w:space="0" w:color="auto"/>
            </w:tcBorders>
            <w:shd w:val="clear" w:color="000000" w:fill="FFFFFF"/>
            <w:vAlign w:val="center"/>
            <w:hideMark/>
          </w:tcPr>
          <w:p w14:paraId="06332B49" w14:textId="77777777" w:rsidR="0000021F" w:rsidRPr="00D77867" w:rsidRDefault="0000021F" w:rsidP="000215EC">
            <w:pPr>
              <w:spacing w:line="240" w:lineRule="auto"/>
              <w:rPr>
                <w:rFonts w:eastAsia="Times New Roman"/>
                <w:color w:val="0000FF"/>
              </w:rPr>
            </w:pPr>
            <w:r w:rsidRPr="00D77867">
              <w:rPr>
                <w:rFonts w:eastAsia="Times New Roman"/>
                <w:color w:val="0000FF"/>
              </w:rPr>
              <w:t xml:space="preserve"> Assurer une disponibilité en quantité et en qualité optimales de la chaine du froid et des vaccins à tous les niveaux </w:t>
            </w:r>
          </w:p>
        </w:tc>
        <w:tc>
          <w:tcPr>
            <w:tcW w:w="606" w:type="pct"/>
            <w:tcBorders>
              <w:top w:val="nil"/>
              <w:left w:val="nil"/>
              <w:bottom w:val="single" w:sz="8" w:space="0" w:color="auto"/>
              <w:right w:val="single" w:sz="8" w:space="0" w:color="auto"/>
            </w:tcBorders>
            <w:shd w:val="clear" w:color="000000" w:fill="FFFFFF"/>
            <w:vAlign w:val="center"/>
            <w:hideMark/>
          </w:tcPr>
          <w:p w14:paraId="741050C7"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3 780</w:t>
            </w:r>
          </w:p>
        </w:tc>
        <w:tc>
          <w:tcPr>
            <w:tcW w:w="645" w:type="pct"/>
            <w:tcBorders>
              <w:top w:val="nil"/>
              <w:left w:val="nil"/>
              <w:bottom w:val="single" w:sz="8" w:space="0" w:color="auto"/>
              <w:right w:val="single" w:sz="8" w:space="0" w:color="auto"/>
            </w:tcBorders>
            <w:shd w:val="clear" w:color="000000" w:fill="FFFFFF"/>
            <w:vAlign w:val="center"/>
            <w:hideMark/>
          </w:tcPr>
          <w:p w14:paraId="30F7EA84"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0,8</w:t>
            </w:r>
          </w:p>
        </w:tc>
      </w:tr>
      <w:tr w:rsidR="007E71D0" w:rsidRPr="00D77867" w14:paraId="3E832CFD"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59E227A1"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Génération de la demande et engagement de la communauté</w:t>
            </w:r>
          </w:p>
        </w:tc>
        <w:tc>
          <w:tcPr>
            <w:tcW w:w="2419" w:type="pct"/>
            <w:tcBorders>
              <w:top w:val="nil"/>
              <w:left w:val="nil"/>
              <w:bottom w:val="single" w:sz="8" w:space="0" w:color="auto"/>
              <w:right w:val="single" w:sz="8" w:space="0" w:color="auto"/>
            </w:tcBorders>
            <w:shd w:val="clear" w:color="000000" w:fill="FFFFFF"/>
            <w:vAlign w:val="center"/>
            <w:hideMark/>
          </w:tcPr>
          <w:p w14:paraId="5417398F" w14:textId="77777777" w:rsidR="0000021F" w:rsidRPr="00D77867" w:rsidRDefault="0000021F" w:rsidP="000215EC">
            <w:pPr>
              <w:spacing w:line="240" w:lineRule="auto"/>
              <w:rPr>
                <w:rFonts w:eastAsia="Times New Roman"/>
                <w:color w:val="0000FF"/>
              </w:rPr>
            </w:pPr>
            <w:r w:rsidRPr="00D77867">
              <w:rPr>
                <w:rFonts w:eastAsia="Times New Roman"/>
                <w:color w:val="0000FF"/>
              </w:rPr>
              <w:t xml:space="preserve">Améliorer la mobilisation sociale </w:t>
            </w:r>
            <w:proofErr w:type="gramStart"/>
            <w:r w:rsidRPr="00D77867">
              <w:rPr>
                <w:rFonts w:eastAsia="Times New Roman"/>
                <w:color w:val="0000FF"/>
              </w:rPr>
              <w:t>à  travers</w:t>
            </w:r>
            <w:proofErr w:type="gramEnd"/>
            <w:r w:rsidRPr="00D77867">
              <w:rPr>
                <w:rFonts w:eastAsia="Times New Roman"/>
                <w:color w:val="0000FF"/>
              </w:rPr>
              <w:t xml:space="preserve">  l’adhésion et l’engagement communautaire en faveur de la vaccination</w:t>
            </w:r>
          </w:p>
        </w:tc>
        <w:tc>
          <w:tcPr>
            <w:tcW w:w="606" w:type="pct"/>
            <w:tcBorders>
              <w:top w:val="nil"/>
              <w:left w:val="nil"/>
              <w:bottom w:val="single" w:sz="8" w:space="0" w:color="auto"/>
              <w:right w:val="single" w:sz="8" w:space="0" w:color="auto"/>
            </w:tcBorders>
            <w:shd w:val="clear" w:color="000000" w:fill="FFFFFF"/>
            <w:vAlign w:val="center"/>
            <w:hideMark/>
          </w:tcPr>
          <w:p w14:paraId="1A07F646"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7 800</w:t>
            </w:r>
          </w:p>
        </w:tc>
        <w:tc>
          <w:tcPr>
            <w:tcW w:w="645" w:type="pct"/>
            <w:tcBorders>
              <w:top w:val="nil"/>
              <w:left w:val="nil"/>
              <w:bottom w:val="single" w:sz="8" w:space="0" w:color="auto"/>
              <w:right w:val="single" w:sz="8" w:space="0" w:color="auto"/>
            </w:tcBorders>
            <w:shd w:val="clear" w:color="000000" w:fill="FFFFFF"/>
            <w:vAlign w:val="center"/>
            <w:hideMark/>
          </w:tcPr>
          <w:p w14:paraId="3E7F8E4E"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1,7</w:t>
            </w:r>
          </w:p>
        </w:tc>
      </w:tr>
      <w:tr w:rsidR="007E71D0" w:rsidRPr="00D77867" w14:paraId="30467BAB" w14:textId="77777777" w:rsidTr="007E71D0">
        <w:trPr>
          <w:trHeight w:val="433"/>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4961B9E8"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color w:val="0000FF"/>
                <w:sz w:val="20"/>
                <w:szCs w:val="20"/>
              </w:rPr>
              <w:t xml:space="preserve">Offre de service  </w:t>
            </w:r>
          </w:p>
        </w:tc>
        <w:tc>
          <w:tcPr>
            <w:tcW w:w="2419" w:type="pct"/>
            <w:tcBorders>
              <w:top w:val="nil"/>
              <w:left w:val="nil"/>
              <w:bottom w:val="single" w:sz="8" w:space="0" w:color="auto"/>
              <w:right w:val="single" w:sz="8" w:space="0" w:color="auto"/>
            </w:tcBorders>
            <w:shd w:val="clear" w:color="000000" w:fill="FFFFFF"/>
            <w:vAlign w:val="center"/>
            <w:hideMark/>
          </w:tcPr>
          <w:p w14:paraId="4525C482" w14:textId="77777777" w:rsidR="0000021F" w:rsidRPr="00D77867" w:rsidRDefault="0000021F" w:rsidP="000215EC">
            <w:pPr>
              <w:spacing w:line="240" w:lineRule="auto"/>
              <w:rPr>
                <w:rFonts w:eastAsia="Times New Roman"/>
                <w:color w:val="0000FF"/>
              </w:rPr>
            </w:pPr>
            <w:r w:rsidRPr="00D77867">
              <w:rPr>
                <w:rFonts w:eastAsia="Times New Roman"/>
                <w:color w:val="0000FF"/>
              </w:rPr>
              <w:t xml:space="preserve">Assurer une couverture vaccinale adéquate et équitable à tous les enfants cibles </w:t>
            </w:r>
          </w:p>
        </w:tc>
        <w:tc>
          <w:tcPr>
            <w:tcW w:w="606" w:type="pct"/>
            <w:tcBorders>
              <w:top w:val="nil"/>
              <w:left w:val="nil"/>
              <w:bottom w:val="single" w:sz="8" w:space="0" w:color="auto"/>
              <w:right w:val="single" w:sz="8" w:space="0" w:color="auto"/>
            </w:tcBorders>
            <w:shd w:val="clear" w:color="000000" w:fill="FFFFFF"/>
            <w:vAlign w:val="center"/>
            <w:hideMark/>
          </w:tcPr>
          <w:p w14:paraId="54F09727"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30 780</w:t>
            </w:r>
          </w:p>
        </w:tc>
        <w:tc>
          <w:tcPr>
            <w:tcW w:w="645" w:type="pct"/>
            <w:tcBorders>
              <w:top w:val="nil"/>
              <w:left w:val="nil"/>
              <w:bottom w:val="single" w:sz="8" w:space="0" w:color="auto"/>
              <w:right w:val="single" w:sz="8" w:space="0" w:color="auto"/>
            </w:tcBorders>
            <w:shd w:val="clear" w:color="000000" w:fill="FFFFFF"/>
            <w:vAlign w:val="center"/>
            <w:hideMark/>
          </w:tcPr>
          <w:p w14:paraId="2CE38A89"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6,8</w:t>
            </w:r>
          </w:p>
        </w:tc>
      </w:tr>
      <w:tr w:rsidR="007E71D0" w:rsidRPr="00D77867" w14:paraId="6CFAA857" w14:textId="77777777" w:rsidTr="007E71D0">
        <w:trPr>
          <w:trHeight w:val="351"/>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1B03170E"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Surveillance des Maladies évitables par la vaccination</w:t>
            </w:r>
          </w:p>
        </w:tc>
        <w:tc>
          <w:tcPr>
            <w:tcW w:w="2419" w:type="pct"/>
            <w:tcBorders>
              <w:top w:val="nil"/>
              <w:left w:val="nil"/>
              <w:bottom w:val="single" w:sz="8" w:space="0" w:color="auto"/>
              <w:right w:val="single" w:sz="8" w:space="0" w:color="auto"/>
            </w:tcBorders>
            <w:shd w:val="clear" w:color="000000" w:fill="FFFFFF"/>
            <w:vAlign w:val="center"/>
            <w:hideMark/>
          </w:tcPr>
          <w:p w14:paraId="609835F2" w14:textId="77777777" w:rsidR="0000021F" w:rsidRPr="00D77867" w:rsidRDefault="0000021F" w:rsidP="000215EC">
            <w:pPr>
              <w:spacing w:line="240" w:lineRule="auto"/>
              <w:rPr>
                <w:rFonts w:eastAsia="Times New Roman"/>
                <w:color w:val="0000FF"/>
              </w:rPr>
            </w:pPr>
            <w:proofErr w:type="spellStart"/>
            <w:r w:rsidRPr="00D77867">
              <w:rPr>
                <w:rFonts w:eastAsia="Times New Roman"/>
                <w:color w:val="0000FF"/>
              </w:rPr>
              <w:t>Detecter</w:t>
            </w:r>
            <w:proofErr w:type="spellEnd"/>
            <w:r w:rsidRPr="00D77867">
              <w:rPr>
                <w:rFonts w:eastAsia="Times New Roman"/>
                <w:color w:val="0000FF"/>
              </w:rPr>
              <w:t xml:space="preserve"> à temps et monitorer l’évolution épidémiologique des </w:t>
            </w:r>
            <w:proofErr w:type="spellStart"/>
            <w:r w:rsidRPr="00D77867">
              <w:rPr>
                <w:rFonts w:eastAsia="Times New Roman"/>
                <w:color w:val="0000FF"/>
              </w:rPr>
              <w:t>ménoingites</w:t>
            </w:r>
            <w:proofErr w:type="spellEnd"/>
            <w:r w:rsidRPr="00D77867">
              <w:rPr>
                <w:rFonts w:eastAsia="Times New Roman"/>
                <w:color w:val="0000FF"/>
              </w:rPr>
              <w:t xml:space="preserve"> au laboratoire (CDC) </w:t>
            </w:r>
          </w:p>
        </w:tc>
        <w:tc>
          <w:tcPr>
            <w:tcW w:w="606" w:type="pct"/>
            <w:tcBorders>
              <w:top w:val="nil"/>
              <w:left w:val="nil"/>
              <w:bottom w:val="single" w:sz="8" w:space="0" w:color="auto"/>
              <w:right w:val="single" w:sz="8" w:space="0" w:color="auto"/>
            </w:tcBorders>
            <w:shd w:val="clear" w:color="000000" w:fill="FFFFFF"/>
            <w:vAlign w:val="center"/>
            <w:hideMark/>
          </w:tcPr>
          <w:p w14:paraId="4A5A7827"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150 000</w:t>
            </w:r>
          </w:p>
        </w:tc>
        <w:tc>
          <w:tcPr>
            <w:tcW w:w="645" w:type="pct"/>
            <w:tcBorders>
              <w:top w:val="nil"/>
              <w:left w:val="nil"/>
              <w:bottom w:val="single" w:sz="8" w:space="0" w:color="auto"/>
              <w:right w:val="single" w:sz="8" w:space="0" w:color="auto"/>
            </w:tcBorders>
            <w:shd w:val="clear" w:color="000000" w:fill="FFFFFF"/>
            <w:vAlign w:val="center"/>
            <w:hideMark/>
          </w:tcPr>
          <w:p w14:paraId="0BC057F2"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33,0</w:t>
            </w:r>
          </w:p>
        </w:tc>
      </w:tr>
      <w:tr w:rsidR="0000021F" w:rsidRPr="00D77867" w14:paraId="4CA8F758" w14:textId="77777777" w:rsidTr="007E71D0">
        <w:trPr>
          <w:trHeight w:val="294"/>
        </w:trPr>
        <w:tc>
          <w:tcPr>
            <w:tcW w:w="3749" w:type="pct"/>
            <w:gridSpan w:val="2"/>
            <w:tcBorders>
              <w:top w:val="single" w:sz="8" w:space="0" w:color="auto"/>
              <w:left w:val="single" w:sz="8" w:space="0" w:color="auto"/>
              <w:bottom w:val="single" w:sz="8" w:space="0" w:color="auto"/>
              <w:right w:val="single" w:sz="8" w:space="0" w:color="auto"/>
            </w:tcBorders>
            <w:shd w:val="clear" w:color="000000" w:fill="E2EFD9"/>
            <w:vAlign w:val="center"/>
            <w:hideMark/>
          </w:tcPr>
          <w:p w14:paraId="6719121B" w14:textId="77777777" w:rsidR="0000021F" w:rsidRPr="00D77867" w:rsidRDefault="0000021F" w:rsidP="000215EC">
            <w:pPr>
              <w:spacing w:line="240" w:lineRule="auto"/>
              <w:jc w:val="center"/>
              <w:rPr>
                <w:rFonts w:eastAsia="Times New Roman"/>
                <w:b/>
                <w:bCs/>
                <w:color w:val="0000FF"/>
                <w:lang w:val="en-US"/>
              </w:rPr>
            </w:pPr>
            <w:r w:rsidRPr="00D77867">
              <w:rPr>
                <w:rFonts w:eastAsia="Times New Roman"/>
                <w:b/>
                <w:bCs/>
                <w:color w:val="0000FF"/>
              </w:rPr>
              <w:t xml:space="preserve"> Année 2023</w:t>
            </w:r>
          </w:p>
        </w:tc>
        <w:tc>
          <w:tcPr>
            <w:tcW w:w="606" w:type="pct"/>
            <w:tcBorders>
              <w:top w:val="nil"/>
              <w:left w:val="nil"/>
              <w:bottom w:val="single" w:sz="8" w:space="0" w:color="auto"/>
              <w:right w:val="single" w:sz="8" w:space="0" w:color="auto"/>
            </w:tcBorders>
            <w:shd w:val="clear" w:color="000000" w:fill="E2EFD9"/>
            <w:vAlign w:val="center"/>
            <w:hideMark/>
          </w:tcPr>
          <w:p w14:paraId="47D8836E" w14:textId="77777777" w:rsidR="0000021F" w:rsidRPr="00D77867" w:rsidRDefault="0000021F" w:rsidP="000215EC">
            <w:pPr>
              <w:spacing w:line="240" w:lineRule="auto"/>
              <w:jc w:val="center"/>
              <w:rPr>
                <w:rFonts w:eastAsia="Times New Roman"/>
                <w:b/>
                <w:bCs/>
                <w:color w:val="0000FF"/>
                <w:lang w:val="en-US"/>
              </w:rPr>
            </w:pPr>
            <w:r w:rsidRPr="00D77867">
              <w:rPr>
                <w:rFonts w:eastAsia="Times New Roman"/>
                <w:b/>
                <w:bCs/>
                <w:color w:val="0000FF"/>
                <w:lang w:val="en-US"/>
              </w:rPr>
              <w:t>1 105 114</w:t>
            </w:r>
          </w:p>
        </w:tc>
        <w:tc>
          <w:tcPr>
            <w:tcW w:w="645" w:type="pct"/>
            <w:tcBorders>
              <w:top w:val="nil"/>
              <w:left w:val="nil"/>
              <w:bottom w:val="single" w:sz="8" w:space="0" w:color="auto"/>
              <w:right w:val="single" w:sz="8" w:space="0" w:color="auto"/>
            </w:tcBorders>
            <w:shd w:val="clear" w:color="000000" w:fill="E2EFD9"/>
            <w:vAlign w:val="center"/>
            <w:hideMark/>
          </w:tcPr>
          <w:p w14:paraId="5836E2D5" w14:textId="77777777" w:rsidR="0000021F" w:rsidRPr="00D77867" w:rsidRDefault="0000021F" w:rsidP="000215EC">
            <w:pPr>
              <w:spacing w:line="240" w:lineRule="auto"/>
              <w:jc w:val="right"/>
              <w:rPr>
                <w:rFonts w:eastAsia="Times New Roman"/>
                <w:b/>
                <w:bCs/>
                <w:color w:val="0000FF"/>
                <w:lang w:val="en-US"/>
              </w:rPr>
            </w:pPr>
            <w:r w:rsidRPr="00D77867">
              <w:rPr>
                <w:rFonts w:eastAsia="Times New Roman"/>
                <w:b/>
                <w:bCs/>
                <w:color w:val="0000FF"/>
                <w:lang w:val="en-GB"/>
              </w:rPr>
              <w:t> </w:t>
            </w:r>
          </w:p>
        </w:tc>
      </w:tr>
      <w:tr w:rsidR="007E71D0" w:rsidRPr="00D77867" w14:paraId="5A4FE3B9" w14:textId="77777777" w:rsidTr="007E71D0">
        <w:trPr>
          <w:trHeight w:val="370"/>
        </w:trPr>
        <w:tc>
          <w:tcPr>
            <w:tcW w:w="1331" w:type="pct"/>
            <w:tcBorders>
              <w:top w:val="nil"/>
              <w:left w:val="single" w:sz="8" w:space="0" w:color="auto"/>
              <w:bottom w:val="single" w:sz="8" w:space="0" w:color="auto"/>
              <w:right w:val="single" w:sz="8" w:space="0" w:color="auto"/>
            </w:tcBorders>
            <w:shd w:val="clear" w:color="000000" w:fill="FCE4D6"/>
            <w:vAlign w:val="center"/>
            <w:hideMark/>
          </w:tcPr>
          <w:p w14:paraId="0925CF60" w14:textId="77777777" w:rsidR="0000021F" w:rsidRPr="00D77867" w:rsidRDefault="0000021F" w:rsidP="000215EC">
            <w:pPr>
              <w:spacing w:line="240" w:lineRule="auto"/>
              <w:rPr>
                <w:rFonts w:eastAsia="Times New Roman"/>
                <w:color w:val="0000FF"/>
                <w:lang w:val="en-US"/>
              </w:rPr>
            </w:pPr>
            <w:r w:rsidRPr="00D77867">
              <w:rPr>
                <w:rFonts w:eastAsia="Times New Roman"/>
                <w:color w:val="0000FF"/>
              </w:rPr>
              <w:t>Domaine d'investissement</w:t>
            </w:r>
          </w:p>
        </w:tc>
        <w:tc>
          <w:tcPr>
            <w:tcW w:w="2419" w:type="pct"/>
            <w:tcBorders>
              <w:top w:val="nil"/>
              <w:left w:val="nil"/>
              <w:bottom w:val="single" w:sz="8" w:space="0" w:color="auto"/>
              <w:right w:val="single" w:sz="8" w:space="0" w:color="auto"/>
            </w:tcBorders>
            <w:shd w:val="clear" w:color="000000" w:fill="FCE4D6"/>
            <w:vAlign w:val="center"/>
            <w:hideMark/>
          </w:tcPr>
          <w:p w14:paraId="0A9158A4" w14:textId="77777777" w:rsidR="0000021F" w:rsidRPr="00D77867" w:rsidRDefault="0000021F" w:rsidP="000215EC">
            <w:pPr>
              <w:spacing w:line="240" w:lineRule="auto"/>
              <w:rPr>
                <w:rFonts w:eastAsia="Times New Roman"/>
                <w:color w:val="0000FF"/>
                <w:lang w:val="en-US"/>
              </w:rPr>
            </w:pPr>
            <w:r w:rsidRPr="00D77867">
              <w:rPr>
                <w:rFonts w:eastAsia="Times New Roman"/>
                <w:color w:val="0000FF"/>
              </w:rPr>
              <w:t xml:space="preserve">Objectif de haut niveau </w:t>
            </w:r>
          </w:p>
        </w:tc>
        <w:tc>
          <w:tcPr>
            <w:tcW w:w="606" w:type="pct"/>
            <w:tcBorders>
              <w:top w:val="nil"/>
              <w:left w:val="nil"/>
              <w:bottom w:val="single" w:sz="8" w:space="0" w:color="auto"/>
              <w:right w:val="single" w:sz="8" w:space="0" w:color="auto"/>
            </w:tcBorders>
            <w:shd w:val="clear" w:color="000000" w:fill="FCE4D6"/>
            <w:vAlign w:val="center"/>
            <w:hideMark/>
          </w:tcPr>
          <w:p w14:paraId="050238FD"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bCs/>
                <w:color w:val="0000FF"/>
                <w:sz w:val="20"/>
                <w:szCs w:val="20"/>
                <w:lang w:val="en-GB"/>
              </w:rPr>
              <w:t> </w:t>
            </w:r>
          </w:p>
        </w:tc>
        <w:tc>
          <w:tcPr>
            <w:tcW w:w="645" w:type="pct"/>
            <w:tcBorders>
              <w:top w:val="nil"/>
              <w:left w:val="nil"/>
              <w:bottom w:val="single" w:sz="8" w:space="0" w:color="auto"/>
              <w:right w:val="single" w:sz="8" w:space="0" w:color="auto"/>
            </w:tcBorders>
            <w:shd w:val="clear" w:color="000000" w:fill="FCE4D6"/>
            <w:vAlign w:val="center"/>
            <w:hideMark/>
          </w:tcPr>
          <w:p w14:paraId="4150F83C"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bCs/>
                <w:color w:val="0000FF"/>
                <w:sz w:val="20"/>
                <w:szCs w:val="20"/>
                <w:lang w:val="en-GB"/>
              </w:rPr>
              <w:t> </w:t>
            </w:r>
          </w:p>
        </w:tc>
      </w:tr>
      <w:tr w:rsidR="007E71D0" w:rsidRPr="00D77867" w14:paraId="799EF4C8"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45E00673"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Gouvernance, politique, Planification stratégique et gestion du programme</w:t>
            </w:r>
          </w:p>
        </w:tc>
        <w:tc>
          <w:tcPr>
            <w:tcW w:w="2419" w:type="pct"/>
            <w:tcBorders>
              <w:top w:val="nil"/>
              <w:left w:val="nil"/>
              <w:bottom w:val="single" w:sz="8" w:space="0" w:color="auto"/>
              <w:right w:val="single" w:sz="8" w:space="0" w:color="auto"/>
            </w:tcBorders>
            <w:shd w:val="clear" w:color="000000" w:fill="FFFFFF"/>
            <w:vAlign w:val="center"/>
            <w:hideMark/>
          </w:tcPr>
          <w:p w14:paraId="3E64463D"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 xml:space="preserve">Améliorer l’organisation, la coordination de la gestion des programmes au niveau central et opérationnel </w:t>
            </w:r>
          </w:p>
        </w:tc>
        <w:tc>
          <w:tcPr>
            <w:tcW w:w="606" w:type="pct"/>
            <w:tcBorders>
              <w:top w:val="nil"/>
              <w:left w:val="nil"/>
              <w:bottom w:val="single" w:sz="8" w:space="0" w:color="auto"/>
              <w:right w:val="single" w:sz="8" w:space="0" w:color="auto"/>
            </w:tcBorders>
            <w:shd w:val="clear" w:color="000000" w:fill="FFFFFF"/>
            <w:vAlign w:val="center"/>
            <w:hideMark/>
          </w:tcPr>
          <w:p w14:paraId="27E7718C"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80 250</w:t>
            </w:r>
          </w:p>
        </w:tc>
        <w:tc>
          <w:tcPr>
            <w:tcW w:w="645" w:type="pct"/>
            <w:tcBorders>
              <w:top w:val="nil"/>
              <w:left w:val="nil"/>
              <w:bottom w:val="single" w:sz="8" w:space="0" w:color="auto"/>
              <w:right w:val="single" w:sz="8" w:space="0" w:color="auto"/>
            </w:tcBorders>
            <w:shd w:val="clear" w:color="000000" w:fill="FFFFFF"/>
            <w:vAlign w:val="center"/>
            <w:hideMark/>
          </w:tcPr>
          <w:p w14:paraId="74FBC419"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7,3</w:t>
            </w:r>
          </w:p>
        </w:tc>
      </w:tr>
      <w:tr w:rsidR="007E71D0" w:rsidRPr="00D77867" w14:paraId="46B52D4A"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622186AE"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lastRenderedPageBreak/>
              <w:t>Surveillance des Maladies évitables par la vaccination</w:t>
            </w:r>
          </w:p>
        </w:tc>
        <w:tc>
          <w:tcPr>
            <w:tcW w:w="2419" w:type="pct"/>
            <w:tcBorders>
              <w:top w:val="nil"/>
              <w:left w:val="nil"/>
              <w:bottom w:val="single" w:sz="8" w:space="0" w:color="auto"/>
              <w:right w:val="single" w:sz="8" w:space="0" w:color="auto"/>
            </w:tcBorders>
            <w:shd w:val="clear" w:color="000000" w:fill="FFFFFF"/>
            <w:vAlign w:val="center"/>
            <w:hideMark/>
          </w:tcPr>
          <w:p w14:paraId="3B389BF3"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 xml:space="preserve">Appuyé le pays à maintenir la couverture en DTC3 </w:t>
            </w:r>
            <w:proofErr w:type="spellStart"/>
            <w:r w:rsidRPr="00D77867">
              <w:rPr>
                <w:rFonts w:eastAsia="Times New Roman"/>
                <w:color w:val="0000FF"/>
                <w:sz w:val="20"/>
                <w:szCs w:val="20"/>
              </w:rPr>
              <w:t>au dessus</w:t>
            </w:r>
            <w:proofErr w:type="spellEnd"/>
            <w:r w:rsidRPr="00D77867">
              <w:rPr>
                <w:rFonts w:eastAsia="Times New Roman"/>
                <w:color w:val="0000FF"/>
                <w:sz w:val="20"/>
                <w:szCs w:val="20"/>
              </w:rPr>
              <w:t xml:space="preserve"> de 90% et Apporter un appui technique pour maintenir les indicateurs de surveillance des PFA, de la rougeole à un niveau performant</w:t>
            </w:r>
          </w:p>
        </w:tc>
        <w:tc>
          <w:tcPr>
            <w:tcW w:w="606" w:type="pct"/>
            <w:tcBorders>
              <w:top w:val="nil"/>
              <w:left w:val="nil"/>
              <w:bottom w:val="single" w:sz="8" w:space="0" w:color="auto"/>
              <w:right w:val="single" w:sz="8" w:space="0" w:color="auto"/>
            </w:tcBorders>
            <w:shd w:val="clear" w:color="000000" w:fill="FFFFFF"/>
            <w:vAlign w:val="center"/>
            <w:hideMark/>
          </w:tcPr>
          <w:p w14:paraId="05C391D9"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241 200</w:t>
            </w:r>
          </w:p>
        </w:tc>
        <w:tc>
          <w:tcPr>
            <w:tcW w:w="645" w:type="pct"/>
            <w:tcBorders>
              <w:top w:val="nil"/>
              <w:left w:val="nil"/>
              <w:bottom w:val="single" w:sz="8" w:space="0" w:color="auto"/>
              <w:right w:val="single" w:sz="8" w:space="0" w:color="auto"/>
            </w:tcBorders>
            <w:shd w:val="clear" w:color="000000" w:fill="FFFFFF"/>
            <w:vAlign w:val="center"/>
            <w:hideMark/>
          </w:tcPr>
          <w:p w14:paraId="3ABED9C5"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21,8</w:t>
            </w:r>
          </w:p>
        </w:tc>
      </w:tr>
      <w:tr w:rsidR="007E71D0" w:rsidRPr="00D77867" w14:paraId="0E57052D"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2F9737BE"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Gouvernance, politique, Planification stratégique et gestion du programme</w:t>
            </w:r>
          </w:p>
        </w:tc>
        <w:tc>
          <w:tcPr>
            <w:tcW w:w="2419" w:type="pct"/>
            <w:tcBorders>
              <w:top w:val="nil"/>
              <w:left w:val="nil"/>
              <w:bottom w:val="single" w:sz="8" w:space="0" w:color="auto"/>
              <w:right w:val="single" w:sz="8" w:space="0" w:color="auto"/>
            </w:tcBorders>
            <w:shd w:val="clear" w:color="000000" w:fill="FFFFFF"/>
            <w:vAlign w:val="center"/>
            <w:hideMark/>
          </w:tcPr>
          <w:p w14:paraId="57422EEA"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Appuyer le pays à introduire les nouveaux vaccins et mettre en œuvre des AVS de qualité</w:t>
            </w:r>
          </w:p>
        </w:tc>
        <w:tc>
          <w:tcPr>
            <w:tcW w:w="606" w:type="pct"/>
            <w:tcBorders>
              <w:top w:val="nil"/>
              <w:left w:val="nil"/>
              <w:bottom w:val="single" w:sz="8" w:space="0" w:color="auto"/>
              <w:right w:val="single" w:sz="8" w:space="0" w:color="auto"/>
            </w:tcBorders>
            <w:shd w:val="clear" w:color="000000" w:fill="FFFFFF"/>
            <w:vAlign w:val="center"/>
            <w:hideMark/>
          </w:tcPr>
          <w:p w14:paraId="210EBE5F"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107 000</w:t>
            </w:r>
          </w:p>
        </w:tc>
        <w:tc>
          <w:tcPr>
            <w:tcW w:w="645" w:type="pct"/>
            <w:tcBorders>
              <w:top w:val="nil"/>
              <w:left w:val="nil"/>
              <w:bottom w:val="single" w:sz="8" w:space="0" w:color="auto"/>
              <w:right w:val="single" w:sz="8" w:space="0" w:color="auto"/>
            </w:tcBorders>
            <w:shd w:val="clear" w:color="000000" w:fill="FFFFFF"/>
            <w:vAlign w:val="center"/>
            <w:hideMark/>
          </w:tcPr>
          <w:p w14:paraId="4DAA038D"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9,7</w:t>
            </w:r>
          </w:p>
        </w:tc>
      </w:tr>
      <w:tr w:rsidR="007E71D0" w:rsidRPr="00D77867" w14:paraId="476679E9"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3B6E57BB"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Systèmes d'information sanitaire et suivi et apprentissage</w:t>
            </w:r>
          </w:p>
        </w:tc>
        <w:tc>
          <w:tcPr>
            <w:tcW w:w="2419" w:type="pct"/>
            <w:tcBorders>
              <w:top w:val="nil"/>
              <w:left w:val="nil"/>
              <w:bottom w:val="single" w:sz="8" w:space="0" w:color="auto"/>
              <w:right w:val="single" w:sz="8" w:space="0" w:color="auto"/>
            </w:tcBorders>
            <w:shd w:val="clear" w:color="000000" w:fill="FFFFFF"/>
            <w:vAlign w:val="center"/>
            <w:hideMark/>
          </w:tcPr>
          <w:p w14:paraId="1328663F"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Apporter un appui pour assurer la sécurité vaccinale à tous les niveaux</w:t>
            </w:r>
          </w:p>
        </w:tc>
        <w:tc>
          <w:tcPr>
            <w:tcW w:w="606" w:type="pct"/>
            <w:tcBorders>
              <w:top w:val="nil"/>
              <w:left w:val="nil"/>
              <w:bottom w:val="single" w:sz="8" w:space="0" w:color="auto"/>
              <w:right w:val="single" w:sz="8" w:space="0" w:color="auto"/>
            </w:tcBorders>
            <w:shd w:val="clear" w:color="000000" w:fill="FFFFFF"/>
            <w:vAlign w:val="center"/>
            <w:hideMark/>
          </w:tcPr>
          <w:p w14:paraId="0FE7330A"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83 460</w:t>
            </w:r>
          </w:p>
        </w:tc>
        <w:tc>
          <w:tcPr>
            <w:tcW w:w="645" w:type="pct"/>
            <w:tcBorders>
              <w:top w:val="nil"/>
              <w:left w:val="nil"/>
              <w:bottom w:val="single" w:sz="8" w:space="0" w:color="auto"/>
              <w:right w:val="single" w:sz="8" w:space="0" w:color="auto"/>
            </w:tcBorders>
            <w:shd w:val="clear" w:color="000000" w:fill="FFFFFF"/>
            <w:vAlign w:val="center"/>
            <w:hideMark/>
          </w:tcPr>
          <w:p w14:paraId="339DCA4B"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7,6</w:t>
            </w:r>
          </w:p>
        </w:tc>
      </w:tr>
      <w:tr w:rsidR="007E71D0" w:rsidRPr="00D77867" w14:paraId="377F1658"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415FB13E"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Systèmes d'information sanitaire et suivi et apprentissage</w:t>
            </w:r>
          </w:p>
        </w:tc>
        <w:tc>
          <w:tcPr>
            <w:tcW w:w="2419" w:type="pct"/>
            <w:tcBorders>
              <w:top w:val="nil"/>
              <w:left w:val="nil"/>
              <w:bottom w:val="single" w:sz="8" w:space="0" w:color="auto"/>
              <w:right w:val="single" w:sz="8" w:space="0" w:color="auto"/>
            </w:tcBorders>
            <w:shd w:val="clear" w:color="000000" w:fill="FFFFFF"/>
            <w:vAlign w:val="center"/>
            <w:hideMark/>
          </w:tcPr>
          <w:p w14:paraId="0F1F69F3"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Mettre en œuvre la revue du PEV</w:t>
            </w:r>
          </w:p>
        </w:tc>
        <w:tc>
          <w:tcPr>
            <w:tcW w:w="606" w:type="pct"/>
            <w:tcBorders>
              <w:top w:val="nil"/>
              <w:left w:val="nil"/>
              <w:bottom w:val="single" w:sz="8" w:space="0" w:color="auto"/>
              <w:right w:val="single" w:sz="8" w:space="0" w:color="auto"/>
            </w:tcBorders>
            <w:shd w:val="clear" w:color="000000" w:fill="FFFFFF"/>
            <w:vAlign w:val="center"/>
            <w:hideMark/>
          </w:tcPr>
          <w:p w14:paraId="43303B43"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lang w:val="en-US"/>
              </w:rPr>
              <w:t>61 500</w:t>
            </w:r>
          </w:p>
        </w:tc>
        <w:tc>
          <w:tcPr>
            <w:tcW w:w="645" w:type="pct"/>
            <w:tcBorders>
              <w:top w:val="nil"/>
              <w:left w:val="nil"/>
              <w:bottom w:val="single" w:sz="8" w:space="0" w:color="auto"/>
              <w:right w:val="single" w:sz="8" w:space="0" w:color="auto"/>
            </w:tcBorders>
            <w:shd w:val="clear" w:color="000000" w:fill="FFFFFF"/>
            <w:vAlign w:val="center"/>
            <w:hideMark/>
          </w:tcPr>
          <w:p w14:paraId="2C5E44B8"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5,6</w:t>
            </w:r>
          </w:p>
        </w:tc>
      </w:tr>
      <w:tr w:rsidR="007E71D0" w:rsidRPr="00D77867" w14:paraId="38DFA9EE"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2188FD18"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Ressources humaines pour la santé</w:t>
            </w:r>
          </w:p>
        </w:tc>
        <w:tc>
          <w:tcPr>
            <w:tcW w:w="2419" w:type="pct"/>
            <w:tcBorders>
              <w:top w:val="nil"/>
              <w:left w:val="nil"/>
              <w:bottom w:val="single" w:sz="8" w:space="0" w:color="auto"/>
              <w:right w:val="single" w:sz="8" w:space="0" w:color="auto"/>
            </w:tcBorders>
            <w:shd w:val="clear" w:color="000000" w:fill="FFFFFF"/>
            <w:vAlign w:val="center"/>
            <w:hideMark/>
          </w:tcPr>
          <w:p w14:paraId="1F62545E"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Apporter un appui technique pour le renforcement des capacités des acteurs en gestion du PEV</w:t>
            </w:r>
          </w:p>
        </w:tc>
        <w:tc>
          <w:tcPr>
            <w:tcW w:w="606" w:type="pct"/>
            <w:tcBorders>
              <w:top w:val="nil"/>
              <w:left w:val="nil"/>
              <w:bottom w:val="single" w:sz="8" w:space="0" w:color="auto"/>
              <w:right w:val="single" w:sz="8" w:space="0" w:color="auto"/>
            </w:tcBorders>
            <w:shd w:val="clear" w:color="000000" w:fill="FFFFFF"/>
            <w:vAlign w:val="center"/>
            <w:hideMark/>
          </w:tcPr>
          <w:p w14:paraId="1A4B5B0A"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107 000</w:t>
            </w:r>
          </w:p>
        </w:tc>
        <w:tc>
          <w:tcPr>
            <w:tcW w:w="645" w:type="pct"/>
            <w:tcBorders>
              <w:top w:val="nil"/>
              <w:left w:val="nil"/>
              <w:bottom w:val="single" w:sz="8" w:space="0" w:color="auto"/>
              <w:right w:val="single" w:sz="8" w:space="0" w:color="auto"/>
            </w:tcBorders>
            <w:shd w:val="clear" w:color="000000" w:fill="FFFFFF"/>
            <w:vAlign w:val="center"/>
            <w:hideMark/>
          </w:tcPr>
          <w:p w14:paraId="57F04DA5"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9,7</w:t>
            </w:r>
          </w:p>
        </w:tc>
      </w:tr>
      <w:tr w:rsidR="007E71D0" w:rsidRPr="00D77867" w14:paraId="0794A88D"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7786D404"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color w:val="0000FF"/>
                <w:sz w:val="20"/>
                <w:szCs w:val="20"/>
              </w:rPr>
              <w:t xml:space="preserve"> Chaine </w:t>
            </w:r>
            <w:proofErr w:type="gramStart"/>
            <w:r w:rsidRPr="00D77867">
              <w:rPr>
                <w:rFonts w:eastAsia="Times New Roman"/>
                <w:color w:val="0000FF"/>
                <w:sz w:val="20"/>
                <w:szCs w:val="20"/>
              </w:rPr>
              <w:t>d’ approvisionnement</w:t>
            </w:r>
            <w:proofErr w:type="gramEnd"/>
            <w:r w:rsidRPr="00D77867">
              <w:rPr>
                <w:rFonts w:eastAsia="Times New Roman"/>
                <w:color w:val="0000FF"/>
                <w:sz w:val="20"/>
                <w:szCs w:val="20"/>
              </w:rPr>
              <w:t xml:space="preserve">   </w:t>
            </w:r>
          </w:p>
        </w:tc>
        <w:tc>
          <w:tcPr>
            <w:tcW w:w="2419" w:type="pct"/>
            <w:tcBorders>
              <w:top w:val="nil"/>
              <w:left w:val="nil"/>
              <w:bottom w:val="single" w:sz="8" w:space="0" w:color="auto"/>
              <w:right w:val="single" w:sz="8" w:space="0" w:color="auto"/>
            </w:tcBorders>
            <w:shd w:val="clear" w:color="000000" w:fill="FFFFFF"/>
            <w:vAlign w:val="center"/>
            <w:hideMark/>
          </w:tcPr>
          <w:p w14:paraId="0A80A560"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 xml:space="preserve"> Assurer une disponibilité en quantité et en qualité optimales de la chaine du froid et des vaccins à tous les niveaux </w:t>
            </w:r>
          </w:p>
        </w:tc>
        <w:tc>
          <w:tcPr>
            <w:tcW w:w="606" w:type="pct"/>
            <w:tcBorders>
              <w:top w:val="nil"/>
              <w:left w:val="nil"/>
              <w:bottom w:val="single" w:sz="8" w:space="0" w:color="auto"/>
              <w:right w:val="single" w:sz="8" w:space="0" w:color="auto"/>
            </w:tcBorders>
            <w:shd w:val="clear" w:color="000000" w:fill="FFFFFF"/>
            <w:vAlign w:val="center"/>
            <w:hideMark/>
          </w:tcPr>
          <w:p w14:paraId="04551A89"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178 200</w:t>
            </w:r>
          </w:p>
        </w:tc>
        <w:tc>
          <w:tcPr>
            <w:tcW w:w="645" w:type="pct"/>
            <w:tcBorders>
              <w:top w:val="nil"/>
              <w:left w:val="nil"/>
              <w:bottom w:val="single" w:sz="8" w:space="0" w:color="auto"/>
              <w:right w:val="single" w:sz="8" w:space="0" w:color="auto"/>
            </w:tcBorders>
            <w:shd w:val="clear" w:color="000000" w:fill="FFFFFF"/>
            <w:vAlign w:val="center"/>
            <w:hideMark/>
          </w:tcPr>
          <w:p w14:paraId="4FE7B842"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16,1</w:t>
            </w:r>
          </w:p>
        </w:tc>
      </w:tr>
      <w:tr w:rsidR="007E71D0" w:rsidRPr="00D77867" w14:paraId="0721E3FF"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6D12E444"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Génération de la demande et engagement de la communauté</w:t>
            </w:r>
          </w:p>
        </w:tc>
        <w:tc>
          <w:tcPr>
            <w:tcW w:w="2419" w:type="pct"/>
            <w:tcBorders>
              <w:top w:val="nil"/>
              <w:left w:val="nil"/>
              <w:bottom w:val="single" w:sz="8" w:space="0" w:color="auto"/>
              <w:right w:val="single" w:sz="8" w:space="0" w:color="auto"/>
            </w:tcBorders>
            <w:shd w:val="clear" w:color="000000" w:fill="FFFFFF"/>
            <w:vAlign w:val="center"/>
            <w:hideMark/>
          </w:tcPr>
          <w:p w14:paraId="08CBE3A4"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 xml:space="preserve">Améliorer la mobilisation sociale </w:t>
            </w:r>
            <w:proofErr w:type="gramStart"/>
            <w:r w:rsidRPr="00D77867">
              <w:rPr>
                <w:rFonts w:eastAsia="Times New Roman"/>
                <w:color w:val="0000FF"/>
                <w:sz w:val="20"/>
                <w:szCs w:val="20"/>
              </w:rPr>
              <w:t>à  travers</w:t>
            </w:r>
            <w:proofErr w:type="gramEnd"/>
            <w:r w:rsidRPr="00D77867">
              <w:rPr>
                <w:rFonts w:eastAsia="Times New Roman"/>
                <w:color w:val="0000FF"/>
                <w:sz w:val="20"/>
                <w:szCs w:val="20"/>
              </w:rPr>
              <w:t xml:space="preserve">  l’adhésion et l’engagement communautaire en faveur de la vaccination</w:t>
            </w:r>
          </w:p>
        </w:tc>
        <w:tc>
          <w:tcPr>
            <w:tcW w:w="606" w:type="pct"/>
            <w:tcBorders>
              <w:top w:val="nil"/>
              <w:left w:val="nil"/>
              <w:bottom w:val="single" w:sz="8" w:space="0" w:color="auto"/>
              <w:right w:val="single" w:sz="8" w:space="0" w:color="auto"/>
            </w:tcBorders>
            <w:shd w:val="clear" w:color="000000" w:fill="FFFFFF"/>
            <w:vAlign w:val="center"/>
            <w:hideMark/>
          </w:tcPr>
          <w:p w14:paraId="10E8C374"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93 096</w:t>
            </w:r>
          </w:p>
        </w:tc>
        <w:tc>
          <w:tcPr>
            <w:tcW w:w="645" w:type="pct"/>
            <w:tcBorders>
              <w:top w:val="nil"/>
              <w:left w:val="nil"/>
              <w:bottom w:val="single" w:sz="8" w:space="0" w:color="auto"/>
              <w:right w:val="single" w:sz="8" w:space="0" w:color="auto"/>
            </w:tcBorders>
            <w:shd w:val="clear" w:color="000000" w:fill="FFFFFF"/>
            <w:vAlign w:val="center"/>
            <w:hideMark/>
          </w:tcPr>
          <w:p w14:paraId="4C9EE772"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8,4</w:t>
            </w:r>
          </w:p>
        </w:tc>
      </w:tr>
      <w:tr w:rsidR="007E71D0" w:rsidRPr="00D77867" w14:paraId="7116B904" w14:textId="77777777" w:rsidTr="007E71D0">
        <w:trPr>
          <w:trHeight w:val="555"/>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3A347079" w14:textId="77777777" w:rsidR="0000021F" w:rsidRPr="00D77867" w:rsidRDefault="0000021F" w:rsidP="000215EC">
            <w:pPr>
              <w:spacing w:line="240" w:lineRule="auto"/>
              <w:rPr>
                <w:rFonts w:eastAsia="Times New Roman"/>
                <w:color w:val="0000FF"/>
                <w:sz w:val="20"/>
                <w:szCs w:val="20"/>
                <w:lang w:val="en-US"/>
              </w:rPr>
            </w:pPr>
            <w:r w:rsidRPr="00D77867">
              <w:rPr>
                <w:rFonts w:eastAsia="Times New Roman"/>
                <w:color w:val="0000FF"/>
                <w:sz w:val="20"/>
                <w:szCs w:val="20"/>
              </w:rPr>
              <w:t xml:space="preserve"> Offre des services </w:t>
            </w:r>
          </w:p>
        </w:tc>
        <w:tc>
          <w:tcPr>
            <w:tcW w:w="2419" w:type="pct"/>
            <w:tcBorders>
              <w:top w:val="nil"/>
              <w:left w:val="nil"/>
              <w:bottom w:val="single" w:sz="8" w:space="0" w:color="auto"/>
              <w:right w:val="single" w:sz="8" w:space="0" w:color="auto"/>
            </w:tcBorders>
            <w:shd w:val="clear" w:color="000000" w:fill="FFFFFF"/>
            <w:vAlign w:val="center"/>
            <w:hideMark/>
          </w:tcPr>
          <w:p w14:paraId="08CBACB3" w14:textId="77777777" w:rsidR="0000021F" w:rsidRPr="00D77867" w:rsidRDefault="0000021F" w:rsidP="000215EC">
            <w:pPr>
              <w:spacing w:line="240" w:lineRule="auto"/>
              <w:rPr>
                <w:rFonts w:eastAsia="Times New Roman"/>
                <w:color w:val="0000FF"/>
                <w:sz w:val="20"/>
                <w:szCs w:val="20"/>
              </w:rPr>
            </w:pPr>
            <w:r w:rsidRPr="00D77867">
              <w:rPr>
                <w:rFonts w:eastAsia="Times New Roman"/>
                <w:color w:val="0000FF"/>
                <w:sz w:val="20"/>
                <w:szCs w:val="20"/>
              </w:rPr>
              <w:t xml:space="preserve">Assurer une couverture vaccinale adéquate et </w:t>
            </w:r>
            <w:proofErr w:type="gramStart"/>
            <w:r w:rsidRPr="00D77867">
              <w:rPr>
                <w:rFonts w:eastAsia="Times New Roman"/>
                <w:color w:val="0000FF"/>
                <w:sz w:val="20"/>
                <w:szCs w:val="20"/>
              </w:rPr>
              <w:t>équitable  à</w:t>
            </w:r>
            <w:proofErr w:type="gramEnd"/>
            <w:r w:rsidRPr="00D77867">
              <w:rPr>
                <w:rFonts w:eastAsia="Times New Roman"/>
                <w:color w:val="0000FF"/>
                <w:sz w:val="20"/>
                <w:szCs w:val="20"/>
              </w:rPr>
              <w:t xml:space="preserve"> tous les enfants cibles </w:t>
            </w:r>
          </w:p>
        </w:tc>
        <w:tc>
          <w:tcPr>
            <w:tcW w:w="606" w:type="pct"/>
            <w:tcBorders>
              <w:top w:val="nil"/>
              <w:left w:val="nil"/>
              <w:bottom w:val="single" w:sz="8" w:space="0" w:color="auto"/>
              <w:right w:val="single" w:sz="8" w:space="0" w:color="auto"/>
            </w:tcBorders>
            <w:shd w:val="clear" w:color="000000" w:fill="FFFFFF"/>
            <w:vAlign w:val="center"/>
            <w:hideMark/>
          </w:tcPr>
          <w:p w14:paraId="08AD013C"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color w:val="0000FF"/>
                <w:sz w:val="20"/>
                <w:szCs w:val="20"/>
              </w:rPr>
              <w:t>78 408</w:t>
            </w:r>
          </w:p>
        </w:tc>
        <w:tc>
          <w:tcPr>
            <w:tcW w:w="645" w:type="pct"/>
            <w:tcBorders>
              <w:top w:val="nil"/>
              <w:left w:val="nil"/>
              <w:bottom w:val="single" w:sz="8" w:space="0" w:color="auto"/>
              <w:right w:val="single" w:sz="8" w:space="0" w:color="auto"/>
            </w:tcBorders>
            <w:shd w:val="clear" w:color="000000" w:fill="FFFFFF"/>
            <w:vAlign w:val="center"/>
            <w:hideMark/>
          </w:tcPr>
          <w:p w14:paraId="701502BB"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7,1</w:t>
            </w:r>
          </w:p>
        </w:tc>
      </w:tr>
      <w:tr w:rsidR="007E71D0" w:rsidRPr="00D77867" w14:paraId="64A9057F" w14:textId="77777777" w:rsidTr="007E71D0">
        <w:trPr>
          <w:trHeight w:val="694"/>
        </w:trPr>
        <w:tc>
          <w:tcPr>
            <w:tcW w:w="1331" w:type="pct"/>
            <w:tcBorders>
              <w:top w:val="nil"/>
              <w:left w:val="single" w:sz="8" w:space="0" w:color="auto"/>
              <w:bottom w:val="single" w:sz="8" w:space="0" w:color="auto"/>
              <w:right w:val="single" w:sz="8" w:space="0" w:color="auto"/>
            </w:tcBorders>
            <w:shd w:val="clear" w:color="000000" w:fill="FFFFFF"/>
            <w:vAlign w:val="center"/>
            <w:hideMark/>
          </w:tcPr>
          <w:p w14:paraId="0FC4BCAD" w14:textId="77777777" w:rsidR="0000021F" w:rsidRPr="00D77867" w:rsidRDefault="0000021F" w:rsidP="000215EC">
            <w:pPr>
              <w:spacing w:line="240" w:lineRule="auto"/>
              <w:rPr>
                <w:rFonts w:eastAsia="Times New Roman"/>
                <w:color w:val="0000FF"/>
              </w:rPr>
            </w:pPr>
            <w:r w:rsidRPr="00D77867">
              <w:rPr>
                <w:rFonts w:eastAsia="Times New Roman"/>
                <w:color w:val="0000FF"/>
              </w:rPr>
              <w:t>Surveillance des Maladies évitables par la vaccination</w:t>
            </w:r>
          </w:p>
        </w:tc>
        <w:tc>
          <w:tcPr>
            <w:tcW w:w="2419" w:type="pct"/>
            <w:tcBorders>
              <w:top w:val="nil"/>
              <w:left w:val="nil"/>
              <w:bottom w:val="single" w:sz="8" w:space="0" w:color="auto"/>
              <w:right w:val="single" w:sz="8" w:space="0" w:color="auto"/>
            </w:tcBorders>
            <w:shd w:val="clear" w:color="000000" w:fill="FFFFFF"/>
            <w:vAlign w:val="center"/>
            <w:hideMark/>
          </w:tcPr>
          <w:p w14:paraId="0986F3D2" w14:textId="77777777" w:rsidR="0000021F" w:rsidRPr="00D77867" w:rsidRDefault="0000021F" w:rsidP="000215EC">
            <w:pPr>
              <w:spacing w:line="240" w:lineRule="auto"/>
              <w:rPr>
                <w:rFonts w:eastAsia="Times New Roman"/>
                <w:color w:val="0000FF"/>
                <w:sz w:val="20"/>
                <w:szCs w:val="20"/>
              </w:rPr>
            </w:pPr>
            <w:proofErr w:type="spellStart"/>
            <w:r w:rsidRPr="00D77867">
              <w:rPr>
                <w:rFonts w:eastAsia="Times New Roman"/>
                <w:color w:val="0000FF"/>
                <w:sz w:val="20"/>
                <w:szCs w:val="20"/>
              </w:rPr>
              <w:t>Detecter</w:t>
            </w:r>
            <w:proofErr w:type="spellEnd"/>
            <w:r w:rsidRPr="00D77867">
              <w:rPr>
                <w:rFonts w:eastAsia="Times New Roman"/>
                <w:color w:val="0000FF"/>
                <w:sz w:val="20"/>
                <w:szCs w:val="20"/>
              </w:rPr>
              <w:t xml:space="preserve"> à temps et monitorer l’évolution épidémiologique</w:t>
            </w:r>
          </w:p>
        </w:tc>
        <w:tc>
          <w:tcPr>
            <w:tcW w:w="606" w:type="pct"/>
            <w:tcBorders>
              <w:top w:val="nil"/>
              <w:left w:val="nil"/>
              <w:bottom w:val="single" w:sz="8" w:space="0" w:color="auto"/>
              <w:right w:val="single" w:sz="8" w:space="0" w:color="auto"/>
            </w:tcBorders>
            <w:shd w:val="clear" w:color="000000" w:fill="FFFFFF"/>
            <w:vAlign w:val="center"/>
            <w:hideMark/>
          </w:tcPr>
          <w:p w14:paraId="194470E5"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75 000</w:t>
            </w:r>
          </w:p>
        </w:tc>
        <w:tc>
          <w:tcPr>
            <w:tcW w:w="645" w:type="pct"/>
            <w:tcBorders>
              <w:top w:val="nil"/>
              <w:left w:val="nil"/>
              <w:bottom w:val="single" w:sz="8" w:space="0" w:color="auto"/>
              <w:right w:val="single" w:sz="8" w:space="0" w:color="auto"/>
            </w:tcBorders>
            <w:shd w:val="clear" w:color="000000" w:fill="FFFFFF"/>
            <w:vAlign w:val="center"/>
            <w:hideMark/>
          </w:tcPr>
          <w:p w14:paraId="71ABBE1B" w14:textId="77777777" w:rsidR="0000021F" w:rsidRPr="00D77867" w:rsidRDefault="0000021F" w:rsidP="000215EC">
            <w:pPr>
              <w:spacing w:line="240" w:lineRule="auto"/>
              <w:jc w:val="right"/>
              <w:rPr>
                <w:rFonts w:eastAsia="Times New Roman"/>
                <w:color w:val="0000FF"/>
                <w:sz w:val="20"/>
                <w:szCs w:val="20"/>
                <w:lang w:val="en-US"/>
              </w:rPr>
            </w:pPr>
            <w:r w:rsidRPr="00D77867">
              <w:rPr>
                <w:rFonts w:eastAsia="Times New Roman"/>
                <w:bCs/>
                <w:color w:val="0000FF"/>
                <w:sz w:val="20"/>
                <w:szCs w:val="20"/>
                <w:lang w:val="en-GB"/>
              </w:rPr>
              <w:t>6,8</w:t>
            </w:r>
          </w:p>
        </w:tc>
      </w:tr>
    </w:tbl>
    <w:p w14:paraId="62A44A29" w14:textId="0A37BF36" w:rsidR="00372D1F" w:rsidRDefault="00372D1F"/>
    <w:p w14:paraId="4C807DF6" w14:textId="1A8A7FD5" w:rsidR="006C57B3" w:rsidRDefault="006C57B3"/>
    <w:p w14:paraId="5BE6C153" w14:textId="77777777" w:rsidR="00250642" w:rsidRDefault="00250642"/>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372D1F" w14:paraId="42B6E5C8" w14:textId="77777777" w:rsidTr="008B163D">
        <w:tc>
          <w:tcPr>
            <w:tcW w:w="9498"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i/>
                <w:sz w:val="20"/>
              </w:rPr>
              <w:t>2.1</w:t>
            </w:r>
            <w:r>
              <w:rPr>
                <w:b/>
                <w:i/>
                <w:sz w:val="20"/>
              </w:rPr>
              <w:tab/>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Pr>
                <w:b/>
                <w:sz w:val="20"/>
              </w:rPr>
              <w:t xml:space="preserve"> </w:t>
            </w:r>
            <w:r>
              <w:rPr>
                <w:b/>
                <w:i/>
                <w:sz w:val="20"/>
              </w:rPr>
              <w:t>Veuillez noter explicitement la durée du soutien demandé</w:t>
            </w:r>
          </w:p>
        </w:tc>
      </w:tr>
      <w:tr w:rsidR="00372D1F" w14:paraId="19BE42B7" w14:textId="77777777" w:rsidTr="008B163D">
        <w:tc>
          <w:tcPr>
            <w:tcW w:w="9498" w:type="dxa"/>
            <w:tcBorders>
              <w:top w:val="single" w:sz="4" w:space="0" w:color="auto"/>
              <w:left w:val="single" w:sz="4" w:space="0" w:color="auto"/>
              <w:bottom w:val="single" w:sz="4" w:space="0" w:color="auto"/>
              <w:right w:val="single" w:sz="4" w:space="0" w:color="auto"/>
            </w:tcBorders>
          </w:tcPr>
          <w:p w14:paraId="4D1180A3" w14:textId="77777777" w:rsidR="00B33760" w:rsidRPr="00B33760" w:rsidRDefault="00B33760" w:rsidP="00863875">
            <w:pPr>
              <w:spacing w:line="300" w:lineRule="exact"/>
              <w:jc w:val="both"/>
              <w:rPr>
                <w:rFonts w:ascii="Arial'" w:hAnsi="Arial'"/>
                <w:color w:val="0000FF"/>
                <w:sz w:val="12"/>
                <w:szCs w:val="12"/>
              </w:rPr>
            </w:pPr>
          </w:p>
          <w:p w14:paraId="71F8E7B2" w14:textId="78A2EA7B" w:rsidR="00736C36" w:rsidRDefault="00736C36" w:rsidP="00863875">
            <w:pPr>
              <w:spacing w:line="300" w:lineRule="exact"/>
              <w:jc w:val="both"/>
              <w:rPr>
                <w:rFonts w:ascii="Arial'" w:hAnsi="Arial'"/>
                <w:color w:val="0000FF"/>
              </w:rPr>
            </w:pPr>
            <w:r>
              <w:rPr>
                <w:rFonts w:ascii="Arial'" w:hAnsi="Arial'"/>
                <w:color w:val="0000FF"/>
              </w:rPr>
              <w:t xml:space="preserve">En 2020, s’est tenue le dialogue multipartite dont l’objectif était d’effectuer une analyse quantitative et qualitative de la performance du pays en 2019 pour la vaccination, la subvention RSS et l’assistance technique. Les résultats essentiels issus du dialogue </w:t>
            </w:r>
            <w:proofErr w:type="gramStart"/>
            <w:r>
              <w:rPr>
                <w:rFonts w:ascii="Arial'" w:hAnsi="Arial'"/>
                <w:color w:val="0000FF"/>
              </w:rPr>
              <w:t>montre</w:t>
            </w:r>
            <w:proofErr w:type="gramEnd"/>
            <w:r>
              <w:rPr>
                <w:rFonts w:ascii="Arial'" w:hAnsi="Arial'"/>
                <w:color w:val="0000FF"/>
              </w:rPr>
              <w:t xml:space="preserve"> que malgré les performance</w:t>
            </w:r>
            <w:r w:rsidR="00D650AE">
              <w:rPr>
                <w:rFonts w:ascii="Arial'" w:hAnsi="Arial'"/>
                <w:color w:val="0000FF"/>
              </w:rPr>
              <w:t>s</w:t>
            </w:r>
            <w:r>
              <w:rPr>
                <w:rFonts w:ascii="Arial'" w:hAnsi="Arial'"/>
                <w:color w:val="0000FF"/>
              </w:rPr>
              <w:t xml:space="preserve"> encourageantes, des </w:t>
            </w:r>
            <w:proofErr w:type="spellStart"/>
            <w:r>
              <w:rPr>
                <w:rFonts w:ascii="Arial'" w:hAnsi="Arial'"/>
                <w:color w:val="0000FF"/>
              </w:rPr>
              <w:t>effforts</w:t>
            </w:r>
            <w:proofErr w:type="spellEnd"/>
            <w:r>
              <w:rPr>
                <w:rFonts w:ascii="Arial'" w:hAnsi="Arial'"/>
                <w:color w:val="0000FF"/>
              </w:rPr>
              <w:t xml:space="preserve"> restent à fournir pour assurer l'équité et la qualité des services offerts. Des défis du programme persistent : i) le renforcement des stratégies de vaccination (ACD/ACE</w:t>
            </w:r>
            <w:r w:rsidR="00DC32F9">
              <w:rPr>
                <w:rFonts w:ascii="Arial'" w:hAnsi="Arial'"/>
                <w:color w:val="0000FF"/>
              </w:rPr>
              <w:t>, AVS</w:t>
            </w:r>
            <w:r>
              <w:rPr>
                <w:rFonts w:ascii="Arial'" w:hAnsi="Arial'"/>
                <w:color w:val="0000FF"/>
              </w:rPr>
              <w:t>) pour augmenter la couverture et l’équité ; ii) le renforcement de la chaîne d’approvisionnement des vaccins et consommables ; iii) le renforcement de la promotion de la vaccination et de l’appropriation communautaire ; iv) l’amélioration de la qualité des données du PEV et des autres programmes; v) la poursuite de l’introduction des nouveaux vaccins; vi) le renforcement des capacités des ressources humaines; vii) le renforcement de la surveillance des maladies cibles du PEV</w:t>
            </w:r>
            <w:r w:rsidR="00B852CE">
              <w:rPr>
                <w:rFonts w:ascii="Arial'" w:hAnsi="Arial'"/>
                <w:color w:val="0000FF"/>
              </w:rPr>
              <w:t xml:space="preserve"> ; </w:t>
            </w:r>
            <w:r w:rsidR="005A6B8F">
              <w:rPr>
                <w:rFonts w:ascii="Arial'" w:hAnsi="Arial'"/>
                <w:color w:val="0000FF"/>
              </w:rPr>
              <w:t>vii</w:t>
            </w:r>
            <w:r w:rsidR="005850E4">
              <w:rPr>
                <w:rFonts w:ascii="Arial'" w:hAnsi="Arial'"/>
                <w:color w:val="0000FF"/>
              </w:rPr>
              <w:t>i</w:t>
            </w:r>
            <w:r w:rsidR="005A6B8F">
              <w:rPr>
                <w:rFonts w:ascii="Arial'" w:hAnsi="Arial'"/>
                <w:color w:val="0000FF"/>
              </w:rPr>
              <w:t xml:space="preserve">) le renforcement de la surveillance et la prise </w:t>
            </w:r>
            <w:r w:rsidR="00167809">
              <w:rPr>
                <w:rFonts w:ascii="Arial'" w:hAnsi="Arial'"/>
                <w:color w:val="0000FF"/>
              </w:rPr>
              <w:t xml:space="preserve">en charge </w:t>
            </w:r>
            <w:r w:rsidR="005A6B8F">
              <w:rPr>
                <w:rFonts w:ascii="Arial'" w:hAnsi="Arial'"/>
                <w:color w:val="0000FF"/>
              </w:rPr>
              <w:t>des MAPI</w:t>
            </w:r>
            <w:r>
              <w:rPr>
                <w:rFonts w:ascii="Arial'" w:hAnsi="Arial'"/>
                <w:color w:val="0000FF"/>
              </w:rPr>
              <w:t xml:space="preserve">. </w:t>
            </w:r>
          </w:p>
          <w:p w14:paraId="79116A1A" w14:textId="54D079B7" w:rsidR="00736C36" w:rsidRDefault="00736C36" w:rsidP="00863875">
            <w:pPr>
              <w:spacing w:line="300" w:lineRule="exact"/>
              <w:jc w:val="both"/>
              <w:rPr>
                <w:rFonts w:ascii="Arial'" w:hAnsi="Arial'"/>
                <w:color w:val="0000FF"/>
              </w:rPr>
            </w:pPr>
            <w:r>
              <w:rPr>
                <w:rFonts w:ascii="Arial'" w:hAnsi="Arial'"/>
                <w:color w:val="0000FF"/>
              </w:rPr>
              <w:t>Les plans TCA antérieurs ont permis notamment (i) de mettre en place un système de gestion des données à travers le D</w:t>
            </w:r>
            <w:r w:rsidR="008A2A45">
              <w:rPr>
                <w:rFonts w:ascii="Arial'" w:hAnsi="Arial'"/>
                <w:color w:val="0000FF"/>
              </w:rPr>
              <w:t>H</w:t>
            </w:r>
            <w:r>
              <w:rPr>
                <w:rFonts w:ascii="Arial'" w:hAnsi="Arial'"/>
                <w:color w:val="0000FF"/>
              </w:rPr>
              <w:t xml:space="preserve">IS2 et d'optimiser son utilisation, de renforcer la logistique roulante, </w:t>
            </w:r>
            <w:r>
              <w:rPr>
                <w:rFonts w:ascii="Arial'" w:hAnsi="Arial'"/>
                <w:color w:val="0000FF"/>
              </w:rPr>
              <w:lastRenderedPageBreak/>
              <w:t xml:space="preserve">d’élaborer les plans d'introduction de nouveaux vaccins comme le HPV et </w:t>
            </w:r>
            <w:proofErr w:type="spellStart"/>
            <w:r>
              <w:rPr>
                <w:rFonts w:ascii="Arial'" w:hAnsi="Arial'"/>
                <w:color w:val="0000FF"/>
              </w:rPr>
              <w:t>MenAfriVac</w:t>
            </w:r>
            <w:proofErr w:type="spellEnd"/>
            <w:r w:rsidR="005368E8">
              <w:rPr>
                <w:rFonts w:ascii="Arial'" w:hAnsi="Arial'"/>
                <w:color w:val="0000FF"/>
              </w:rPr>
              <w:t xml:space="preserve"> ; de renforcer la demande des services de </w:t>
            </w:r>
            <w:r w:rsidR="001B31D6">
              <w:rPr>
                <w:rFonts w:ascii="Arial'" w:hAnsi="Arial'"/>
                <w:color w:val="0000FF"/>
              </w:rPr>
              <w:t xml:space="preserve">vaccination </w:t>
            </w:r>
            <w:r w:rsidR="005368E8">
              <w:rPr>
                <w:rFonts w:ascii="Arial'" w:hAnsi="Arial'"/>
                <w:color w:val="0000FF"/>
              </w:rPr>
              <w:t xml:space="preserve">à travers une mobilisation sociale axée sur l’équité ; le renforcement de la gestion des équipements de chaine du froid et des vaccins pour assurer une sécurité </w:t>
            </w:r>
            <w:proofErr w:type="spellStart"/>
            <w:r w:rsidR="005368E8">
              <w:rPr>
                <w:rFonts w:ascii="Arial'" w:hAnsi="Arial'"/>
                <w:color w:val="0000FF"/>
              </w:rPr>
              <w:t>vaccianle</w:t>
            </w:r>
            <w:proofErr w:type="spellEnd"/>
            <w:r w:rsidR="005368E8">
              <w:rPr>
                <w:rFonts w:ascii="Arial'" w:hAnsi="Arial'"/>
                <w:color w:val="0000FF"/>
              </w:rPr>
              <w:t xml:space="preserve"> optimale  </w:t>
            </w:r>
            <w:r>
              <w:rPr>
                <w:rFonts w:ascii="Arial'" w:hAnsi="Arial'"/>
                <w:color w:val="0000FF"/>
              </w:rPr>
              <w:t xml:space="preserve">. Mais la pandémie de la </w:t>
            </w:r>
            <w:r w:rsidR="00D8750B">
              <w:rPr>
                <w:rFonts w:ascii="Arial'" w:hAnsi="Arial'"/>
                <w:color w:val="0000FF"/>
              </w:rPr>
              <w:t>COVID-</w:t>
            </w:r>
            <w:r>
              <w:rPr>
                <w:rFonts w:ascii="Arial'" w:hAnsi="Arial'"/>
                <w:color w:val="0000FF"/>
              </w:rPr>
              <w:t>19 a sapé les efforts du gouvernement et des partenaire</w:t>
            </w:r>
            <w:r w:rsidR="004B7F45">
              <w:rPr>
                <w:rFonts w:ascii="Arial'" w:hAnsi="Arial'"/>
                <w:color w:val="0000FF"/>
              </w:rPr>
              <w:t>s</w:t>
            </w:r>
            <w:r>
              <w:rPr>
                <w:rFonts w:ascii="Arial'" w:hAnsi="Arial'"/>
                <w:color w:val="0000FF"/>
              </w:rPr>
              <w:t xml:space="preserve"> dans la mise en </w:t>
            </w:r>
            <w:proofErr w:type="spellStart"/>
            <w:r>
              <w:rPr>
                <w:rFonts w:ascii="Arial'" w:hAnsi="Arial'"/>
                <w:color w:val="0000FF"/>
              </w:rPr>
              <w:t>oeuvre</w:t>
            </w:r>
            <w:proofErr w:type="spellEnd"/>
            <w:r>
              <w:rPr>
                <w:rFonts w:ascii="Arial'" w:hAnsi="Arial'"/>
                <w:color w:val="0000FF"/>
              </w:rPr>
              <w:t xml:space="preserve"> optimale des plans. </w:t>
            </w:r>
          </w:p>
          <w:p w14:paraId="3A7341D3" w14:textId="4446AAB7" w:rsidR="00933B75" w:rsidRDefault="00736C36" w:rsidP="00863875">
            <w:pPr>
              <w:spacing w:line="300" w:lineRule="exact"/>
              <w:jc w:val="both"/>
              <w:rPr>
                <w:rFonts w:ascii="Arial'" w:hAnsi="Arial'"/>
                <w:color w:val="0000FF"/>
              </w:rPr>
            </w:pPr>
            <w:r>
              <w:rPr>
                <w:rFonts w:ascii="Arial'" w:hAnsi="Arial'"/>
                <w:color w:val="0000FF"/>
              </w:rPr>
              <w:t>Le prochain pla</w:t>
            </w:r>
            <w:r w:rsidR="00EC6473">
              <w:rPr>
                <w:rFonts w:ascii="Arial'" w:hAnsi="Arial'"/>
                <w:color w:val="0000FF"/>
              </w:rPr>
              <w:t>n</w:t>
            </w:r>
            <w:r>
              <w:rPr>
                <w:rFonts w:ascii="Arial'" w:hAnsi="Arial'"/>
                <w:color w:val="0000FF"/>
              </w:rPr>
              <w:t xml:space="preserve"> TCA multi année sera en harmonie avec les plans existants pour accompagner le gouvernement à renforcer son système de santé et le programme de vaccination.</w:t>
            </w:r>
          </w:p>
          <w:p w14:paraId="660FFDFA" w14:textId="0E8F5550" w:rsidR="00850257" w:rsidRDefault="00850257" w:rsidP="00863875">
            <w:pPr>
              <w:spacing w:line="300" w:lineRule="exact"/>
              <w:jc w:val="both"/>
              <w:rPr>
                <w:rFonts w:ascii="Arial'" w:hAnsi="Arial'"/>
                <w:color w:val="0000FF"/>
              </w:rPr>
            </w:pPr>
          </w:p>
          <w:p w14:paraId="2E0B0A4A" w14:textId="77777777" w:rsidR="00B77096" w:rsidRPr="00F00F41" w:rsidRDefault="00B77096" w:rsidP="00B77096">
            <w:pPr>
              <w:rPr>
                <w:color w:val="0000FF"/>
              </w:rPr>
            </w:pPr>
            <w:r w:rsidRPr="00F00F41">
              <w:rPr>
                <w:color w:val="0000FF"/>
              </w:rPr>
              <w:t xml:space="preserve">Le demande de soutien actuel de TCA va permettre </w:t>
            </w:r>
          </w:p>
          <w:p w14:paraId="78968EAC" w14:textId="77777777" w:rsidR="00B77096" w:rsidRPr="00F00F41" w:rsidRDefault="00B77096" w:rsidP="00B77096">
            <w:pPr>
              <w:pStyle w:val="ListParagraph"/>
              <w:numPr>
                <w:ilvl w:val="0"/>
                <w:numId w:val="15"/>
              </w:numPr>
              <w:spacing w:line="300" w:lineRule="exact"/>
              <w:rPr>
                <w:color w:val="0000FF"/>
              </w:rPr>
            </w:pPr>
            <w:r w:rsidRPr="00F00F41">
              <w:rPr>
                <w:color w:val="0000FF"/>
              </w:rPr>
              <w:t xml:space="preserve">Dans le domaine de la gouvernance, politique, planification stratégique </w:t>
            </w:r>
          </w:p>
          <w:p w14:paraId="42EC5BDD"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t>Appuyer le pays à élaborer la Stratégie Nationale d’immunisation</w:t>
            </w:r>
          </w:p>
          <w:p w14:paraId="008CFF09"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t>Soutenir les actions de planification pluriannuelle et la planification opérationnelle annuelle pour atteindre systématiquement les enfants zéro doses ;</w:t>
            </w:r>
          </w:p>
          <w:p w14:paraId="3C20B644" w14:textId="28783D28" w:rsidR="00B77096" w:rsidRDefault="00B77096" w:rsidP="00B77096">
            <w:pPr>
              <w:pStyle w:val="ListParagraph"/>
              <w:numPr>
                <w:ilvl w:val="0"/>
                <w:numId w:val="14"/>
              </w:numPr>
              <w:spacing w:line="300" w:lineRule="exact"/>
              <w:jc w:val="both"/>
              <w:rPr>
                <w:color w:val="0000FF"/>
              </w:rPr>
            </w:pPr>
            <w:r w:rsidRPr="00F00F41">
              <w:rPr>
                <w:color w:val="0000FF"/>
              </w:rPr>
              <w:t>Appuyer le pays à élaborer la Politique nationale de santé et le Plan National de Développement Sanitaire (PNDS)</w:t>
            </w:r>
          </w:p>
          <w:p w14:paraId="27CEE08E" w14:textId="29DDA105" w:rsidR="00B77096" w:rsidRDefault="00B77096" w:rsidP="00B77096">
            <w:pPr>
              <w:pStyle w:val="ListParagraph"/>
              <w:numPr>
                <w:ilvl w:val="0"/>
                <w:numId w:val="14"/>
              </w:numPr>
              <w:spacing w:line="300" w:lineRule="exact"/>
              <w:jc w:val="both"/>
              <w:rPr>
                <w:color w:val="0000FF"/>
              </w:rPr>
            </w:pPr>
            <w:r>
              <w:rPr>
                <w:color w:val="0000FF"/>
              </w:rPr>
              <w:t>La promotion de la recherche opérationnelle pour action avec une collaboration avec les écoles de Santé publique et Instituts de recherche</w:t>
            </w:r>
          </w:p>
          <w:p w14:paraId="3676F6BD" w14:textId="315095D3" w:rsidR="00B77096" w:rsidRPr="00F00F41" w:rsidRDefault="00B77096" w:rsidP="00B77096">
            <w:pPr>
              <w:pStyle w:val="ListParagraph"/>
              <w:numPr>
                <w:ilvl w:val="0"/>
                <w:numId w:val="14"/>
              </w:numPr>
              <w:spacing w:line="300" w:lineRule="exact"/>
              <w:jc w:val="both"/>
              <w:rPr>
                <w:color w:val="0000FF"/>
              </w:rPr>
            </w:pPr>
            <w:r>
              <w:rPr>
                <w:color w:val="0000FF"/>
              </w:rPr>
              <w:t>Renforcer la gestion financière à tous les niveaux</w:t>
            </w:r>
          </w:p>
          <w:p w14:paraId="4DFD18CF" w14:textId="77777777" w:rsidR="00B77096" w:rsidRPr="00F00F41" w:rsidRDefault="00B77096" w:rsidP="00B77096">
            <w:pPr>
              <w:pStyle w:val="ListParagraph"/>
              <w:numPr>
                <w:ilvl w:val="0"/>
                <w:numId w:val="15"/>
              </w:numPr>
              <w:spacing w:line="300" w:lineRule="exact"/>
              <w:rPr>
                <w:color w:val="0000FF"/>
              </w:rPr>
            </w:pPr>
            <w:r w:rsidRPr="00F00F41">
              <w:rPr>
                <w:color w:val="0000FF"/>
              </w:rPr>
              <w:t>Dans le domaine de l’offre des services, l’assistance technique contribuera à :</w:t>
            </w:r>
          </w:p>
          <w:p w14:paraId="01AD94CB" w14:textId="77777777" w:rsidR="00B77096" w:rsidRPr="00F00F41" w:rsidRDefault="00B77096" w:rsidP="00B77096">
            <w:pPr>
              <w:pStyle w:val="ListParagraph"/>
              <w:numPr>
                <w:ilvl w:val="0"/>
                <w:numId w:val="14"/>
              </w:numPr>
              <w:spacing w:line="300" w:lineRule="exact"/>
              <w:jc w:val="both"/>
              <w:rPr>
                <w:color w:val="0000FF"/>
              </w:rPr>
            </w:pPr>
            <w:proofErr w:type="gramStart"/>
            <w:r w:rsidRPr="00F00F41">
              <w:rPr>
                <w:color w:val="0000FF"/>
              </w:rPr>
              <w:t>l’identification</w:t>
            </w:r>
            <w:proofErr w:type="gramEnd"/>
            <w:r w:rsidRPr="00F00F41">
              <w:rPr>
                <w:color w:val="0000FF"/>
              </w:rPr>
              <w:t xml:space="preserve"> des  enfants zéro dose et sous-vaccinés et les communautés difficiles d’accès</w:t>
            </w:r>
          </w:p>
          <w:p w14:paraId="7B31F02E" w14:textId="77777777" w:rsidR="00B77096" w:rsidRPr="00F00F41" w:rsidRDefault="00B77096" w:rsidP="00B77096">
            <w:pPr>
              <w:pStyle w:val="ListParagraph"/>
              <w:numPr>
                <w:ilvl w:val="0"/>
                <w:numId w:val="14"/>
              </w:numPr>
              <w:spacing w:line="300" w:lineRule="exact"/>
              <w:jc w:val="both"/>
              <w:rPr>
                <w:color w:val="0000FF"/>
              </w:rPr>
            </w:pPr>
            <w:proofErr w:type="gramStart"/>
            <w:r w:rsidRPr="00F00F41">
              <w:rPr>
                <w:color w:val="0000FF"/>
              </w:rPr>
              <w:t>l’identification</w:t>
            </w:r>
            <w:proofErr w:type="gramEnd"/>
            <w:r w:rsidRPr="00F00F41">
              <w:rPr>
                <w:color w:val="0000FF"/>
              </w:rPr>
              <w:t xml:space="preserve"> et l’analyse continue des obstacles et déterminants de la faible vaccination de certaines sous populations</w:t>
            </w:r>
          </w:p>
          <w:p w14:paraId="45D81D02" w14:textId="77777777" w:rsidR="00B77096" w:rsidRPr="00F00F41" w:rsidRDefault="00B77096" w:rsidP="00B77096">
            <w:pPr>
              <w:pStyle w:val="ListParagraph"/>
              <w:numPr>
                <w:ilvl w:val="0"/>
                <w:numId w:val="14"/>
              </w:numPr>
              <w:spacing w:line="300" w:lineRule="exact"/>
              <w:jc w:val="both"/>
              <w:rPr>
                <w:color w:val="0000FF"/>
              </w:rPr>
            </w:pPr>
            <w:proofErr w:type="gramStart"/>
            <w:r w:rsidRPr="00F00F41">
              <w:rPr>
                <w:color w:val="0000FF"/>
              </w:rPr>
              <w:t>renforcer</w:t>
            </w:r>
            <w:proofErr w:type="gramEnd"/>
            <w:r w:rsidRPr="00F00F41">
              <w:rPr>
                <w:color w:val="0000FF"/>
              </w:rPr>
              <w:t xml:space="preserve"> les stratégies avancées et les services de vaccination pour atteindre les enfants zéro dose et sous-vaccinés et les communautés difficiles d’accès</w:t>
            </w:r>
          </w:p>
          <w:p w14:paraId="0EDDAFB8"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t>Intégrer la prestation de services pour améliorer l’efficacité, la régularité et/ou la fiabilité des activités de vaccination planifiées, en mettant l’accent sur les enfants zéro dose et sous-vaccinés et les communautés difficiles d’accès</w:t>
            </w:r>
          </w:p>
          <w:p w14:paraId="5B3D4680" w14:textId="7F6EF7BF" w:rsidR="00B77096" w:rsidRPr="00B77096" w:rsidRDefault="00B77096" w:rsidP="00B77096">
            <w:pPr>
              <w:pStyle w:val="ListParagraph"/>
              <w:numPr>
                <w:ilvl w:val="0"/>
                <w:numId w:val="14"/>
              </w:numPr>
              <w:spacing w:line="300" w:lineRule="exact"/>
              <w:jc w:val="both"/>
              <w:rPr>
                <w:color w:val="0000FF"/>
              </w:rPr>
            </w:pPr>
            <w:r w:rsidRPr="00F00F41">
              <w:rPr>
                <w:color w:val="0000FF"/>
              </w:rPr>
              <w:t>Favoriser la prise en compte de la vaccination contre la COVID par le programme.</w:t>
            </w:r>
          </w:p>
          <w:p w14:paraId="58C691D6" w14:textId="77777777" w:rsidR="00B77096" w:rsidRPr="00F00F41" w:rsidRDefault="00B77096" w:rsidP="00B77096">
            <w:pPr>
              <w:pStyle w:val="ListParagraph"/>
              <w:numPr>
                <w:ilvl w:val="0"/>
                <w:numId w:val="15"/>
              </w:numPr>
              <w:spacing w:line="300" w:lineRule="exact"/>
              <w:rPr>
                <w:color w:val="0000FF"/>
              </w:rPr>
            </w:pPr>
            <w:r w:rsidRPr="00F00F41">
              <w:rPr>
                <w:color w:val="0000FF"/>
              </w:rPr>
              <w:t xml:space="preserve">Dans le domaine des ressources humaines : </w:t>
            </w:r>
          </w:p>
          <w:p w14:paraId="54D5A9D0" w14:textId="77777777" w:rsidR="00B77096" w:rsidRPr="00F00F41" w:rsidRDefault="00B77096" w:rsidP="00B77096">
            <w:pPr>
              <w:pStyle w:val="ListParagraph"/>
              <w:numPr>
                <w:ilvl w:val="0"/>
                <w:numId w:val="14"/>
              </w:numPr>
              <w:spacing w:line="300" w:lineRule="exact"/>
              <w:jc w:val="both"/>
              <w:rPr>
                <w:color w:val="0000FF"/>
              </w:rPr>
            </w:pPr>
            <w:r w:rsidRPr="00F00F41">
              <w:rPr>
                <w:rFonts w:eastAsia="Times New Roman"/>
                <w:color w:val="0000FF"/>
                <w:lang w:eastAsia="en-US"/>
              </w:rPr>
              <w:t>Soutenir le développement et la mise en œuvre du plan de renforcement des capacités acteurs sur les différents piliers du PEV ;</w:t>
            </w:r>
          </w:p>
          <w:p w14:paraId="23E0800F" w14:textId="77777777" w:rsidR="00B77096" w:rsidRPr="00F00F41" w:rsidRDefault="00B77096" w:rsidP="00B77096">
            <w:pPr>
              <w:pStyle w:val="ListParagraph"/>
              <w:numPr>
                <w:ilvl w:val="0"/>
                <w:numId w:val="15"/>
              </w:numPr>
              <w:spacing w:line="300" w:lineRule="exact"/>
              <w:rPr>
                <w:color w:val="0000FF"/>
              </w:rPr>
            </w:pPr>
            <w:r w:rsidRPr="00F00F41">
              <w:rPr>
                <w:color w:val="0000FF"/>
              </w:rPr>
              <w:t>Dans le domaine de la Chaine d’approvisionnement, l’assistance contribuera à :</w:t>
            </w:r>
          </w:p>
          <w:p w14:paraId="769D7DB6" w14:textId="77777777" w:rsidR="00B77096" w:rsidRPr="00F00F41" w:rsidRDefault="00B77096" w:rsidP="00B77096">
            <w:pPr>
              <w:pStyle w:val="ListParagraph"/>
              <w:numPr>
                <w:ilvl w:val="0"/>
                <w:numId w:val="14"/>
              </w:numPr>
              <w:spacing w:line="300" w:lineRule="exact"/>
              <w:jc w:val="both"/>
              <w:rPr>
                <w:color w:val="0000FF"/>
              </w:rPr>
            </w:pPr>
            <w:proofErr w:type="gramStart"/>
            <w:r w:rsidRPr="00F00F41">
              <w:rPr>
                <w:color w:val="0000FF"/>
              </w:rPr>
              <w:t>l’amélioration</w:t>
            </w:r>
            <w:proofErr w:type="gramEnd"/>
            <w:r w:rsidRPr="00F00F41">
              <w:rPr>
                <w:color w:val="0000FF"/>
              </w:rPr>
              <w:t xml:space="preserve"> la gestion efficace des vaccins et de la logistique du PEV</w:t>
            </w:r>
          </w:p>
          <w:p w14:paraId="12ECAD26" w14:textId="77777777" w:rsidR="00B77096" w:rsidRPr="00F00F41" w:rsidRDefault="00B77096" w:rsidP="00B77096">
            <w:pPr>
              <w:pStyle w:val="ListParagraph"/>
              <w:numPr>
                <w:ilvl w:val="0"/>
                <w:numId w:val="14"/>
              </w:numPr>
              <w:spacing w:before="60" w:after="60"/>
              <w:ind w:right="95"/>
              <w:jc w:val="both"/>
              <w:rPr>
                <w:color w:val="0000FF"/>
              </w:rPr>
            </w:pPr>
            <w:r w:rsidRPr="00F00F41">
              <w:rPr>
                <w:color w:val="0000FF"/>
              </w:rPr>
              <w:t xml:space="preserve">Appuyer la cartographie efficace de la chaine de chaine </w:t>
            </w:r>
          </w:p>
          <w:p w14:paraId="1CBB525D" w14:textId="77777777" w:rsidR="00B77096" w:rsidRPr="00F00F41" w:rsidRDefault="00B77096" w:rsidP="00B77096">
            <w:pPr>
              <w:pStyle w:val="ListParagraph"/>
              <w:numPr>
                <w:ilvl w:val="0"/>
                <w:numId w:val="14"/>
              </w:numPr>
              <w:spacing w:before="60" w:after="60"/>
              <w:ind w:right="95"/>
              <w:jc w:val="both"/>
              <w:rPr>
                <w:color w:val="0000FF"/>
              </w:rPr>
            </w:pPr>
            <w:r w:rsidRPr="00F00F41">
              <w:rPr>
                <w:color w:val="0000FF"/>
              </w:rPr>
              <w:t>Accompagner le PEV dans le processus de maintenance de la logistique du PEV</w:t>
            </w:r>
          </w:p>
          <w:p w14:paraId="59537F2B" w14:textId="77777777" w:rsidR="00B77096" w:rsidRPr="00F00F41" w:rsidRDefault="00B77096" w:rsidP="00B77096">
            <w:pPr>
              <w:pStyle w:val="ListParagraph"/>
              <w:numPr>
                <w:ilvl w:val="0"/>
                <w:numId w:val="15"/>
              </w:numPr>
              <w:spacing w:line="300" w:lineRule="exact"/>
              <w:rPr>
                <w:color w:val="0000FF"/>
              </w:rPr>
            </w:pPr>
            <w:r w:rsidRPr="00F00F41">
              <w:rPr>
                <w:color w:val="0000FF"/>
              </w:rPr>
              <w:t>Dans le domaine du Système d’information sanitaire</w:t>
            </w:r>
          </w:p>
          <w:p w14:paraId="7342761A"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t>Renforcer l’évaluation de la qualité des données du PEV au niveau des régions et districts</w:t>
            </w:r>
          </w:p>
          <w:p w14:paraId="57B9A959"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t>Appuyer les activités de monitorage du PEV et de la surveillance des maladies cibles du PEV</w:t>
            </w:r>
          </w:p>
          <w:p w14:paraId="08A29660"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t>Accompagner la mise en œuvre de la surveillance de maladies cible du PEV y compris la polio</w:t>
            </w:r>
          </w:p>
          <w:p w14:paraId="606F8896" w14:textId="5F86532F" w:rsidR="00B77096" w:rsidRPr="00F00F41" w:rsidRDefault="00B77096" w:rsidP="00B77096">
            <w:pPr>
              <w:pStyle w:val="ListParagraph"/>
              <w:numPr>
                <w:ilvl w:val="0"/>
                <w:numId w:val="14"/>
              </w:numPr>
              <w:spacing w:line="300" w:lineRule="exact"/>
              <w:jc w:val="both"/>
              <w:rPr>
                <w:color w:val="0000FF"/>
              </w:rPr>
            </w:pPr>
            <w:r w:rsidRPr="00F00F41">
              <w:rPr>
                <w:color w:val="0000FF"/>
              </w:rPr>
              <w:t>Renforcer la surveillance au laboratoire des méningites</w:t>
            </w:r>
          </w:p>
          <w:p w14:paraId="31D7C6AC"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lastRenderedPageBreak/>
              <w:t>Renforcer la capacité du pays à détecter, évaluer et répondre aux manifestations post-vaccinales indésirables graves notamment dans les districts à haut risque de la fièvre jaune et de la méningite)</w:t>
            </w:r>
          </w:p>
          <w:p w14:paraId="3DED88B4" w14:textId="77777777" w:rsidR="00B77096" w:rsidRPr="00F00F41" w:rsidRDefault="00B77096" w:rsidP="00B77096">
            <w:pPr>
              <w:pStyle w:val="ListParagraph"/>
              <w:numPr>
                <w:ilvl w:val="0"/>
                <w:numId w:val="14"/>
              </w:numPr>
              <w:spacing w:line="300" w:lineRule="exact"/>
              <w:jc w:val="both"/>
              <w:rPr>
                <w:color w:val="0000FF"/>
              </w:rPr>
            </w:pPr>
            <w:r w:rsidRPr="00F00F41">
              <w:rPr>
                <w:color w:val="0000FF"/>
              </w:rPr>
              <w:t>Contribuer à la collecte, au colisage et au transport des échantillons du niveau opérationnel vers le PEV central</w:t>
            </w:r>
          </w:p>
          <w:p w14:paraId="5CA24186" w14:textId="77777777" w:rsidR="00B77096" w:rsidRPr="00F00F41" w:rsidRDefault="00B77096" w:rsidP="00B77096">
            <w:pPr>
              <w:pStyle w:val="ListParagraph"/>
              <w:numPr>
                <w:ilvl w:val="0"/>
                <w:numId w:val="14"/>
              </w:numPr>
              <w:spacing w:line="300" w:lineRule="exact"/>
              <w:jc w:val="both"/>
              <w:rPr>
                <w:color w:val="0000FF"/>
              </w:rPr>
            </w:pPr>
            <w:proofErr w:type="gramStart"/>
            <w:r w:rsidRPr="00F00F41">
              <w:rPr>
                <w:color w:val="0000FF"/>
              </w:rPr>
              <w:t>renforcer</w:t>
            </w:r>
            <w:proofErr w:type="gramEnd"/>
            <w:r w:rsidRPr="00F00F41">
              <w:rPr>
                <w:color w:val="0000FF"/>
              </w:rPr>
              <w:t xml:space="preserve"> les capacités des membres du comité technique national pour l’évaluation du lien de causalité pour les MAPI notifiés ;</w:t>
            </w:r>
          </w:p>
          <w:p w14:paraId="57B88D3E" w14:textId="77777777" w:rsidR="00B77096" w:rsidRPr="00F00F41" w:rsidRDefault="00B77096" w:rsidP="00B77096">
            <w:pPr>
              <w:pStyle w:val="ListParagraph"/>
              <w:numPr>
                <w:ilvl w:val="0"/>
                <w:numId w:val="14"/>
              </w:numPr>
              <w:spacing w:line="300" w:lineRule="exact"/>
              <w:jc w:val="both"/>
              <w:rPr>
                <w:color w:val="0000FF"/>
              </w:rPr>
            </w:pPr>
            <w:proofErr w:type="gramStart"/>
            <w:r w:rsidRPr="00F00F41">
              <w:rPr>
                <w:color w:val="0000FF"/>
              </w:rPr>
              <w:t>renforcer</w:t>
            </w:r>
            <w:proofErr w:type="gramEnd"/>
            <w:r w:rsidRPr="00F00F41">
              <w:rPr>
                <w:color w:val="0000FF"/>
              </w:rPr>
              <w:t xml:space="preserve"> les capacités des acteurs pour la notification, l’investigation, la classification et la prise en charge des cas de MAPI.</w:t>
            </w:r>
          </w:p>
          <w:p w14:paraId="0E49CCCA" w14:textId="6F507480" w:rsidR="00B77096" w:rsidRPr="00B77096" w:rsidRDefault="00B77096" w:rsidP="00B77096">
            <w:pPr>
              <w:pStyle w:val="ListParagraph"/>
              <w:numPr>
                <w:ilvl w:val="0"/>
                <w:numId w:val="14"/>
              </w:numPr>
              <w:spacing w:line="300" w:lineRule="exact"/>
              <w:jc w:val="both"/>
              <w:rPr>
                <w:color w:val="0000FF"/>
              </w:rPr>
            </w:pPr>
            <w:r w:rsidRPr="00F00F41">
              <w:rPr>
                <w:color w:val="0000FF"/>
              </w:rPr>
              <w:t>Appuyer le pays à conduire la revue du PEV</w:t>
            </w:r>
          </w:p>
          <w:p w14:paraId="404211DD" w14:textId="77777777" w:rsidR="00B77096" w:rsidRPr="00F00F41" w:rsidRDefault="00B77096" w:rsidP="00B77096">
            <w:pPr>
              <w:pStyle w:val="ListParagraph"/>
              <w:numPr>
                <w:ilvl w:val="0"/>
                <w:numId w:val="15"/>
              </w:numPr>
              <w:spacing w:line="300" w:lineRule="exact"/>
              <w:rPr>
                <w:color w:val="0000FF"/>
              </w:rPr>
            </w:pPr>
            <w:r w:rsidRPr="00F00F41">
              <w:rPr>
                <w:color w:val="0000FF"/>
              </w:rPr>
              <w:t xml:space="preserve">Dans le domaine de génération de la demande et de l’engagement communautaire, l’assistance technique contribuera à :  </w:t>
            </w:r>
          </w:p>
          <w:p w14:paraId="41B412C4" w14:textId="77777777" w:rsidR="00B77096" w:rsidRPr="00F00F41" w:rsidRDefault="00B77096" w:rsidP="00B77096">
            <w:pPr>
              <w:pStyle w:val="ListParagraph"/>
              <w:numPr>
                <w:ilvl w:val="0"/>
                <w:numId w:val="16"/>
              </w:numPr>
              <w:jc w:val="both"/>
              <w:rPr>
                <w:color w:val="0000FF"/>
              </w:rPr>
            </w:pPr>
            <w:r w:rsidRPr="00F00F41">
              <w:rPr>
                <w:color w:val="0000FF"/>
              </w:rPr>
              <w:t>Renforcer la capacité des acteurs du PEV et du système de santé au niveau opérationnel ainsi que les organisations à base communautaires sur les approches innovantes de communication pour un changement social et comportemental ;</w:t>
            </w:r>
          </w:p>
          <w:p w14:paraId="291C90F0" w14:textId="77777777" w:rsidR="00B77096" w:rsidRPr="00B77096" w:rsidRDefault="00B77096" w:rsidP="00792747">
            <w:pPr>
              <w:pStyle w:val="ListParagraph"/>
              <w:numPr>
                <w:ilvl w:val="0"/>
                <w:numId w:val="16"/>
              </w:numPr>
              <w:spacing w:line="300" w:lineRule="exact"/>
              <w:jc w:val="both"/>
              <w:rPr>
                <w:rFonts w:ascii="Arial'" w:hAnsi="Arial'"/>
                <w:color w:val="0000FF"/>
              </w:rPr>
            </w:pPr>
            <w:r w:rsidRPr="00B77096">
              <w:rPr>
                <w:color w:val="0000FF"/>
              </w:rPr>
              <w:t xml:space="preserve">Renforcer les capacités des mères et de père à engager </w:t>
            </w:r>
            <w:proofErr w:type="gramStart"/>
            <w:r w:rsidRPr="00B77096">
              <w:rPr>
                <w:color w:val="0000FF"/>
              </w:rPr>
              <w:t>leur pairs</w:t>
            </w:r>
            <w:proofErr w:type="gramEnd"/>
            <w:r w:rsidRPr="00B77096">
              <w:rPr>
                <w:color w:val="0000FF"/>
              </w:rPr>
              <w:t xml:space="preserve"> à adhérer à la vaccination</w:t>
            </w:r>
          </w:p>
          <w:p w14:paraId="2BC88A59" w14:textId="62992B3C" w:rsidR="00850257" w:rsidRPr="00B77096" w:rsidRDefault="00B77096" w:rsidP="00792747">
            <w:pPr>
              <w:pStyle w:val="ListParagraph"/>
              <w:numPr>
                <w:ilvl w:val="0"/>
                <w:numId w:val="16"/>
              </w:numPr>
              <w:spacing w:line="300" w:lineRule="exact"/>
              <w:jc w:val="both"/>
              <w:rPr>
                <w:rFonts w:ascii="Arial'" w:hAnsi="Arial'"/>
                <w:color w:val="0000FF"/>
              </w:rPr>
            </w:pPr>
            <w:r w:rsidRPr="00B77096">
              <w:rPr>
                <w:color w:val="0000FF"/>
              </w:rPr>
              <w:t>Appuyer la conduite des études CAP pouvant orienter le rajustement des stratégies de vaccination</w:t>
            </w:r>
          </w:p>
          <w:p w14:paraId="7D9A0BA9" w14:textId="6437598C" w:rsidR="00933B75" w:rsidRPr="00863875" w:rsidRDefault="00933B75" w:rsidP="00372D1F">
            <w:pPr>
              <w:spacing w:line="300" w:lineRule="exact"/>
              <w:rPr>
                <w:color w:val="92D050"/>
              </w:rPr>
            </w:pPr>
          </w:p>
        </w:tc>
      </w:tr>
      <w:tr w:rsidR="0071439C" w14:paraId="0D9AF231" w14:textId="77777777" w:rsidTr="008B163D">
        <w:tc>
          <w:tcPr>
            <w:tcW w:w="9498" w:type="dxa"/>
            <w:tcBorders>
              <w:top w:val="single" w:sz="4" w:space="0" w:color="auto"/>
              <w:bottom w:val="single" w:sz="4" w:space="0" w:color="auto"/>
            </w:tcBorders>
            <w:shd w:val="clear" w:color="auto" w:fill="F2F2F2" w:themeFill="background1" w:themeFillShade="F2"/>
          </w:tcPr>
          <w:p w14:paraId="14533925" w14:textId="50C71BD7" w:rsidR="00E165B4" w:rsidRPr="00D277C6" w:rsidRDefault="0071439C" w:rsidP="00CE1F57">
            <w:pPr>
              <w:pStyle w:val="ListParagraph"/>
              <w:numPr>
                <w:ilvl w:val="1"/>
                <w:numId w:val="4"/>
              </w:numPr>
              <w:spacing w:line="300" w:lineRule="exact"/>
              <w:ind w:left="316" w:hanging="316"/>
              <w:rPr>
                <w:b/>
                <w:bCs/>
                <w:i/>
                <w:iCs/>
                <w:sz w:val="20"/>
                <w:szCs w:val="20"/>
              </w:rPr>
            </w:pPr>
            <w:r>
              <w:rPr>
                <w:b/>
                <w:i/>
                <w:sz w:val="20"/>
              </w:rPr>
              <w:lastRenderedPageBreak/>
              <w:t xml:space="preserve">Comment l'assistance pays ciblée requise promeut-elle la mission de Gavi 5.0 </w:t>
            </w:r>
            <w:r w:rsidRPr="00D277C6">
              <w:rPr>
                <w:b/>
                <w:i/>
                <w:sz w:val="20"/>
              </w:rPr>
              <w:t xml:space="preserve">par contexte national, en insistant </w:t>
            </w:r>
            <w:proofErr w:type="gramStart"/>
            <w:r w:rsidRPr="00D277C6">
              <w:rPr>
                <w:b/>
                <w:i/>
                <w:sz w:val="20"/>
              </w:rPr>
              <w:t>sur:</w:t>
            </w:r>
            <w:proofErr w:type="gramEnd"/>
          </w:p>
          <w:p w14:paraId="2112DA8C" w14:textId="427D12AB" w:rsidR="00544D9B" w:rsidRPr="00D277C6" w:rsidRDefault="00544D9B" w:rsidP="00CE1F57">
            <w:pPr>
              <w:pStyle w:val="ListParagraph"/>
              <w:numPr>
                <w:ilvl w:val="0"/>
                <w:numId w:val="5"/>
              </w:numPr>
              <w:spacing w:line="300" w:lineRule="exact"/>
              <w:ind w:left="741"/>
              <w:rPr>
                <w:b/>
                <w:bCs/>
                <w:i/>
                <w:iCs/>
                <w:sz w:val="20"/>
                <w:szCs w:val="20"/>
              </w:rPr>
            </w:pPr>
            <w:proofErr w:type="gramStart"/>
            <w:r w:rsidRPr="00D277C6">
              <w:rPr>
                <w:b/>
                <w:i/>
                <w:sz w:val="20"/>
              </w:rPr>
              <w:t>l'identification</w:t>
            </w:r>
            <w:proofErr w:type="gramEnd"/>
            <w:r w:rsidRPr="00D277C6">
              <w:rPr>
                <w:b/>
                <w:i/>
                <w:sz w:val="20"/>
              </w:rPr>
              <w:t xml:space="preserve"> et l'atteinte des enfants et des communautés zéro dose et systématiquement oubliés;</w:t>
            </w:r>
          </w:p>
          <w:p w14:paraId="6B56EB6C" w14:textId="77777777" w:rsidR="00544D9B" w:rsidRPr="00D277C6" w:rsidRDefault="00544D9B" w:rsidP="00CE1F57">
            <w:pPr>
              <w:pStyle w:val="ListParagraph"/>
              <w:numPr>
                <w:ilvl w:val="0"/>
                <w:numId w:val="5"/>
              </w:numPr>
              <w:spacing w:line="300" w:lineRule="exact"/>
              <w:ind w:left="741"/>
              <w:rPr>
                <w:b/>
                <w:bCs/>
                <w:i/>
                <w:iCs/>
                <w:sz w:val="20"/>
                <w:szCs w:val="20"/>
              </w:rPr>
            </w:pPr>
            <w:proofErr w:type="gramStart"/>
            <w:r w:rsidRPr="00D277C6">
              <w:rPr>
                <w:b/>
                <w:i/>
                <w:sz w:val="20"/>
              </w:rPr>
              <w:t>l'amélioration</w:t>
            </w:r>
            <w:proofErr w:type="gramEnd"/>
            <w:r w:rsidRPr="00D277C6">
              <w:rPr>
                <w:b/>
                <w:i/>
                <w:sz w:val="20"/>
              </w:rPr>
              <w:t xml:space="preserve"> du compte-rendu des stocks et de la gestion des vaccins au niveau infranational;</w:t>
            </w:r>
          </w:p>
          <w:p w14:paraId="009281C7" w14:textId="11C0A77E" w:rsidR="00544D9B" w:rsidRPr="00D277C6" w:rsidRDefault="00CC34D7" w:rsidP="00CE1F57">
            <w:pPr>
              <w:pStyle w:val="ListParagraph"/>
              <w:numPr>
                <w:ilvl w:val="0"/>
                <w:numId w:val="5"/>
              </w:numPr>
              <w:spacing w:line="300" w:lineRule="exact"/>
              <w:ind w:left="741"/>
              <w:rPr>
                <w:b/>
                <w:bCs/>
                <w:i/>
                <w:iCs/>
                <w:sz w:val="20"/>
                <w:szCs w:val="20"/>
              </w:rPr>
            </w:pPr>
            <w:proofErr w:type="gramStart"/>
            <w:r w:rsidRPr="00D277C6">
              <w:rPr>
                <w:b/>
                <w:i/>
                <w:sz w:val="20"/>
              </w:rPr>
              <w:t>l</w:t>
            </w:r>
            <w:r w:rsidR="00544D9B" w:rsidRPr="00D277C6">
              <w:rPr>
                <w:b/>
                <w:i/>
                <w:sz w:val="20"/>
              </w:rPr>
              <w:t>e</w:t>
            </w:r>
            <w:proofErr w:type="gramEnd"/>
            <w:r w:rsidR="00544D9B" w:rsidRPr="00D277C6">
              <w:rPr>
                <w:b/>
                <w:i/>
                <w:sz w:val="20"/>
              </w:rPr>
              <w:t xml:space="preserve"> renforcement du leadership, de la gestion et de la coordination, comprenant l'utilisation de données pour la prise de décision;</w:t>
            </w:r>
          </w:p>
          <w:p w14:paraId="35EE3F38" w14:textId="2426627E" w:rsidR="00532C23" w:rsidRPr="00D277C6" w:rsidRDefault="009912B7" w:rsidP="00CE1F57">
            <w:pPr>
              <w:pStyle w:val="ListParagraph"/>
              <w:numPr>
                <w:ilvl w:val="0"/>
                <w:numId w:val="5"/>
              </w:numPr>
              <w:spacing w:line="300" w:lineRule="exact"/>
              <w:ind w:left="741"/>
              <w:rPr>
                <w:b/>
                <w:i/>
                <w:sz w:val="20"/>
                <w:szCs w:val="20"/>
              </w:rPr>
            </w:pPr>
            <w:proofErr w:type="gramStart"/>
            <w:r w:rsidRPr="00D277C6">
              <w:rPr>
                <w:b/>
                <w:i/>
                <w:sz w:val="20"/>
              </w:rPr>
              <w:t>l'introduction</w:t>
            </w:r>
            <w:proofErr w:type="gramEnd"/>
            <w:r w:rsidRPr="00D277C6">
              <w:rPr>
                <w:b/>
                <w:i/>
                <w:sz w:val="20"/>
              </w:rPr>
              <w:t xml:space="preserve"> et le déploiement à large échelle des vaccins;</w:t>
            </w:r>
          </w:p>
          <w:p w14:paraId="1DC79B3B" w14:textId="2E55360D" w:rsidR="0071439C" w:rsidRPr="00544D9B" w:rsidRDefault="00532C23" w:rsidP="00CE1F57">
            <w:pPr>
              <w:pStyle w:val="ListParagraph"/>
              <w:numPr>
                <w:ilvl w:val="0"/>
                <w:numId w:val="5"/>
              </w:numPr>
              <w:spacing w:line="300" w:lineRule="exact"/>
              <w:ind w:left="741"/>
              <w:rPr>
                <w:b/>
                <w:i/>
                <w:sz w:val="20"/>
                <w:szCs w:val="20"/>
              </w:rPr>
            </w:pPr>
            <w:proofErr w:type="gramStart"/>
            <w:r w:rsidRPr="00D277C6">
              <w:rPr>
                <w:b/>
                <w:i/>
                <w:sz w:val="20"/>
              </w:rPr>
              <w:t>la</w:t>
            </w:r>
            <w:proofErr w:type="gramEnd"/>
            <w:r w:rsidRPr="00D277C6">
              <w:rPr>
                <w:b/>
                <w:i/>
                <w:sz w:val="20"/>
              </w:rPr>
              <w:t xml:space="preserve"> viabilité des programmes.</w:t>
            </w:r>
          </w:p>
        </w:tc>
      </w:tr>
      <w:tr w:rsidR="0071439C" w:rsidRPr="006A272B" w14:paraId="0A3FAE65" w14:textId="77777777" w:rsidTr="008B163D">
        <w:tc>
          <w:tcPr>
            <w:tcW w:w="9498" w:type="dxa"/>
            <w:tcBorders>
              <w:top w:val="single" w:sz="4" w:space="0" w:color="auto"/>
              <w:left w:val="single" w:sz="4" w:space="0" w:color="auto"/>
              <w:bottom w:val="single" w:sz="4" w:space="0" w:color="auto"/>
              <w:right w:val="single" w:sz="4" w:space="0" w:color="auto"/>
            </w:tcBorders>
          </w:tcPr>
          <w:p w14:paraId="6C812B5A" w14:textId="77777777" w:rsidR="00B33760" w:rsidRPr="00B33760" w:rsidRDefault="00B33760" w:rsidP="00863875">
            <w:pPr>
              <w:spacing w:line="300" w:lineRule="exact"/>
              <w:jc w:val="both"/>
              <w:rPr>
                <w:rFonts w:ascii="Arial'" w:hAnsi="Arial'"/>
                <w:color w:val="0000FF"/>
                <w:sz w:val="16"/>
                <w:szCs w:val="16"/>
              </w:rPr>
            </w:pPr>
          </w:p>
          <w:p w14:paraId="07139073" w14:textId="29AE67FE" w:rsidR="007848FE" w:rsidRDefault="00177F08" w:rsidP="00863875">
            <w:pPr>
              <w:spacing w:line="300" w:lineRule="exact"/>
              <w:jc w:val="both"/>
              <w:rPr>
                <w:rFonts w:ascii="Arial'" w:hAnsi="Arial'"/>
                <w:color w:val="0000FF"/>
              </w:rPr>
            </w:pPr>
            <w:r>
              <w:rPr>
                <w:rFonts w:ascii="Arial'" w:hAnsi="Arial'"/>
                <w:color w:val="0000FF"/>
              </w:rPr>
              <w:t>L</w:t>
            </w:r>
            <w:r w:rsidR="0005197F">
              <w:rPr>
                <w:rFonts w:ascii="Arial'" w:hAnsi="Arial'"/>
                <w:color w:val="0000FF"/>
              </w:rPr>
              <w:t>e nouveau plan d’</w:t>
            </w:r>
            <w:proofErr w:type="spellStart"/>
            <w:r w:rsidR="0005197F">
              <w:rPr>
                <w:rFonts w:ascii="Arial'" w:hAnsi="Arial'"/>
                <w:color w:val="0000FF"/>
              </w:rPr>
              <w:t>assitance</w:t>
            </w:r>
            <w:proofErr w:type="spellEnd"/>
            <w:r w:rsidR="0005197F">
              <w:rPr>
                <w:rFonts w:ascii="Arial'" w:hAnsi="Arial'"/>
                <w:color w:val="0000FF"/>
              </w:rPr>
              <w:t xml:space="preserve"> technique devra permettre </w:t>
            </w:r>
            <w:r w:rsidR="00292A68">
              <w:rPr>
                <w:rFonts w:ascii="Arial'" w:hAnsi="Arial'"/>
                <w:color w:val="0000FF"/>
              </w:rPr>
              <w:t xml:space="preserve">notamment </w:t>
            </w:r>
            <w:r w:rsidR="0005197F">
              <w:rPr>
                <w:rFonts w:ascii="Arial'" w:hAnsi="Arial'"/>
                <w:color w:val="0000FF"/>
              </w:rPr>
              <w:t>de renforce</w:t>
            </w:r>
            <w:r w:rsidR="0032796B">
              <w:rPr>
                <w:rFonts w:ascii="Arial'" w:hAnsi="Arial'"/>
                <w:color w:val="0000FF"/>
              </w:rPr>
              <w:t>r la mise en œuvre de la stratégie ACD/ACE pour atteindre tous les enfants où qu’ils soient</w:t>
            </w:r>
            <w:r w:rsidR="006E07EC">
              <w:rPr>
                <w:rFonts w:ascii="Arial'" w:hAnsi="Arial'"/>
                <w:color w:val="0000FF"/>
              </w:rPr>
              <w:t xml:space="preserve"> et rechercher et vacciner </w:t>
            </w:r>
            <w:proofErr w:type="gramStart"/>
            <w:r w:rsidR="006E07EC">
              <w:rPr>
                <w:rFonts w:ascii="Arial'" w:hAnsi="Arial'"/>
                <w:color w:val="0000FF"/>
              </w:rPr>
              <w:t>les zéro dose</w:t>
            </w:r>
            <w:proofErr w:type="gramEnd"/>
            <w:r w:rsidR="006E07EC">
              <w:rPr>
                <w:rFonts w:ascii="Arial'" w:hAnsi="Arial'"/>
                <w:color w:val="0000FF"/>
              </w:rPr>
              <w:t xml:space="preserve">, </w:t>
            </w:r>
            <w:r w:rsidR="00B84F35">
              <w:rPr>
                <w:rFonts w:ascii="Arial'" w:hAnsi="Arial'"/>
                <w:color w:val="0000FF"/>
              </w:rPr>
              <w:t>la gestion efficace des vaccins à tous les niveau</w:t>
            </w:r>
            <w:r w:rsidR="00041EC9">
              <w:rPr>
                <w:rFonts w:ascii="Arial'" w:hAnsi="Arial'"/>
                <w:color w:val="0000FF"/>
              </w:rPr>
              <w:t>x</w:t>
            </w:r>
            <w:r w:rsidR="00D8750B">
              <w:rPr>
                <w:rFonts w:ascii="Arial'" w:hAnsi="Arial'"/>
                <w:color w:val="0000FF"/>
              </w:rPr>
              <w:t>,</w:t>
            </w:r>
            <w:r w:rsidR="00B84F35">
              <w:rPr>
                <w:rFonts w:ascii="Arial'" w:hAnsi="Arial'"/>
                <w:color w:val="0000FF"/>
              </w:rPr>
              <w:t xml:space="preserve"> </w:t>
            </w:r>
            <w:r w:rsidR="00A15755">
              <w:rPr>
                <w:rFonts w:ascii="Arial'" w:hAnsi="Arial'"/>
                <w:color w:val="0000FF"/>
              </w:rPr>
              <w:t xml:space="preserve">la coordination aux différents niveaux de la pyramide sanitaire, </w:t>
            </w:r>
            <w:r w:rsidR="00AC6A6C">
              <w:rPr>
                <w:rFonts w:ascii="Arial'" w:hAnsi="Arial'"/>
                <w:color w:val="0000FF"/>
              </w:rPr>
              <w:t>la poursuite de l’amélioration de la gestion des données à travers le DHIS2</w:t>
            </w:r>
            <w:r w:rsidR="00E43BFC">
              <w:rPr>
                <w:rFonts w:ascii="Arial'" w:hAnsi="Arial'"/>
                <w:color w:val="0000FF"/>
              </w:rPr>
              <w:t>, la poursuite de l’introduction de nouveaux vaccins</w:t>
            </w:r>
            <w:r w:rsidR="007848FE">
              <w:rPr>
                <w:rFonts w:ascii="Arial'" w:hAnsi="Arial'"/>
                <w:color w:val="0000FF"/>
              </w:rPr>
              <w:t>.</w:t>
            </w:r>
          </w:p>
          <w:p w14:paraId="4345EC4A" w14:textId="3F32162E" w:rsidR="00736C36" w:rsidRDefault="00736C36" w:rsidP="00863875">
            <w:pPr>
              <w:spacing w:line="300" w:lineRule="exact"/>
              <w:jc w:val="both"/>
              <w:rPr>
                <w:rFonts w:ascii="Arial'" w:hAnsi="Arial'"/>
                <w:color w:val="0000FF"/>
              </w:rPr>
            </w:pPr>
            <w:r>
              <w:rPr>
                <w:rFonts w:ascii="Arial'" w:hAnsi="Arial'"/>
                <w:color w:val="0000FF"/>
              </w:rPr>
              <w:t xml:space="preserve">Pour une mise en œuvre optimale de ce plan, les partenaires techniques et financiers vont soutenir le </w:t>
            </w:r>
            <w:r w:rsidR="00DF0798">
              <w:rPr>
                <w:rFonts w:ascii="Arial'" w:hAnsi="Arial'"/>
                <w:color w:val="0000FF"/>
              </w:rPr>
              <w:t>M</w:t>
            </w:r>
            <w:r>
              <w:rPr>
                <w:rFonts w:ascii="Arial'" w:hAnsi="Arial'"/>
                <w:color w:val="0000FF"/>
              </w:rPr>
              <w:t>inistère de la santé</w:t>
            </w:r>
            <w:r w:rsidR="00E3590C">
              <w:rPr>
                <w:rFonts w:ascii="Arial'" w:hAnsi="Arial'"/>
                <w:color w:val="0000FF"/>
              </w:rPr>
              <w:t>,</w:t>
            </w:r>
            <w:r>
              <w:rPr>
                <w:rFonts w:ascii="Arial'" w:hAnsi="Arial'"/>
                <w:color w:val="0000FF"/>
              </w:rPr>
              <w:t xml:space="preserve"> de l’hygiène publique</w:t>
            </w:r>
            <w:r w:rsidR="00E3590C">
              <w:rPr>
                <w:rFonts w:ascii="Arial'" w:hAnsi="Arial'"/>
                <w:color w:val="0000FF"/>
              </w:rPr>
              <w:t xml:space="preserve"> et de l’accès universel aux soins</w:t>
            </w:r>
            <w:r>
              <w:rPr>
                <w:rFonts w:ascii="Arial'" w:hAnsi="Arial'"/>
                <w:color w:val="0000FF"/>
              </w:rPr>
              <w:t xml:space="preserve"> dans tous les domaines. L'élaboration de ce plan se fera de façon conjointe afin que les actions visées par chaque partenaire soient complémentaires et efficaces et en lien avec la vision de GAVI et sa mission. </w:t>
            </w:r>
          </w:p>
          <w:p w14:paraId="77C20492" w14:textId="68334767" w:rsidR="0071439C" w:rsidRDefault="00736C36" w:rsidP="00863875">
            <w:pPr>
              <w:spacing w:line="300" w:lineRule="exact"/>
              <w:jc w:val="both"/>
              <w:rPr>
                <w:rFonts w:ascii="Arial'" w:hAnsi="Arial'"/>
                <w:color w:val="0000FF"/>
              </w:rPr>
            </w:pPr>
            <w:r>
              <w:rPr>
                <w:rFonts w:ascii="Arial'" w:hAnsi="Arial'"/>
                <w:color w:val="0000FF"/>
              </w:rPr>
              <w:t>La collaboration sera renforcée à travers les instances comme le CCIA où des questions relatives à la santé et au PEV sont discutées et monitorées.</w:t>
            </w:r>
          </w:p>
          <w:p w14:paraId="3C70DC0B" w14:textId="12DDC4A2" w:rsidR="00E506F3" w:rsidRPr="00863875" w:rsidRDefault="00E506F3" w:rsidP="00863875">
            <w:pPr>
              <w:spacing w:line="300" w:lineRule="exact"/>
              <w:jc w:val="both"/>
              <w:rPr>
                <w:rFonts w:ascii="Arial'" w:hAnsi="Arial'"/>
                <w:color w:val="0000FF"/>
              </w:rPr>
            </w:pPr>
            <w:r w:rsidRPr="00863875">
              <w:rPr>
                <w:rFonts w:ascii="Arial'" w:hAnsi="Arial'"/>
                <w:color w:val="0000FF"/>
              </w:rPr>
              <w:lastRenderedPageBreak/>
              <w:t>Le Ministère prévoit l’élaboration de sa Stratégie National</w:t>
            </w:r>
            <w:r w:rsidR="00330DEE">
              <w:rPr>
                <w:rFonts w:ascii="Arial'" w:hAnsi="Arial'"/>
                <w:color w:val="0000FF"/>
              </w:rPr>
              <w:t>e</w:t>
            </w:r>
            <w:r w:rsidRPr="00863875">
              <w:rPr>
                <w:rFonts w:ascii="Arial'" w:hAnsi="Arial'"/>
                <w:color w:val="0000FF"/>
              </w:rPr>
              <w:t xml:space="preserve"> d’Immunisation qui va mettre un accent particulier sur les activités pouvant permettre de couvrir les enfants zéro dose, le renforcement de la coordination au niveau des districts, l’amélioration de la gestion efficace des vaccins, mais aussi l’identification des besoins en vaccination et l’introduction des nouveaux vaccins</w:t>
            </w:r>
          </w:p>
          <w:p w14:paraId="723609FF" w14:textId="1E1C1967" w:rsidR="00E506F3" w:rsidRPr="00863875" w:rsidRDefault="00E506F3" w:rsidP="00863875">
            <w:pPr>
              <w:spacing w:line="300" w:lineRule="exact"/>
              <w:jc w:val="both"/>
              <w:rPr>
                <w:rFonts w:ascii="Arial'" w:hAnsi="Arial'"/>
                <w:color w:val="0000FF"/>
              </w:rPr>
            </w:pPr>
            <w:r w:rsidRPr="00863875">
              <w:rPr>
                <w:rFonts w:ascii="Arial'" w:hAnsi="Arial'"/>
                <w:color w:val="0000FF"/>
              </w:rPr>
              <w:t xml:space="preserve">Les partenaires à travers les fonds TCA, vont accompagner le Ministère de la Santé dans tout ce processus de planification, de mise en œuvre et de suivi-évaluation. </w:t>
            </w:r>
          </w:p>
          <w:p w14:paraId="59ADB716" w14:textId="03AA55BA" w:rsidR="00E506F3" w:rsidRPr="00863875" w:rsidRDefault="00E506F3" w:rsidP="00863875">
            <w:pPr>
              <w:spacing w:line="300" w:lineRule="exact"/>
              <w:jc w:val="both"/>
              <w:rPr>
                <w:rFonts w:ascii="Arial'" w:hAnsi="Arial'"/>
                <w:color w:val="0000FF"/>
              </w:rPr>
            </w:pPr>
            <w:r w:rsidRPr="00863875">
              <w:rPr>
                <w:rFonts w:ascii="Arial'" w:hAnsi="Arial'"/>
                <w:color w:val="0000FF"/>
              </w:rPr>
              <w:t>Le CCIA jouera son rôle de coordination et de validation des différentes stratégies qui seront développées.</w:t>
            </w:r>
          </w:p>
          <w:p w14:paraId="0C49E76B" w14:textId="04DB9A7B" w:rsidR="00736C36" w:rsidRPr="00863875" w:rsidRDefault="00736C36" w:rsidP="007B53D1">
            <w:pPr>
              <w:spacing w:line="300" w:lineRule="exact"/>
            </w:pPr>
          </w:p>
        </w:tc>
      </w:tr>
      <w:tr w:rsidR="002E0882" w14:paraId="733DCE72" w14:textId="77777777" w:rsidTr="008B163D">
        <w:tc>
          <w:tcPr>
            <w:tcW w:w="9498" w:type="dxa"/>
            <w:tcBorders>
              <w:top w:val="single" w:sz="4" w:space="0" w:color="auto"/>
              <w:bottom w:val="single" w:sz="4" w:space="0" w:color="auto"/>
            </w:tcBorders>
            <w:shd w:val="clear" w:color="auto" w:fill="F2F2F2" w:themeFill="background1" w:themeFillShade="F2"/>
          </w:tcPr>
          <w:p w14:paraId="39970F96" w14:textId="2DF6B1C3" w:rsidR="002E0882" w:rsidRPr="00CF3BC4" w:rsidRDefault="002E0882" w:rsidP="007B53D1">
            <w:pPr>
              <w:pStyle w:val="ListParagraph"/>
              <w:spacing w:line="300" w:lineRule="exact"/>
              <w:ind w:left="0"/>
              <w:rPr>
                <w:b/>
                <w:bCs/>
                <w:i/>
                <w:iCs/>
                <w:color w:val="000000" w:themeColor="text1"/>
                <w:sz w:val="20"/>
                <w:szCs w:val="20"/>
              </w:rPr>
            </w:pPr>
            <w:r>
              <w:rPr>
                <w:b/>
                <w:i/>
                <w:sz w:val="20"/>
              </w:rPr>
              <w:lastRenderedPageBreak/>
              <w:t>2.3</w:t>
            </w:r>
            <w:r>
              <w:rPr>
                <w:b/>
                <w:i/>
                <w:sz w:val="20"/>
              </w:rPr>
              <w:tab/>
              <w:t>Comment utiliserez-vous les</w:t>
            </w:r>
            <w:r w:rsidR="005B010D">
              <w:rPr>
                <w:b/>
                <w:i/>
                <w:sz w:val="20"/>
              </w:rPr>
              <w:t xml:space="preserve"> nouvelles</w:t>
            </w:r>
            <w:r>
              <w:rPr>
                <w:b/>
                <w:i/>
                <w:sz w:val="20"/>
              </w:rPr>
              <w:t xml:space="preserve"> introductions de vaccins et les campagnes prévues pendant cette période pour renforcer encore les domaines indiqués à la question 2.2? </w:t>
            </w:r>
          </w:p>
        </w:tc>
      </w:tr>
      <w:tr w:rsidR="002E0882" w:rsidRPr="006A272B" w14:paraId="3B0C1B4D" w14:textId="77777777" w:rsidTr="008B163D">
        <w:tc>
          <w:tcPr>
            <w:tcW w:w="9498" w:type="dxa"/>
            <w:tcBorders>
              <w:top w:val="single" w:sz="4" w:space="0" w:color="auto"/>
              <w:left w:val="single" w:sz="4" w:space="0" w:color="auto"/>
              <w:bottom w:val="single" w:sz="4" w:space="0" w:color="auto"/>
              <w:right w:val="single" w:sz="4" w:space="0" w:color="auto"/>
            </w:tcBorders>
          </w:tcPr>
          <w:p w14:paraId="04F5BD2A" w14:textId="77777777" w:rsidR="00B33760" w:rsidRDefault="00B33760" w:rsidP="00863875">
            <w:pPr>
              <w:spacing w:line="300" w:lineRule="exact"/>
              <w:jc w:val="both"/>
              <w:rPr>
                <w:rFonts w:ascii="Arial'" w:hAnsi="Arial'"/>
                <w:color w:val="0000FF"/>
              </w:rPr>
            </w:pPr>
          </w:p>
          <w:p w14:paraId="159A43BD" w14:textId="7F89AFF5" w:rsidR="002E0882" w:rsidRPr="00863875" w:rsidRDefault="00BB7F32" w:rsidP="00863875">
            <w:pPr>
              <w:spacing w:line="300" w:lineRule="exact"/>
              <w:jc w:val="both"/>
              <w:rPr>
                <w:rFonts w:ascii="Arial'" w:hAnsi="Arial'"/>
                <w:color w:val="0000FF"/>
              </w:rPr>
            </w:pPr>
            <w:r w:rsidRPr="00863875">
              <w:rPr>
                <w:rFonts w:ascii="Arial'" w:hAnsi="Arial'"/>
                <w:color w:val="0000FF"/>
              </w:rPr>
              <w:t xml:space="preserve">Pour </w:t>
            </w:r>
            <w:r w:rsidR="00381E4C" w:rsidRPr="00863875">
              <w:rPr>
                <w:rFonts w:ascii="Arial'" w:hAnsi="Arial'"/>
                <w:color w:val="0000FF"/>
              </w:rPr>
              <w:t>une mise en œuvre optimale du PEV, le pays prévoi</w:t>
            </w:r>
            <w:r w:rsidR="002C4C46">
              <w:rPr>
                <w:rFonts w:ascii="Arial'" w:hAnsi="Arial'"/>
                <w:color w:val="0000FF"/>
              </w:rPr>
              <w:t>t</w:t>
            </w:r>
            <w:r w:rsidR="00381E4C" w:rsidRPr="00863875">
              <w:rPr>
                <w:rFonts w:ascii="Arial'" w:hAnsi="Arial'"/>
                <w:color w:val="0000FF"/>
              </w:rPr>
              <w:t xml:space="preserve"> introduire de nouveaux vaccins tels que le HPV</w:t>
            </w:r>
            <w:r w:rsidR="00E506F3" w:rsidRPr="00863875">
              <w:rPr>
                <w:rFonts w:ascii="Arial'" w:hAnsi="Arial'"/>
                <w:color w:val="0000FF"/>
              </w:rPr>
              <w:t>, l</w:t>
            </w:r>
            <w:r w:rsidR="00E14A54">
              <w:rPr>
                <w:rFonts w:ascii="Arial'" w:hAnsi="Arial'"/>
                <w:color w:val="0000FF"/>
              </w:rPr>
              <w:t xml:space="preserve">a deuxième dose de </w:t>
            </w:r>
            <w:r w:rsidR="00E506F3" w:rsidRPr="00863875">
              <w:rPr>
                <w:rFonts w:ascii="Arial'" w:hAnsi="Arial'"/>
                <w:color w:val="0000FF"/>
              </w:rPr>
              <w:t>VPI</w:t>
            </w:r>
            <w:r w:rsidR="00D62E72" w:rsidRPr="00863875">
              <w:rPr>
                <w:rFonts w:ascii="Arial'" w:hAnsi="Arial'"/>
                <w:color w:val="0000FF"/>
              </w:rPr>
              <w:t xml:space="preserve"> afin d’élargir le spectre de protection. Par ailleurs, des campagnes de rattrapage</w:t>
            </w:r>
            <w:r w:rsidR="00E14A54">
              <w:rPr>
                <w:rFonts w:ascii="Arial'" w:hAnsi="Arial'"/>
                <w:color w:val="0000FF"/>
              </w:rPr>
              <w:t xml:space="preserve"> (Comme la campagne RR)</w:t>
            </w:r>
            <w:r w:rsidR="00D62E72" w:rsidRPr="00863875">
              <w:rPr>
                <w:rFonts w:ascii="Arial'" w:hAnsi="Arial'"/>
                <w:color w:val="0000FF"/>
              </w:rPr>
              <w:t xml:space="preserve"> et de suivi seront organisées périodiquement afin </w:t>
            </w:r>
            <w:r w:rsidR="003E3C66" w:rsidRPr="00863875">
              <w:rPr>
                <w:rFonts w:ascii="Arial'" w:hAnsi="Arial'"/>
                <w:color w:val="0000FF"/>
              </w:rPr>
              <w:t xml:space="preserve">de renforcer l’immunité de la population et prévenir l’apparition d’épidémies </w:t>
            </w:r>
            <w:r w:rsidR="004E55F8" w:rsidRPr="00863875">
              <w:rPr>
                <w:rFonts w:ascii="Arial'" w:hAnsi="Arial'"/>
                <w:color w:val="0000FF"/>
              </w:rPr>
              <w:t xml:space="preserve">pouvant survenir par suite des baisses de couvertures vaccinales et de l’accumulation des enfants </w:t>
            </w:r>
            <w:r w:rsidR="00AC35BE" w:rsidRPr="00863875">
              <w:rPr>
                <w:rFonts w:ascii="Arial'" w:hAnsi="Arial'"/>
                <w:color w:val="0000FF"/>
              </w:rPr>
              <w:t>susceptibles.</w:t>
            </w:r>
            <w:r w:rsidR="00571997" w:rsidRPr="00863875">
              <w:rPr>
                <w:rFonts w:ascii="Arial'" w:hAnsi="Arial'"/>
                <w:color w:val="0000FF"/>
              </w:rPr>
              <w:t xml:space="preserve"> </w:t>
            </w:r>
            <w:r w:rsidR="00AC35BE" w:rsidRPr="00863875">
              <w:rPr>
                <w:rFonts w:ascii="Arial'" w:hAnsi="Arial'"/>
                <w:color w:val="0000FF"/>
              </w:rPr>
              <w:t xml:space="preserve"> </w:t>
            </w:r>
          </w:p>
          <w:p w14:paraId="5AE6E5B6" w14:textId="670768A2" w:rsidR="00AC35BE" w:rsidRPr="00863875" w:rsidRDefault="00223F98" w:rsidP="00863875">
            <w:pPr>
              <w:spacing w:line="300" w:lineRule="exact"/>
              <w:jc w:val="both"/>
              <w:rPr>
                <w:rFonts w:ascii="Arial'" w:hAnsi="Arial'"/>
                <w:color w:val="0000FF"/>
              </w:rPr>
            </w:pPr>
            <w:r w:rsidRPr="00863875">
              <w:rPr>
                <w:rFonts w:ascii="Arial'" w:hAnsi="Arial'"/>
                <w:color w:val="0000FF"/>
              </w:rPr>
              <w:t xml:space="preserve">Le plan TCA </w:t>
            </w:r>
            <w:r w:rsidR="00695845" w:rsidRPr="00863875">
              <w:rPr>
                <w:rFonts w:ascii="Arial'" w:hAnsi="Arial'"/>
                <w:color w:val="0000FF"/>
              </w:rPr>
              <w:t xml:space="preserve">permettra d’accompagner le pays dans ces deux stratégies importantes. </w:t>
            </w:r>
          </w:p>
          <w:p w14:paraId="52C620F3" w14:textId="677AF31B" w:rsidR="00E506F3" w:rsidRPr="00863875" w:rsidRDefault="00E506F3" w:rsidP="00863875">
            <w:pPr>
              <w:spacing w:line="300" w:lineRule="exact"/>
              <w:jc w:val="both"/>
              <w:rPr>
                <w:rFonts w:ascii="Arial'" w:hAnsi="Arial'"/>
                <w:color w:val="0000FF"/>
              </w:rPr>
            </w:pPr>
            <w:r w:rsidRPr="00863875">
              <w:rPr>
                <w:rFonts w:ascii="Arial'" w:hAnsi="Arial'"/>
                <w:color w:val="0000FF"/>
              </w:rPr>
              <w:t>Les introductions des nouveaux vaccins, ainsi que les campagnes de rattrapage et de suivi, seront des opportunité</w:t>
            </w:r>
            <w:r w:rsidR="00270EDD">
              <w:rPr>
                <w:rFonts w:ascii="Arial'" w:hAnsi="Arial'"/>
                <w:color w:val="0000FF"/>
              </w:rPr>
              <w:t>s</w:t>
            </w:r>
            <w:r w:rsidRPr="00863875">
              <w:rPr>
                <w:rFonts w:ascii="Arial'" w:hAnsi="Arial'"/>
                <w:color w:val="0000FF"/>
              </w:rPr>
              <w:t xml:space="preserve"> pour l’intégration d’autres interventions </w:t>
            </w:r>
            <w:r w:rsidR="00CD2B5D">
              <w:rPr>
                <w:rFonts w:ascii="Arial'" w:hAnsi="Arial'"/>
                <w:color w:val="0000FF"/>
              </w:rPr>
              <w:t>à</w:t>
            </w:r>
            <w:r w:rsidR="00CD2B5D" w:rsidRPr="00863875">
              <w:rPr>
                <w:rFonts w:ascii="Arial'" w:hAnsi="Arial'"/>
                <w:color w:val="0000FF"/>
              </w:rPr>
              <w:t xml:space="preserve"> </w:t>
            </w:r>
            <w:r w:rsidRPr="00863875">
              <w:rPr>
                <w:rFonts w:ascii="Arial'" w:hAnsi="Arial'"/>
                <w:color w:val="0000FF"/>
              </w:rPr>
              <w:t>haut impact en faveur des enfants et des communauté</w:t>
            </w:r>
            <w:r w:rsidR="00CD2B5D">
              <w:rPr>
                <w:rFonts w:ascii="Arial'" w:hAnsi="Arial'"/>
                <w:color w:val="0000FF"/>
              </w:rPr>
              <w:t>s</w:t>
            </w:r>
            <w:r w:rsidRPr="00863875">
              <w:rPr>
                <w:rFonts w:ascii="Arial'" w:hAnsi="Arial'"/>
                <w:color w:val="0000FF"/>
              </w:rPr>
              <w:t xml:space="preserve"> d’accès difficile.</w:t>
            </w:r>
          </w:p>
          <w:p w14:paraId="517234CE" w14:textId="7F7F4663" w:rsidR="00E506F3" w:rsidRPr="00863875" w:rsidRDefault="00E506F3" w:rsidP="00863875">
            <w:pPr>
              <w:spacing w:line="300" w:lineRule="exact"/>
              <w:jc w:val="both"/>
              <w:rPr>
                <w:rFonts w:ascii="Arial'" w:hAnsi="Arial'"/>
                <w:color w:val="0000FF"/>
              </w:rPr>
            </w:pPr>
            <w:r w:rsidRPr="00863875">
              <w:rPr>
                <w:rFonts w:ascii="Arial'" w:hAnsi="Arial'"/>
                <w:color w:val="0000FF"/>
              </w:rPr>
              <w:t>Un accent sera mis sur le dialogue communautaire pour une adhésion de la population aux stratégies de vaccination.</w:t>
            </w:r>
          </w:p>
          <w:p w14:paraId="2525ED44" w14:textId="3DD5EBDC" w:rsidR="00E506F3" w:rsidRPr="006615A7" w:rsidRDefault="00E506F3" w:rsidP="007B53D1">
            <w:pPr>
              <w:spacing w:line="300" w:lineRule="exact"/>
            </w:pPr>
          </w:p>
        </w:tc>
      </w:tr>
      <w:tr w:rsidR="00D353AF" w14:paraId="124CC764" w14:textId="77777777" w:rsidTr="008B163D">
        <w:tc>
          <w:tcPr>
            <w:tcW w:w="9498"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rPr>
            </w:pPr>
            <w:r>
              <w:rPr>
                <w:b/>
                <w:i/>
                <w:color w:val="000000" w:themeColor="text1"/>
                <w:sz w:val="20"/>
              </w:rPr>
              <w:t>2.4</w:t>
            </w:r>
            <w:r>
              <w:rPr>
                <w:b/>
                <w:i/>
                <w:color w:val="000000" w:themeColor="text1"/>
                <w:sz w:val="20"/>
              </w:rPr>
              <w:tab/>
              <w:t xml:space="preserve">Décrivez comment l'assistance pays ciblée aidera à rétablir les services de vaccination systématique et toutes les autres activités de redressement liées à la Covid-19. </w:t>
            </w:r>
          </w:p>
          <w:p w14:paraId="5D61F6FA" w14:textId="77777777" w:rsidR="00D353AF" w:rsidRPr="0041751A" w:rsidRDefault="00D353AF" w:rsidP="007B53D1">
            <w:pPr>
              <w:spacing w:line="300" w:lineRule="exact"/>
              <w:rPr>
                <w:b/>
                <w:bCs/>
                <w:i/>
                <w:iCs/>
                <w:color w:val="70AD47" w:themeColor="accent6"/>
                <w:sz w:val="20"/>
                <w:szCs w:val="20"/>
              </w:rPr>
            </w:pPr>
            <w:r>
              <w:rPr>
                <w:i/>
                <w:sz w:val="20"/>
              </w:rPr>
              <w:t>Veuillez indiquer toute réallocation liée à la Covid-19 qui pourrait avoir eu lieu pour les fonds d'assistance pays ciblée précédents (le cas échéant</w:t>
            </w:r>
            <w:proofErr w:type="gramStart"/>
            <w:r>
              <w:rPr>
                <w:i/>
                <w:sz w:val="20"/>
              </w:rPr>
              <w:t>);</w:t>
            </w:r>
            <w:proofErr w:type="gramEnd"/>
            <w:r>
              <w:rPr>
                <w:i/>
                <w:sz w:val="20"/>
              </w:rPr>
              <w:t xml:space="preserve"> cette réallocation reste-t-elle pertinente pour cette proposition? </w:t>
            </w:r>
          </w:p>
        </w:tc>
      </w:tr>
      <w:tr w:rsidR="00D353AF" w14:paraId="14D7F47D" w14:textId="77777777" w:rsidTr="008B163D">
        <w:tc>
          <w:tcPr>
            <w:tcW w:w="9498" w:type="dxa"/>
            <w:tcBorders>
              <w:top w:val="single" w:sz="4" w:space="0" w:color="auto"/>
              <w:left w:val="single" w:sz="4" w:space="0" w:color="auto"/>
              <w:bottom w:val="single" w:sz="4" w:space="0" w:color="auto"/>
              <w:right w:val="single" w:sz="4" w:space="0" w:color="auto"/>
            </w:tcBorders>
          </w:tcPr>
          <w:p w14:paraId="191DB360" w14:textId="77777777" w:rsidR="00B33760" w:rsidRDefault="00B33760" w:rsidP="00863875">
            <w:pPr>
              <w:spacing w:line="300" w:lineRule="exact"/>
              <w:jc w:val="both"/>
              <w:rPr>
                <w:rFonts w:ascii="Arial'" w:hAnsi="Arial'"/>
                <w:color w:val="0000FF"/>
              </w:rPr>
            </w:pPr>
          </w:p>
          <w:p w14:paraId="5F44D954" w14:textId="6266B43F" w:rsidR="00727B25" w:rsidRPr="00863875" w:rsidRDefault="00727B25" w:rsidP="00863875">
            <w:pPr>
              <w:spacing w:line="300" w:lineRule="exact"/>
              <w:jc w:val="both"/>
              <w:rPr>
                <w:rFonts w:ascii="Arial'" w:hAnsi="Arial'"/>
                <w:color w:val="0000FF"/>
              </w:rPr>
            </w:pPr>
            <w:r w:rsidRPr="00863875">
              <w:rPr>
                <w:rFonts w:ascii="Arial'" w:hAnsi="Arial'"/>
                <w:color w:val="0000FF"/>
              </w:rPr>
              <w:t xml:space="preserve">La </w:t>
            </w:r>
            <w:r w:rsidR="00330DEE">
              <w:rPr>
                <w:rFonts w:ascii="Arial'" w:hAnsi="Arial'"/>
                <w:color w:val="0000FF"/>
              </w:rPr>
              <w:t>c</w:t>
            </w:r>
            <w:r w:rsidRPr="00863875">
              <w:rPr>
                <w:rFonts w:ascii="Arial'" w:hAnsi="Arial'"/>
                <w:color w:val="0000FF"/>
              </w:rPr>
              <w:t>rise sanitaire liée à la Covid</w:t>
            </w:r>
            <w:r w:rsidR="00330DEE">
              <w:rPr>
                <w:rFonts w:ascii="Arial'" w:hAnsi="Arial'"/>
                <w:color w:val="0000FF"/>
              </w:rPr>
              <w:t>-19</w:t>
            </w:r>
            <w:r w:rsidRPr="00863875">
              <w:rPr>
                <w:rFonts w:ascii="Arial'" w:hAnsi="Arial'"/>
                <w:color w:val="0000FF"/>
              </w:rPr>
              <w:t xml:space="preserve"> a montré la fragilité des systèmes de santé avec une paralysie des prestations de service de santé</w:t>
            </w:r>
            <w:r w:rsidR="00330DEE">
              <w:rPr>
                <w:rFonts w:ascii="Arial'" w:hAnsi="Arial'"/>
                <w:color w:val="0000FF"/>
              </w:rPr>
              <w:t xml:space="preserve"> </w:t>
            </w:r>
            <w:r w:rsidRPr="00863875">
              <w:rPr>
                <w:rFonts w:ascii="Arial'" w:hAnsi="Arial'"/>
                <w:color w:val="0000FF"/>
              </w:rPr>
              <w:t>: </w:t>
            </w:r>
          </w:p>
          <w:p w14:paraId="6F525324" w14:textId="1B0B3A83" w:rsidR="00727B25" w:rsidRPr="00863875" w:rsidRDefault="00727B25" w:rsidP="00727B25">
            <w:pPr>
              <w:numPr>
                <w:ilvl w:val="1"/>
                <w:numId w:val="8"/>
              </w:numPr>
              <w:tabs>
                <w:tab w:val="num" w:pos="1440"/>
              </w:tabs>
              <w:spacing w:line="300" w:lineRule="exact"/>
              <w:rPr>
                <w:rFonts w:ascii="Arial'" w:hAnsi="Arial'"/>
                <w:color w:val="0000FF"/>
              </w:rPr>
            </w:pPr>
            <w:r w:rsidRPr="00863875">
              <w:rPr>
                <w:rFonts w:ascii="Arial'" w:hAnsi="Arial'"/>
                <w:color w:val="0000FF"/>
              </w:rPr>
              <w:t xml:space="preserve">Arrêt de certains services de santé essentiels/réduction de </w:t>
            </w:r>
            <w:proofErr w:type="gramStart"/>
            <w:r w:rsidRPr="00863875">
              <w:rPr>
                <w:rFonts w:ascii="Arial'" w:hAnsi="Arial'"/>
                <w:color w:val="0000FF"/>
              </w:rPr>
              <w:t>l’offre:</w:t>
            </w:r>
            <w:proofErr w:type="gramEnd"/>
            <w:r w:rsidRPr="00863875">
              <w:rPr>
                <w:rFonts w:ascii="Arial'" w:hAnsi="Arial'"/>
                <w:color w:val="0000FF"/>
              </w:rPr>
              <w:t xml:space="preserve"> risque </w:t>
            </w:r>
            <w:r w:rsidR="00E14A54">
              <w:rPr>
                <w:rFonts w:ascii="Arial'" w:hAnsi="Arial'"/>
                <w:color w:val="0000FF"/>
              </w:rPr>
              <w:t xml:space="preserve">de </w:t>
            </w:r>
            <w:r w:rsidRPr="00863875">
              <w:rPr>
                <w:rFonts w:ascii="Arial'" w:hAnsi="Arial'"/>
                <w:color w:val="0000FF"/>
              </w:rPr>
              <w:t>recrudescence</w:t>
            </w:r>
            <w:r w:rsidR="00E14A54">
              <w:rPr>
                <w:rFonts w:ascii="Arial'" w:hAnsi="Arial'"/>
                <w:color w:val="0000FF"/>
              </w:rPr>
              <w:t xml:space="preserve"> des</w:t>
            </w:r>
            <w:r w:rsidRPr="00863875">
              <w:rPr>
                <w:rFonts w:ascii="Arial'" w:hAnsi="Arial'"/>
                <w:color w:val="0000FF"/>
              </w:rPr>
              <w:t xml:space="preserve"> épidémies (polio, fièvre jaune, choléra, méningite</w:t>
            </w:r>
            <w:r w:rsidR="00881568">
              <w:rPr>
                <w:rFonts w:ascii="Arial'" w:hAnsi="Arial'"/>
                <w:color w:val="0000FF"/>
              </w:rPr>
              <w:t>, rougeole</w:t>
            </w:r>
            <w:r w:rsidRPr="00863875">
              <w:rPr>
                <w:rFonts w:ascii="Arial'" w:hAnsi="Arial'"/>
                <w:color w:val="0000FF"/>
              </w:rPr>
              <w:t>…)</w:t>
            </w:r>
          </w:p>
          <w:p w14:paraId="444C6DEF" w14:textId="70378816" w:rsidR="00727B25" w:rsidRPr="00863875" w:rsidRDefault="00727B25" w:rsidP="00727B25">
            <w:pPr>
              <w:numPr>
                <w:ilvl w:val="1"/>
                <w:numId w:val="8"/>
              </w:numPr>
              <w:tabs>
                <w:tab w:val="num" w:pos="1440"/>
              </w:tabs>
              <w:spacing w:line="300" w:lineRule="exact"/>
              <w:rPr>
                <w:rFonts w:ascii="Arial'" w:hAnsi="Arial'"/>
                <w:color w:val="0000FF"/>
              </w:rPr>
            </w:pPr>
            <w:r w:rsidRPr="00863875">
              <w:rPr>
                <w:rFonts w:ascii="Arial'" w:hAnsi="Arial'"/>
                <w:color w:val="0000FF"/>
              </w:rPr>
              <w:t>L’augmentation du gap en ressources humaines</w:t>
            </w:r>
            <w:r w:rsidR="00330DEE">
              <w:rPr>
                <w:rFonts w:ascii="Arial'" w:hAnsi="Arial'"/>
                <w:color w:val="0000FF"/>
              </w:rPr>
              <w:t xml:space="preserve"> </w:t>
            </w:r>
            <w:r w:rsidRPr="00863875">
              <w:rPr>
                <w:rFonts w:ascii="Arial'" w:hAnsi="Arial'"/>
                <w:color w:val="0000FF"/>
              </w:rPr>
              <w:t xml:space="preserve">: lutte contre COVID19, contaminations dans le </w:t>
            </w:r>
            <w:proofErr w:type="gramStart"/>
            <w:r w:rsidRPr="00863875">
              <w:rPr>
                <w:rFonts w:ascii="Arial'" w:hAnsi="Arial'"/>
                <w:color w:val="0000FF"/>
              </w:rPr>
              <w:t>secteur;</w:t>
            </w:r>
            <w:proofErr w:type="gramEnd"/>
          </w:p>
          <w:p w14:paraId="43224C5B" w14:textId="55AD30D7" w:rsidR="00727B25" w:rsidRPr="00863875" w:rsidRDefault="00727B25" w:rsidP="00727B25">
            <w:pPr>
              <w:numPr>
                <w:ilvl w:val="1"/>
                <w:numId w:val="8"/>
              </w:numPr>
              <w:tabs>
                <w:tab w:val="num" w:pos="1440"/>
              </w:tabs>
              <w:spacing w:line="300" w:lineRule="exact"/>
              <w:rPr>
                <w:rFonts w:ascii="Arial'" w:hAnsi="Arial'"/>
                <w:color w:val="0000FF"/>
              </w:rPr>
            </w:pPr>
            <w:proofErr w:type="gramStart"/>
            <w:r w:rsidRPr="00863875">
              <w:rPr>
                <w:rFonts w:ascii="Arial'" w:hAnsi="Arial'"/>
                <w:color w:val="0000FF"/>
              </w:rPr>
              <w:t>les</w:t>
            </w:r>
            <w:proofErr w:type="gramEnd"/>
            <w:r w:rsidRPr="00863875">
              <w:rPr>
                <w:rFonts w:ascii="Arial'" w:hAnsi="Arial'"/>
                <w:color w:val="0000FF"/>
              </w:rPr>
              <w:t xml:space="preserve"> rumeurs sur la maladie</w:t>
            </w:r>
            <w:r w:rsidR="00330DEE">
              <w:rPr>
                <w:rFonts w:ascii="Arial'" w:hAnsi="Arial'"/>
                <w:color w:val="0000FF"/>
              </w:rPr>
              <w:t xml:space="preserve"> </w:t>
            </w:r>
            <w:r w:rsidRPr="00863875">
              <w:rPr>
                <w:rFonts w:ascii="Arial'" w:hAnsi="Arial'"/>
                <w:color w:val="0000FF"/>
              </w:rPr>
              <w:t>: peur, la méfiance de la population avec comme conséquence la réduction de la fréquentation;</w:t>
            </w:r>
          </w:p>
          <w:p w14:paraId="15D8136E" w14:textId="77777777" w:rsidR="00727B25" w:rsidRPr="00863875" w:rsidRDefault="00727B25" w:rsidP="00727B25">
            <w:pPr>
              <w:numPr>
                <w:ilvl w:val="1"/>
                <w:numId w:val="8"/>
              </w:numPr>
              <w:tabs>
                <w:tab w:val="num" w:pos="1440"/>
              </w:tabs>
              <w:spacing w:line="300" w:lineRule="exact"/>
              <w:rPr>
                <w:rFonts w:ascii="Arial'" w:hAnsi="Arial'"/>
                <w:color w:val="0000FF"/>
              </w:rPr>
            </w:pPr>
            <w:proofErr w:type="gramStart"/>
            <w:r w:rsidRPr="00863875">
              <w:rPr>
                <w:rFonts w:ascii="Arial'" w:hAnsi="Arial'"/>
                <w:color w:val="0000FF"/>
              </w:rPr>
              <w:t>la</w:t>
            </w:r>
            <w:proofErr w:type="gramEnd"/>
            <w:r w:rsidRPr="00863875">
              <w:rPr>
                <w:rFonts w:ascii="Arial'" w:hAnsi="Arial'"/>
                <w:color w:val="0000FF"/>
              </w:rPr>
              <w:t xml:space="preserve"> pénurie d’intrants: fermeture des frontières, déplacement, baisse production par les industries pharmaceutiques</w:t>
            </w:r>
          </w:p>
          <w:p w14:paraId="564A8BFF" w14:textId="2C3592E6" w:rsidR="00727B25" w:rsidRPr="00863875" w:rsidRDefault="00727B25" w:rsidP="00863875">
            <w:pPr>
              <w:spacing w:line="300" w:lineRule="exact"/>
              <w:jc w:val="both"/>
              <w:rPr>
                <w:rFonts w:ascii="Arial'" w:hAnsi="Arial'"/>
                <w:color w:val="0000FF"/>
              </w:rPr>
            </w:pPr>
            <w:r w:rsidRPr="00863875">
              <w:rPr>
                <w:rFonts w:ascii="Arial'" w:hAnsi="Arial'"/>
                <w:color w:val="0000FF"/>
              </w:rPr>
              <w:t>A travers les TCA, les P</w:t>
            </w:r>
            <w:r w:rsidR="009847F5">
              <w:rPr>
                <w:rFonts w:ascii="Arial'" w:hAnsi="Arial'"/>
                <w:color w:val="0000FF"/>
              </w:rPr>
              <w:t>ar</w:t>
            </w:r>
            <w:r w:rsidRPr="00863875">
              <w:rPr>
                <w:rFonts w:ascii="Arial'" w:hAnsi="Arial'"/>
                <w:color w:val="0000FF"/>
              </w:rPr>
              <w:t xml:space="preserve">tenaires entendent renforcer la relance de la demande et de l’offre des services de vaccination qui constitueront </w:t>
            </w:r>
            <w:r w:rsidR="00997D93">
              <w:rPr>
                <w:rFonts w:ascii="Arial'" w:hAnsi="Arial'"/>
                <w:color w:val="0000FF"/>
              </w:rPr>
              <w:t>la</w:t>
            </w:r>
            <w:r w:rsidR="00997D93" w:rsidRPr="00863875">
              <w:rPr>
                <w:rFonts w:ascii="Arial'" w:hAnsi="Arial'"/>
                <w:color w:val="0000FF"/>
              </w:rPr>
              <w:t xml:space="preserve"> </w:t>
            </w:r>
            <w:r w:rsidRPr="00863875">
              <w:rPr>
                <w:rFonts w:ascii="Arial'" w:hAnsi="Arial'"/>
                <w:color w:val="0000FF"/>
              </w:rPr>
              <w:t xml:space="preserve">porte d’entrée des autres interventions de santé. A </w:t>
            </w:r>
            <w:r w:rsidRPr="00863875">
              <w:rPr>
                <w:rFonts w:ascii="Arial'" w:hAnsi="Arial'"/>
                <w:color w:val="0000FF"/>
              </w:rPr>
              <w:lastRenderedPageBreak/>
              <w:t xml:space="preserve">cet effet, il faudra accompagner tous les districts et régions dans la planification, la mise en œuvre et le monitorage des </w:t>
            </w:r>
            <w:r w:rsidR="00823E68" w:rsidRPr="00863875">
              <w:rPr>
                <w:rFonts w:ascii="Arial'" w:hAnsi="Arial'"/>
                <w:color w:val="0000FF"/>
              </w:rPr>
              <w:t>couvertures.</w:t>
            </w:r>
          </w:p>
          <w:p w14:paraId="756DC188" w14:textId="662D7B73" w:rsidR="00823E68" w:rsidRPr="00863875" w:rsidRDefault="00823E68" w:rsidP="00863875">
            <w:pPr>
              <w:spacing w:line="300" w:lineRule="exact"/>
              <w:jc w:val="both"/>
              <w:rPr>
                <w:rFonts w:ascii="Arial'" w:hAnsi="Arial'"/>
                <w:color w:val="0000FF"/>
              </w:rPr>
            </w:pPr>
            <w:r w:rsidRPr="00863875">
              <w:rPr>
                <w:rFonts w:ascii="Arial'" w:hAnsi="Arial'"/>
                <w:color w:val="0000FF"/>
              </w:rPr>
              <w:t>Un accompagnement sera fait dans l’organisation des services dans le contexte de crise sanitaire avec nécessité d’assurer l’observance de la prévention et contrôle des infections (PCI).</w:t>
            </w:r>
          </w:p>
          <w:p w14:paraId="2689F064" w14:textId="0428E369" w:rsidR="00727B25" w:rsidRPr="00863875" w:rsidRDefault="00727B25" w:rsidP="007B53D1">
            <w:pPr>
              <w:spacing w:line="300" w:lineRule="exact"/>
              <w:rPr>
                <w:rFonts w:ascii="Arial'" w:hAnsi="Arial'"/>
                <w:color w:val="0000FF"/>
              </w:rPr>
            </w:pPr>
          </w:p>
        </w:tc>
      </w:tr>
      <w:tr w:rsidR="00D353AF" w14:paraId="7CB90E66" w14:textId="77777777" w:rsidTr="008B163D">
        <w:tc>
          <w:tcPr>
            <w:tcW w:w="9498" w:type="dxa"/>
            <w:tcBorders>
              <w:top w:val="single" w:sz="4" w:space="0" w:color="auto"/>
              <w:bottom w:val="single" w:sz="4" w:space="0" w:color="auto"/>
            </w:tcBorders>
            <w:shd w:val="clear" w:color="auto" w:fill="F2F2F2" w:themeFill="background1" w:themeFillShade="F2"/>
          </w:tcPr>
          <w:p w14:paraId="341DF7D2" w14:textId="21B8147D" w:rsidR="00D353AF" w:rsidRPr="00777960" w:rsidRDefault="00D353AF" w:rsidP="007B53D1">
            <w:pPr>
              <w:spacing w:line="300" w:lineRule="exact"/>
              <w:rPr>
                <w:bCs/>
                <w:i/>
                <w:iCs/>
                <w:sz w:val="20"/>
                <w:szCs w:val="20"/>
              </w:rPr>
            </w:pPr>
            <w:r>
              <w:rPr>
                <w:b/>
                <w:i/>
                <w:color w:val="000000" w:themeColor="text1"/>
                <w:sz w:val="20"/>
              </w:rPr>
              <w:lastRenderedPageBreak/>
              <w:t>2.5</w:t>
            </w:r>
            <w:r>
              <w:rPr>
                <w:b/>
                <w:i/>
                <w:color w:val="000000" w:themeColor="text1"/>
                <w:sz w:val="20"/>
              </w:rPr>
              <w:tab/>
            </w:r>
            <w:r w:rsidR="004C140F" w:rsidRPr="004C140F">
              <w:rPr>
                <w:b/>
                <w:i/>
                <w:color w:val="000000" w:themeColor="text1"/>
                <w:sz w:val="20"/>
              </w:rPr>
              <w:t>Décrivez</w:t>
            </w:r>
            <w:r>
              <w:rPr>
                <w:b/>
                <w:i/>
                <w:color w:val="000000" w:themeColor="text1"/>
                <w:sz w:val="20"/>
              </w:rPr>
              <w:t xml:space="preserve"> comment l'assistance pays ciblée identifiera ou surmontera les obstacles </w:t>
            </w:r>
            <w:r w:rsidR="003D06ED" w:rsidRP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D353AF" w14:paraId="251D4101" w14:textId="77777777" w:rsidTr="008B163D">
        <w:trPr>
          <w:trHeight w:val="103"/>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6F578366" w14:textId="77777777" w:rsidR="00B33760" w:rsidRDefault="00B33760" w:rsidP="00863875">
            <w:pPr>
              <w:spacing w:line="300" w:lineRule="exact"/>
              <w:jc w:val="both"/>
              <w:rPr>
                <w:rFonts w:ascii="Arial'" w:hAnsi="Arial'"/>
                <w:color w:val="0000FF"/>
              </w:rPr>
            </w:pPr>
          </w:p>
          <w:p w14:paraId="09CFBD6F" w14:textId="5210F36D" w:rsidR="00D353AF" w:rsidRPr="00863875" w:rsidRDefault="00FC1933" w:rsidP="00863875">
            <w:pPr>
              <w:spacing w:line="300" w:lineRule="exact"/>
              <w:jc w:val="both"/>
              <w:rPr>
                <w:rFonts w:ascii="Arial'" w:hAnsi="Arial'"/>
                <w:color w:val="0000FF"/>
              </w:rPr>
            </w:pPr>
            <w:r w:rsidRPr="00863875">
              <w:rPr>
                <w:rFonts w:ascii="Arial'" w:hAnsi="Arial'"/>
                <w:color w:val="0000FF"/>
              </w:rPr>
              <w:t>Tirant leçon des innovations en matière de communication pendant la Covid-19, l’assistance pays</w:t>
            </w:r>
            <w:r w:rsidR="008A13C2" w:rsidRPr="00863875">
              <w:rPr>
                <w:rFonts w:ascii="Arial'" w:hAnsi="Arial'"/>
                <w:color w:val="0000FF"/>
              </w:rPr>
              <w:t xml:space="preserve"> ciblée</w:t>
            </w:r>
            <w:r w:rsidRPr="00863875">
              <w:rPr>
                <w:rFonts w:ascii="Arial'" w:hAnsi="Arial'"/>
                <w:color w:val="0000FF"/>
              </w:rPr>
              <w:t xml:space="preserve"> va renforcer la mobilisation communautaire à travers l’élaboration et la mise en œuvre d’un nouveau plan intégré de communication avec l’accent sur le dialogue </w:t>
            </w:r>
            <w:proofErr w:type="spellStart"/>
            <w:r w:rsidRPr="00863875">
              <w:rPr>
                <w:rFonts w:ascii="Arial'" w:hAnsi="Arial'"/>
                <w:color w:val="0000FF"/>
              </w:rPr>
              <w:t>communataire</w:t>
            </w:r>
            <w:proofErr w:type="spellEnd"/>
            <w:r w:rsidRPr="00863875">
              <w:rPr>
                <w:rFonts w:ascii="Arial'" w:hAnsi="Arial'"/>
                <w:color w:val="0000FF"/>
              </w:rPr>
              <w:t xml:space="preserve"> et la communication de risque indispensables </w:t>
            </w:r>
            <w:r w:rsidR="00D26156" w:rsidRPr="00863875">
              <w:rPr>
                <w:rFonts w:ascii="Arial'" w:hAnsi="Arial'"/>
                <w:color w:val="0000FF"/>
              </w:rPr>
              <w:t>pour</w:t>
            </w:r>
            <w:r w:rsidRPr="00863875">
              <w:rPr>
                <w:rFonts w:ascii="Arial'" w:hAnsi="Arial'"/>
                <w:color w:val="0000FF"/>
              </w:rPr>
              <w:t xml:space="preserve"> l’adhésion des communautés    </w:t>
            </w:r>
          </w:p>
          <w:p w14:paraId="2E5105BB" w14:textId="5A0CC0C9" w:rsidR="00727B25" w:rsidRPr="00863875" w:rsidRDefault="00727B25" w:rsidP="00863875">
            <w:pPr>
              <w:spacing w:line="300" w:lineRule="exact"/>
              <w:jc w:val="both"/>
              <w:rPr>
                <w:rFonts w:ascii="Arial'" w:hAnsi="Arial'"/>
                <w:color w:val="0000FF"/>
              </w:rPr>
            </w:pPr>
            <w:r w:rsidRPr="00863875">
              <w:rPr>
                <w:rFonts w:ascii="Arial'" w:hAnsi="Arial'"/>
                <w:color w:val="0000FF"/>
              </w:rPr>
              <w:t>Les regroupement</w:t>
            </w:r>
            <w:r w:rsidR="008B163D">
              <w:rPr>
                <w:rFonts w:ascii="Arial'" w:hAnsi="Arial'"/>
                <w:color w:val="0000FF"/>
              </w:rPr>
              <w:t>s</w:t>
            </w:r>
            <w:r w:rsidRPr="00863875">
              <w:rPr>
                <w:rFonts w:ascii="Arial'" w:hAnsi="Arial'"/>
                <w:color w:val="0000FF"/>
              </w:rPr>
              <w:t xml:space="preserve"> de femmes, seront mis à contribution pour renforcer la mobilisation et convaincre davantage leurs pairs ainsi que les leaders communautaires sur l’importance de la vaccination</w:t>
            </w:r>
          </w:p>
          <w:p w14:paraId="626A5A76" w14:textId="2C254EE9" w:rsidR="00727B25" w:rsidRPr="00CF3BC4" w:rsidRDefault="00727B25" w:rsidP="007B53D1">
            <w:pPr>
              <w:spacing w:line="300" w:lineRule="exact"/>
              <w:rPr>
                <w:b/>
                <w:bCs/>
                <w:i/>
                <w:iCs/>
                <w:sz w:val="20"/>
                <w:szCs w:val="20"/>
              </w:rPr>
            </w:pPr>
          </w:p>
        </w:tc>
      </w:tr>
      <w:tr w:rsidR="00D353AF" w14:paraId="2605CFC3" w14:textId="77777777" w:rsidTr="008B163D">
        <w:tc>
          <w:tcPr>
            <w:tcW w:w="9498"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rPr>
            </w:pPr>
            <w:r>
              <w:rPr>
                <w:b/>
                <w:i/>
                <w:sz w:val="20"/>
              </w:rPr>
              <w:t>2.6</w:t>
            </w:r>
            <w:r>
              <w:rPr>
                <w:b/>
                <w:i/>
                <w:sz w:val="20"/>
              </w:rPr>
              <w:tab/>
              <w:t>Veuillez décrire comment vous avez hiérarchisé les interventions à soutenir par Gavi dans le cadre de l'assistance pays ciblée requise.</w:t>
            </w:r>
          </w:p>
        </w:tc>
      </w:tr>
      <w:tr w:rsidR="00D353AF" w14:paraId="4C4783D9" w14:textId="77777777" w:rsidTr="008B163D">
        <w:tc>
          <w:tcPr>
            <w:tcW w:w="9498" w:type="dxa"/>
            <w:tcBorders>
              <w:top w:val="single" w:sz="4" w:space="0" w:color="auto"/>
              <w:left w:val="single" w:sz="4" w:space="0" w:color="auto"/>
              <w:bottom w:val="single" w:sz="4" w:space="0" w:color="auto"/>
              <w:right w:val="single" w:sz="4" w:space="0" w:color="auto"/>
            </w:tcBorders>
          </w:tcPr>
          <w:p w14:paraId="6716C9F8" w14:textId="77777777" w:rsidR="00B33760" w:rsidRDefault="00B33760" w:rsidP="00863875">
            <w:pPr>
              <w:spacing w:line="300" w:lineRule="exact"/>
              <w:jc w:val="both"/>
              <w:rPr>
                <w:rFonts w:ascii="Arial'" w:hAnsi="Arial'"/>
                <w:color w:val="0000FF"/>
              </w:rPr>
            </w:pPr>
          </w:p>
          <w:p w14:paraId="000ACF26" w14:textId="0B58C1FD" w:rsidR="00D353AF" w:rsidRPr="00863875" w:rsidRDefault="00D26156" w:rsidP="00863875">
            <w:pPr>
              <w:spacing w:line="300" w:lineRule="exact"/>
              <w:jc w:val="both"/>
              <w:rPr>
                <w:rFonts w:ascii="Arial'" w:hAnsi="Arial'"/>
                <w:color w:val="0000FF"/>
              </w:rPr>
            </w:pPr>
            <w:r w:rsidRPr="00863875">
              <w:rPr>
                <w:rFonts w:ascii="Arial'" w:hAnsi="Arial'"/>
                <w:color w:val="0000FF"/>
              </w:rPr>
              <w:t xml:space="preserve">L’assistance pays ciblée s’est basée sur les objectifs du pays tout en respectant les domaines d’investissement de Gavi 5.0 </w:t>
            </w:r>
            <w:r w:rsidR="008A13C2" w:rsidRPr="00863875">
              <w:rPr>
                <w:rFonts w:ascii="Arial'" w:hAnsi="Arial'"/>
                <w:color w:val="0000FF"/>
              </w:rPr>
              <w:t xml:space="preserve">notamment : l'identification et l'atteinte des enfants zéro dose et des communautés oubliées; l'amélioration de la gestion des vaccins au niveau infranational ; l'amélioration d'un leadership, d'une gestion et d'une coordination forts, comprenant  l'utilisation de données de qualité pour la prise de décisions; l’introduction des nouveaux vaccins et la viabilité des programmes </w:t>
            </w:r>
            <w:r w:rsidR="002F48E6" w:rsidRPr="00863875">
              <w:rPr>
                <w:rFonts w:ascii="Arial'" w:hAnsi="Arial'"/>
                <w:color w:val="0000FF"/>
              </w:rPr>
              <w:t xml:space="preserve">pour définir les priorités. </w:t>
            </w:r>
          </w:p>
          <w:p w14:paraId="417CFC44" w14:textId="74D448DE" w:rsidR="00823E68" w:rsidRPr="00863875" w:rsidRDefault="00823E68" w:rsidP="00863875">
            <w:pPr>
              <w:spacing w:line="300" w:lineRule="exact"/>
              <w:jc w:val="both"/>
              <w:rPr>
                <w:rFonts w:ascii="Arial'" w:hAnsi="Arial'"/>
                <w:color w:val="0000FF"/>
              </w:rPr>
            </w:pPr>
            <w:r w:rsidRPr="00863875">
              <w:rPr>
                <w:rFonts w:ascii="Arial'" w:hAnsi="Arial'"/>
                <w:color w:val="0000FF"/>
              </w:rPr>
              <w:t xml:space="preserve">Le pays a tenu également compte des avantages </w:t>
            </w:r>
            <w:proofErr w:type="spellStart"/>
            <w:r w:rsidRPr="00863875">
              <w:rPr>
                <w:rFonts w:ascii="Arial'" w:hAnsi="Arial'"/>
                <w:color w:val="0000FF"/>
              </w:rPr>
              <w:t>compartifs</w:t>
            </w:r>
            <w:proofErr w:type="spellEnd"/>
            <w:r w:rsidRPr="00863875">
              <w:rPr>
                <w:rFonts w:ascii="Arial'" w:hAnsi="Arial'"/>
                <w:color w:val="0000FF"/>
              </w:rPr>
              <w:t xml:space="preserve"> des </w:t>
            </w:r>
            <w:proofErr w:type="spellStart"/>
            <w:r w:rsidRPr="00863875">
              <w:rPr>
                <w:rFonts w:ascii="Arial'" w:hAnsi="Arial'"/>
                <w:color w:val="0000FF"/>
              </w:rPr>
              <w:t>diférents</w:t>
            </w:r>
            <w:proofErr w:type="spellEnd"/>
            <w:r w:rsidRPr="00863875">
              <w:rPr>
                <w:rFonts w:ascii="Arial'" w:hAnsi="Arial'"/>
                <w:color w:val="0000FF"/>
              </w:rPr>
              <w:t xml:space="preserve"> partenaires qui accompagne</w:t>
            </w:r>
            <w:r w:rsidR="00D81AC1">
              <w:rPr>
                <w:rFonts w:ascii="Arial'" w:hAnsi="Arial'"/>
                <w:color w:val="0000FF"/>
              </w:rPr>
              <w:t>nt</w:t>
            </w:r>
            <w:r w:rsidRPr="00863875">
              <w:rPr>
                <w:rFonts w:ascii="Arial'" w:hAnsi="Arial'"/>
                <w:color w:val="0000FF"/>
              </w:rPr>
              <w:t xml:space="preserve"> le Ministère de la santé dans le renforcement du système de santé et l’amélioration du PEV. A cet effet une concertation a été faite autour de cette planification TCA avec </w:t>
            </w:r>
            <w:r w:rsidR="003F1C29">
              <w:rPr>
                <w:rFonts w:ascii="Arial'" w:hAnsi="Arial'"/>
                <w:color w:val="0000FF"/>
              </w:rPr>
              <w:t>l</w:t>
            </w:r>
            <w:r w:rsidRPr="00863875">
              <w:rPr>
                <w:rFonts w:ascii="Arial'" w:hAnsi="Arial'"/>
                <w:color w:val="0000FF"/>
              </w:rPr>
              <w:t>es différents partenaires.</w:t>
            </w:r>
          </w:p>
          <w:p w14:paraId="48003D96" w14:textId="138A737B" w:rsidR="00823E68" w:rsidRPr="006615A7" w:rsidRDefault="00823E68" w:rsidP="007B53D1">
            <w:pPr>
              <w:spacing w:line="300" w:lineRule="exact"/>
              <w:rPr>
                <w:color w:val="92D050"/>
              </w:rPr>
            </w:pPr>
          </w:p>
        </w:tc>
      </w:tr>
    </w:tbl>
    <w:p w14:paraId="0F72B4B9" w14:textId="77777777" w:rsidR="00BB11E7" w:rsidRDefault="00BB11E7"/>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rPr>
      </w:pPr>
      <w:r>
        <w:rPr>
          <w:b/>
          <w:color w:val="70AD47" w:themeColor="accent6"/>
          <w:sz w:val="26"/>
        </w:rPr>
        <w:t>Diversification des partenaires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0985F9C">
        <w:trPr>
          <w:gridAfter w:val="1"/>
          <w:wAfter w:w="22" w:type="dxa"/>
          <w:trHeight w:val="630"/>
        </w:trPr>
        <w:tc>
          <w:tcPr>
            <w:tcW w:w="9170" w:type="dxa"/>
            <w:shd w:val="clear" w:color="auto" w:fill="F2F2F2" w:themeFill="background1" w:themeFillShade="F2"/>
          </w:tcPr>
          <w:p w14:paraId="642D6855" w14:textId="07288947" w:rsidR="00E80A44" w:rsidRDefault="006D3657" w:rsidP="00E80A44">
            <w:pPr>
              <w:spacing w:line="300" w:lineRule="exact"/>
              <w:rPr>
                <w:color w:val="92D050"/>
              </w:rPr>
            </w:pPr>
            <w:r>
              <w:rPr>
                <w:b/>
                <w:i/>
                <w:color w:val="000000" w:themeColor="text1"/>
                <w:sz w:val="20"/>
              </w:rPr>
              <w:t>3.1</w:t>
            </w:r>
            <w:r>
              <w:rPr>
                <w:b/>
                <w:i/>
                <w:color w:val="000000" w:themeColor="text1"/>
                <w:sz w:val="20"/>
              </w:rPr>
              <w:tab/>
              <w:t xml:space="preserve">Décrivez quels partenaires vous avez déjà </w:t>
            </w:r>
            <w:proofErr w:type="spellStart"/>
            <w:r w:rsidR="006615A7">
              <w:rPr>
                <w:b/>
                <w:i/>
                <w:color w:val="000000" w:themeColor="text1"/>
                <w:sz w:val="20"/>
              </w:rPr>
              <w:t>resensés</w:t>
            </w:r>
            <w:proofErr w:type="spellEnd"/>
            <w:r>
              <w:rPr>
                <w:b/>
                <w:i/>
                <w:color w:val="000000" w:themeColor="text1"/>
                <w:sz w:val="20"/>
              </w:rPr>
              <w:t xml:space="preserve">, y compris les partenaires de l'Alliance et les partenaires élargis (dont les partenaires mondiaux, les partenaires locaux et les OSC), afin de soutenir la mise en œuvre des </w:t>
            </w:r>
            <w:proofErr w:type="gramStart"/>
            <w:r>
              <w:rPr>
                <w:b/>
                <w:i/>
                <w:color w:val="000000" w:themeColor="text1"/>
                <w:sz w:val="20"/>
              </w:rPr>
              <w:t>activités?</w:t>
            </w:r>
            <w:proofErr w:type="gramEnd"/>
            <w:r>
              <w:rPr>
                <w:b/>
                <w:i/>
                <w:sz w:val="20"/>
              </w:rPr>
              <w:t xml:space="preserve"> (Référez-vous aux </w:t>
            </w:r>
            <w:hyperlink r:id="rId14" w:history="1">
              <w:r>
                <w:rPr>
                  <w:rStyle w:val="Hyperlink"/>
                  <w:b/>
                  <w:i/>
                  <w:sz w:val="20"/>
                </w:rPr>
                <w:t>Directives sur l'assistance pays ciblée du Cadre d'engagement des partenaires pour la planification pluriannuelle 2022-2025</w:t>
              </w:r>
            </w:hyperlink>
            <w:r>
              <w:rPr>
                <w:b/>
                <w:i/>
                <w:sz w:val="20"/>
              </w:rPr>
              <w:t xml:space="preserve">, pour </w:t>
            </w:r>
            <w:r w:rsidR="00D248D8" w:rsidRPr="00D248D8">
              <w:rPr>
                <w:b/>
                <w:i/>
                <w:sz w:val="20"/>
              </w:rPr>
              <w:t>connaître</w:t>
            </w:r>
            <w:r w:rsidR="00E74843">
              <w:rPr>
                <w:b/>
                <w:i/>
                <w:sz w:val="20"/>
              </w:rPr>
              <w:t xml:space="preserve"> </w:t>
            </w:r>
            <w:r w:rsidR="00D248D8">
              <w:rPr>
                <w:b/>
                <w:i/>
                <w:sz w:val="20"/>
              </w:rPr>
              <w:t xml:space="preserve">le </w:t>
            </w:r>
            <w:r>
              <w:rPr>
                <w:b/>
                <w:i/>
                <w:sz w:val="20"/>
              </w:rPr>
              <w:t>type d'institutions considérées comme des partenaires mondiaux ou locaux et des OSC)</w:t>
            </w:r>
          </w:p>
        </w:tc>
      </w:tr>
      <w:tr w:rsidR="00520598" w14:paraId="62BDF2A5" w14:textId="77777777" w:rsidTr="004B632A">
        <w:tc>
          <w:tcPr>
            <w:tcW w:w="9170" w:type="dxa"/>
            <w:gridSpan w:val="2"/>
            <w:tcBorders>
              <w:top w:val="single" w:sz="4" w:space="0" w:color="auto"/>
              <w:left w:val="single" w:sz="4" w:space="0" w:color="auto"/>
              <w:bottom w:val="single" w:sz="4" w:space="0" w:color="auto"/>
              <w:right w:val="single" w:sz="4" w:space="0" w:color="auto"/>
            </w:tcBorders>
          </w:tcPr>
          <w:p w14:paraId="265B04DD" w14:textId="77777777" w:rsidR="00B33760" w:rsidRDefault="00B33760" w:rsidP="00863875">
            <w:pPr>
              <w:spacing w:line="300" w:lineRule="exact"/>
              <w:jc w:val="both"/>
              <w:rPr>
                <w:rFonts w:ascii="Arial'" w:hAnsi="Arial'"/>
                <w:color w:val="0000FF"/>
              </w:rPr>
            </w:pPr>
          </w:p>
          <w:p w14:paraId="0E585C87" w14:textId="704F1EBC" w:rsidR="00520598" w:rsidRPr="00863875" w:rsidRDefault="00823E68" w:rsidP="00863875">
            <w:pPr>
              <w:spacing w:line="300" w:lineRule="exact"/>
              <w:jc w:val="both"/>
              <w:rPr>
                <w:rFonts w:ascii="Arial'" w:hAnsi="Arial'"/>
                <w:color w:val="0000FF"/>
              </w:rPr>
            </w:pPr>
            <w:r w:rsidRPr="00863875">
              <w:rPr>
                <w:rFonts w:ascii="Arial'" w:hAnsi="Arial'"/>
                <w:color w:val="0000FF"/>
              </w:rPr>
              <w:t xml:space="preserve">Le Ministère de la santé dispose </w:t>
            </w:r>
            <w:proofErr w:type="gramStart"/>
            <w:r w:rsidRPr="00863875">
              <w:rPr>
                <w:rFonts w:ascii="Arial'" w:hAnsi="Arial'"/>
                <w:color w:val="0000FF"/>
              </w:rPr>
              <w:t>d’une cartographies</w:t>
            </w:r>
            <w:proofErr w:type="gramEnd"/>
            <w:r w:rsidRPr="00863875">
              <w:rPr>
                <w:rFonts w:ascii="Arial'" w:hAnsi="Arial'"/>
                <w:color w:val="0000FF"/>
              </w:rPr>
              <w:t xml:space="preserve"> des partenaires intervenant dans le secteur de la santé. </w:t>
            </w:r>
          </w:p>
          <w:p w14:paraId="1161A292" w14:textId="77777777" w:rsidR="00E14A54" w:rsidRDefault="00823E68" w:rsidP="00863875">
            <w:pPr>
              <w:spacing w:line="300" w:lineRule="exact"/>
              <w:jc w:val="both"/>
              <w:rPr>
                <w:rFonts w:ascii="Arial'" w:hAnsi="Arial'"/>
                <w:color w:val="0000FF"/>
              </w:rPr>
            </w:pPr>
            <w:r w:rsidRPr="00863875">
              <w:rPr>
                <w:rFonts w:ascii="Arial'" w:hAnsi="Arial'"/>
                <w:color w:val="0000FF"/>
              </w:rPr>
              <w:lastRenderedPageBreak/>
              <w:t>Pour l’élaboration et la mise en œuvre de la prochaine Stratégie Nationale d’Immunisation, plusieurs partenaires seront approchés par le Ministère en charge de la santé. Entre autres, ceux déjà identifiés sont :</w:t>
            </w:r>
          </w:p>
          <w:p w14:paraId="6EB374BF" w14:textId="1E515BB2" w:rsidR="00E14A54" w:rsidRPr="00250642" w:rsidRDefault="00E14A54" w:rsidP="00250642">
            <w:pPr>
              <w:pStyle w:val="ListParagraph"/>
              <w:numPr>
                <w:ilvl w:val="0"/>
                <w:numId w:val="11"/>
              </w:numPr>
              <w:spacing w:line="300" w:lineRule="exact"/>
              <w:jc w:val="both"/>
              <w:rPr>
                <w:rFonts w:ascii="Arial'" w:hAnsi="Arial'"/>
                <w:color w:val="0000FF"/>
              </w:rPr>
            </w:pPr>
            <w:r w:rsidRPr="00250642">
              <w:rPr>
                <w:rFonts w:ascii="Arial'" w:hAnsi="Arial'"/>
                <w:color w:val="0000FF"/>
              </w:rPr>
              <w:t xml:space="preserve">Les institutions internationales : </w:t>
            </w:r>
            <w:r w:rsidR="00823E68" w:rsidRPr="00250642">
              <w:rPr>
                <w:rFonts w:ascii="Arial'" w:hAnsi="Arial'"/>
                <w:color w:val="0000FF"/>
              </w:rPr>
              <w:t xml:space="preserve">OMS, UNICEF, Banque Mondiale, </w:t>
            </w:r>
            <w:r w:rsidRPr="00250642">
              <w:rPr>
                <w:rFonts w:ascii="Arial'" w:hAnsi="Arial'"/>
                <w:color w:val="0000FF"/>
              </w:rPr>
              <w:t>CDC</w:t>
            </w:r>
            <w:proofErr w:type="gramStart"/>
            <w:r w:rsidRPr="00250642">
              <w:rPr>
                <w:rFonts w:ascii="Arial'" w:hAnsi="Arial'"/>
                <w:color w:val="0000FF"/>
              </w:rPr>
              <w:t>, ,</w:t>
            </w:r>
            <w:proofErr w:type="gramEnd"/>
            <w:r w:rsidRPr="00250642">
              <w:rPr>
                <w:rFonts w:ascii="Arial'" w:hAnsi="Arial'"/>
                <w:color w:val="0000FF"/>
              </w:rPr>
              <w:t xml:space="preserve"> GIZ, Plan Internationale, UNFPA, USAID</w:t>
            </w:r>
          </w:p>
          <w:p w14:paraId="7564C7C2" w14:textId="3D07560D" w:rsidR="00E14A54" w:rsidRPr="00250642" w:rsidRDefault="00E14A54" w:rsidP="00250642">
            <w:pPr>
              <w:pStyle w:val="ListParagraph"/>
              <w:numPr>
                <w:ilvl w:val="0"/>
                <w:numId w:val="11"/>
              </w:numPr>
              <w:spacing w:line="300" w:lineRule="exact"/>
              <w:jc w:val="both"/>
              <w:rPr>
                <w:rFonts w:ascii="Arial'" w:hAnsi="Arial'"/>
                <w:color w:val="0000FF"/>
              </w:rPr>
            </w:pPr>
            <w:r w:rsidRPr="00250642">
              <w:rPr>
                <w:rFonts w:ascii="Arial'" w:hAnsi="Arial'"/>
                <w:color w:val="0000FF"/>
              </w:rPr>
              <w:t>Les partenaires au niveau local :  FETP</w:t>
            </w:r>
            <w:r>
              <w:rPr>
                <w:rFonts w:ascii="Arial'" w:hAnsi="Arial'"/>
                <w:color w:val="0000FF"/>
              </w:rPr>
              <w:t> ;</w:t>
            </w:r>
            <w:r w:rsidRPr="0070027A">
              <w:rPr>
                <w:rFonts w:ascii="Arial'" w:hAnsi="Arial'"/>
                <w:color w:val="0000FF"/>
              </w:rPr>
              <w:t xml:space="preserve"> Croix Rouge</w:t>
            </w:r>
            <w:r w:rsidR="00D25815">
              <w:rPr>
                <w:rFonts w:ascii="Arial'" w:hAnsi="Arial'"/>
                <w:color w:val="0000FF"/>
              </w:rPr>
              <w:t xml:space="preserve"> Togolaise</w:t>
            </w:r>
          </w:p>
          <w:p w14:paraId="1A6AF667" w14:textId="392B331A" w:rsidR="00823E68" w:rsidRPr="00E14A54" w:rsidRDefault="00E14A54" w:rsidP="00250642">
            <w:pPr>
              <w:pStyle w:val="ListParagraph"/>
              <w:numPr>
                <w:ilvl w:val="0"/>
                <w:numId w:val="11"/>
              </w:numPr>
              <w:spacing w:line="300" w:lineRule="exact"/>
              <w:jc w:val="both"/>
              <w:rPr>
                <w:rFonts w:ascii="Arial'" w:hAnsi="Arial'"/>
                <w:color w:val="0000FF"/>
              </w:rPr>
            </w:pPr>
            <w:r w:rsidRPr="00E14A54">
              <w:rPr>
                <w:rFonts w:ascii="Arial'" w:hAnsi="Arial'"/>
                <w:color w:val="0000FF"/>
              </w:rPr>
              <w:t>Les OSC </w:t>
            </w:r>
            <w:r w:rsidRPr="00B66C97">
              <w:rPr>
                <w:rFonts w:ascii="Arial'" w:hAnsi="Arial'"/>
                <w:color w:val="0000FF"/>
              </w:rPr>
              <w:t xml:space="preserve">: </w:t>
            </w:r>
            <w:r w:rsidR="00823E68" w:rsidRPr="00B66C97">
              <w:rPr>
                <w:rFonts w:ascii="Arial'" w:hAnsi="Arial'"/>
                <w:color w:val="0000FF"/>
              </w:rPr>
              <w:t>POSCVI</w:t>
            </w:r>
            <w:r w:rsidR="007A0A95" w:rsidRPr="00B66C97">
              <w:rPr>
                <w:rFonts w:ascii="Arial'" w:hAnsi="Arial'"/>
                <w:color w:val="0000FF"/>
              </w:rPr>
              <w:t xml:space="preserve"> TOGO</w:t>
            </w:r>
            <w:r w:rsidR="00B24988" w:rsidRPr="00B66C97">
              <w:rPr>
                <w:rFonts w:ascii="Arial'" w:hAnsi="Arial'"/>
                <w:color w:val="0000FF"/>
              </w:rPr>
              <w:t xml:space="preserve"> (</w:t>
            </w:r>
            <w:r w:rsidR="00B24988" w:rsidRPr="00D80A2A">
              <w:rPr>
                <w:rFonts w:ascii="Arial'" w:hAnsi="Arial'"/>
                <w:color w:val="0000FF"/>
              </w:rPr>
              <w:t>Plateforme des Organisations de la Société Civile pour la Vaccination et l'Immunisation au Togo)</w:t>
            </w:r>
            <w:r w:rsidR="00277E6D">
              <w:rPr>
                <w:rFonts w:ascii="Arial'" w:hAnsi="Arial'"/>
                <w:color w:val="0000FF"/>
              </w:rPr>
              <w:t> :</w:t>
            </w:r>
          </w:p>
          <w:p w14:paraId="18AA925F" w14:textId="30D29A01" w:rsidR="006E596A" w:rsidRPr="00863875" w:rsidRDefault="006E596A" w:rsidP="00863875">
            <w:pPr>
              <w:spacing w:line="300" w:lineRule="exact"/>
              <w:jc w:val="both"/>
              <w:rPr>
                <w:rFonts w:ascii="Arial'" w:hAnsi="Arial'"/>
                <w:color w:val="0000FF"/>
              </w:rPr>
            </w:pPr>
          </w:p>
        </w:tc>
      </w:tr>
      <w:tr w:rsidR="00520598" w14:paraId="72481A8B" w14:textId="77777777" w:rsidTr="00385FED">
        <w:trPr>
          <w:trHeight w:val="620"/>
        </w:trPr>
        <w:tc>
          <w:tcPr>
            <w:tcW w:w="9170" w:type="dxa"/>
            <w:gridSpan w:val="2"/>
            <w:shd w:val="clear" w:color="auto" w:fill="F2F2F2" w:themeFill="background1" w:themeFillShade="F2"/>
          </w:tcPr>
          <w:p w14:paraId="29991F07" w14:textId="74B20AE8" w:rsidR="00520598" w:rsidRPr="00520598" w:rsidRDefault="00520598" w:rsidP="57C08CD4">
            <w:pPr>
              <w:spacing w:line="300" w:lineRule="exact"/>
              <w:rPr>
                <w:b/>
                <w:bCs/>
                <w:i/>
                <w:iCs/>
                <w:color w:val="000000" w:themeColor="text1"/>
                <w:sz w:val="20"/>
                <w:szCs w:val="20"/>
              </w:rPr>
            </w:pPr>
            <w:r>
              <w:rPr>
                <w:b/>
                <w:i/>
                <w:sz w:val="20"/>
              </w:rPr>
              <w:lastRenderedPageBreak/>
              <w:t>3.2</w:t>
            </w:r>
            <w:r>
              <w:rPr>
                <w:b/>
                <w:i/>
                <w:sz w:val="20"/>
              </w:rPr>
              <w:tab/>
              <w:t>Veuillez indiquer exactement comment vous envisagez de collaborer avec des partenaires locau</w:t>
            </w:r>
            <w:r w:rsidR="00ED3033">
              <w:rPr>
                <w:b/>
                <w:i/>
                <w:sz w:val="20"/>
              </w:rPr>
              <w:t>x.</w:t>
            </w:r>
          </w:p>
        </w:tc>
      </w:tr>
      <w:tr w:rsidR="00E80A44" w14:paraId="5B4D7083" w14:textId="77777777" w:rsidTr="00D353AF">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17722B26" w14:textId="77777777" w:rsidR="00B33760" w:rsidRDefault="00B33760" w:rsidP="00863875">
            <w:pPr>
              <w:spacing w:line="300" w:lineRule="exact"/>
              <w:jc w:val="both"/>
              <w:rPr>
                <w:rFonts w:ascii="Arial'" w:hAnsi="Arial'"/>
                <w:color w:val="0000FF"/>
              </w:rPr>
            </w:pPr>
          </w:p>
          <w:p w14:paraId="1BEE1D1E" w14:textId="0CD661CA" w:rsidR="006E596A" w:rsidRPr="00863875" w:rsidRDefault="006E596A" w:rsidP="00863875">
            <w:pPr>
              <w:spacing w:line="300" w:lineRule="exact"/>
              <w:jc w:val="both"/>
              <w:rPr>
                <w:rFonts w:ascii="Arial'" w:hAnsi="Arial'"/>
                <w:color w:val="0000FF"/>
              </w:rPr>
            </w:pPr>
            <w:r w:rsidRPr="00863875">
              <w:rPr>
                <w:rFonts w:ascii="Arial'" w:hAnsi="Arial'"/>
                <w:color w:val="0000FF"/>
              </w:rPr>
              <w:t>Le Ministère va renforcer la plateforme de collaboration entre les partenaires et la coordination de toutes les interventions planifiées et mises en œuvre.</w:t>
            </w:r>
          </w:p>
          <w:p w14:paraId="418EDFA9" w14:textId="71A7AB93" w:rsidR="006E596A" w:rsidRPr="00863875" w:rsidRDefault="006E596A" w:rsidP="00863875">
            <w:pPr>
              <w:spacing w:line="300" w:lineRule="exact"/>
              <w:jc w:val="both"/>
              <w:rPr>
                <w:rFonts w:ascii="Arial'" w:hAnsi="Arial'"/>
                <w:color w:val="0000FF"/>
              </w:rPr>
            </w:pPr>
            <w:r w:rsidRPr="00863875">
              <w:rPr>
                <w:rFonts w:ascii="Arial'" w:hAnsi="Arial'"/>
                <w:color w:val="0000FF"/>
              </w:rPr>
              <w:t>Le CCIA aura un grand rôle à jouer dans la coordination des partenaires.</w:t>
            </w:r>
          </w:p>
          <w:p w14:paraId="6420D9B9" w14:textId="75B9A08A" w:rsidR="00E80A44" w:rsidRPr="006615A7" w:rsidRDefault="00E80A44" w:rsidP="00E80A44">
            <w:pPr>
              <w:spacing w:line="300" w:lineRule="exact"/>
              <w:rPr>
                <w:color w:val="92D050"/>
              </w:rPr>
            </w:pPr>
          </w:p>
        </w:tc>
      </w:tr>
      <w:tr w:rsidR="38F5364C" w14:paraId="5D1DCA18"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40430808" w:rsidR="2F92698C" w:rsidRDefault="3D5C2947" w:rsidP="704B32F1">
            <w:pPr>
              <w:spacing w:line="300" w:lineRule="exact"/>
              <w:rPr>
                <w:b/>
                <w:bCs/>
                <w:i/>
                <w:iCs/>
                <w:color w:val="000000" w:themeColor="text1"/>
                <w:sz w:val="20"/>
                <w:szCs w:val="20"/>
              </w:rPr>
            </w:pPr>
            <w:r>
              <w:rPr>
                <w:b/>
                <w:i/>
                <w:color w:val="000000" w:themeColor="text1"/>
                <w:sz w:val="20"/>
              </w:rPr>
              <w:t>3.3</w:t>
            </w:r>
            <w:r>
              <w:rPr>
                <w:b/>
                <w:i/>
                <w:color w:val="000000" w:themeColor="text1"/>
                <w:sz w:val="20"/>
              </w:rPr>
              <w:tab/>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Pr>
                <w:i/>
                <w:sz w:val="20"/>
              </w:rPr>
              <w:t xml:space="preserve">Prière de vous reporter à la Section 2.3 (3. </w:t>
            </w:r>
            <w:proofErr w:type="spellStart"/>
            <w:r w:rsidR="006615A7">
              <w:rPr>
                <w:i/>
                <w:sz w:val="20"/>
              </w:rPr>
              <w:t>Resensement</w:t>
            </w:r>
            <w:proofErr w:type="spellEnd"/>
            <w:r w:rsidR="006615A7">
              <w:rPr>
                <w:i/>
                <w:sz w:val="20"/>
              </w:rPr>
              <w:t xml:space="preserve"> </w:t>
            </w:r>
            <w:r>
              <w:rPr>
                <w:i/>
                <w:sz w:val="20"/>
              </w:rPr>
              <w:t>des partenaires) des Directives de planification de l'assistance pays ciblée du Cadre d'engagement des partenaires pour de plus amples informations.</w:t>
            </w:r>
          </w:p>
        </w:tc>
      </w:tr>
      <w:tr w:rsidR="38F5364C" w14:paraId="094E763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72131C3E" w14:textId="77777777" w:rsidR="00B33760" w:rsidRDefault="00B33760" w:rsidP="00863875">
            <w:pPr>
              <w:spacing w:line="300" w:lineRule="exact"/>
              <w:jc w:val="both"/>
              <w:rPr>
                <w:rFonts w:ascii="Arial'" w:hAnsi="Arial'"/>
                <w:color w:val="0000FF"/>
              </w:rPr>
            </w:pPr>
          </w:p>
          <w:p w14:paraId="602B06A3" w14:textId="11EDFD17" w:rsidR="006E596A" w:rsidRPr="00863875" w:rsidRDefault="006E596A" w:rsidP="00863875">
            <w:pPr>
              <w:spacing w:line="300" w:lineRule="exact"/>
              <w:jc w:val="both"/>
              <w:rPr>
                <w:rFonts w:ascii="Arial'" w:hAnsi="Arial'"/>
                <w:color w:val="0000FF"/>
              </w:rPr>
            </w:pPr>
            <w:r w:rsidRPr="00863875">
              <w:rPr>
                <w:rFonts w:ascii="Arial'" w:hAnsi="Arial'"/>
                <w:color w:val="0000FF"/>
              </w:rPr>
              <w:t xml:space="preserve">Dans la planification, 20 à 30% du budget TCA sera alloué </w:t>
            </w:r>
            <w:proofErr w:type="gramStart"/>
            <w:r w:rsidRPr="00863875">
              <w:rPr>
                <w:rFonts w:ascii="Arial'" w:hAnsi="Arial'"/>
                <w:color w:val="0000FF"/>
              </w:rPr>
              <w:t>au partenaires locaux</w:t>
            </w:r>
            <w:proofErr w:type="gramEnd"/>
            <w:r w:rsidRPr="00863875">
              <w:rPr>
                <w:rFonts w:ascii="Arial'" w:hAnsi="Arial'"/>
                <w:color w:val="0000FF"/>
              </w:rPr>
              <w:t xml:space="preserve"> dont POSCVI – Togo, et un </w:t>
            </w:r>
            <w:proofErr w:type="spellStart"/>
            <w:r w:rsidRPr="00863875">
              <w:rPr>
                <w:rFonts w:ascii="Arial'" w:hAnsi="Arial'"/>
                <w:color w:val="0000FF"/>
              </w:rPr>
              <w:t>mémorendum</w:t>
            </w:r>
            <w:proofErr w:type="spellEnd"/>
            <w:r w:rsidRPr="00863875">
              <w:rPr>
                <w:rFonts w:ascii="Arial'" w:hAnsi="Arial'"/>
                <w:color w:val="0000FF"/>
              </w:rPr>
              <w:t xml:space="preserve"> </w:t>
            </w:r>
            <w:r w:rsidR="00330DEE">
              <w:rPr>
                <w:rFonts w:ascii="Arial'" w:hAnsi="Arial'"/>
                <w:color w:val="0000FF"/>
              </w:rPr>
              <w:t xml:space="preserve">d’entente </w:t>
            </w:r>
            <w:proofErr w:type="spellStart"/>
            <w:r w:rsidR="00330DEE">
              <w:rPr>
                <w:rFonts w:ascii="Arial'" w:hAnsi="Arial'"/>
                <w:color w:val="0000FF"/>
              </w:rPr>
              <w:t>trpartite</w:t>
            </w:r>
            <w:proofErr w:type="spellEnd"/>
            <w:r w:rsidR="00330DEE">
              <w:rPr>
                <w:rFonts w:ascii="Arial'" w:hAnsi="Arial'"/>
                <w:color w:val="0000FF"/>
              </w:rPr>
              <w:t xml:space="preserve"> (POSCVI-TOGO, Ministère de la santé et GAVI) </w:t>
            </w:r>
            <w:r w:rsidRPr="00863875">
              <w:rPr>
                <w:rFonts w:ascii="Arial'" w:hAnsi="Arial'"/>
                <w:color w:val="0000FF"/>
              </w:rPr>
              <w:t>pourra être signé sur la base d</w:t>
            </w:r>
            <w:r w:rsidR="00AF65D7" w:rsidRPr="00863875">
              <w:rPr>
                <w:rFonts w:ascii="Arial'" w:hAnsi="Arial'"/>
                <w:color w:val="0000FF"/>
              </w:rPr>
              <w:t>u plan de travail qu’ils auront proposé.</w:t>
            </w:r>
          </w:p>
          <w:p w14:paraId="64958F87" w14:textId="195EAD4C" w:rsidR="00AF65D7" w:rsidRPr="006615A7" w:rsidRDefault="00AF65D7" w:rsidP="38F5364C">
            <w:pPr>
              <w:spacing w:line="300" w:lineRule="exact"/>
            </w:pPr>
          </w:p>
        </w:tc>
      </w:tr>
      <w:tr w:rsidR="009F19F8" w14:paraId="3821C077"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3819A974" w:rsidR="009F19F8" w:rsidRDefault="009F19F8" w:rsidP="00752CEA">
            <w:pPr>
              <w:spacing w:line="300" w:lineRule="exact"/>
              <w:rPr>
                <w:b/>
                <w:bCs/>
                <w:i/>
                <w:iCs/>
                <w:color w:val="000000" w:themeColor="text1"/>
                <w:sz w:val="20"/>
                <w:szCs w:val="20"/>
              </w:rPr>
            </w:pPr>
            <w:r>
              <w:rPr>
                <w:b/>
                <w:i/>
                <w:color w:val="000000" w:themeColor="text1"/>
                <w:sz w:val="20"/>
              </w:rPr>
              <w:t>3.4</w:t>
            </w:r>
            <w:r>
              <w:rPr>
                <w:b/>
                <w:i/>
                <w:color w:val="000000" w:themeColor="text1"/>
                <w:sz w:val="20"/>
              </w:rPr>
              <w:tab/>
            </w:r>
            <w:r w:rsidRPr="00F104A0">
              <w:rPr>
                <w:b/>
                <w:i/>
                <w:color w:val="000000" w:themeColor="text1"/>
                <w:sz w:val="20"/>
              </w:rPr>
              <w:t>Veuillez noter l'allocation</w:t>
            </w:r>
            <w:r w:rsidRPr="00880860">
              <w:rPr>
                <w:b/>
                <w:i/>
                <w:color w:val="000000" w:themeColor="text1"/>
                <w:sz w:val="20"/>
              </w:rPr>
              <w:t xml:space="preserve"> d'assistance</w:t>
            </w:r>
            <w:r>
              <w:rPr>
                <w:b/>
                <w:i/>
                <w:color w:val="000000" w:themeColor="text1"/>
                <w:sz w:val="20"/>
              </w:rPr>
              <w:t xml:space="preserve"> pays ciblée aux OSC uniquement (qu'il s'agisse de partenaires </w:t>
            </w:r>
            <w:r w:rsidR="006E3CBA" w:rsidRPr="006E3CBA">
              <w:rPr>
                <w:b/>
                <w:i/>
                <w:color w:val="000000" w:themeColor="text1"/>
                <w:sz w:val="20"/>
              </w:rPr>
              <w:t>mondiaux</w:t>
            </w:r>
            <w:r w:rsidR="006E3CBA">
              <w:rPr>
                <w:b/>
                <w:i/>
                <w:color w:val="000000" w:themeColor="text1"/>
                <w:sz w:val="20"/>
              </w:rPr>
              <w:t xml:space="preserve"> </w:t>
            </w:r>
            <w:r>
              <w:rPr>
                <w:b/>
                <w:i/>
                <w:color w:val="000000" w:themeColor="text1"/>
                <w:sz w:val="20"/>
              </w:rPr>
              <w:t xml:space="preserve">ou de partenaires </w:t>
            </w:r>
            <w:r w:rsidR="00DC1FD3">
              <w:rPr>
                <w:b/>
                <w:i/>
                <w:color w:val="000000" w:themeColor="text1"/>
                <w:sz w:val="20"/>
              </w:rPr>
              <w:t xml:space="preserve">locaux </w:t>
            </w:r>
            <w:r>
              <w:rPr>
                <w:b/>
                <w:i/>
                <w:color w:val="000000" w:themeColor="text1"/>
                <w:sz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Pr>
                <w:i/>
                <w:sz w:val="20"/>
              </w:rPr>
              <w:t xml:space="preserve">Prière de vous reporter à la Section 2.3 (3. </w:t>
            </w:r>
            <w:proofErr w:type="spellStart"/>
            <w:r w:rsidR="006615A7">
              <w:rPr>
                <w:i/>
                <w:sz w:val="20"/>
              </w:rPr>
              <w:t>Resensement</w:t>
            </w:r>
            <w:proofErr w:type="spellEnd"/>
            <w:r w:rsidR="006615A7">
              <w:rPr>
                <w:i/>
                <w:sz w:val="20"/>
              </w:rPr>
              <w:t xml:space="preserve"> </w:t>
            </w:r>
            <w:r>
              <w:rPr>
                <w:i/>
                <w:sz w:val="20"/>
              </w:rPr>
              <w:t>des partenaires) des Directives de planification de l'assistance pays ciblée du Cadre d'engagement des partenaires pour de plus amples informations.</w:t>
            </w:r>
          </w:p>
        </w:tc>
      </w:tr>
      <w:tr w:rsidR="009F19F8" w14:paraId="3F43E4A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19A4899C" w14:textId="00032E90" w:rsidR="009F19F8" w:rsidRPr="00863875" w:rsidRDefault="00AF65D7" w:rsidP="00863875">
            <w:pPr>
              <w:spacing w:line="300" w:lineRule="exact"/>
              <w:jc w:val="both"/>
              <w:rPr>
                <w:rFonts w:ascii="Arial'" w:hAnsi="Arial'"/>
                <w:color w:val="0000FF"/>
              </w:rPr>
            </w:pPr>
            <w:r w:rsidRPr="00863875">
              <w:rPr>
                <w:rFonts w:ascii="Arial'" w:hAnsi="Arial'"/>
                <w:color w:val="0000FF"/>
              </w:rPr>
              <w:t xml:space="preserve">Les allocations des OSC tiendront compte de leur cote part actuelle dans le RSS </w:t>
            </w:r>
            <w:r w:rsidR="00330DEE">
              <w:rPr>
                <w:rFonts w:ascii="Arial'" w:hAnsi="Arial'"/>
                <w:color w:val="0000FF"/>
              </w:rPr>
              <w:t xml:space="preserve">et leur capacité d’intervention </w:t>
            </w:r>
            <w:r w:rsidRPr="00863875">
              <w:rPr>
                <w:rFonts w:ascii="Arial'" w:hAnsi="Arial'"/>
                <w:color w:val="0000FF"/>
              </w:rPr>
              <w:t>afin de s’assurer que la proportion de 10% sera approchée.</w:t>
            </w:r>
          </w:p>
          <w:p w14:paraId="01E16748" w14:textId="5EA27662" w:rsidR="00AF65D7" w:rsidRPr="006615A7" w:rsidRDefault="00AF65D7" w:rsidP="00752CEA">
            <w:pPr>
              <w:spacing w:line="300" w:lineRule="exact"/>
            </w:pPr>
          </w:p>
        </w:tc>
      </w:tr>
    </w:tbl>
    <w:p w14:paraId="5AD99CE7" w14:textId="77777777" w:rsidR="00372D1F" w:rsidRPr="009F19F8" w:rsidRDefault="00372D1F" w:rsidP="003D79AC">
      <w:pPr>
        <w:spacing w:after="160" w:line="259" w:lineRule="auto"/>
      </w:pPr>
    </w:p>
    <w:p w14:paraId="79848434" w14:textId="2932C226" w:rsidR="009F0292" w:rsidRPr="0033192A" w:rsidRDefault="009F0292" w:rsidP="00CE1F57">
      <w:pPr>
        <w:pStyle w:val="ListParagraph"/>
        <w:numPr>
          <w:ilvl w:val="0"/>
          <w:numId w:val="4"/>
        </w:numPr>
        <w:spacing w:line="300" w:lineRule="exact"/>
        <w:rPr>
          <w:b/>
          <w:color w:val="84C650"/>
          <w:sz w:val="26"/>
          <w:szCs w:val="26"/>
        </w:rPr>
      </w:pPr>
      <w:r>
        <w:rPr>
          <w:b/>
          <w:color w:val="70AD47" w:themeColor="accent6"/>
          <w:sz w:val="26"/>
        </w:rPr>
        <w:t xml:space="preserve">Enseignements tirés </w:t>
      </w:r>
      <w:r w:rsidR="00880860" w:rsidRPr="00880860">
        <w:rPr>
          <w:b/>
          <w:color w:val="70AD47" w:themeColor="accent6"/>
          <w:sz w:val="26"/>
        </w:rPr>
        <w:t xml:space="preserve">de l'expérience passée en matière d'assistance technique </w:t>
      </w:r>
      <w:r>
        <w:rPr>
          <w:b/>
          <w:color w:val="70AD47" w:themeColor="accent6"/>
          <w:sz w:val="26"/>
        </w:rPr>
        <w:t>(0,5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rPr>
            </w:pPr>
            <w:r>
              <w:rPr>
                <w:b/>
                <w:i/>
                <w:color w:val="000000" w:themeColor="text1"/>
                <w:sz w:val="20"/>
              </w:rPr>
              <w:lastRenderedPageBreak/>
              <w:t>4.1</w:t>
            </w:r>
            <w:r>
              <w:rPr>
                <w:b/>
                <w:i/>
                <w:color w:val="000000" w:themeColor="text1"/>
                <w:sz w:val="20"/>
              </w:rPr>
              <w:tab/>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Pr>
                <w:b/>
                <w:i/>
                <w:sz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4DE57D9D" w14:textId="77777777" w:rsidR="00B33760" w:rsidRDefault="00B33760" w:rsidP="00863875">
            <w:pPr>
              <w:spacing w:line="300" w:lineRule="exact"/>
              <w:jc w:val="both"/>
              <w:rPr>
                <w:rFonts w:ascii="Arial'" w:hAnsi="Arial'"/>
                <w:color w:val="0000FF"/>
              </w:rPr>
            </w:pPr>
          </w:p>
          <w:p w14:paraId="2803CFBE" w14:textId="622F5BE6" w:rsidR="009F0292" w:rsidRPr="00863875" w:rsidRDefault="002F48E6" w:rsidP="00863875">
            <w:pPr>
              <w:spacing w:line="300" w:lineRule="exact"/>
              <w:jc w:val="both"/>
              <w:rPr>
                <w:rFonts w:ascii="Arial'" w:hAnsi="Arial'"/>
                <w:color w:val="0000FF"/>
              </w:rPr>
            </w:pPr>
            <w:r w:rsidRPr="00863875">
              <w:rPr>
                <w:rFonts w:ascii="Arial'" w:hAnsi="Arial'"/>
                <w:color w:val="0000FF"/>
              </w:rPr>
              <w:t xml:space="preserve">Les leçons apprises et les bonnes pratiques </w:t>
            </w:r>
            <w:r w:rsidR="00714F67" w:rsidRPr="00863875">
              <w:rPr>
                <w:rFonts w:ascii="Arial'" w:hAnsi="Arial'"/>
                <w:color w:val="0000FF"/>
              </w:rPr>
              <w:t xml:space="preserve">issues des performances passées </w:t>
            </w:r>
            <w:r w:rsidRPr="00863875">
              <w:rPr>
                <w:rFonts w:ascii="Arial'" w:hAnsi="Arial'"/>
                <w:color w:val="0000FF"/>
              </w:rPr>
              <w:t xml:space="preserve">constitueront le socle pour une amélioration du plan </w:t>
            </w:r>
            <w:proofErr w:type="gramStart"/>
            <w:r w:rsidRPr="00863875">
              <w:rPr>
                <w:rFonts w:ascii="Arial'" w:hAnsi="Arial'"/>
                <w:color w:val="0000FF"/>
              </w:rPr>
              <w:t>d’assistance  pays</w:t>
            </w:r>
            <w:proofErr w:type="gramEnd"/>
            <w:r w:rsidRPr="00863875">
              <w:rPr>
                <w:rFonts w:ascii="Arial'" w:hAnsi="Arial'"/>
                <w:color w:val="0000FF"/>
              </w:rPr>
              <w:t xml:space="preserve"> ciblée.</w:t>
            </w:r>
            <w:r w:rsidR="00714F67" w:rsidRPr="00863875">
              <w:rPr>
                <w:rFonts w:ascii="Arial'" w:hAnsi="Arial'"/>
                <w:color w:val="0000FF"/>
              </w:rPr>
              <w:t xml:space="preserve"> En effet, le </w:t>
            </w:r>
            <w:proofErr w:type="spellStart"/>
            <w:r w:rsidR="00714F67" w:rsidRPr="00863875">
              <w:rPr>
                <w:rFonts w:ascii="Arial'" w:hAnsi="Arial'"/>
                <w:color w:val="0000FF"/>
              </w:rPr>
              <w:t>reforcement</w:t>
            </w:r>
            <w:proofErr w:type="spellEnd"/>
            <w:r w:rsidR="00714F67" w:rsidRPr="00863875">
              <w:rPr>
                <w:rFonts w:ascii="Arial'" w:hAnsi="Arial'"/>
                <w:color w:val="0000FF"/>
              </w:rPr>
              <w:t xml:space="preserve"> de capacité des acteurs sur la gestion logistique des vaccins lors des introductions de nouveaux vaccins et des campagnes supplémentaires, les dialogues </w:t>
            </w:r>
            <w:proofErr w:type="spellStart"/>
            <w:r w:rsidR="00714F67" w:rsidRPr="00863875">
              <w:rPr>
                <w:rFonts w:ascii="Arial'" w:hAnsi="Arial'"/>
                <w:color w:val="0000FF"/>
              </w:rPr>
              <w:t>commuautaires</w:t>
            </w:r>
            <w:proofErr w:type="spellEnd"/>
            <w:r w:rsidR="00714F67" w:rsidRPr="00863875">
              <w:rPr>
                <w:rFonts w:ascii="Arial'" w:hAnsi="Arial'"/>
                <w:color w:val="0000FF"/>
              </w:rPr>
              <w:t xml:space="preserve"> et la gestion des cas de refus avec l’appui des leaders communautaires, des jeunes influenceurs sont au cœur du plan d’assistance pays ciblée.   </w:t>
            </w:r>
            <w:r w:rsidRPr="00863875">
              <w:rPr>
                <w:rFonts w:ascii="Arial'" w:hAnsi="Arial'"/>
                <w:color w:val="0000FF"/>
              </w:rPr>
              <w:t xml:space="preserve"> </w:t>
            </w:r>
          </w:p>
          <w:p w14:paraId="74D085FB" w14:textId="14FB4F11" w:rsidR="00AF65D7" w:rsidRPr="00863875" w:rsidRDefault="00345803" w:rsidP="00863875">
            <w:pPr>
              <w:spacing w:line="300" w:lineRule="exact"/>
              <w:jc w:val="both"/>
              <w:rPr>
                <w:rFonts w:ascii="Arial'" w:hAnsi="Arial'"/>
                <w:color w:val="0000FF"/>
              </w:rPr>
            </w:pPr>
            <w:r w:rsidRPr="00863875">
              <w:rPr>
                <w:rFonts w:ascii="Arial'" w:hAnsi="Arial'"/>
                <w:color w:val="0000FF"/>
              </w:rPr>
              <w:t xml:space="preserve">Les TCA antérieurs ont montré qu’un bon accompagnement du pays dans la planification, la mise en œuvre et le suivi des interventions est un gage de </w:t>
            </w:r>
            <w:proofErr w:type="gramStart"/>
            <w:r w:rsidRPr="00863875">
              <w:rPr>
                <w:rFonts w:ascii="Arial'" w:hAnsi="Arial'"/>
                <w:color w:val="0000FF"/>
              </w:rPr>
              <w:t>bonne performances</w:t>
            </w:r>
            <w:proofErr w:type="gramEnd"/>
            <w:r w:rsidRPr="00863875">
              <w:rPr>
                <w:rFonts w:ascii="Arial'" w:hAnsi="Arial'"/>
                <w:color w:val="0000FF"/>
              </w:rPr>
              <w:t>.</w:t>
            </w:r>
          </w:p>
          <w:p w14:paraId="0814FD12" w14:textId="4CA77ABD" w:rsidR="00345803" w:rsidRPr="00863875" w:rsidRDefault="00345803" w:rsidP="00863875">
            <w:pPr>
              <w:spacing w:line="300" w:lineRule="exact"/>
              <w:jc w:val="both"/>
              <w:rPr>
                <w:rFonts w:ascii="Arial'" w:hAnsi="Arial'"/>
                <w:color w:val="0000FF"/>
              </w:rPr>
            </w:pPr>
            <w:r w:rsidRPr="00863875">
              <w:rPr>
                <w:rFonts w:ascii="Arial'" w:hAnsi="Arial'"/>
                <w:color w:val="0000FF"/>
              </w:rPr>
              <w:t>L’actuel TCA mettra donc un accent sur la planification, la coordination mais aussi le renforcement de l’engagement communautaire</w:t>
            </w:r>
          </w:p>
          <w:p w14:paraId="54735EE2" w14:textId="583FF0C0" w:rsidR="00AF65D7" w:rsidRPr="006615A7" w:rsidRDefault="00AF65D7" w:rsidP="00871FCF">
            <w:pPr>
              <w:spacing w:line="300" w:lineRule="exact"/>
              <w:rPr>
                <w:color w:val="92D050"/>
              </w:rPr>
            </w:pPr>
          </w:p>
        </w:tc>
      </w:tr>
    </w:tbl>
    <w:p w14:paraId="4B96F6BD" w14:textId="77777777" w:rsidR="009F0292" w:rsidRPr="006615A7" w:rsidRDefault="009F0292" w:rsidP="00372D1F">
      <w:pPr>
        <w:pStyle w:val="ListParagraph"/>
        <w:spacing w:line="300" w:lineRule="exact"/>
        <w:ind w:left="0"/>
        <w:jc w:val="right"/>
        <w:rPr>
          <w:b/>
          <w:color w:val="70AD47" w:themeColor="accent6"/>
          <w:sz w:val="26"/>
          <w:szCs w:val="26"/>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rPr>
      </w:pPr>
      <w:r>
        <w:rPr>
          <w:b/>
          <w:color w:val="70AD47" w:themeColor="accent6"/>
          <w:sz w:val="26"/>
        </w:rPr>
        <w:t>Harmonisation du plan One TCA avec les investissements de Gavi planifiés pour le futur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374D3D3B" w:rsidR="00A957C9" w:rsidRPr="00CF3BC4" w:rsidRDefault="007476F9" w:rsidP="00FC4A11">
            <w:pPr>
              <w:pStyle w:val="ListParagraph"/>
              <w:spacing w:line="300" w:lineRule="exact"/>
              <w:ind w:left="0"/>
              <w:rPr>
                <w:b/>
                <w:bCs/>
                <w:i/>
                <w:iCs/>
                <w:color w:val="84C650"/>
                <w:sz w:val="26"/>
                <w:szCs w:val="26"/>
              </w:rPr>
            </w:pPr>
            <w:r>
              <w:rPr>
                <w:b/>
                <w:i/>
                <w:sz w:val="20"/>
              </w:rPr>
              <w:t>5.1</w:t>
            </w:r>
            <w:r>
              <w:rPr>
                <w:b/>
                <w:i/>
                <w:sz w:val="20"/>
              </w:rPr>
              <w:tab/>
              <w:t>Veuillez dresser la liste de tous les futurs investissements de Gavi déjà prévus (p. ex. soutien aux</w:t>
            </w:r>
            <w:r w:rsidR="00824777">
              <w:rPr>
                <w:b/>
                <w:i/>
                <w:sz w:val="20"/>
              </w:rPr>
              <w:t xml:space="preserve"> </w:t>
            </w:r>
            <w:r w:rsidR="004927B0" w:rsidRPr="004927B0">
              <w:rPr>
                <w:b/>
                <w:i/>
                <w:sz w:val="20"/>
              </w:rPr>
              <w:t>nouveaux</w:t>
            </w:r>
            <w:r>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3AB81E89" w14:textId="77777777" w:rsidR="00B33760" w:rsidRDefault="00B33760" w:rsidP="00FC4A11">
            <w:pPr>
              <w:spacing w:line="300" w:lineRule="exact"/>
              <w:rPr>
                <w:color w:val="0000FF"/>
              </w:rPr>
            </w:pPr>
          </w:p>
          <w:p w14:paraId="27163505" w14:textId="77777777" w:rsidR="00E14A54" w:rsidRDefault="00736C36" w:rsidP="00FC4A11">
            <w:pPr>
              <w:spacing w:line="300" w:lineRule="exact"/>
              <w:rPr>
                <w:color w:val="0000FF"/>
              </w:rPr>
            </w:pPr>
            <w:r>
              <w:rPr>
                <w:color w:val="0000FF"/>
              </w:rPr>
              <w:t xml:space="preserve">Le plan TCA sera le fruit des discussions issues du dialogue multipartite. Les besoins en assistance techniques exprimés par le ministère sont </w:t>
            </w:r>
            <w:proofErr w:type="spellStart"/>
            <w:r>
              <w:rPr>
                <w:color w:val="0000FF"/>
              </w:rPr>
              <w:t>allignés</w:t>
            </w:r>
            <w:proofErr w:type="spellEnd"/>
            <w:r>
              <w:rPr>
                <w:color w:val="0000FF"/>
              </w:rPr>
              <w:t xml:space="preserve"> aux objectifs des plans de </w:t>
            </w:r>
            <w:proofErr w:type="spellStart"/>
            <w:r>
              <w:rPr>
                <w:color w:val="0000FF"/>
              </w:rPr>
              <w:t>renforrcement</w:t>
            </w:r>
            <w:proofErr w:type="spellEnd"/>
            <w:r>
              <w:rPr>
                <w:color w:val="0000FF"/>
              </w:rPr>
              <w:t xml:space="preserve"> du PEV, du RSS et de la chaine du froid existant dans le pays. </w:t>
            </w:r>
          </w:p>
          <w:p w14:paraId="0FD6C4D3" w14:textId="753C3629" w:rsidR="00E14A54" w:rsidRDefault="00E14A54" w:rsidP="00FC4A11">
            <w:pPr>
              <w:spacing w:line="300" w:lineRule="exact"/>
              <w:rPr>
                <w:color w:val="0000FF"/>
              </w:rPr>
            </w:pPr>
            <w:r>
              <w:rPr>
                <w:color w:val="0000FF"/>
              </w:rPr>
              <w:t>A</w:t>
            </w:r>
            <w:r w:rsidR="00277E6D">
              <w:rPr>
                <w:color w:val="0000FF"/>
              </w:rPr>
              <w:t xml:space="preserve"> </w:t>
            </w:r>
            <w:r>
              <w:rPr>
                <w:color w:val="0000FF"/>
              </w:rPr>
              <w:t>travers les TCA, les partenaires comptent accompagner le pays dans l’élaboration de sa nouvelle stratégie Nationale d’immunisation qui prendra en compte la vision du pays en matière du PEV</w:t>
            </w:r>
            <w:r w:rsidR="00B66C97">
              <w:rPr>
                <w:color w:val="0000FF"/>
              </w:rPr>
              <w:t>, de même que les stratégies pour la recherche des enfants zéro dose.</w:t>
            </w:r>
          </w:p>
          <w:p w14:paraId="034EF840" w14:textId="19FCBC76" w:rsidR="00A957C9" w:rsidRDefault="00736C36" w:rsidP="00FC4A11">
            <w:pPr>
              <w:spacing w:line="300" w:lineRule="exact"/>
              <w:rPr>
                <w:color w:val="0000FF"/>
              </w:rPr>
            </w:pPr>
            <w:r>
              <w:rPr>
                <w:color w:val="0000FF"/>
              </w:rPr>
              <w:t>L'assistance technique mettra un focus au niveau opérationnel, pour su</w:t>
            </w:r>
            <w:r w:rsidR="007B192C">
              <w:rPr>
                <w:color w:val="0000FF"/>
              </w:rPr>
              <w:t>s</w:t>
            </w:r>
            <w:r>
              <w:rPr>
                <w:color w:val="0000FF"/>
              </w:rPr>
              <w:t>citer la demande, améliorer la qualité des service offerts, renforcer la qualité de la gestion des données et de l'information.</w:t>
            </w:r>
          </w:p>
          <w:p w14:paraId="4BEF9AD2" w14:textId="77777777" w:rsidR="00736C36" w:rsidRPr="008B163D" w:rsidRDefault="00736C36" w:rsidP="00FC4A11">
            <w:pPr>
              <w:spacing w:line="300" w:lineRule="exact"/>
              <w:rPr>
                <w:color w:val="0000FF"/>
              </w:rPr>
            </w:pPr>
            <w:r w:rsidRPr="008B163D">
              <w:rPr>
                <w:color w:val="0000FF"/>
              </w:rPr>
              <w:t>Elle sera basée sur les avantages comparatifs de chaque PTF</w:t>
            </w:r>
          </w:p>
          <w:p w14:paraId="2033B8FD" w14:textId="3DCF11EE" w:rsidR="00736C36" w:rsidRPr="006615A7" w:rsidRDefault="00736C36" w:rsidP="00FC4A11">
            <w:pPr>
              <w:spacing w:line="300" w:lineRule="exact"/>
            </w:pPr>
          </w:p>
        </w:tc>
      </w:tr>
    </w:tbl>
    <w:p w14:paraId="658606AB" w14:textId="77777777" w:rsidR="0090123D" w:rsidRPr="006615A7" w:rsidRDefault="0090123D" w:rsidP="00FC4A11">
      <w:pPr>
        <w:spacing w:line="300" w:lineRule="exact"/>
        <w:rPr>
          <w:b/>
          <w:color w:val="70AD47" w:themeColor="accent6"/>
          <w:sz w:val="26"/>
          <w:szCs w:val="26"/>
        </w:rPr>
      </w:pPr>
    </w:p>
    <w:p w14:paraId="603C9386" w14:textId="12619D78" w:rsidR="00AB4B2D" w:rsidRPr="006615A7" w:rsidRDefault="00672E21" w:rsidP="00DE4BB0">
      <w:pPr>
        <w:pStyle w:val="ListParagraph"/>
        <w:numPr>
          <w:ilvl w:val="0"/>
          <w:numId w:val="4"/>
        </w:numPr>
        <w:spacing w:line="300" w:lineRule="exact"/>
        <w:ind w:left="426"/>
      </w:pPr>
      <w:r>
        <w:rPr>
          <w:b/>
          <w:color w:val="70AD47" w:themeColor="accent6"/>
          <w:sz w:val="26"/>
        </w:rPr>
        <w:t>Suivi de l'assistance pays ciblée (1 page)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i/>
                <w:sz w:val="20"/>
              </w:rPr>
              <w:t>6.1</w:t>
            </w:r>
            <w:r>
              <w:rPr>
                <w:b/>
                <w:i/>
                <w:sz w:val="20"/>
              </w:rPr>
              <w:tab/>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Pr>
                <w:b/>
                <w:bCs/>
                <w:i/>
                <w:sz w:val="20"/>
              </w:rPr>
              <w:t>utilisées</w:t>
            </w:r>
            <w:r>
              <w:rPr>
                <w:b/>
                <w:i/>
                <w:sz w:val="20"/>
              </w:rPr>
              <w:t xml:space="preserve"> pour ajuster et améliorer la mise en œuvre du programme ? A quelle fréquence les données sont-elles </w:t>
            </w:r>
            <w:r>
              <w:rPr>
                <w:b/>
                <w:i/>
                <w:sz w:val="20"/>
              </w:rPr>
              <w:lastRenderedPageBreak/>
              <w:t xml:space="preserve">revues et utilisées et qui sera responsable de garantir que cette revue et cet apprentissage ont </w:t>
            </w:r>
            <w:proofErr w:type="gramStart"/>
            <w:r>
              <w:rPr>
                <w:b/>
                <w:i/>
                <w:sz w:val="20"/>
              </w:rPr>
              <w:t>lieu?</w:t>
            </w:r>
            <w:proofErr w:type="gramEnd"/>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702F1A31" w14:textId="77777777" w:rsidR="008B163D" w:rsidRDefault="008B163D" w:rsidP="00FC4A11">
            <w:pPr>
              <w:spacing w:line="300" w:lineRule="exact"/>
              <w:rPr>
                <w:rFonts w:ascii="Arial'" w:hAnsi="Arial'"/>
                <w:color w:val="0000FF"/>
              </w:rPr>
            </w:pPr>
          </w:p>
          <w:p w14:paraId="4152FFA2" w14:textId="3005F906" w:rsidR="00624D9C" w:rsidRDefault="00736C36" w:rsidP="00FC4A11">
            <w:pPr>
              <w:spacing w:line="300" w:lineRule="exact"/>
              <w:rPr>
                <w:rFonts w:ascii="Arial'" w:hAnsi="Arial'"/>
                <w:color w:val="0000FF"/>
              </w:rPr>
            </w:pPr>
            <w:r w:rsidRPr="008B163D">
              <w:rPr>
                <w:rFonts w:ascii="Arial'" w:hAnsi="Arial'"/>
                <w:b/>
                <w:bCs/>
                <w:color w:val="0000FF"/>
              </w:rPr>
              <w:t>1. Cadre de mise en œuvre</w:t>
            </w:r>
            <w:r w:rsidR="00333A5C" w:rsidRPr="008B163D">
              <w:rPr>
                <w:rFonts w:ascii="Arial'" w:hAnsi="Arial'"/>
                <w:b/>
                <w:bCs/>
                <w:color w:val="0000FF"/>
              </w:rPr>
              <w:t> :</w:t>
            </w:r>
            <w:r w:rsidR="00333A5C">
              <w:rPr>
                <w:rFonts w:ascii="Arial'" w:hAnsi="Arial'"/>
                <w:color w:val="0000FF"/>
              </w:rPr>
              <w:t xml:space="preserve"> Il </w:t>
            </w:r>
            <w:r w:rsidR="00624D9C">
              <w:rPr>
                <w:rFonts w:ascii="Arial'" w:hAnsi="Arial'"/>
                <w:color w:val="0000FF"/>
              </w:rPr>
              <w:t xml:space="preserve">va s’appuyer </w:t>
            </w:r>
            <w:r>
              <w:rPr>
                <w:rFonts w:ascii="Arial'" w:hAnsi="Arial'"/>
                <w:color w:val="0000FF"/>
              </w:rPr>
              <w:t>sur les leçons apprises des précédents TCA et de l’évaluation conjointe</w:t>
            </w:r>
            <w:r w:rsidR="00624D9C">
              <w:rPr>
                <w:rFonts w:ascii="Arial'" w:hAnsi="Arial'"/>
                <w:color w:val="0000FF"/>
              </w:rPr>
              <w:t xml:space="preserve">. </w:t>
            </w:r>
          </w:p>
          <w:p w14:paraId="7683F68F" w14:textId="77777777" w:rsidR="00624D9C" w:rsidRDefault="00624D9C" w:rsidP="00FC4A11">
            <w:pPr>
              <w:spacing w:line="300" w:lineRule="exact"/>
              <w:rPr>
                <w:rFonts w:ascii="Arial'" w:hAnsi="Arial'"/>
                <w:color w:val="0000FF"/>
              </w:rPr>
            </w:pPr>
            <w:r>
              <w:rPr>
                <w:rFonts w:ascii="Arial'" w:hAnsi="Arial'"/>
                <w:color w:val="0000FF"/>
              </w:rPr>
              <w:t>L</w:t>
            </w:r>
            <w:r w:rsidR="00736C36">
              <w:rPr>
                <w:rFonts w:ascii="Arial'" w:hAnsi="Arial'"/>
                <w:color w:val="0000FF"/>
              </w:rPr>
              <w:t xml:space="preserve">e dispositif TCA vise à renforcer le ministère de la santé dans la mise en œuvre des activités et améliorer les performances du PEV </w:t>
            </w:r>
          </w:p>
          <w:p w14:paraId="7A0172B8" w14:textId="77777777" w:rsidR="00E97886" w:rsidRDefault="00736C36" w:rsidP="00FC4A11">
            <w:pPr>
              <w:spacing w:line="300" w:lineRule="exact"/>
              <w:rPr>
                <w:rFonts w:ascii="Arial'" w:hAnsi="Arial'"/>
                <w:color w:val="0000FF"/>
              </w:rPr>
            </w:pPr>
            <w:r>
              <w:rPr>
                <w:rFonts w:ascii="Arial'" w:hAnsi="Arial'"/>
                <w:color w:val="0000FF"/>
              </w:rPr>
              <w:t>1.1 Principes directeurs</w:t>
            </w:r>
            <w:r w:rsidR="00333A5C">
              <w:rPr>
                <w:rFonts w:ascii="Arial'" w:hAnsi="Arial'"/>
                <w:color w:val="0000FF"/>
              </w:rPr>
              <w:t> :</w:t>
            </w:r>
            <w:r>
              <w:rPr>
                <w:rFonts w:ascii="Arial'" w:hAnsi="Arial'"/>
                <w:color w:val="0000FF"/>
              </w:rPr>
              <w:t xml:space="preserve"> Les principes directeurs qui vont guider la mise en œuvre des TCA et la répartition des rôles des différents partenaires </w:t>
            </w:r>
            <w:r w:rsidR="00E97886">
              <w:rPr>
                <w:rFonts w:ascii="Arial'" w:hAnsi="Arial'"/>
                <w:color w:val="0000FF"/>
              </w:rPr>
              <w:t xml:space="preserve">sont : </w:t>
            </w:r>
          </w:p>
          <w:p w14:paraId="16618E7C" w14:textId="77777777" w:rsidR="00E97886" w:rsidRDefault="00736C36" w:rsidP="00FC4A11">
            <w:pPr>
              <w:spacing w:line="300" w:lineRule="exact"/>
              <w:rPr>
                <w:rFonts w:ascii="Arial'" w:hAnsi="Arial'"/>
                <w:color w:val="0000FF"/>
              </w:rPr>
            </w:pPr>
            <w:r>
              <w:rPr>
                <w:rFonts w:ascii="Arial'" w:hAnsi="Arial'"/>
                <w:color w:val="0000FF"/>
              </w:rPr>
              <w:t xml:space="preserve">• L’harmonisation et alignement des financements pour garantir que le plan est mis en œuvre de façon efficiente </w:t>
            </w:r>
          </w:p>
          <w:p w14:paraId="1745445E" w14:textId="44FC1940" w:rsidR="00624D9C" w:rsidRDefault="00736C36" w:rsidP="00FC4A11">
            <w:pPr>
              <w:spacing w:line="300" w:lineRule="exact"/>
              <w:rPr>
                <w:rFonts w:ascii="Arial'" w:hAnsi="Arial'"/>
                <w:color w:val="0000FF"/>
              </w:rPr>
            </w:pPr>
            <w:r>
              <w:rPr>
                <w:rFonts w:ascii="Arial'" w:hAnsi="Arial'"/>
                <w:color w:val="0000FF"/>
              </w:rPr>
              <w:t xml:space="preserve">• La responsabilité mutuelle pour l'atteinte des résultats à travers le renforcement des cadres de dialogue et de suivi et évaluation des résultats. </w:t>
            </w:r>
          </w:p>
          <w:p w14:paraId="119CDCB0" w14:textId="77777777" w:rsidR="00624D9C" w:rsidRDefault="00736C36" w:rsidP="00FC4A11">
            <w:pPr>
              <w:spacing w:line="300" w:lineRule="exact"/>
              <w:rPr>
                <w:rFonts w:ascii="Arial'" w:hAnsi="Arial'"/>
                <w:color w:val="0000FF"/>
              </w:rPr>
            </w:pPr>
            <w:r>
              <w:rPr>
                <w:rFonts w:ascii="Arial'" w:hAnsi="Arial'"/>
                <w:color w:val="0000FF"/>
              </w:rPr>
              <w:t xml:space="preserve">1.2 Responsabilités dans la mise en œuvre des TCA </w:t>
            </w:r>
          </w:p>
          <w:p w14:paraId="0ED1935C" w14:textId="59D34604" w:rsidR="00624D9C" w:rsidRDefault="00E97886" w:rsidP="00FC4A11">
            <w:pPr>
              <w:spacing w:line="300" w:lineRule="exact"/>
              <w:rPr>
                <w:rFonts w:ascii="Arial'" w:hAnsi="Arial'"/>
                <w:color w:val="0000FF"/>
              </w:rPr>
            </w:pPr>
            <w:r>
              <w:rPr>
                <w:rFonts w:ascii="Arial'" w:hAnsi="Arial'"/>
                <w:color w:val="0000FF"/>
              </w:rPr>
              <w:t xml:space="preserve">    </w:t>
            </w:r>
            <w:r w:rsidR="00736C36">
              <w:rPr>
                <w:rFonts w:ascii="Arial'" w:hAnsi="Arial'"/>
                <w:color w:val="0000FF"/>
              </w:rPr>
              <w:t>1.2.1 Rôle du CCIA</w:t>
            </w:r>
            <w:r>
              <w:rPr>
                <w:rFonts w:ascii="Arial'" w:hAnsi="Arial'"/>
                <w:color w:val="0000FF"/>
              </w:rPr>
              <w:t xml:space="preserve"> : </w:t>
            </w:r>
            <w:r w:rsidR="00736C36">
              <w:rPr>
                <w:rFonts w:ascii="Arial'" w:hAnsi="Arial'"/>
                <w:color w:val="0000FF"/>
              </w:rPr>
              <w:t xml:space="preserve">Le CCIA fait le suivi de la mise en œuvre des TCA et analyse les performances du pays </w:t>
            </w:r>
            <w:proofErr w:type="gramStart"/>
            <w:r w:rsidR="00736C36">
              <w:rPr>
                <w:rFonts w:ascii="Arial'" w:hAnsi="Arial'"/>
                <w:color w:val="0000FF"/>
              </w:rPr>
              <w:t>suite au</w:t>
            </w:r>
            <w:r w:rsidR="00C0556D">
              <w:rPr>
                <w:rFonts w:ascii="Arial'" w:hAnsi="Arial'"/>
                <w:color w:val="0000FF"/>
              </w:rPr>
              <w:t>x</w:t>
            </w:r>
            <w:proofErr w:type="gramEnd"/>
            <w:r w:rsidR="00736C36">
              <w:rPr>
                <w:rFonts w:ascii="Arial'" w:hAnsi="Arial'"/>
                <w:color w:val="0000FF"/>
              </w:rPr>
              <w:t xml:space="preserve"> appuis technique</w:t>
            </w:r>
            <w:r w:rsidR="00C0556D">
              <w:rPr>
                <w:rFonts w:ascii="Arial'" w:hAnsi="Arial'"/>
                <w:color w:val="0000FF"/>
              </w:rPr>
              <w:t>s</w:t>
            </w:r>
            <w:r w:rsidR="00736C36">
              <w:rPr>
                <w:rFonts w:ascii="Arial'" w:hAnsi="Arial'"/>
                <w:color w:val="0000FF"/>
              </w:rPr>
              <w:t xml:space="preserve"> </w:t>
            </w:r>
            <w:proofErr w:type="spellStart"/>
            <w:r w:rsidR="00736C36">
              <w:rPr>
                <w:rFonts w:ascii="Arial'" w:hAnsi="Arial'"/>
                <w:color w:val="0000FF"/>
              </w:rPr>
              <w:t>founis</w:t>
            </w:r>
            <w:proofErr w:type="spellEnd"/>
            <w:r w:rsidR="00736C36">
              <w:rPr>
                <w:rFonts w:ascii="Arial'" w:hAnsi="Arial'"/>
                <w:color w:val="0000FF"/>
              </w:rPr>
              <w:t xml:space="preserve"> par les partenaires. </w:t>
            </w:r>
          </w:p>
          <w:p w14:paraId="6C9FD0D6" w14:textId="49543008" w:rsidR="00624D9C" w:rsidRDefault="00C0556D" w:rsidP="00863875">
            <w:pPr>
              <w:spacing w:line="300" w:lineRule="exact"/>
              <w:jc w:val="both"/>
              <w:rPr>
                <w:rFonts w:ascii="Arial'" w:hAnsi="Arial'"/>
                <w:color w:val="0000FF"/>
              </w:rPr>
            </w:pPr>
            <w:r>
              <w:rPr>
                <w:rFonts w:ascii="Arial'" w:hAnsi="Arial'"/>
                <w:color w:val="0000FF"/>
              </w:rPr>
              <w:t xml:space="preserve">   </w:t>
            </w:r>
            <w:r w:rsidR="00736C36">
              <w:rPr>
                <w:rFonts w:ascii="Arial'" w:hAnsi="Arial'"/>
                <w:color w:val="0000FF"/>
              </w:rPr>
              <w:t>1.2.2 Rôle du Ministère</w:t>
            </w:r>
            <w:r>
              <w:rPr>
                <w:rFonts w:ascii="Arial'" w:hAnsi="Arial'"/>
                <w:color w:val="0000FF"/>
              </w:rPr>
              <w:t xml:space="preserve"> : </w:t>
            </w:r>
            <w:r w:rsidR="00736C36">
              <w:rPr>
                <w:rFonts w:ascii="Arial'" w:hAnsi="Arial'"/>
                <w:color w:val="0000FF"/>
              </w:rPr>
              <w:t>Le Ministère de la Santé assurera la gestion des ressources mises à sa disposition pour la réalisation des objectifs du plan RSS et du soutien aux nouveaux vaccins</w:t>
            </w:r>
            <w:r>
              <w:rPr>
                <w:rFonts w:ascii="Arial'" w:hAnsi="Arial'"/>
                <w:color w:val="0000FF"/>
              </w:rPr>
              <w:t>.</w:t>
            </w:r>
            <w:r w:rsidR="00736C36">
              <w:rPr>
                <w:rFonts w:ascii="Arial'" w:hAnsi="Arial'"/>
                <w:color w:val="0000FF"/>
              </w:rPr>
              <w:t xml:space="preserve"> Le </w:t>
            </w:r>
            <w:r w:rsidR="00875BE3">
              <w:rPr>
                <w:rFonts w:ascii="Arial'" w:hAnsi="Arial'"/>
                <w:color w:val="0000FF"/>
              </w:rPr>
              <w:t>M</w:t>
            </w:r>
            <w:r w:rsidR="00736C36">
              <w:rPr>
                <w:rFonts w:ascii="Arial'" w:hAnsi="Arial'"/>
                <w:color w:val="0000FF"/>
              </w:rPr>
              <w:t xml:space="preserve">inistère adressera à temps les besoins d’appuis techniques aux partenaires selon les domaines identifiés à travers des requêtes. </w:t>
            </w:r>
          </w:p>
          <w:p w14:paraId="1C8EA739" w14:textId="2AE19D4E" w:rsidR="00624D9C" w:rsidRDefault="009524CA" w:rsidP="00863875">
            <w:pPr>
              <w:spacing w:line="300" w:lineRule="exact"/>
              <w:jc w:val="both"/>
              <w:rPr>
                <w:rFonts w:ascii="Arial'" w:hAnsi="Arial'"/>
                <w:color w:val="0000FF"/>
              </w:rPr>
            </w:pPr>
            <w:r>
              <w:rPr>
                <w:rFonts w:ascii="Arial'" w:hAnsi="Arial'"/>
                <w:color w:val="0000FF"/>
              </w:rPr>
              <w:t xml:space="preserve">   </w:t>
            </w:r>
            <w:r w:rsidR="00736C36">
              <w:rPr>
                <w:rFonts w:ascii="Arial'" w:hAnsi="Arial'"/>
                <w:color w:val="0000FF"/>
              </w:rPr>
              <w:t>1.2.3 Rôle des Partenaires</w:t>
            </w:r>
            <w:r>
              <w:rPr>
                <w:rFonts w:ascii="Arial'" w:hAnsi="Arial'"/>
                <w:color w:val="0000FF"/>
              </w:rPr>
              <w:t xml:space="preserve"> : </w:t>
            </w:r>
            <w:r w:rsidR="00736C36">
              <w:rPr>
                <w:rFonts w:ascii="Arial'" w:hAnsi="Arial'"/>
                <w:color w:val="0000FF"/>
              </w:rPr>
              <w:t xml:space="preserve">Les partenaires techniques vont mobiliser les compétences techniques tant au niveau national et/ou international pour répondre aux besoins des requêtes adressées par le Ministère en charge de la santé </w:t>
            </w:r>
          </w:p>
          <w:p w14:paraId="735EF2CC" w14:textId="77777777" w:rsidR="00624D9C" w:rsidRDefault="00624D9C" w:rsidP="00863875">
            <w:pPr>
              <w:spacing w:line="300" w:lineRule="exact"/>
              <w:jc w:val="both"/>
              <w:rPr>
                <w:rFonts w:ascii="Arial'" w:hAnsi="Arial'"/>
                <w:color w:val="0000FF"/>
              </w:rPr>
            </w:pPr>
          </w:p>
          <w:p w14:paraId="2DC63B20" w14:textId="16EF64DF" w:rsidR="00AB4B2D" w:rsidRDefault="00736C36" w:rsidP="00863875">
            <w:pPr>
              <w:spacing w:line="300" w:lineRule="exact"/>
              <w:jc w:val="both"/>
              <w:rPr>
                <w:rFonts w:ascii="Arial'" w:hAnsi="Arial'"/>
                <w:color w:val="0000FF"/>
              </w:rPr>
            </w:pPr>
            <w:r w:rsidRPr="008B163D">
              <w:rPr>
                <w:rFonts w:ascii="Arial'" w:hAnsi="Arial'"/>
                <w:b/>
                <w:bCs/>
                <w:color w:val="0000FF"/>
              </w:rPr>
              <w:t>2. Suivi et évaluation</w:t>
            </w:r>
            <w:r w:rsidR="009524CA" w:rsidRPr="008B163D">
              <w:rPr>
                <w:rFonts w:ascii="Arial'" w:hAnsi="Arial'"/>
                <w:b/>
                <w:bCs/>
                <w:color w:val="0000FF"/>
              </w:rPr>
              <w:t> :</w:t>
            </w:r>
            <w:r w:rsidR="009524CA">
              <w:rPr>
                <w:rFonts w:ascii="Arial'" w:hAnsi="Arial'"/>
                <w:color w:val="0000FF"/>
              </w:rPr>
              <w:t xml:space="preserve"> </w:t>
            </w:r>
            <w:r>
              <w:rPr>
                <w:rFonts w:ascii="Arial'" w:hAnsi="Arial'"/>
                <w:color w:val="0000FF"/>
              </w:rPr>
              <w:t>Le suivi et l’évaluation de la mise en œuvre des TCA s’appuiera sur les indicateurs et cibles définis au niveau du PEF et dans le plan TCA. Un rapport semestriel sur l'état d'avancement de la mise en œuvre de l'aide ciblée au pays sera élaboré et soumis sur le portail GAVI en Juin et en Octobre chaque année. Les évaluations conjointes seront un créneau pour présenter les appuis fournis au ministère en charge de la santé pour l’amélioration des performances du pays. Par ailleurs les réunions mensuelles organisées par le PEV seront un cadre de suivi de la mise en œuvre des TCA et d’identification des besoins d’assistance additionnelle à programmer.</w:t>
            </w:r>
            <w:r w:rsidR="00330DEE">
              <w:rPr>
                <w:rFonts w:ascii="Arial'" w:hAnsi="Arial'"/>
                <w:color w:val="0000FF"/>
              </w:rPr>
              <w:t xml:space="preserve"> </w:t>
            </w:r>
            <w:proofErr w:type="gramStart"/>
            <w:r w:rsidR="00330DEE">
              <w:rPr>
                <w:rFonts w:ascii="Arial'" w:hAnsi="Arial'"/>
                <w:color w:val="0000FF"/>
              </w:rPr>
              <w:t>Les rapport</w:t>
            </w:r>
            <w:proofErr w:type="gramEnd"/>
            <w:r w:rsidR="00330DEE">
              <w:rPr>
                <w:rFonts w:ascii="Arial'" w:hAnsi="Arial'"/>
                <w:color w:val="0000FF"/>
              </w:rPr>
              <w:t xml:space="preserve"> d’étapes seront partagés avec le CCIA.</w:t>
            </w:r>
          </w:p>
          <w:p w14:paraId="635EF35F" w14:textId="1C957C17" w:rsidR="00624D9C" w:rsidRPr="006615A7" w:rsidRDefault="00624D9C" w:rsidP="00FC4A11">
            <w:pPr>
              <w:spacing w:line="300" w:lineRule="exact"/>
            </w:pPr>
          </w:p>
        </w:tc>
      </w:tr>
      <w:tr w:rsidR="00E97886" w:rsidRPr="006A272B" w14:paraId="012EE8C3" w14:textId="77777777" w:rsidTr="007612C6">
        <w:tc>
          <w:tcPr>
            <w:tcW w:w="9214" w:type="dxa"/>
            <w:tcBorders>
              <w:top w:val="single" w:sz="4" w:space="0" w:color="auto"/>
              <w:left w:val="single" w:sz="4" w:space="0" w:color="auto"/>
              <w:bottom w:val="single" w:sz="4" w:space="0" w:color="auto"/>
              <w:right w:val="single" w:sz="4" w:space="0" w:color="auto"/>
            </w:tcBorders>
          </w:tcPr>
          <w:p w14:paraId="255D23B0" w14:textId="77777777" w:rsidR="00E97886" w:rsidRDefault="00E97886" w:rsidP="00FC4A11">
            <w:pPr>
              <w:spacing w:line="300" w:lineRule="exact"/>
              <w:rPr>
                <w:rFonts w:ascii="Arial'" w:hAnsi="Arial'"/>
                <w:color w:val="0000FF"/>
              </w:rPr>
            </w:pPr>
          </w:p>
        </w:tc>
      </w:tr>
    </w:tbl>
    <w:p w14:paraId="146AE6CC" w14:textId="77777777" w:rsidR="007612C6" w:rsidRPr="006615A7" w:rsidRDefault="007612C6" w:rsidP="00FC4A11">
      <w:pPr>
        <w:spacing w:line="300" w:lineRule="exact"/>
      </w:pPr>
    </w:p>
    <w:sectPr w:rsidR="007612C6" w:rsidRPr="006615A7" w:rsidSect="007E71D0">
      <w:headerReference w:type="even" r:id="rId15"/>
      <w:headerReference w:type="default" r:id="rId16"/>
      <w:footerReference w:type="even" r:id="rId17"/>
      <w:footerReference w:type="default" r:id="rId18"/>
      <w:headerReference w:type="first" r:id="rId19"/>
      <w:footerReference w:type="first" r:id="rId20"/>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AAE1" w14:textId="77777777" w:rsidR="0050461E" w:rsidRDefault="0050461E" w:rsidP="00431CA9">
      <w:pPr>
        <w:spacing w:line="240" w:lineRule="auto"/>
      </w:pPr>
      <w:r>
        <w:separator/>
      </w:r>
    </w:p>
  </w:endnote>
  <w:endnote w:type="continuationSeparator" w:id="0">
    <w:p w14:paraId="12C33A19" w14:textId="77777777" w:rsidR="0050461E" w:rsidRDefault="0050461E" w:rsidP="00431CA9">
      <w:pPr>
        <w:spacing w:line="240" w:lineRule="auto"/>
      </w:pPr>
      <w:r>
        <w:continuationSeparator/>
      </w:r>
    </w:p>
  </w:endnote>
  <w:endnote w:type="continuationNotice" w:id="1">
    <w:p w14:paraId="05F3DEAD" w14:textId="77777777" w:rsidR="0050461E" w:rsidRDefault="005046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7B84" w14:textId="77777777" w:rsidR="00616365" w:rsidRDefault="00616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65A9C54C" w:rsidR="00616365" w:rsidRDefault="00616365">
        <w:pPr>
          <w:pStyle w:val="Footer"/>
        </w:pPr>
        <w:r w:rsidRPr="00DA777C">
          <w:rPr>
            <w:sz w:val="20"/>
          </w:rPr>
          <w:fldChar w:fldCharType="begin"/>
        </w:r>
        <w:r w:rsidRPr="00DA777C">
          <w:rPr>
            <w:sz w:val="20"/>
          </w:rPr>
          <w:instrText xml:space="preserve"> PAGE   \* MERGEFORMAT </w:instrText>
        </w:r>
        <w:r w:rsidRPr="00DA777C">
          <w:rPr>
            <w:sz w:val="20"/>
          </w:rPr>
          <w:fldChar w:fldCharType="separate"/>
        </w:r>
        <w:r>
          <w:rPr>
            <w:noProof/>
            <w:sz w:val="20"/>
          </w:rPr>
          <w:t>13</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ED1C" w14:textId="77777777" w:rsidR="00616365" w:rsidRDefault="00616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AE50" w14:textId="77777777" w:rsidR="0050461E" w:rsidRDefault="0050461E" w:rsidP="00431CA9">
      <w:pPr>
        <w:spacing w:line="240" w:lineRule="auto"/>
      </w:pPr>
      <w:r>
        <w:separator/>
      </w:r>
    </w:p>
  </w:footnote>
  <w:footnote w:type="continuationSeparator" w:id="0">
    <w:p w14:paraId="2AA7E98A" w14:textId="77777777" w:rsidR="0050461E" w:rsidRDefault="0050461E" w:rsidP="00431CA9">
      <w:pPr>
        <w:spacing w:line="240" w:lineRule="auto"/>
      </w:pPr>
      <w:r>
        <w:continuationSeparator/>
      </w:r>
    </w:p>
  </w:footnote>
  <w:footnote w:type="continuationNotice" w:id="1">
    <w:p w14:paraId="3914C2DC" w14:textId="77777777" w:rsidR="0050461E" w:rsidRDefault="005046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69F" w14:textId="77777777" w:rsidR="00616365" w:rsidRDefault="00616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616365" w:rsidRDefault="00616365">
    <w:pPr>
      <w:pStyle w:val="Header"/>
    </w:pPr>
    <w:r>
      <w:rPr>
        <w:noProof/>
        <w:lang w:eastAsia="fr-FR"/>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616365" w:rsidRDefault="00616365"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616365" w:rsidRPr="00C4436D" w:rsidRDefault="00616365" w:rsidP="00055BF9">
                          <w:pPr>
                            <w:rPr>
                              <w:color w:val="0070C0"/>
                            </w:rPr>
                          </w:pPr>
                          <w:r>
                            <w:rPr>
                              <w:color w:val="0070C0"/>
                            </w:rPr>
                            <w:t>Avril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616365" w:rsidRDefault="00616365"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616365" w:rsidRPr="00C4436D" w:rsidRDefault="00616365" w:rsidP="00055BF9">
                    <w:pPr>
                      <w:rPr>
                        <w:color w:val="0070C0"/>
                      </w:rPr>
                    </w:pPr>
                    <w:r>
                      <w:rPr>
                        <w:color w:val="0070C0"/>
                      </w:rPr>
                      <w:t>Avril 2022</w:t>
                    </w:r>
                  </w:p>
                </w:txbxContent>
              </v:textbox>
              <w10:wrap anchorx="page" anchory="margin"/>
            </v:shape>
          </w:pict>
        </mc:Fallback>
      </mc:AlternateContent>
    </w:r>
    <w:r>
      <w:rPr>
        <w:noProof/>
        <w:lang w:eastAsia="fr-FR"/>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9251F6"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Pr>
        <w:noProof/>
        <w:lang w:eastAsia="fr-FR"/>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616365" w:rsidRDefault="00616365"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616365" w:rsidRDefault="00616365" w:rsidP="00892432">
                    <w:pPr>
                      <w:jc w:val="center"/>
                    </w:pPr>
                  </w:p>
                </w:txbxContent>
              </v:textbox>
              <w10:wrap anchorx="page" anchory="page"/>
            </v:rect>
          </w:pict>
        </mc:Fallback>
      </mc:AlternateContent>
    </w:r>
    <w:r>
      <w:rPr>
        <w:noProof/>
        <w:lang w:eastAsia="fr-FR"/>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3150" w14:textId="77777777" w:rsidR="00616365" w:rsidRDefault="00616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7424C"/>
    <w:multiLevelType w:val="hybridMultilevel"/>
    <w:tmpl w:val="3094181A"/>
    <w:lvl w:ilvl="0" w:tplc="FF2CFA46">
      <w:start w:val="1"/>
      <w:numFmt w:val="bullet"/>
      <w:lvlText w:val="•"/>
      <w:lvlJc w:val="left"/>
      <w:pPr>
        <w:tabs>
          <w:tab w:val="num" w:pos="720"/>
        </w:tabs>
        <w:ind w:left="720" w:hanging="360"/>
      </w:pPr>
      <w:rPr>
        <w:rFonts w:ascii="Arial" w:hAnsi="Arial" w:hint="default"/>
      </w:rPr>
    </w:lvl>
    <w:lvl w:ilvl="1" w:tplc="E11CB14A" w:tentative="1">
      <w:start w:val="1"/>
      <w:numFmt w:val="bullet"/>
      <w:lvlText w:val="•"/>
      <w:lvlJc w:val="left"/>
      <w:pPr>
        <w:tabs>
          <w:tab w:val="num" w:pos="1440"/>
        </w:tabs>
        <w:ind w:left="1440" w:hanging="360"/>
      </w:pPr>
      <w:rPr>
        <w:rFonts w:ascii="Arial" w:hAnsi="Arial" w:hint="default"/>
      </w:rPr>
    </w:lvl>
    <w:lvl w:ilvl="2" w:tplc="1472A814" w:tentative="1">
      <w:start w:val="1"/>
      <w:numFmt w:val="bullet"/>
      <w:lvlText w:val="•"/>
      <w:lvlJc w:val="left"/>
      <w:pPr>
        <w:tabs>
          <w:tab w:val="num" w:pos="2160"/>
        </w:tabs>
        <w:ind w:left="2160" w:hanging="360"/>
      </w:pPr>
      <w:rPr>
        <w:rFonts w:ascii="Arial" w:hAnsi="Arial" w:hint="default"/>
      </w:rPr>
    </w:lvl>
    <w:lvl w:ilvl="3" w:tplc="A3AEB2B6" w:tentative="1">
      <w:start w:val="1"/>
      <w:numFmt w:val="bullet"/>
      <w:lvlText w:val="•"/>
      <w:lvlJc w:val="left"/>
      <w:pPr>
        <w:tabs>
          <w:tab w:val="num" w:pos="2880"/>
        </w:tabs>
        <w:ind w:left="2880" w:hanging="360"/>
      </w:pPr>
      <w:rPr>
        <w:rFonts w:ascii="Arial" w:hAnsi="Arial" w:hint="default"/>
      </w:rPr>
    </w:lvl>
    <w:lvl w:ilvl="4" w:tplc="66FEBE9E" w:tentative="1">
      <w:start w:val="1"/>
      <w:numFmt w:val="bullet"/>
      <w:lvlText w:val="•"/>
      <w:lvlJc w:val="left"/>
      <w:pPr>
        <w:tabs>
          <w:tab w:val="num" w:pos="3600"/>
        </w:tabs>
        <w:ind w:left="3600" w:hanging="360"/>
      </w:pPr>
      <w:rPr>
        <w:rFonts w:ascii="Arial" w:hAnsi="Arial" w:hint="default"/>
      </w:rPr>
    </w:lvl>
    <w:lvl w:ilvl="5" w:tplc="22B4CDD2" w:tentative="1">
      <w:start w:val="1"/>
      <w:numFmt w:val="bullet"/>
      <w:lvlText w:val="•"/>
      <w:lvlJc w:val="left"/>
      <w:pPr>
        <w:tabs>
          <w:tab w:val="num" w:pos="4320"/>
        </w:tabs>
        <w:ind w:left="4320" w:hanging="360"/>
      </w:pPr>
      <w:rPr>
        <w:rFonts w:ascii="Arial" w:hAnsi="Arial" w:hint="default"/>
      </w:rPr>
    </w:lvl>
    <w:lvl w:ilvl="6" w:tplc="67AEECD0" w:tentative="1">
      <w:start w:val="1"/>
      <w:numFmt w:val="bullet"/>
      <w:lvlText w:val="•"/>
      <w:lvlJc w:val="left"/>
      <w:pPr>
        <w:tabs>
          <w:tab w:val="num" w:pos="5040"/>
        </w:tabs>
        <w:ind w:left="5040" w:hanging="360"/>
      </w:pPr>
      <w:rPr>
        <w:rFonts w:ascii="Arial" w:hAnsi="Arial" w:hint="default"/>
      </w:rPr>
    </w:lvl>
    <w:lvl w:ilvl="7" w:tplc="87400F2A" w:tentative="1">
      <w:start w:val="1"/>
      <w:numFmt w:val="bullet"/>
      <w:lvlText w:val="•"/>
      <w:lvlJc w:val="left"/>
      <w:pPr>
        <w:tabs>
          <w:tab w:val="num" w:pos="5760"/>
        </w:tabs>
        <w:ind w:left="5760" w:hanging="360"/>
      </w:pPr>
      <w:rPr>
        <w:rFonts w:ascii="Arial" w:hAnsi="Arial" w:hint="default"/>
      </w:rPr>
    </w:lvl>
    <w:lvl w:ilvl="8" w:tplc="1ED073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F3D3FC8"/>
    <w:multiLevelType w:val="hybridMultilevel"/>
    <w:tmpl w:val="43EA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30C6C"/>
    <w:multiLevelType w:val="hybridMultilevel"/>
    <w:tmpl w:val="74E25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4A93348B"/>
    <w:multiLevelType w:val="hybridMultilevel"/>
    <w:tmpl w:val="D62CE82C"/>
    <w:lvl w:ilvl="0" w:tplc="71A43FF0">
      <w:start w:val="1"/>
      <w:numFmt w:val="bullet"/>
      <w:lvlText w:val="●"/>
      <w:lvlJc w:val="left"/>
      <w:pPr>
        <w:tabs>
          <w:tab w:val="num" w:pos="720"/>
        </w:tabs>
        <w:ind w:left="720" w:hanging="360"/>
      </w:pPr>
      <w:rPr>
        <w:rFonts w:ascii="Calibri" w:hAnsi="Calibri" w:hint="default"/>
      </w:rPr>
    </w:lvl>
    <w:lvl w:ilvl="1" w:tplc="27C86CE4">
      <w:numFmt w:val="bullet"/>
      <w:lvlText w:val="o"/>
      <w:lvlJc w:val="left"/>
      <w:pPr>
        <w:tabs>
          <w:tab w:val="num" w:pos="928"/>
        </w:tabs>
        <w:ind w:left="928" w:hanging="360"/>
      </w:pPr>
      <w:rPr>
        <w:rFonts w:ascii="Courier New" w:hAnsi="Courier New" w:hint="default"/>
      </w:rPr>
    </w:lvl>
    <w:lvl w:ilvl="2" w:tplc="FC0295F4" w:tentative="1">
      <w:start w:val="1"/>
      <w:numFmt w:val="bullet"/>
      <w:lvlText w:val="●"/>
      <w:lvlJc w:val="left"/>
      <w:pPr>
        <w:tabs>
          <w:tab w:val="num" w:pos="2160"/>
        </w:tabs>
        <w:ind w:left="2160" w:hanging="360"/>
      </w:pPr>
      <w:rPr>
        <w:rFonts w:ascii="Calibri" w:hAnsi="Calibri" w:hint="default"/>
      </w:rPr>
    </w:lvl>
    <w:lvl w:ilvl="3" w:tplc="3AFC52A6" w:tentative="1">
      <w:start w:val="1"/>
      <w:numFmt w:val="bullet"/>
      <w:lvlText w:val="●"/>
      <w:lvlJc w:val="left"/>
      <w:pPr>
        <w:tabs>
          <w:tab w:val="num" w:pos="2880"/>
        </w:tabs>
        <w:ind w:left="2880" w:hanging="360"/>
      </w:pPr>
      <w:rPr>
        <w:rFonts w:ascii="Calibri" w:hAnsi="Calibri" w:hint="default"/>
      </w:rPr>
    </w:lvl>
    <w:lvl w:ilvl="4" w:tplc="2FD8FC5E" w:tentative="1">
      <w:start w:val="1"/>
      <w:numFmt w:val="bullet"/>
      <w:lvlText w:val="●"/>
      <w:lvlJc w:val="left"/>
      <w:pPr>
        <w:tabs>
          <w:tab w:val="num" w:pos="3600"/>
        </w:tabs>
        <w:ind w:left="3600" w:hanging="360"/>
      </w:pPr>
      <w:rPr>
        <w:rFonts w:ascii="Calibri" w:hAnsi="Calibri" w:hint="default"/>
      </w:rPr>
    </w:lvl>
    <w:lvl w:ilvl="5" w:tplc="27A42E1E" w:tentative="1">
      <w:start w:val="1"/>
      <w:numFmt w:val="bullet"/>
      <w:lvlText w:val="●"/>
      <w:lvlJc w:val="left"/>
      <w:pPr>
        <w:tabs>
          <w:tab w:val="num" w:pos="4320"/>
        </w:tabs>
        <w:ind w:left="4320" w:hanging="360"/>
      </w:pPr>
      <w:rPr>
        <w:rFonts w:ascii="Calibri" w:hAnsi="Calibri" w:hint="default"/>
      </w:rPr>
    </w:lvl>
    <w:lvl w:ilvl="6" w:tplc="A50A09AC" w:tentative="1">
      <w:start w:val="1"/>
      <w:numFmt w:val="bullet"/>
      <w:lvlText w:val="●"/>
      <w:lvlJc w:val="left"/>
      <w:pPr>
        <w:tabs>
          <w:tab w:val="num" w:pos="5040"/>
        </w:tabs>
        <w:ind w:left="5040" w:hanging="360"/>
      </w:pPr>
      <w:rPr>
        <w:rFonts w:ascii="Calibri" w:hAnsi="Calibri" w:hint="default"/>
      </w:rPr>
    </w:lvl>
    <w:lvl w:ilvl="7" w:tplc="48B82678" w:tentative="1">
      <w:start w:val="1"/>
      <w:numFmt w:val="bullet"/>
      <w:lvlText w:val="●"/>
      <w:lvlJc w:val="left"/>
      <w:pPr>
        <w:tabs>
          <w:tab w:val="num" w:pos="5760"/>
        </w:tabs>
        <w:ind w:left="5760" w:hanging="360"/>
      </w:pPr>
      <w:rPr>
        <w:rFonts w:ascii="Calibri" w:hAnsi="Calibri" w:hint="default"/>
      </w:rPr>
    </w:lvl>
    <w:lvl w:ilvl="8" w:tplc="2238446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AF735FD"/>
    <w:multiLevelType w:val="hybridMultilevel"/>
    <w:tmpl w:val="0622A3FE"/>
    <w:lvl w:ilvl="0" w:tplc="EBB2D264">
      <w:start w:val="1"/>
      <w:numFmt w:val="bullet"/>
      <w:lvlText w:val="-"/>
      <w:lvlJc w:val="left"/>
      <w:pPr>
        <w:ind w:left="786"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3860BB"/>
    <w:multiLevelType w:val="hybridMultilevel"/>
    <w:tmpl w:val="5B5A2006"/>
    <w:lvl w:ilvl="0" w:tplc="ECAAC59A">
      <w:start w:val="1"/>
      <w:numFmt w:val="bullet"/>
      <w:lvlText w:val="●"/>
      <w:lvlJc w:val="left"/>
      <w:pPr>
        <w:tabs>
          <w:tab w:val="num" w:pos="720"/>
        </w:tabs>
        <w:ind w:left="720" w:hanging="360"/>
      </w:pPr>
      <w:rPr>
        <w:rFonts w:ascii="Calibri" w:hAnsi="Calibri" w:hint="default"/>
      </w:rPr>
    </w:lvl>
    <w:lvl w:ilvl="1" w:tplc="4E801186">
      <w:numFmt w:val="bullet"/>
      <w:lvlText w:val="o"/>
      <w:lvlJc w:val="left"/>
      <w:pPr>
        <w:tabs>
          <w:tab w:val="num" w:pos="1440"/>
        </w:tabs>
        <w:ind w:left="1440" w:hanging="360"/>
      </w:pPr>
      <w:rPr>
        <w:rFonts w:ascii="Courier New" w:hAnsi="Courier New" w:hint="default"/>
      </w:rPr>
    </w:lvl>
    <w:lvl w:ilvl="2" w:tplc="965EFA42" w:tentative="1">
      <w:start w:val="1"/>
      <w:numFmt w:val="bullet"/>
      <w:lvlText w:val="●"/>
      <w:lvlJc w:val="left"/>
      <w:pPr>
        <w:tabs>
          <w:tab w:val="num" w:pos="2160"/>
        </w:tabs>
        <w:ind w:left="2160" w:hanging="360"/>
      </w:pPr>
      <w:rPr>
        <w:rFonts w:ascii="Calibri" w:hAnsi="Calibri" w:hint="default"/>
      </w:rPr>
    </w:lvl>
    <w:lvl w:ilvl="3" w:tplc="600293D2" w:tentative="1">
      <w:start w:val="1"/>
      <w:numFmt w:val="bullet"/>
      <w:lvlText w:val="●"/>
      <w:lvlJc w:val="left"/>
      <w:pPr>
        <w:tabs>
          <w:tab w:val="num" w:pos="2880"/>
        </w:tabs>
        <w:ind w:left="2880" w:hanging="360"/>
      </w:pPr>
      <w:rPr>
        <w:rFonts w:ascii="Calibri" w:hAnsi="Calibri" w:hint="default"/>
      </w:rPr>
    </w:lvl>
    <w:lvl w:ilvl="4" w:tplc="85E4F450" w:tentative="1">
      <w:start w:val="1"/>
      <w:numFmt w:val="bullet"/>
      <w:lvlText w:val="●"/>
      <w:lvlJc w:val="left"/>
      <w:pPr>
        <w:tabs>
          <w:tab w:val="num" w:pos="3600"/>
        </w:tabs>
        <w:ind w:left="3600" w:hanging="360"/>
      </w:pPr>
      <w:rPr>
        <w:rFonts w:ascii="Calibri" w:hAnsi="Calibri" w:hint="default"/>
      </w:rPr>
    </w:lvl>
    <w:lvl w:ilvl="5" w:tplc="69D6A8C4" w:tentative="1">
      <w:start w:val="1"/>
      <w:numFmt w:val="bullet"/>
      <w:lvlText w:val="●"/>
      <w:lvlJc w:val="left"/>
      <w:pPr>
        <w:tabs>
          <w:tab w:val="num" w:pos="4320"/>
        </w:tabs>
        <w:ind w:left="4320" w:hanging="360"/>
      </w:pPr>
      <w:rPr>
        <w:rFonts w:ascii="Calibri" w:hAnsi="Calibri" w:hint="default"/>
      </w:rPr>
    </w:lvl>
    <w:lvl w:ilvl="6" w:tplc="015227FC" w:tentative="1">
      <w:start w:val="1"/>
      <w:numFmt w:val="bullet"/>
      <w:lvlText w:val="●"/>
      <w:lvlJc w:val="left"/>
      <w:pPr>
        <w:tabs>
          <w:tab w:val="num" w:pos="5040"/>
        </w:tabs>
        <w:ind w:left="5040" w:hanging="360"/>
      </w:pPr>
      <w:rPr>
        <w:rFonts w:ascii="Calibri" w:hAnsi="Calibri" w:hint="default"/>
      </w:rPr>
    </w:lvl>
    <w:lvl w:ilvl="7" w:tplc="40009AF6" w:tentative="1">
      <w:start w:val="1"/>
      <w:numFmt w:val="bullet"/>
      <w:lvlText w:val="●"/>
      <w:lvlJc w:val="left"/>
      <w:pPr>
        <w:tabs>
          <w:tab w:val="num" w:pos="5760"/>
        </w:tabs>
        <w:ind w:left="5760" w:hanging="360"/>
      </w:pPr>
      <w:rPr>
        <w:rFonts w:ascii="Calibri" w:hAnsi="Calibri" w:hint="default"/>
      </w:rPr>
    </w:lvl>
    <w:lvl w:ilvl="8" w:tplc="7814FB7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900A10"/>
    <w:multiLevelType w:val="hybridMultilevel"/>
    <w:tmpl w:val="522A7DFE"/>
    <w:lvl w:ilvl="0" w:tplc="040C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B08B5"/>
    <w:multiLevelType w:val="hybridMultilevel"/>
    <w:tmpl w:val="8D6A7C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203"/>
    <w:multiLevelType w:val="multilevel"/>
    <w:tmpl w:val="6FAA4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70" w:hanging="57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C8389E"/>
    <w:multiLevelType w:val="hybridMultilevel"/>
    <w:tmpl w:val="66D6B69C"/>
    <w:lvl w:ilvl="0" w:tplc="5840E8A0">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1EC2990"/>
    <w:multiLevelType w:val="hybridMultilevel"/>
    <w:tmpl w:val="8D14D51A"/>
    <w:lvl w:ilvl="0" w:tplc="B50E6DA0">
      <w:start w:val="1"/>
      <w:numFmt w:val="bullet"/>
      <w:lvlText w:val=""/>
      <w:lvlJc w:val="left"/>
      <w:pPr>
        <w:ind w:left="502"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0961533">
    <w:abstractNumId w:val="15"/>
  </w:num>
  <w:num w:numId="2" w16cid:durableId="1682705763">
    <w:abstractNumId w:val="2"/>
  </w:num>
  <w:num w:numId="3" w16cid:durableId="1409881055">
    <w:abstractNumId w:val="1"/>
  </w:num>
  <w:num w:numId="4" w16cid:durableId="299459037">
    <w:abstractNumId w:val="3"/>
  </w:num>
  <w:num w:numId="5" w16cid:durableId="1958291448">
    <w:abstractNumId w:val="6"/>
  </w:num>
  <w:num w:numId="6" w16cid:durableId="1652634311">
    <w:abstractNumId w:val="9"/>
  </w:num>
  <w:num w:numId="7" w16cid:durableId="304897846">
    <w:abstractNumId w:val="0"/>
  </w:num>
  <w:num w:numId="8" w16cid:durableId="1221285523">
    <w:abstractNumId w:val="7"/>
  </w:num>
  <w:num w:numId="9" w16cid:durableId="2082557579">
    <w:abstractNumId w:val="5"/>
  </w:num>
  <w:num w:numId="10" w16cid:durableId="203829320">
    <w:abstractNumId w:val="10"/>
  </w:num>
  <w:num w:numId="11" w16cid:durableId="2064979525">
    <w:abstractNumId w:val="4"/>
  </w:num>
  <w:num w:numId="12" w16cid:durableId="1387029430">
    <w:abstractNumId w:val="12"/>
  </w:num>
  <w:num w:numId="13" w16cid:durableId="2034727665">
    <w:abstractNumId w:val="11"/>
  </w:num>
  <w:num w:numId="14" w16cid:durableId="1461655973">
    <w:abstractNumId w:val="8"/>
  </w:num>
  <w:num w:numId="15" w16cid:durableId="1412778110">
    <w:abstractNumId w:val="14"/>
  </w:num>
  <w:num w:numId="16" w16cid:durableId="2507419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021F"/>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DD0"/>
    <w:rsid w:val="00017FBF"/>
    <w:rsid w:val="00020272"/>
    <w:rsid w:val="00021AE0"/>
    <w:rsid w:val="00023D98"/>
    <w:rsid w:val="00024F57"/>
    <w:rsid w:val="000251A6"/>
    <w:rsid w:val="00025589"/>
    <w:rsid w:val="00025BBE"/>
    <w:rsid w:val="00025C70"/>
    <w:rsid w:val="00027322"/>
    <w:rsid w:val="00027D74"/>
    <w:rsid w:val="000301CD"/>
    <w:rsid w:val="000302C2"/>
    <w:rsid w:val="00030751"/>
    <w:rsid w:val="000313E1"/>
    <w:rsid w:val="00031A36"/>
    <w:rsid w:val="0003251B"/>
    <w:rsid w:val="00034931"/>
    <w:rsid w:val="000357F6"/>
    <w:rsid w:val="000369C9"/>
    <w:rsid w:val="00037694"/>
    <w:rsid w:val="000378BB"/>
    <w:rsid w:val="000400A6"/>
    <w:rsid w:val="00040A2E"/>
    <w:rsid w:val="00041E9B"/>
    <w:rsid w:val="00041EC9"/>
    <w:rsid w:val="00042592"/>
    <w:rsid w:val="0004304D"/>
    <w:rsid w:val="000439C4"/>
    <w:rsid w:val="00043A07"/>
    <w:rsid w:val="00044437"/>
    <w:rsid w:val="000449D1"/>
    <w:rsid w:val="000449DE"/>
    <w:rsid w:val="00051114"/>
    <w:rsid w:val="000511DA"/>
    <w:rsid w:val="0005197F"/>
    <w:rsid w:val="0005232A"/>
    <w:rsid w:val="00052358"/>
    <w:rsid w:val="000529E3"/>
    <w:rsid w:val="00052A6B"/>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4999"/>
    <w:rsid w:val="00085506"/>
    <w:rsid w:val="00085C9D"/>
    <w:rsid w:val="00085E71"/>
    <w:rsid w:val="0008622F"/>
    <w:rsid w:val="0008793A"/>
    <w:rsid w:val="00090755"/>
    <w:rsid w:val="00091225"/>
    <w:rsid w:val="000915AC"/>
    <w:rsid w:val="0009314C"/>
    <w:rsid w:val="00094439"/>
    <w:rsid w:val="00094CB4"/>
    <w:rsid w:val="000A22D4"/>
    <w:rsid w:val="000A2B1A"/>
    <w:rsid w:val="000A2FAE"/>
    <w:rsid w:val="000A3E9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0A7"/>
    <w:rsid w:val="000B752A"/>
    <w:rsid w:val="000B7B44"/>
    <w:rsid w:val="000C00DA"/>
    <w:rsid w:val="000C1057"/>
    <w:rsid w:val="000C118A"/>
    <w:rsid w:val="000C25DD"/>
    <w:rsid w:val="000C25E7"/>
    <w:rsid w:val="000C5A6A"/>
    <w:rsid w:val="000C6274"/>
    <w:rsid w:val="000C7FB1"/>
    <w:rsid w:val="000D0267"/>
    <w:rsid w:val="000D048D"/>
    <w:rsid w:val="000D1485"/>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5E39"/>
    <w:rsid w:val="000E6346"/>
    <w:rsid w:val="000E68BF"/>
    <w:rsid w:val="000E69AD"/>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BA3"/>
    <w:rsid w:val="00102D7C"/>
    <w:rsid w:val="001052BA"/>
    <w:rsid w:val="0010613E"/>
    <w:rsid w:val="00106608"/>
    <w:rsid w:val="00106803"/>
    <w:rsid w:val="00106CE4"/>
    <w:rsid w:val="0010723F"/>
    <w:rsid w:val="001072A0"/>
    <w:rsid w:val="00107D9F"/>
    <w:rsid w:val="00112041"/>
    <w:rsid w:val="00112228"/>
    <w:rsid w:val="00112852"/>
    <w:rsid w:val="0011324C"/>
    <w:rsid w:val="0011340A"/>
    <w:rsid w:val="001135FC"/>
    <w:rsid w:val="001151FB"/>
    <w:rsid w:val="00115DB0"/>
    <w:rsid w:val="00116509"/>
    <w:rsid w:val="00120084"/>
    <w:rsid w:val="00120220"/>
    <w:rsid w:val="00120AAE"/>
    <w:rsid w:val="0012478F"/>
    <w:rsid w:val="00125F79"/>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67809"/>
    <w:rsid w:val="001708D2"/>
    <w:rsid w:val="001711B8"/>
    <w:rsid w:val="0017125B"/>
    <w:rsid w:val="00171C81"/>
    <w:rsid w:val="00171FC5"/>
    <w:rsid w:val="0017292E"/>
    <w:rsid w:val="00173991"/>
    <w:rsid w:val="00174BAB"/>
    <w:rsid w:val="00174D23"/>
    <w:rsid w:val="00175B5E"/>
    <w:rsid w:val="00177F08"/>
    <w:rsid w:val="00180F6B"/>
    <w:rsid w:val="00181B12"/>
    <w:rsid w:val="001821EA"/>
    <w:rsid w:val="00182253"/>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250"/>
    <w:rsid w:val="00194786"/>
    <w:rsid w:val="0019681F"/>
    <w:rsid w:val="00197364"/>
    <w:rsid w:val="0019737F"/>
    <w:rsid w:val="00197BA9"/>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31D6"/>
    <w:rsid w:val="001B5003"/>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2BE2"/>
    <w:rsid w:val="001D3CC6"/>
    <w:rsid w:val="001D4178"/>
    <w:rsid w:val="001D4CBA"/>
    <w:rsid w:val="001D540C"/>
    <w:rsid w:val="001D591E"/>
    <w:rsid w:val="001D5ACA"/>
    <w:rsid w:val="001D5C6A"/>
    <w:rsid w:val="001D6E9E"/>
    <w:rsid w:val="001D7D1A"/>
    <w:rsid w:val="001E1AB1"/>
    <w:rsid w:val="001E1B7F"/>
    <w:rsid w:val="001E1C11"/>
    <w:rsid w:val="001E1E64"/>
    <w:rsid w:val="001E3FED"/>
    <w:rsid w:val="001E6363"/>
    <w:rsid w:val="001E7090"/>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01B"/>
    <w:rsid w:val="002101DE"/>
    <w:rsid w:val="002117C8"/>
    <w:rsid w:val="00212F37"/>
    <w:rsid w:val="00213F13"/>
    <w:rsid w:val="00214406"/>
    <w:rsid w:val="00214B69"/>
    <w:rsid w:val="00214CAA"/>
    <w:rsid w:val="002157CF"/>
    <w:rsid w:val="0021646F"/>
    <w:rsid w:val="00217C23"/>
    <w:rsid w:val="002205D1"/>
    <w:rsid w:val="002214F0"/>
    <w:rsid w:val="0022163D"/>
    <w:rsid w:val="00222FD0"/>
    <w:rsid w:val="00223F98"/>
    <w:rsid w:val="00224526"/>
    <w:rsid w:val="0022530F"/>
    <w:rsid w:val="00225EDA"/>
    <w:rsid w:val="002274E0"/>
    <w:rsid w:val="002279A5"/>
    <w:rsid w:val="00227BBB"/>
    <w:rsid w:val="0023057A"/>
    <w:rsid w:val="0023071D"/>
    <w:rsid w:val="00232758"/>
    <w:rsid w:val="0023299A"/>
    <w:rsid w:val="0023395F"/>
    <w:rsid w:val="00233B22"/>
    <w:rsid w:val="00235256"/>
    <w:rsid w:val="00235947"/>
    <w:rsid w:val="0023766B"/>
    <w:rsid w:val="002430BB"/>
    <w:rsid w:val="00244787"/>
    <w:rsid w:val="00245E87"/>
    <w:rsid w:val="00246A98"/>
    <w:rsid w:val="00250642"/>
    <w:rsid w:val="002510AA"/>
    <w:rsid w:val="002518B4"/>
    <w:rsid w:val="00253B51"/>
    <w:rsid w:val="00254FF2"/>
    <w:rsid w:val="00255484"/>
    <w:rsid w:val="00255A57"/>
    <w:rsid w:val="002571F1"/>
    <w:rsid w:val="00257492"/>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EDD"/>
    <w:rsid w:val="00270FC9"/>
    <w:rsid w:val="002733FB"/>
    <w:rsid w:val="00273B72"/>
    <w:rsid w:val="00274298"/>
    <w:rsid w:val="00274F89"/>
    <w:rsid w:val="0027606E"/>
    <w:rsid w:val="002768B0"/>
    <w:rsid w:val="00276FD7"/>
    <w:rsid w:val="00277E6D"/>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2A68"/>
    <w:rsid w:val="00293BA5"/>
    <w:rsid w:val="00294171"/>
    <w:rsid w:val="00294306"/>
    <w:rsid w:val="00294C50"/>
    <w:rsid w:val="00296E78"/>
    <w:rsid w:val="00297346"/>
    <w:rsid w:val="002977CA"/>
    <w:rsid w:val="00297D0F"/>
    <w:rsid w:val="002A0F02"/>
    <w:rsid w:val="002A2C17"/>
    <w:rsid w:val="002A44A9"/>
    <w:rsid w:val="002A4662"/>
    <w:rsid w:val="002A46AE"/>
    <w:rsid w:val="002A4CFC"/>
    <w:rsid w:val="002A4F84"/>
    <w:rsid w:val="002A5CBE"/>
    <w:rsid w:val="002A5CE7"/>
    <w:rsid w:val="002A64A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3CE1"/>
    <w:rsid w:val="002C42E8"/>
    <w:rsid w:val="002C4C46"/>
    <w:rsid w:val="002C6AD3"/>
    <w:rsid w:val="002C6F61"/>
    <w:rsid w:val="002C728E"/>
    <w:rsid w:val="002C73F5"/>
    <w:rsid w:val="002D0D49"/>
    <w:rsid w:val="002D31D5"/>
    <w:rsid w:val="002D5862"/>
    <w:rsid w:val="002D6BED"/>
    <w:rsid w:val="002D7B91"/>
    <w:rsid w:val="002E03AD"/>
    <w:rsid w:val="002E0882"/>
    <w:rsid w:val="002E0983"/>
    <w:rsid w:val="002E0A55"/>
    <w:rsid w:val="002E3451"/>
    <w:rsid w:val="002E38C1"/>
    <w:rsid w:val="002E4DA1"/>
    <w:rsid w:val="002E5FF8"/>
    <w:rsid w:val="002E652B"/>
    <w:rsid w:val="002E71FA"/>
    <w:rsid w:val="002F0949"/>
    <w:rsid w:val="002F2DE7"/>
    <w:rsid w:val="002F48E6"/>
    <w:rsid w:val="002F5CD9"/>
    <w:rsid w:val="002F61AD"/>
    <w:rsid w:val="002F62C0"/>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153A"/>
    <w:rsid w:val="00311ECE"/>
    <w:rsid w:val="003122C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17D"/>
    <w:rsid w:val="003268D0"/>
    <w:rsid w:val="0032796B"/>
    <w:rsid w:val="00330401"/>
    <w:rsid w:val="00330DEE"/>
    <w:rsid w:val="0033136F"/>
    <w:rsid w:val="00331590"/>
    <w:rsid w:val="0033192A"/>
    <w:rsid w:val="003325BE"/>
    <w:rsid w:val="0033266B"/>
    <w:rsid w:val="00332ACA"/>
    <w:rsid w:val="00332E3F"/>
    <w:rsid w:val="003333A3"/>
    <w:rsid w:val="00333A5C"/>
    <w:rsid w:val="00334629"/>
    <w:rsid w:val="00334887"/>
    <w:rsid w:val="00334BDE"/>
    <w:rsid w:val="00336291"/>
    <w:rsid w:val="0034188F"/>
    <w:rsid w:val="003427FA"/>
    <w:rsid w:val="00342EB5"/>
    <w:rsid w:val="00343A42"/>
    <w:rsid w:val="003449D6"/>
    <w:rsid w:val="00344FEB"/>
    <w:rsid w:val="003452F4"/>
    <w:rsid w:val="00345803"/>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0E6B"/>
    <w:rsid w:val="003814E6"/>
    <w:rsid w:val="003816F7"/>
    <w:rsid w:val="00381E4C"/>
    <w:rsid w:val="00381F32"/>
    <w:rsid w:val="003822DF"/>
    <w:rsid w:val="00382DB2"/>
    <w:rsid w:val="00383F2B"/>
    <w:rsid w:val="00385206"/>
    <w:rsid w:val="00385FED"/>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530"/>
    <w:rsid w:val="003A7614"/>
    <w:rsid w:val="003B065E"/>
    <w:rsid w:val="003B1B93"/>
    <w:rsid w:val="003B1E3B"/>
    <w:rsid w:val="003B2284"/>
    <w:rsid w:val="003B2419"/>
    <w:rsid w:val="003B28B9"/>
    <w:rsid w:val="003B4433"/>
    <w:rsid w:val="003B4A72"/>
    <w:rsid w:val="003B56D0"/>
    <w:rsid w:val="003B5750"/>
    <w:rsid w:val="003B5C01"/>
    <w:rsid w:val="003B5FC8"/>
    <w:rsid w:val="003B66D3"/>
    <w:rsid w:val="003C048B"/>
    <w:rsid w:val="003C13C9"/>
    <w:rsid w:val="003C19A5"/>
    <w:rsid w:val="003C19FE"/>
    <w:rsid w:val="003C1FC9"/>
    <w:rsid w:val="003C5E20"/>
    <w:rsid w:val="003C66EE"/>
    <w:rsid w:val="003C6773"/>
    <w:rsid w:val="003C77E0"/>
    <w:rsid w:val="003D0156"/>
    <w:rsid w:val="003D0473"/>
    <w:rsid w:val="003D06ED"/>
    <w:rsid w:val="003D0980"/>
    <w:rsid w:val="003D0D8C"/>
    <w:rsid w:val="003D16BF"/>
    <w:rsid w:val="003D2384"/>
    <w:rsid w:val="003D2828"/>
    <w:rsid w:val="003D3F37"/>
    <w:rsid w:val="003D4323"/>
    <w:rsid w:val="003D545D"/>
    <w:rsid w:val="003D79AC"/>
    <w:rsid w:val="003E289A"/>
    <w:rsid w:val="003E28A0"/>
    <w:rsid w:val="003E3C66"/>
    <w:rsid w:val="003E3C72"/>
    <w:rsid w:val="003E44C5"/>
    <w:rsid w:val="003E4B6D"/>
    <w:rsid w:val="003E52F0"/>
    <w:rsid w:val="003F0221"/>
    <w:rsid w:val="003F0CF3"/>
    <w:rsid w:val="003F129C"/>
    <w:rsid w:val="003F1471"/>
    <w:rsid w:val="003F1888"/>
    <w:rsid w:val="003F1C29"/>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D48"/>
    <w:rsid w:val="00434C26"/>
    <w:rsid w:val="004400C8"/>
    <w:rsid w:val="004435AF"/>
    <w:rsid w:val="00444495"/>
    <w:rsid w:val="004448FD"/>
    <w:rsid w:val="00444F75"/>
    <w:rsid w:val="0044714D"/>
    <w:rsid w:val="00450F11"/>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9B1"/>
    <w:rsid w:val="004869D6"/>
    <w:rsid w:val="00486A4E"/>
    <w:rsid w:val="00486FE9"/>
    <w:rsid w:val="00487E95"/>
    <w:rsid w:val="004905F8"/>
    <w:rsid w:val="004927B0"/>
    <w:rsid w:val="00493B22"/>
    <w:rsid w:val="00493FAD"/>
    <w:rsid w:val="00494980"/>
    <w:rsid w:val="00495278"/>
    <w:rsid w:val="00495355"/>
    <w:rsid w:val="004954E9"/>
    <w:rsid w:val="00496961"/>
    <w:rsid w:val="00496A02"/>
    <w:rsid w:val="00497815"/>
    <w:rsid w:val="004979CC"/>
    <w:rsid w:val="004A0005"/>
    <w:rsid w:val="004A0816"/>
    <w:rsid w:val="004A21FC"/>
    <w:rsid w:val="004A2F87"/>
    <w:rsid w:val="004A3A03"/>
    <w:rsid w:val="004A4825"/>
    <w:rsid w:val="004A4D76"/>
    <w:rsid w:val="004A6165"/>
    <w:rsid w:val="004B47C0"/>
    <w:rsid w:val="004B4BBC"/>
    <w:rsid w:val="004B632A"/>
    <w:rsid w:val="004B7F45"/>
    <w:rsid w:val="004B7F95"/>
    <w:rsid w:val="004C0594"/>
    <w:rsid w:val="004C0A98"/>
    <w:rsid w:val="004C140F"/>
    <w:rsid w:val="004C158F"/>
    <w:rsid w:val="004C15D1"/>
    <w:rsid w:val="004C1E1C"/>
    <w:rsid w:val="004C5FEA"/>
    <w:rsid w:val="004C6B53"/>
    <w:rsid w:val="004C7286"/>
    <w:rsid w:val="004C728C"/>
    <w:rsid w:val="004D044B"/>
    <w:rsid w:val="004D0C16"/>
    <w:rsid w:val="004D1017"/>
    <w:rsid w:val="004D14AB"/>
    <w:rsid w:val="004D2D29"/>
    <w:rsid w:val="004D3289"/>
    <w:rsid w:val="004D3AC3"/>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5F8"/>
    <w:rsid w:val="004E5A90"/>
    <w:rsid w:val="004E6249"/>
    <w:rsid w:val="004E6CFE"/>
    <w:rsid w:val="004E6E54"/>
    <w:rsid w:val="004E734B"/>
    <w:rsid w:val="004F0591"/>
    <w:rsid w:val="004F0A8F"/>
    <w:rsid w:val="004F1203"/>
    <w:rsid w:val="004F3B7A"/>
    <w:rsid w:val="004F3C18"/>
    <w:rsid w:val="004F42B6"/>
    <w:rsid w:val="004F450A"/>
    <w:rsid w:val="004F4B1C"/>
    <w:rsid w:val="004F5915"/>
    <w:rsid w:val="004F6829"/>
    <w:rsid w:val="00500509"/>
    <w:rsid w:val="00500E2A"/>
    <w:rsid w:val="0050279C"/>
    <w:rsid w:val="00503BC7"/>
    <w:rsid w:val="0050461E"/>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2E5"/>
    <w:rsid w:val="005314B0"/>
    <w:rsid w:val="00531545"/>
    <w:rsid w:val="00532C21"/>
    <w:rsid w:val="00532C23"/>
    <w:rsid w:val="0053378F"/>
    <w:rsid w:val="00534259"/>
    <w:rsid w:val="00534F85"/>
    <w:rsid w:val="00535915"/>
    <w:rsid w:val="00535E76"/>
    <w:rsid w:val="005368E8"/>
    <w:rsid w:val="005369FC"/>
    <w:rsid w:val="00536C3A"/>
    <w:rsid w:val="005374BC"/>
    <w:rsid w:val="0053755B"/>
    <w:rsid w:val="00540197"/>
    <w:rsid w:val="00540A06"/>
    <w:rsid w:val="00543846"/>
    <w:rsid w:val="00544D9B"/>
    <w:rsid w:val="00544DBF"/>
    <w:rsid w:val="00545156"/>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6073B"/>
    <w:rsid w:val="00561317"/>
    <w:rsid w:val="005640D8"/>
    <w:rsid w:val="00564856"/>
    <w:rsid w:val="0056513C"/>
    <w:rsid w:val="005654A4"/>
    <w:rsid w:val="005656E2"/>
    <w:rsid w:val="00565B2C"/>
    <w:rsid w:val="00565DD4"/>
    <w:rsid w:val="00565E37"/>
    <w:rsid w:val="005663CD"/>
    <w:rsid w:val="005672DA"/>
    <w:rsid w:val="0056779A"/>
    <w:rsid w:val="00571997"/>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0E4"/>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96F2D"/>
    <w:rsid w:val="005A087F"/>
    <w:rsid w:val="005A0AD4"/>
    <w:rsid w:val="005A0B38"/>
    <w:rsid w:val="005A108B"/>
    <w:rsid w:val="005A2CF2"/>
    <w:rsid w:val="005A341E"/>
    <w:rsid w:val="005A37E3"/>
    <w:rsid w:val="005A38B5"/>
    <w:rsid w:val="005A5036"/>
    <w:rsid w:val="005A53C2"/>
    <w:rsid w:val="005A5414"/>
    <w:rsid w:val="005A6518"/>
    <w:rsid w:val="005A6689"/>
    <w:rsid w:val="005A6B8F"/>
    <w:rsid w:val="005B010D"/>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2F00"/>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1995"/>
    <w:rsid w:val="00611D39"/>
    <w:rsid w:val="00611F92"/>
    <w:rsid w:val="00613368"/>
    <w:rsid w:val="00614F7D"/>
    <w:rsid w:val="0061573A"/>
    <w:rsid w:val="00615B5C"/>
    <w:rsid w:val="00616365"/>
    <w:rsid w:val="006169E4"/>
    <w:rsid w:val="00617429"/>
    <w:rsid w:val="00620417"/>
    <w:rsid w:val="0062156F"/>
    <w:rsid w:val="00621D99"/>
    <w:rsid w:val="00623B11"/>
    <w:rsid w:val="00624D9C"/>
    <w:rsid w:val="006251FE"/>
    <w:rsid w:val="006258BD"/>
    <w:rsid w:val="00625987"/>
    <w:rsid w:val="00625E52"/>
    <w:rsid w:val="00626D43"/>
    <w:rsid w:val="0062744B"/>
    <w:rsid w:val="00627F55"/>
    <w:rsid w:val="006303D1"/>
    <w:rsid w:val="00630859"/>
    <w:rsid w:val="00630A26"/>
    <w:rsid w:val="00632F5E"/>
    <w:rsid w:val="00634874"/>
    <w:rsid w:val="0063540A"/>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615A7"/>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53F3"/>
    <w:rsid w:val="00676509"/>
    <w:rsid w:val="006771AB"/>
    <w:rsid w:val="00680245"/>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5845"/>
    <w:rsid w:val="006972FB"/>
    <w:rsid w:val="00697AD0"/>
    <w:rsid w:val="00697EED"/>
    <w:rsid w:val="006A0128"/>
    <w:rsid w:val="006A0DD8"/>
    <w:rsid w:val="006A1097"/>
    <w:rsid w:val="006A11FB"/>
    <w:rsid w:val="006A256E"/>
    <w:rsid w:val="006A272B"/>
    <w:rsid w:val="006A403F"/>
    <w:rsid w:val="006A458E"/>
    <w:rsid w:val="006A4C71"/>
    <w:rsid w:val="006A4F20"/>
    <w:rsid w:val="006A5757"/>
    <w:rsid w:val="006A5966"/>
    <w:rsid w:val="006A5CF1"/>
    <w:rsid w:val="006A659D"/>
    <w:rsid w:val="006A79C5"/>
    <w:rsid w:val="006B090C"/>
    <w:rsid w:val="006B0F9B"/>
    <w:rsid w:val="006B1FBD"/>
    <w:rsid w:val="006B4EDC"/>
    <w:rsid w:val="006B4F8F"/>
    <w:rsid w:val="006B7C73"/>
    <w:rsid w:val="006C01EA"/>
    <w:rsid w:val="006C021F"/>
    <w:rsid w:val="006C10B8"/>
    <w:rsid w:val="006C1146"/>
    <w:rsid w:val="006C1ABF"/>
    <w:rsid w:val="006C1E0D"/>
    <w:rsid w:val="006C2E7C"/>
    <w:rsid w:val="006C39BF"/>
    <w:rsid w:val="006C3F45"/>
    <w:rsid w:val="006C41D0"/>
    <w:rsid w:val="006C47A8"/>
    <w:rsid w:val="006C566A"/>
    <w:rsid w:val="006C57B3"/>
    <w:rsid w:val="006C60CB"/>
    <w:rsid w:val="006C63B1"/>
    <w:rsid w:val="006C6B4C"/>
    <w:rsid w:val="006C700E"/>
    <w:rsid w:val="006D01E1"/>
    <w:rsid w:val="006D1F74"/>
    <w:rsid w:val="006D3657"/>
    <w:rsid w:val="006D37EB"/>
    <w:rsid w:val="006D4530"/>
    <w:rsid w:val="006D49D3"/>
    <w:rsid w:val="006D4F0A"/>
    <w:rsid w:val="006D5892"/>
    <w:rsid w:val="006D647D"/>
    <w:rsid w:val="006D76FF"/>
    <w:rsid w:val="006D7F64"/>
    <w:rsid w:val="006E0314"/>
    <w:rsid w:val="006E07EC"/>
    <w:rsid w:val="006E0F0D"/>
    <w:rsid w:val="006E2714"/>
    <w:rsid w:val="006E3A34"/>
    <w:rsid w:val="006E3CBA"/>
    <w:rsid w:val="006E44BE"/>
    <w:rsid w:val="006E52F6"/>
    <w:rsid w:val="006E596A"/>
    <w:rsid w:val="006E7767"/>
    <w:rsid w:val="006E788B"/>
    <w:rsid w:val="006F39D8"/>
    <w:rsid w:val="006F3C12"/>
    <w:rsid w:val="006F61B1"/>
    <w:rsid w:val="006F6339"/>
    <w:rsid w:val="00700BB2"/>
    <w:rsid w:val="00700CC3"/>
    <w:rsid w:val="0070125B"/>
    <w:rsid w:val="00702895"/>
    <w:rsid w:val="00704813"/>
    <w:rsid w:val="0070520E"/>
    <w:rsid w:val="007054E6"/>
    <w:rsid w:val="00706DEC"/>
    <w:rsid w:val="007114C3"/>
    <w:rsid w:val="007122E8"/>
    <w:rsid w:val="007132AB"/>
    <w:rsid w:val="007134F7"/>
    <w:rsid w:val="0071439C"/>
    <w:rsid w:val="00714F67"/>
    <w:rsid w:val="007172E8"/>
    <w:rsid w:val="00717EEB"/>
    <w:rsid w:val="007203BA"/>
    <w:rsid w:val="00722948"/>
    <w:rsid w:val="00722F56"/>
    <w:rsid w:val="00723F80"/>
    <w:rsid w:val="00725AA6"/>
    <w:rsid w:val="00726B94"/>
    <w:rsid w:val="00727B25"/>
    <w:rsid w:val="00727B9A"/>
    <w:rsid w:val="00727D92"/>
    <w:rsid w:val="007319F9"/>
    <w:rsid w:val="00731B29"/>
    <w:rsid w:val="007327EA"/>
    <w:rsid w:val="0073302E"/>
    <w:rsid w:val="007330BC"/>
    <w:rsid w:val="00734900"/>
    <w:rsid w:val="00734C99"/>
    <w:rsid w:val="007353BF"/>
    <w:rsid w:val="00735D79"/>
    <w:rsid w:val="00736B6D"/>
    <w:rsid w:val="00736C36"/>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A4F"/>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51A7"/>
    <w:rsid w:val="00775AC8"/>
    <w:rsid w:val="00775FA2"/>
    <w:rsid w:val="00776B79"/>
    <w:rsid w:val="007770F8"/>
    <w:rsid w:val="007771F1"/>
    <w:rsid w:val="00777596"/>
    <w:rsid w:val="00777960"/>
    <w:rsid w:val="00780382"/>
    <w:rsid w:val="00780650"/>
    <w:rsid w:val="007828C0"/>
    <w:rsid w:val="007848FE"/>
    <w:rsid w:val="00785EC4"/>
    <w:rsid w:val="007860B6"/>
    <w:rsid w:val="00787014"/>
    <w:rsid w:val="007906EB"/>
    <w:rsid w:val="00791188"/>
    <w:rsid w:val="007920FE"/>
    <w:rsid w:val="0079410B"/>
    <w:rsid w:val="0079577C"/>
    <w:rsid w:val="00797CEE"/>
    <w:rsid w:val="007A01FE"/>
    <w:rsid w:val="007A03B7"/>
    <w:rsid w:val="007A0A95"/>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192C"/>
    <w:rsid w:val="007B1B81"/>
    <w:rsid w:val="007B2DAD"/>
    <w:rsid w:val="007B3D50"/>
    <w:rsid w:val="007B42BF"/>
    <w:rsid w:val="007B460D"/>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D092D"/>
    <w:rsid w:val="007D192B"/>
    <w:rsid w:val="007D22B4"/>
    <w:rsid w:val="007D28B7"/>
    <w:rsid w:val="007D3491"/>
    <w:rsid w:val="007D354C"/>
    <w:rsid w:val="007D3D6D"/>
    <w:rsid w:val="007D48DC"/>
    <w:rsid w:val="007D5474"/>
    <w:rsid w:val="007E04D4"/>
    <w:rsid w:val="007E2A2A"/>
    <w:rsid w:val="007E38FB"/>
    <w:rsid w:val="007E45E5"/>
    <w:rsid w:val="007E4664"/>
    <w:rsid w:val="007E5321"/>
    <w:rsid w:val="007E71D0"/>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0D"/>
    <w:rsid w:val="00810AF0"/>
    <w:rsid w:val="00813F4B"/>
    <w:rsid w:val="00814B4D"/>
    <w:rsid w:val="0081613E"/>
    <w:rsid w:val="00817047"/>
    <w:rsid w:val="008177A2"/>
    <w:rsid w:val="0082176F"/>
    <w:rsid w:val="0082199C"/>
    <w:rsid w:val="008237C2"/>
    <w:rsid w:val="00823E68"/>
    <w:rsid w:val="00824777"/>
    <w:rsid w:val="00825A5E"/>
    <w:rsid w:val="00825DFB"/>
    <w:rsid w:val="00826985"/>
    <w:rsid w:val="00826D88"/>
    <w:rsid w:val="00830620"/>
    <w:rsid w:val="00830DDC"/>
    <w:rsid w:val="00831282"/>
    <w:rsid w:val="0083230A"/>
    <w:rsid w:val="008323B2"/>
    <w:rsid w:val="008341B6"/>
    <w:rsid w:val="00834E25"/>
    <w:rsid w:val="00834F37"/>
    <w:rsid w:val="00835FE7"/>
    <w:rsid w:val="008361E1"/>
    <w:rsid w:val="00836211"/>
    <w:rsid w:val="00836389"/>
    <w:rsid w:val="0083680C"/>
    <w:rsid w:val="0084111C"/>
    <w:rsid w:val="0084226D"/>
    <w:rsid w:val="00843074"/>
    <w:rsid w:val="00844137"/>
    <w:rsid w:val="008447E6"/>
    <w:rsid w:val="00845548"/>
    <w:rsid w:val="00845CF8"/>
    <w:rsid w:val="0084686E"/>
    <w:rsid w:val="00846A75"/>
    <w:rsid w:val="00847933"/>
    <w:rsid w:val="0085019F"/>
    <w:rsid w:val="00850257"/>
    <w:rsid w:val="008502A9"/>
    <w:rsid w:val="0085070C"/>
    <w:rsid w:val="0085207D"/>
    <w:rsid w:val="00852796"/>
    <w:rsid w:val="0085341F"/>
    <w:rsid w:val="00853875"/>
    <w:rsid w:val="0085389A"/>
    <w:rsid w:val="00854111"/>
    <w:rsid w:val="00854489"/>
    <w:rsid w:val="008551A7"/>
    <w:rsid w:val="00855992"/>
    <w:rsid w:val="0085754C"/>
    <w:rsid w:val="00857FEF"/>
    <w:rsid w:val="00860039"/>
    <w:rsid w:val="008606B9"/>
    <w:rsid w:val="00861752"/>
    <w:rsid w:val="00861B69"/>
    <w:rsid w:val="00861D56"/>
    <w:rsid w:val="00862143"/>
    <w:rsid w:val="00863767"/>
    <w:rsid w:val="00863875"/>
    <w:rsid w:val="00863A24"/>
    <w:rsid w:val="00863A71"/>
    <w:rsid w:val="00863C0B"/>
    <w:rsid w:val="00865136"/>
    <w:rsid w:val="00865910"/>
    <w:rsid w:val="00865EE9"/>
    <w:rsid w:val="008660D4"/>
    <w:rsid w:val="00870E1D"/>
    <w:rsid w:val="00871DA2"/>
    <w:rsid w:val="00871FCF"/>
    <w:rsid w:val="008721B8"/>
    <w:rsid w:val="008750A5"/>
    <w:rsid w:val="00875BE3"/>
    <w:rsid w:val="00876030"/>
    <w:rsid w:val="008779D5"/>
    <w:rsid w:val="0088037D"/>
    <w:rsid w:val="00880860"/>
    <w:rsid w:val="00881023"/>
    <w:rsid w:val="008810FA"/>
    <w:rsid w:val="00881396"/>
    <w:rsid w:val="00881459"/>
    <w:rsid w:val="00881568"/>
    <w:rsid w:val="0088199F"/>
    <w:rsid w:val="00883710"/>
    <w:rsid w:val="00883783"/>
    <w:rsid w:val="008837F3"/>
    <w:rsid w:val="008839F8"/>
    <w:rsid w:val="00884A05"/>
    <w:rsid w:val="008902E6"/>
    <w:rsid w:val="00890C73"/>
    <w:rsid w:val="00891051"/>
    <w:rsid w:val="00892078"/>
    <w:rsid w:val="00892432"/>
    <w:rsid w:val="00892829"/>
    <w:rsid w:val="008932BD"/>
    <w:rsid w:val="008940AB"/>
    <w:rsid w:val="00894285"/>
    <w:rsid w:val="00894CBB"/>
    <w:rsid w:val="0089522A"/>
    <w:rsid w:val="008966DB"/>
    <w:rsid w:val="008975C2"/>
    <w:rsid w:val="008A13A1"/>
    <w:rsid w:val="008A13C2"/>
    <w:rsid w:val="008A2A45"/>
    <w:rsid w:val="008A5244"/>
    <w:rsid w:val="008A79C9"/>
    <w:rsid w:val="008B163D"/>
    <w:rsid w:val="008B2F8A"/>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5761"/>
    <w:rsid w:val="008D64C9"/>
    <w:rsid w:val="008D7F55"/>
    <w:rsid w:val="008E1249"/>
    <w:rsid w:val="008E14DB"/>
    <w:rsid w:val="008E1B0F"/>
    <w:rsid w:val="008E21D7"/>
    <w:rsid w:val="008E2600"/>
    <w:rsid w:val="008E29B9"/>
    <w:rsid w:val="008E30ED"/>
    <w:rsid w:val="008E3202"/>
    <w:rsid w:val="008E517E"/>
    <w:rsid w:val="008E6030"/>
    <w:rsid w:val="008E6274"/>
    <w:rsid w:val="008F3180"/>
    <w:rsid w:val="008F347E"/>
    <w:rsid w:val="008F35C0"/>
    <w:rsid w:val="008F3634"/>
    <w:rsid w:val="008F421E"/>
    <w:rsid w:val="008F422C"/>
    <w:rsid w:val="008F50F8"/>
    <w:rsid w:val="008F56BC"/>
    <w:rsid w:val="008F6B3C"/>
    <w:rsid w:val="00900F86"/>
    <w:rsid w:val="0090123D"/>
    <w:rsid w:val="009017D7"/>
    <w:rsid w:val="00903D2C"/>
    <w:rsid w:val="00905BB2"/>
    <w:rsid w:val="00906672"/>
    <w:rsid w:val="00906989"/>
    <w:rsid w:val="00907DB1"/>
    <w:rsid w:val="009102E2"/>
    <w:rsid w:val="00911E33"/>
    <w:rsid w:val="009133D1"/>
    <w:rsid w:val="00914FFD"/>
    <w:rsid w:val="00915114"/>
    <w:rsid w:val="009151C0"/>
    <w:rsid w:val="009213AB"/>
    <w:rsid w:val="0092449D"/>
    <w:rsid w:val="0092482D"/>
    <w:rsid w:val="0092551E"/>
    <w:rsid w:val="00925949"/>
    <w:rsid w:val="00925F5B"/>
    <w:rsid w:val="00925F94"/>
    <w:rsid w:val="0092713F"/>
    <w:rsid w:val="0092793F"/>
    <w:rsid w:val="009304BF"/>
    <w:rsid w:val="009307D7"/>
    <w:rsid w:val="00930E42"/>
    <w:rsid w:val="00930E5E"/>
    <w:rsid w:val="009311BA"/>
    <w:rsid w:val="00931DE6"/>
    <w:rsid w:val="009330ED"/>
    <w:rsid w:val="00933B75"/>
    <w:rsid w:val="009342E6"/>
    <w:rsid w:val="00934393"/>
    <w:rsid w:val="00934ACE"/>
    <w:rsid w:val="00935177"/>
    <w:rsid w:val="00936CAE"/>
    <w:rsid w:val="0094128B"/>
    <w:rsid w:val="009420DB"/>
    <w:rsid w:val="009433FD"/>
    <w:rsid w:val="00943C34"/>
    <w:rsid w:val="00945993"/>
    <w:rsid w:val="0094628D"/>
    <w:rsid w:val="00946312"/>
    <w:rsid w:val="009469F4"/>
    <w:rsid w:val="00946C49"/>
    <w:rsid w:val="0095142E"/>
    <w:rsid w:val="009524CA"/>
    <w:rsid w:val="0095370A"/>
    <w:rsid w:val="0095469D"/>
    <w:rsid w:val="00955158"/>
    <w:rsid w:val="009552CA"/>
    <w:rsid w:val="00955361"/>
    <w:rsid w:val="009569EF"/>
    <w:rsid w:val="00957085"/>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B5"/>
    <w:rsid w:val="0098415C"/>
    <w:rsid w:val="00984606"/>
    <w:rsid w:val="009847F5"/>
    <w:rsid w:val="00984A76"/>
    <w:rsid w:val="00985BDE"/>
    <w:rsid w:val="00985D25"/>
    <w:rsid w:val="00985F9C"/>
    <w:rsid w:val="009912B7"/>
    <w:rsid w:val="009924CF"/>
    <w:rsid w:val="00992659"/>
    <w:rsid w:val="009928DD"/>
    <w:rsid w:val="00993015"/>
    <w:rsid w:val="009933D1"/>
    <w:rsid w:val="0099431C"/>
    <w:rsid w:val="00994470"/>
    <w:rsid w:val="009948E5"/>
    <w:rsid w:val="00994D6A"/>
    <w:rsid w:val="00994E9B"/>
    <w:rsid w:val="00997D93"/>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4A4F"/>
    <w:rsid w:val="009C59BA"/>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2AE4"/>
    <w:rsid w:val="009E385D"/>
    <w:rsid w:val="009E57DA"/>
    <w:rsid w:val="009E5993"/>
    <w:rsid w:val="009E5EC9"/>
    <w:rsid w:val="009E671B"/>
    <w:rsid w:val="009E67A7"/>
    <w:rsid w:val="009E78AA"/>
    <w:rsid w:val="009F0292"/>
    <w:rsid w:val="009F1795"/>
    <w:rsid w:val="009F19F8"/>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07C12"/>
    <w:rsid w:val="00A107FA"/>
    <w:rsid w:val="00A1289D"/>
    <w:rsid w:val="00A13F0F"/>
    <w:rsid w:val="00A14542"/>
    <w:rsid w:val="00A1573C"/>
    <w:rsid w:val="00A15755"/>
    <w:rsid w:val="00A204F4"/>
    <w:rsid w:val="00A213CA"/>
    <w:rsid w:val="00A22BA9"/>
    <w:rsid w:val="00A23E9F"/>
    <w:rsid w:val="00A266E6"/>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38CF"/>
    <w:rsid w:val="00A44774"/>
    <w:rsid w:val="00A44F34"/>
    <w:rsid w:val="00A47FCF"/>
    <w:rsid w:val="00A50132"/>
    <w:rsid w:val="00A5400A"/>
    <w:rsid w:val="00A5480B"/>
    <w:rsid w:val="00A5791E"/>
    <w:rsid w:val="00A61551"/>
    <w:rsid w:val="00A61D95"/>
    <w:rsid w:val="00A641D3"/>
    <w:rsid w:val="00A64E34"/>
    <w:rsid w:val="00A7018F"/>
    <w:rsid w:val="00A70C81"/>
    <w:rsid w:val="00A7282C"/>
    <w:rsid w:val="00A73334"/>
    <w:rsid w:val="00A733BF"/>
    <w:rsid w:val="00A77372"/>
    <w:rsid w:val="00A80397"/>
    <w:rsid w:val="00A81F6C"/>
    <w:rsid w:val="00A82597"/>
    <w:rsid w:val="00A82901"/>
    <w:rsid w:val="00A82AC1"/>
    <w:rsid w:val="00A8339B"/>
    <w:rsid w:val="00A856E3"/>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1AD"/>
    <w:rsid w:val="00AA32F8"/>
    <w:rsid w:val="00AA39CC"/>
    <w:rsid w:val="00AA41A0"/>
    <w:rsid w:val="00AA543E"/>
    <w:rsid w:val="00AA5E54"/>
    <w:rsid w:val="00AA6EB5"/>
    <w:rsid w:val="00AB3458"/>
    <w:rsid w:val="00AB4AEE"/>
    <w:rsid w:val="00AB4B2D"/>
    <w:rsid w:val="00AB5B93"/>
    <w:rsid w:val="00AB6459"/>
    <w:rsid w:val="00AB6B19"/>
    <w:rsid w:val="00AB7056"/>
    <w:rsid w:val="00AB7F9F"/>
    <w:rsid w:val="00AC1D96"/>
    <w:rsid w:val="00AC1F31"/>
    <w:rsid w:val="00AC35BE"/>
    <w:rsid w:val="00AC3BD9"/>
    <w:rsid w:val="00AC55EB"/>
    <w:rsid w:val="00AC6A6C"/>
    <w:rsid w:val="00AC7583"/>
    <w:rsid w:val="00AC783B"/>
    <w:rsid w:val="00AD0A42"/>
    <w:rsid w:val="00AD10CE"/>
    <w:rsid w:val="00AD17F8"/>
    <w:rsid w:val="00AD2EDF"/>
    <w:rsid w:val="00AD36AC"/>
    <w:rsid w:val="00AD4720"/>
    <w:rsid w:val="00AD5447"/>
    <w:rsid w:val="00AD656C"/>
    <w:rsid w:val="00AE07B9"/>
    <w:rsid w:val="00AE2304"/>
    <w:rsid w:val="00AE241B"/>
    <w:rsid w:val="00AE2D4D"/>
    <w:rsid w:val="00AE43EB"/>
    <w:rsid w:val="00AE6DF2"/>
    <w:rsid w:val="00AF0472"/>
    <w:rsid w:val="00AF077C"/>
    <w:rsid w:val="00AF0863"/>
    <w:rsid w:val="00AF103C"/>
    <w:rsid w:val="00AF226A"/>
    <w:rsid w:val="00AF4BE7"/>
    <w:rsid w:val="00AF65D7"/>
    <w:rsid w:val="00AF78DB"/>
    <w:rsid w:val="00B00A2A"/>
    <w:rsid w:val="00B00E22"/>
    <w:rsid w:val="00B00F4C"/>
    <w:rsid w:val="00B015EE"/>
    <w:rsid w:val="00B01B27"/>
    <w:rsid w:val="00B0235E"/>
    <w:rsid w:val="00B037E3"/>
    <w:rsid w:val="00B040AC"/>
    <w:rsid w:val="00B040B2"/>
    <w:rsid w:val="00B05758"/>
    <w:rsid w:val="00B0585F"/>
    <w:rsid w:val="00B05E8E"/>
    <w:rsid w:val="00B06122"/>
    <w:rsid w:val="00B07323"/>
    <w:rsid w:val="00B07701"/>
    <w:rsid w:val="00B07B94"/>
    <w:rsid w:val="00B10AB6"/>
    <w:rsid w:val="00B10FF1"/>
    <w:rsid w:val="00B116FD"/>
    <w:rsid w:val="00B127C8"/>
    <w:rsid w:val="00B13769"/>
    <w:rsid w:val="00B1393A"/>
    <w:rsid w:val="00B153E5"/>
    <w:rsid w:val="00B15AB2"/>
    <w:rsid w:val="00B16600"/>
    <w:rsid w:val="00B177EC"/>
    <w:rsid w:val="00B224F9"/>
    <w:rsid w:val="00B22F29"/>
    <w:rsid w:val="00B247AA"/>
    <w:rsid w:val="00B24988"/>
    <w:rsid w:val="00B276DA"/>
    <w:rsid w:val="00B27A76"/>
    <w:rsid w:val="00B27DEC"/>
    <w:rsid w:val="00B29BBB"/>
    <w:rsid w:val="00B30348"/>
    <w:rsid w:val="00B315AD"/>
    <w:rsid w:val="00B330AE"/>
    <w:rsid w:val="00B3364C"/>
    <w:rsid w:val="00B33760"/>
    <w:rsid w:val="00B33C79"/>
    <w:rsid w:val="00B34599"/>
    <w:rsid w:val="00B36B73"/>
    <w:rsid w:val="00B4070C"/>
    <w:rsid w:val="00B41597"/>
    <w:rsid w:val="00B42E72"/>
    <w:rsid w:val="00B43CE1"/>
    <w:rsid w:val="00B43DEC"/>
    <w:rsid w:val="00B43F39"/>
    <w:rsid w:val="00B45BEE"/>
    <w:rsid w:val="00B47A21"/>
    <w:rsid w:val="00B50C8C"/>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66C97"/>
    <w:rsid w:val="00B70E7E"/>
    <w:rsid w:val="00B71A5B"/>
    <w:rsid w:val="00B735BA"/>
    <w:rsid w:val="00B7388D"/>
    <w:rsid w:val="00B738B0"/>
    <w:rsid w:val="00B741D0"/>
    <w:rsid w:val="00B74F8E"/>
    <w:rsid w:val="00B7503B"/>
    <w:rsid w:val="00B76951"/>
    <w:rsid w:val="00B76D74"/>
    <w:rsid w:val="00B77096"/>
    <w:rsid w:val="00B80406"/>
    <w:rsid w:val="00B80521"/>
    <w:rsid w:val="00B80F5B"/>
    <w:rsid w:val="00B81A44"/>
    <w:rsid w:val="00B81CA4"/>
    <w:rsid w:val="00B8308C"/>
    <w:rsid w:val="00B8351A"/>
    <w:rsid w:val="00B83554"/>
    <w:rsid w:val="00B84F35"/>
    <w:rsid w:val="00B85287"/>
    <w:rsid w:val="00B852CE"/>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A7E71"/>
    <w:rsid w:val="00BB11E7"/>
    <w:rsid w:val="00BB2173"/>
    <w:rsid w:val="00BB3C52"/>
    <w:rsid w:val="00BB46C4"/>
    <w:rsid w:val="00BB4710"/>
    <w:rsid w:val="00BB4D47"/>
    <w:rsid w:val="00BB59CD"/>
    <w:rsid w:val="00BB5A9F"/>
    <w:rsid w:val="00BB600C"/>
    <w:rsid w:val="00BB6BB7"/>
    <w:rsid w:val="00BB7DFC"/>
    <w:rsid w:val="00BB7F32"/>
    <w:rsid w:val="00BB7F65"/>
    <w:rsid w:val="00BC022A"/>
    <w:rsid w:val="00BC14BC"/>
    <w:rsid w:val="00BC1F75"/>
    <w:rsid w:val="00BC3D1C"/>
    <w:rsid w:val="00BC43FB"/>
    <w:rsid w:val="00BC4CC6"/>
    <w:rsid w:val="00BC5CF9"/>
    <w:rsid w:val="00BC6114"/>
    <w:rsid w:val="00BD0046"/>
    <w:rsid w:val="00BD0839"/>
    <w:rsid w:val="00BD0DBA"/>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2F7"/>
    <w:rsid w:val="00BE2AB1"/>
    <w:rsid w:val="00BE411F"/>
    <w:rsid w:val="00BE4270"/>
    <w:rsid w:val="00BE5C69"/>
    <w:rsid w:val="00BE66F8"/>
    <w:rsid w:val="00BE715D"/>
    <w:rsid w:val="00BE7CDD"/>
    <w:rsid w:val="00BF04C1"/>
    <w:rsid w:val="00BF26E3"/>
    <w:rsid w:val="00BF2ABC"/>
    <w:rsid w:val="00BF3472"/>
    <w:rsid w:val="00BF431C"/>
    <w:rsid w:val="00BF442C"/>
    <w:rsid w:val="00BF4A4B"/>
    <w:rsid w:val="00BF4D04"/>
    <w:rsid w:val="00BF6818"/>
    <w:rsid w:val="00BF6BFF"/>
    <w:rsid w:val="00C007F4"/>
    <w:rsid w:val="00C015E0"/>
    <w:rsid w:val="00C01C22"/>
    <w:rsid w:val="00C0556D"/>
    <w:rsid w:val="00C058BA"/>
    <w:rsid w:val="00C06BE6"/>
    <w:rsid w:val="00C078E2"/>
    <w:rsid w:val="00C07B99"/>
    <w:rsid w:val="00C1185B"/>
    <w:rsid w:val="00C12C54"/>
    <w:rsid w:val="00C14E8F"/>
    <w:rsid w:val="00C1617F"/>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190F"/>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683"/>
    <w:rsid w:val="00C75F46"/>
    <w:rsid w:val="00C77EAA"/>
    <w:rsid w:val="00C824AD"/>
    <w:rsid w:val="00C8328F"/>
    <w:rsid w:val="00C8352F"/>
    <w:rsid w:val="00C8399B"/>
    <w:rsid w:val="00C86A98"/>
    <w:rsid w:val="00C905CF"/>
    <w:rsid w:val="00C90697"/>
    <w:rsid w:val="00C90AA3"/>
    <w:rsid w:val="00C932C9"/>
    <w:rsid w:val="00C934B5"/>
    <w:rsid w:val="00C93788"/>
    <w:rsid w:val="00C93C88"/>
    <w:rsid w:val="00C9453B"/>
    <w:rsid w:val="00C95FE6"/>
    <w:rsid w:val="00C96033"/>
    <w:rsid w:val="00C97F61"/>
    <w:rsid w:val="00CA07E1"/>
    <w:rsid w:val="00CA07EB"/>
    <w:rsid w:val="00CA2465"/>
    <w:rsid w:val="00CA3612"/>
    <w:rsid w:val="00CA3E7A"/>
    <w:rsid w:val="00CA4D5E"/>
    <w:rsid w:val="00CA6B8C"/>
    <w:rsid w:val="00CB111D"/>
    <w:rsid w:val="00CB1544"/>
    <w:rsid w:val="00CB1764"/>
    <w:rsid w:val="00CB1BE3"/>
    <w:rsid w:val="00CB1F78"/>
    <w:rsid w:val="00CB2E8F"/>
    <w:rsid w:val="00CB38A5"/>
    <w:rsid w:val="00CB3F26"/>
    <w:rsid w:val="00CB4531"/>
    <w:rsid w:val="00CB4A35"/>
    <w:rsid w:val="00CB5C26"/>
    <w:rsid w:val="00CB6930"/>
    <w:rsid w:val="00CB6D26"/>
    <w:rsid w:val="00CB72C7"/>
    <w:rsid w:val="00CB7C93"/>
    <w:rsid w:val="00CC05EA"/>
    <w:rsid w:val="00CC2B39"/>
    <w:rsid w:val="00CC33F7"/>
    <w:rsid w:val="00CC34D7"/>
    <w:rsid w:val="00CC4071"/>
    <w:rsid w:val="00CC6703"/>
    <w:rsid w:val="00CC6960"/>
    <w:rsid w:val="00CC726B"/>
    <w:rsid w:val="00CD0801"/>
    <w:rsid w:val="00CD099E"/>
    <w:rsid w:val="00CD166C"/>
    <w:rsid w:val="00CD1A34"/>
    <w:rsid w:val="00CD1C0A"/>
    <w:rsid w:val="00CD1F99"/>
    <w:rsid w:val="00CD2B5D"/>
    <w:rsid w:val="00CD323D"/>
    <w:rsid w:val="00CD3E63"/>
    <w:rsid w:val="00CD4335"/>
    <w:rsid w:val="00CD4C26"/>
    <w:rsid w:val="00CD54EB"/>
    <w:rsid w:val="00CD598D"/>
    <w:rsid w:val="00CE0D54"/>
    <w:rsid w:val="00CE180C"/>
    <w:rsid w:val="00CE1F57"/>
    <w:rsid w:val="00CE2E2F"/>
    <w:rsid w:val="00CE3BD9"/>
    <w:rsid w:val="00CE3BF7"/>
    <w:rsid w:val="00CE4793"/>
    <w:rsid w:val="00CE5935"/>
    <w:rsid w:val="00CE5E0B"/>
    <w:rsid w:val="00CE610A"/>
    <w:rsid w:val="00CE643F"/>
    <w:rsid w:val="00CE6445"/>
    <w:rsid w:val="00CE6886"/>
    <w:rsid w:val="00CE7301"/>
    <w:rsid w:val="00CF3BC4"/>
    <w:rsid w:val="00CF47BD"/>
    <w:rsid w:val="00CF5598"/>
    <w:rsid w:val="00CF60FF"/>
    <w:rsid w:val="00D00CCD"/>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5815"/>
    <w:rsid w:val="00D26156"/>
    <w:rsid w:val="00D26F3F"/>
    <w:rsid w:val="00D277C6"/>
    <w:rsid w:val="00D312C1"/>
    <w:rsid w:val="00D31784"/>
    <w:rsid w:val="00D33290"/>
    <w:rsid w:val="00D338B0"/>
    <w:rsid w:val="00D344CB"/>
    <w:rsid w:val="00D3460D"/>
    <w:rsid w:val="00D3509F"/>
    <w:rsid w:val="00D353AF"/>
    <w:rsid w:val="00D359F1"/>
    <w:rsid w:val="00D35D47"/>
    <w:rsid w:val="00D369A3"/>
    <w:rsid w:val="00D37417"/>
    <w:rsid w:val="00D374B6"/>
    <w:rsid w:val="00D40196"/>
    <w:rsid w:val="00D407BD"/>
    <w:rsid w:val="00D41E9E"/>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2E72"/>
    <w:rsid w:val="00D634C1"/>
    <w:rsid w:val="00D650AE"/>
    <w:rsid w:val="00D67985"/>
    <w:rsid w:val="00D706E5"/>
    <w:rsid w:val="00D71E33"/>
    <w:rsid w:val="00D72665"/>
    <w:rsid w:val="00D739D5"/>
    <w:rsid w:val="00D740FF"/>
    <w:rsid w:val="00D77BD9"/>
    <w:rsid w:val="00D80A2A"/>
    <w:rsid w:val="00D810A9"/>
    <w:rsid w:val="00D812A2"/>
    <w:rsid w:val="00D81AC1"/>
    <w:rsid w:val="00D81EE2"/>
    <w:rsid w:val="00D8344B"/>
    <w:rsid w:val="00D8419A"/>
    <w:rsid w:val="00D86723"/>
    <w:rsid w:val="00D8693B"/>
    <w:rsid w:val="00D86950"/>
    <w:rsid w:val="00D86B90"/>
    <w:rsid w:val="00D86F4C"/>
    <w:rsid w:val="00D86FD6"/>
    <w:rsid w:val="00D8750B"/>
    <w:rsid w:val="00D8775C"/>
    <w:rsid w:val="00D87A24"/>
    <w:rsid w:val="00D87E53"/>
    <w:rsid w:val="00D90799"/>
    <w:rsid w:val="00D93986"/>
    <w:rsid w:val="00D95683"/>
    <w:rsid w:val="00D9703F"/>
    <w:rsid w:val="00D9723A"/>
    <w:rsid w:val="00DA0D20"/>
    <w:rsid w:val="00DA3172"/>
    <w:rsid w:val="00DA43B8"/>
    <w:rsid w:val="00DA488C"/>
    <w:rsid w:val="00DA4C59"/>
    <w:rsid w:val="00DA6323"/>
    <w:rsid w:val="00DA650B"/>
    <w:rsid w:val="00DA777C"/>
    <w:rsid w:val="00DA7E56"/>
    <w:rsid w:val="00DB14B3"/>
    <w:rsid w:val="00DB2D75"/>
    <w:rsid w:val="00DB3EDA"/>
    <w:rsid w:val="00DB41DD"/>
    <w:rsid w:val="00DB594A"/>
    <w:rsid w:val="00DB6CFE"/>
    <w:rsid w:val="00DB7620"/>
    <w:rsid w:val="00DC0C9D"/>
    <w:rsid w:val="00DC1A8D"/>
    <w:rsid w:val="00DC1FD3"/>
    <w:rsid w:val="00DC26D7"/>
    <w:rsid w:val="00DC271B"/>
    <w:rsid w:val="00DC2D5A"/>
    <w:rsid w:val="00DC3133"/>
    <w:rsid w:val="00DC32F9"/>
    <w:rsid w:val="00DC403E"/>
    <w:rsid w:val="00DC4D30"/>
    <w:rsid w:val="00DC7614"/>
    <w:rsid w:val="00DC791F"/>
    <w:rsid w:val="00DD1A2A"/>
    <w:rsid w:val="00DD2766"/>
    <w:rsid w:val="00DD2899"/>
    <w:rsid w:val="00DD391A"/>
    <w:rsid w:val="00DD45AB"/>
    <w:rsid w:val="00DD55D2"/>
    <w:rsid w:val="00DD56F7"/>
    <w:rsid w:val="00DD5888"/>
    <w:rsid w:val="00DD6A66"/>
    <w:rsid w:val="00DD7030"/>
    <w:rsid w:val="00DE0688"/>
    <w:rsid w:val="00DE0955"/>
    <w:rsid w:val="00DE166A"/>
    <w:rsid w:val="00DE1F0C"/>
    <w:rsid w:val="00DE24F0"/>
    <w:rsid w:val="00DE3352"/>
    <w:rsid w:val="00DE3474"/>
    <w:rsid w:val="00DE4592"/>
    <w:rsid w:val="00DE4627"/>
    <w:rsid w:val="00DE4BB0"/>
    <w:rsid w:val="00DE4D0F"/>
    <w:rsid w:val="00DE4D1D"/>
    <w:rsid w:val="00DE5AFD"/>
    <w:rsid w:val="00DE5E3E"/>
    <w:rsid w:val="00DE6F78"/>
    <w:rsid w:val="00DF0798"/>
    <w:rsid w:val="00DF12FC"/>
    <w:rsid w:val="00DF29C3"/>
    <w:rsid w:val="00DF310C"/>
    <w:rsid w:val="00DF37F2"/>
    <w:rsid w:val="00DF5364"/>
    <w:rsid w:val="00DF5556"/>
    <w:rsid w:val="00DF5786"/>
    <w:rsid w:val="00DF620C"/>
    <w:rsid w:val="00DF666C"/>
    <w:rsid w:val="00DF6BD8"/>
    <w:rsid w:val="00DF76B5"/>
    <w:rsid w:val="00E00C2F"/>
    <w:rsid w:val="00E019BA"/>
    <w:rsid w:val="00E02B9C"/>
    <w:rsid w:val="00E02D73"/>
    <w:rsid w:val="00E03DAD"/>
    <w:rsid w:val="00E040FC"/>
    <w:rsid w:val="00E047E9"/>
    <w:rsid w:val="00E04E95"/>
    <w:rsid w:val="00E0590A"/>
    <w:rsid w:val="00E065D7"/>
    <w:rsid w:val="00E06C83"/>
    <w:rsid w:val="00E10AB9"/>
    <w:rsid w:val="00E1116B"/>
    <w:rsid w:val="00E11CCC"/>
    <w:rsid w:val="00E11E27"/>
    <w:rsid w:val="00E125AC"/>
    <w:rsid w:val="00E13397"/>
    <w:rsid w:val="00E14236"/>
    <w:rsid w:val="00E14A54"/>
    <w:rsid w:val="00E14E31"/>
    <w:rsid w:val="00E152B4"/>
    <w:rsid w:val="00E165B4"/>
    <w:rsid w:val="00E20111"/>
    <w:rsid w:val="00E21200"/>
    <w:rsid w:val="00E2368E"/>
    <w:rsid w:val="00E27DDF"/>
    <w:rsid w:val="00E301B9"/>
    <w:rsid w:val="00E31CCA"/>
    <w:rsid w:val="00E334DD"/>
    <w:rsid w:val="00E3372F"/>
    <w:rsid w:val="00E350B1"/>
    <w:rsid w:val="00E35401"/>
    <w:rsid w:val="00E3590C"/>
    <w:rsid w:val="00E36C1A"/>
    <w:rsid w:val="00E40D15"/>
    <w:rsid w:val="00E411A6"/>
    <w:rsid w:val="00E41678"/>
    <w:rsid w:val="00E42186"/>
    <w:rsid w:val="00E42B24"/>
    <w:rsid w:val="00E43BFC"/>
    <w:rsid w:val="00E4535E"/>
    <w:rsid w:val="00E45644"/>
    <w:rsid w:val="00E45B47"/>
    <w:rsid w:val="00E45BF0"/>
    <w:rsid w:val="00E4643C"/>
    <w:rsid w:val="00E47E48"/>
    <w:rsid w:val="00E50185"/>
    <w:rsid w:val="00E506F3"/>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2CF0"/>
    <w:rsid w:val="00E85E40"/>
    <w:rsid w:val="00E86A94"/>
    <w:rsid w:val="00E870AB"/>
    <w:rsid w:val="00E87819"/>
    <w:rsid w:val="00E90265"/>
    <w:rsid w:val="00E902EA"/>
    <w:rsid w:val="00E90615"/>
    <w:rsid w:val="00E91C65"/>
    <w:rsid w:val="00E940B9"/>
    <w:rsid w:val="00E9452A"/>
    <w:rsid w:val="00E94841"/>
    <w:rsid w:val="00E94D13"/>
    <w:rsid w:val="00E95219"/>
    <w:rsid w:val="00E97886"/>
    <w:rsid w:val="00E97ED6"/>
    <w:rsid w:val="00EA0CEE"/>
    <w:rsid w:val="00EA0E8B"/>
    <w:rsid w:val="00EA1792"/>
    <w:rsid w:val="00EA335A"/>
    <w:rsid w:val="00EA3669"/>
    <w:rsid w:val="00EA4DE2"/>
    <w:rsid w:val="00EA552E"/>
    <w:rsid w:val="00EA5601"/>
    <w:rsid w:val="00EA70FD"/>
    <w:rsid w:val="00EA7614"/>
    <w:rsid w:val="00EA76B2"/>
    <w:rsid w:val="00EB0A8B"/>
    <w:rsid w:val="00EB2414"/>
    <w:rsid w:val="00EB3847"/>
    <w:rsid w:val="00EB3BA9"/>
    <w:rsid w:val="00EB52EA"/>
    <w:rsid w:val="00EB5619"/>
    <w:rsid w:val="00EB65C1"/>
    <w:rsid w:val="00EB74F8"/>
    <w:rsid w:val="00EB769C"/>
    <w:rsid w:val="00EC07F0"/>
    <w:rsid w:val="00EC0A18"/>
    <w:rsid w:val="00EC1023"/>
    <w:rsid w:val="00EC2386"/>
    <w:rsid w:val="00EC26AC"/>
    <w:rsid w:val="00EC2702"/>
    <w:rsid w:val="00EC2A95"/>
    <w:rsid w:val="00EC2EA5"/>
    <w:rsid w:val="00EC339A"/>
    <w:rsid w:val="00EC3A56"/>
    <w:rsid w:val="00EC3DE8"/>
    <w:rsid w:val="00EC5390"/>
    <w:rsid w:val="00EC589D"/>
    <w:rsid w:val="00EC6473"/>
    <w:rsid w:val="00EC6BB0"/>
    <w:rsid w:val="00EC7215"/>
    <w:rsid w:val="00EC7231"/>
    <w:rsid w:val="00EC7322"/>
    <w:rsid w:val="00ED0818"/>
    <w:rsid w:val="00ED081D"/>
    <w:rsid w:val="00ED1252"/>
    <w:rsid w:val="00ED1332"/>
    <w:rsid w:val="00ED2634"/>
    <w:rsid w:val="00ED2A79"/>
    <w:rsid w:val="00ED3033"/>
    <w:rsid w:val="00ED6218"/>
    <w:rsid w:val="00ED6C0E"/>
    <w:rsid w:val="00ED6D3A"/>
    <w:rsid w:val="00ED6DE9"/>
    <w:rsid w:val="00ED7372"/>
    <w:rsid w:val="00EE13B6"/>
    <w:rsid w:val="00EE1563"/>
    <w:rsid w:val="00EE2AA0"/>
    <w:rsid w:val="00EE4729"/>
    <w:rsid w:val="00EE566A"/>
    <w:rsid w:val="00EE5EF0"/>
    <w:rsid w:val="00EE6C92"/>
    <w:rsid w:val="00EF03AD"/>
    <w:rsid w:val="00EF113D"/>
    <w:rsid w:val="00EF23F6"/>
    <w:rsid w:val="00EF2FBD"/>
    <w:rsid w:val="00EF41C8"/>
    <w:rsid w:val="00EF4894"/>
    <w:rsid w:val="00EF52EE"/>
    <w:rsid w:val="00EF56A6"/>
    <w:rsid w:val="00EF7B57"/>
    <w:rsid w:val="00F005FE"/>
    <w:rsid w:val="00F00D89"/>
    <w:rsid w:val="00F02CD4"/>
    <w:rsid w:val="00F05612"/>
    <w:rsid w:val="00F0655E"/>
    <w:rsid w:val="00F10203"/>
    <w:rsid w:val="00F104A0"/>
    <w:rsid w:val="00F10DE4"/>
    <w:rsid w:val="00F12878"/>
    <w:rsid w:val="00F13976"/>
    <w:rsid w:val="00F14791"/>
    <w:rsid w:val="00F171DD"/>
    <w:rsid w:val="00F173AF"/>
    <w:rsid w:val="00F2005C"/>
    <w:rsid w:val="00F2096C"/>
    <w:rsid w:val="00F20DC1"/>
    <w:rsid w:val="00F21D2A"/>
    <w:rsid w:val="00F233E7"/>
    <w:rsid w:val="00F23535"/>
    <w:rsid w:val="00F23ECB"/>
    <w:rsid w:val="00F257BF"/>
    <w:rsid w:val="00F2661D"/>
    <w:rsid w:val="00F308AB"/>
    <w:rsid w:val="00F31F21"/>
    <w:rsid w:val="00F34967"/>
    <w:rsid w:val="00F34BAC"/>
    <w:rsid w:val="00F35D4E"/>
    <w:rsid w:val="00F362F4"/>
    <w:rsid w:val="00F36B32"/>
    <w:rsid w:val="00F3721F"/>
    <w:rsid w:val="00F43296"/>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225"/>
    <w:rsid w:val="00F82AF0"/>
    <w:rsid w:val="00F847FF"/>
    <w:rsid w:val="00F84AE8"/>
    <w:rsid w:val="00F85295"/>
    <w:rsid w:val="00F91B66"/>
    <w:rsid w:val="00F93606"/>
    <w:rsid w:val="00F9472A"/>
    <w:rsid w:val="00F96F8E"/>
    <w:rsid w:val="00F97745"/>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1933"/>
    <w:rsid w:val="00FC1C4C"/>
    <w:rsid w:val="00FC2518"/>
    <w:rsid w:val="00FC27E9"/>
    <w:rsid w:val="00FC2E1B"/>
    <w:rsid w:val="00FC3703"/>
    <w:rsid w:val="00FC42D7"/>
    <w:rsid w:val="00FC4A11"/>
    <w:rsid w:val="00FC5A9E"/>
    <w:rsid w:val="00FC6A27"/>
    <w:rsid w:val="00FC6D6F"/>
    <w:rsid w:val="00FC76F6"/>
    <w:rsid w:val="00FD05CA"/>
    <w:rsid w:val="00FD27FA"/>
    <w:rsid w:val="00FD2B4C"/>
    <w:rsid w:val="00FD397F"/>
    <w:rsid w:val="00FD4292"/>
    <w:rsid w:val="00FD475C"/>
    <w:rsid w:val="00FD5008"/>
    <w:rsid w:val="00FD6F4C"/>
    <w:rsid w:val="00FD778D"/>
    <w:rsid w:val="00FE1BC9"/>
    <w:rsid w:val="00FE2A60"/>
    <w:rsid w:val="00FE53B0"/>
    <w:rsid w:val="00FE670E"/>
    <w:rsid w:val="00FF00C8"/>
    <w:rsid w:val="00FF02BB"/>
    <w:rsid w:val="00FF0674"/>
    <w:rsid w:val="00FF0C52"/>
    <w:rsid w:val="00FF0F7B"/>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B552177C-91E0-4CC9-8AC9-E7EABB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lp1"/>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fr-FR"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fr-FR"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fr-FR" w:eastAsia="en-GB"/>
    </w:rPr>
  </w:style>
  <w:style w:type="character" w:styleId="FootnoteReference">
    <w:name w:val="footnote reference"/>
    <w:basedOn w:val="DefaultParagraphFont"/>
    <w:uiPriority w:val="99"/>
    <w:semiHidden/>
    <w:unhideWhenUsed/>
    <w:rsid w:val="00D77BD9"/>
    <w:rPr>
      <w:vertAlign w:val="superscript"/>
    </w:rPr>
  </w:style>
  <w:style w:type="paragraph" w:styleId="BalloonText">
    <w:name w:val="Balloon Text"/>
    <w:basedOn w:val="Normal"/>
    <w:link w:val="BalloonTextChar"/>
    <w:uiPriority w:val="99"/>
    <w:semiHidden/>
    <w:unhideWhenUsed/>
    <w:rsid w:val="005451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156"/>
    <w:rPr>
      <w:rFonts w:ascii="Segoe UI" w:eastAsia="Arial" w:hAnsi="Segoe UI" w:cs="Segoe UI"/>
      <w:sz w:val="18"/>
      <w:szCs w:val="18"/>
      <w:lang w:eastAsia="en-GB"/>
    </w:rPr>
  </w:style>
  <w:style w:type="character" w:styleId="UnresolvedMention">
    <w:name w:val="Unresolved Mention"/>
    <w:basedOn w:val="DefaultParagraphFont"/>
    <w:uiPriority w:val="99"/>
    <w:semiHidden/>
    <w:unhideWhenUsed/>
    <w:rsid w:val="00F34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793252701">
      <w:bodyDiv w:val="1"/>
      <w:marLeft w:val="0"/>
      <w:marRight w:val="0"/>
      <w:marTop w:val="0"/>
      <w:marBottom w:val="0"/>
      <w:divBdr>
        <w:top w:val="none" w:sz="0" w:space="0" w:color="auto"/>
        <w:left w:val="none" w:sz="0" w:space="0" w:color="auto"/>
        <w:bottom w:val="none" w:sz="0" w:space="0" w:color="auto"/>
        <w:right w:val="none" w:sz="0" w:space="0" w:color="auto"/>
      </w:divBdr>
      <w:divsChild>
        <w:div w:id="1329092871">
          <w:marLeft w:val="749"/>
          <w:marRight w:val="0"/>
          <w:marTop w:val="0"/>
          <w:marBottom w:val="0"/>
          <w:divBdr>
            <w:top w:val="none" w:sz="0" w:space="0" w:color="auto"/>
            <w:left w:val="none" w:sz="0" w:space="0" w:color="auto"/>
            <w:bottom w:val="none" w:sz="0" w:space="0" w:color="auto"/>
            <w:right w:val="none" w:sz="0" w:space="0" w:color="auto"/>
          </w:divBdr>
        </w:div>
        <w:div w:id="705830118">
          <w:marLeft w:val="1166"/>
          <w:marRight w:val="0"/>
          <w:marTop w:val="0"/>
          <w:marBottom w:val="0"/>
          <w:divBdr>
            <w:top w:val="none" w:sz="0" w:space="0" w:color="auto"/>
            <w:left w:val="none" w:sz="0" w:space="0" w:color="auto"/>
            <w:bottom w:val="none" w:sz="0" w:space="0" w:color="auto"/>
            <w:right w:val="none" w:sz="0" w:space="0" w:color="auto"/>
          </w:divBdr>
        </w:div>
        <w:div w:id="812455253">
          <w:marLeft w:val="1166"/>
          <w:marRight w:val="0"/>
          <w:marTop w:val="0"/>
          <w:marBottom w:val="0"/>
          <w:divBdr>
            <w:top w:val="none" w:sz="0" w:space="0" w:color="auto"/>
            <w:left w:val="none" w:sz="0" w:space="0" w:color="auto"/>
            <w:bottom w:val="none" w:sz="0" w:space="0" w:color="auto"/>
            <w:right w:val="none" w:sz="0" w:space="0" w:color="auto"/>
          </w:divBdr>
        </w:div>
        <w:div w:id="628703704">
          <w:marLeft w:val="1166"/>
          <w:marRight w:val="0"/>
          <w:marTop w:val="0"/>
          <w:marBottom w:val="0"/>
          <w:divBdr>
            <w:top w:val="none" w:sz="0" w:space="0" w:color="auto"/>
            <w:left w:val="none" w:sz="0" w:space="0" w:color="auto"/>
            <w:bottom w:val="none" w:sz="0" w:space="0" w:color="auto"/>
            <w:right w:val="none" w:sz="0" w:space="0" w:color="auto"/>
          </w:divBdr>
        </w:div>
        <w:div w:id="1226795008">
          <w:marLeft w:val="1166"/>
          <w:marRight w:val="0"/>
          <w:marTop w:val="0"/>
          <w:marBottom w:val="0"/>
          <w:divBdr>
            <w:top w:val="none" w:sz="0" w:space="0" w:color="auto"/>
            <w:left w:val="none" w:sz="0" w:space="0" w:color="auto"/>
            <w:bottom w:val="none" w:sz="0" w:space="0" w:color="auto"/>
            <w:right w:val="none" w:sz="0" w:space="0" w:color="auto"/>
          </w:divBdr>
        </w:div>
        <w:div w:id="102309337">
          <w:marLeft w:val="562"/>
          <w:marRight w:val="0"/>
          <w:marTop w:val="0"/>
          <w:marBottom w:val="0"/>
          <w:divBdr>
            <w:top w:val="none" w:sz="0" w:space="0" w:color="auto"/>
            <w:left w:val="none" w:sz="0" w:space="0" w:color="auto"/>
            <w:bottom w:val="none" w:sz="0" w:space="0" w:color="auto"/>
            <w:right w:val="none" w:sz="0" w:space="0" w:color="auto"/>
          </w:divBdr>
        </w:div>
        <w:div w:id="1584216216">
          <w:marLeft w:val="1166"/>
          <w:marRight w:val="0"/>
          <w:marTop w:val="0"/>
          <w:marBottom w:val="0"/>
          <w:divBdr>
            <w:top w:val="none" w:sz="0" w:space="0" w:color="auto"/>
            <w:left w:val="none" w:sz="0" w:space="0" w:color="auto"/>
            <w:bottom w:val="none" w:sz="0" w:space="0" w:color="auto"/>
            <w:right w:val="none" w:sz="0" w:space="0" w:color="auto"/>
          </w:divBdr>
        </w:div>
      </w:divsChild>
    </w:div>
    <w:div w:id="1014459604">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62897">
      <w:bodyDiv w:val="1"/>
      <w:marLeft w:val="0"/>
      <w:marRight w:val="0"/>
      <w:marTop w:val="0"/>
      <w:marBottom w:val="0"/>
      <w:divBdr>
        <w:top w:val="none" w:sz="0" w:space="0" w:color="auto"/>
        <w:left w:val="none" w:sz="0" w:space="0" w:color="auto"/>
        <w:bottom w:val="none" w:sz="0" w:space="0" w:color="auto"/>
        <w:right w:val="none" w:sz="0" w:space="0" w:color="auto"/>
      </w:divBdr>
      <w:divsChild>
        <w:div w:id="1814518040">
          <w:marLeft w:val="360"/>
          <w:marRight w:val="0"/>
          <w:marTop w:val="200"/>
          <w:marBottom w:val="0"/>
          <w:divBdr>
            <w:top w:val="none" w:sz="0" w:space="0" w:color="auto"/>
            <w:left w:val="none" w:sz="0" w:space="0" w:color="auto"/>
            <w:bottom w:val="none" w:sz="0" w:space="0" w:color="auto"/>
            <w:right w:val="none" w:sz="0" w:space="0" w:color="auto"/>
          </w:divBdr>
        </w:div>
        <w:div w:id="1649938002">
          <w:marLeft w:val="360"/>
          <w:marRight w:val="0"/>
          <w:marTop w:val="200"/>
          <w:marBottom w:val="0"/>
          <w:divBdr>
            <w:top w:val="none" w:sz="0" w:space="0" w:color="auto"/>
            <w:left w:val="none" w:sz="0" w:space="0" w:color="auto"/>
            <w:bottom w:val="none" w:sz="0" w:space="0" w:color="auto"/>
            <w:right w:val="none" w:sz="0" w:space="0" w:color="auto"/>
          </w:divBdr>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5891">
      <w:bodyDiv w:val="1"/>
      <w:marLeft w:val="0"/>
      <w:marRight w:val="0"/>
      <w:marTop w:val="0"/>
      <w:marBottom w:val="0"/>
      <w:divBdr>
        <w:top w:val="none" w:sz="0" w:space="0" w:color="auto"/>
        <w:left w:val="none" w:sz="0" w:space="0" w:color="auto"/>
        <w:bottom w:val="none" w:sz="0" w:space="0" w:color="auto"/>
        <w:right w:val="none" w:sz="0" w:space="0" w:color="auto"/>
      </w:divBdr>
      <w:divsChild>
        <w:div w:id="2005935781">
          <w:marLeft w:val="749"/>
          <w:marRight w:val="0"/>
          <w:marTop w:val="0"/>
          <w:marBottom w:val="0"/>
          <w:divBdr>
            <w:top w:val="none" w:sz="0" w:space="0" w:color="auto"/>
            <w:left w:val="none" w:sz="0" w:space="0" w:color="auto"/>
            <w:bottom w:val="none" w:sz="0" w:space="0" w:color="auto"/>
            <w:right w:val="none" w:sz="0" w:space="0" w:color="auto"/>
          </w:divBdr>
        </w:div>
        <w:div w:id="549612466">
          <w:marLeft w:val="1166"/>
          <w:marRight w:val="0"/>
          <w:marTop w:val="0"/>
          <w:marBottom w:val="0"/>
          <w:divBdr>
            <w:top w:val="none" w:sz="0" w:space="0" w:color="auto"/>
            <w:left w:val="none" w:sz="0" w:space="0" w:color="auto"/>
            <w:bottom w:val="none" w:sz="0" w:space="0" w:color="auto"/>
            <w:right w:val="none" w:sz="0" w:space="0" w:color="auto"/>
          </w:divBdr>
        </w:div>
        <w:div w:id="71858025">
          <w:marLeft w:val="1166"/>
          <w:marRight w:val="0"/>
          <w:marTop w:val="0"/>
          <w:marBottom w:val="0"/>
          <w:divBdr>
            <w:top w:val="none" w:sz="0" w:space="0" w:color="auto"/>
            <w:left w:val="none" w:sz="0" w:space="0" w:color="auto"/>
            <w:bottom w:val="none" w:sz="0" w:space="0" w:color="auto"/>
            <w:right w:val="none" w:sz="0" w:space="0" w:color="auto"/>
          </w:divBdr>
        </w:div>
        <w:div w:id="79759458">
          <w:marLeft w:val="1166"/>
          <w:marRight w:val="0"/>
          <w:marTop w:val="0"/>
          <w:marBottom w:val="0"/>
          <w:divBdr>
            <w:top w:val="none" w:sz="0" w:space="0" w:color="auto"/>
            <w:left w:val="none" w:sz="0" w:space="0" w:color="auto"/>
            <w:bottom w:val="none" w:sz="0" w:space="0" w:color="auto"/>
            <w:right w:val="none" w:sz="0" w:space="0" w:color="auto"/>
          </w:divBdr>
        </w:div>
        <w:div w:id="1071004038">
          <w:marLeft w:val="1166"/>
          <w:marRight w:val="0"/>
          <w:marTop w:val="0"/>
          <w:marBottom w:val="0"/>
          <w:divBdr>
            <w:top w:val="none" w:sz="0" w:space="0" w:color="auto"/>
            <w:left w:val="none" w:sz="0" w:space="0" w:color="auto"/>
            <w:bottom w:val="none" w:sz="0" w:space="0" w:color="auto"/>
            <w:right w:val="none" w:sz="0" w:space="0" w:color="auto"/>
          </w:divBdr>
        </w:div>
        <w:div w:id="296566747">
          <w:marLeft w:val="562"/>
          <w:marRight w:val="0"/>
          <w:marTop w:val="0"/>
          <w:marBottom w:val="0"/>
          <w:divBdr>
            <w:top w:val="none" w:sz="0" w:space="0" w:color="auto"/>
            <w:left w:val="none" w:sz="0" w:space="0" w:color="auto"/>
            <w:bottom w:val="none" w:sz="0" w:space="0" w:color="auto"/>
            <w:right w:val="none" w:sz="0" w:space="0" w:color="auto"/>
          </w:divBdr>
        </w:div>
        <w:div w:id="1102334267">
          <w:marLeft w:val="1166"/>
          <w:marRight w:val="0"/>
          <w:marTop w:val="0"/>
          <w:marBottom w:val="0"/>
          <w:divBdr>
            <w:top w:val="none" w:sz="0" w:space="0" w:color="auto"/>
            <w:left w:val="none" w:sz="0" w:space="0" w:color="auto"/>
            <w:bottom w:val="none" w:sz="0" w:space="0" w:color="auto"/>
            <w:right w:val="none" w:sz="0" w:space="0" w:color="auto"/>
          </w:divBdr>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de-financement-du-programme-gav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Directives-assistance-technique-pay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GAVI-438364776-957527</_dlc_DocId>
    <_dlc_DocIdUrl xmlns="55894003-98dc-4f3e-8669-85b90bdbcc8c">
      <Url>https://gavinet.sharepoint.com/teams/PAP/srp/_layouts/15/DocIdRedir.aspx?ID=GAVI-438364776-957527</Url>
      <Description>GAVI-438364776-957527</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700359ba-e36c-422a-9925-ddada98091a9"/>
    <ds:schemaRef ds:uri="a0d399e1-4586-4335-9383-7d9098bfc9ba"/>
  </ds:schemaRefs>
</ds:datastoreItem>
</file>

<file path=customXml/itemProps3.xml><?xml version="1.0" encoding="utf-8"?>
<ds:datastoreItem xmlns:ds="http://schemas.openxmlformats.org/officeDocument/2006/customXml" ds:itemID="{C565FB61-2D1D-4D68-935F-31FF8312C65A}">
  <ds:schemaRefs>
    <ds:schemaRef ds:uri="http://schemas.openxmlformats.org/officeDocument/2006/bibliography"/>
  </ds:schemaRefs>
</ds:datastoreItem>
</file>

<file path=customXml/itemProps4.xml><?xml version="1.0" encoding="utf-8"?>
<ds:datastoreItem xmlns:ds="http://schemas.openxmlformats.org/officeDocument/2006/customXml" ds:itemID="{2D22EA54-6A24-4A29-99A3-06BC592AAE85}"/>
</file>

<file path=customXml/itemProps5.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6.xml><?xml version="1.0" encoding="utf-8"?>
<ds:datastoreItem xmlns:ds="http://schemas.openxmlformats.org/officeDocument/2006/customXml" ds:itemID="{B510E385-F15C-49C0-BF1D-0F2315539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4634</Words>
  <Characters>26416</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seeee</vt:lpstr>
      <vt:lpstr>seeee</vt:lpstr>
    </vt:vector>
  </TitlesOfParts>
  <Company/>
  <LinksUpToDate>false</LinksUpToDate>
  <CharactersWithSpaces>30989</CharactersWithSpaces>
  <SharedDoc>false</SharedDoc>
  <HLinks>
    <vt:vector size="12" baseType="variant">
      <vt:variant>
        <vt:i4>589918</vt:i4>
      </vt:variant>
      <vt:variant>
        <vt:i4>3</vt:i4>
      </vt:variant>
      <vt:variant>
        <vt:i4>0</vt:i4>
      </vt:variant>
      <vt:variant>
        <vt:i4>5</vt:i4>
      </vt:variant>
      <vt:variant>
        <vt:lpwstr>https://www.gavi.org/news/document-library/support/tca-guidelines</vt:lpwstr>
      </vt:variant>
      <vt:variant>
        <vt:lpwstr/>
      </vt:variant>
      <vt:variant>
        <vt:i4>5832791</vt:i4>
      </vt:variant>
      <vt:variant>
        <vt:i4>0</vt:i4>
      </vt:variant>
      <vt:variant>
        <vt:i4>0</vt:i4>
      </vt:variant>
      <vt:variant>
        <vt:i4>5</vt:i4>
      </vt:variant>
      <vt:variant>
        <vt:lpwstr>https://www.gavi.org/news/document-library/gavi-programme-funding-guidelines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Demba Diack</cp:lastModifiedBy>
  <cp:revision>13</cp:revision>
  <cp:lastPrinted>2022-05-04T07:42:00Z</cp:lastPrinted>
  <dcterms:created xsi:type="dcterms:W3CDTF">2022-05-30T07:29:00Z</dcterms:created>
  <dcterms:modified xsi:type="dcterms:W3CDTF">2022-05-30T08:01:00Z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 Charles Dubourg (Consultant);#25188;#Eric Sarriot;#13264;#Sara Menzies;#113;#Riswana Soundardjee;#34919;#Rubi Hernandez (Consultant)</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9097a99e-70cc-4a95-a320-3608392f3c1e</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