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3EDCD" w14:textId="619810D1" w:rsidR="00E005B6" w:rsidRPr="004F5A95" w:rsidRDefault="00D22713" w:rsidP="00D22713">
      <w:pPr>
        <w:pStyle w:val="Lgende"/>
        <w:rPr>
          <w:rFonts w:cstheme="minorHAnsi"/>
          <w:sz w:val="22"/>
          <w:szCs w:val="22"/>
          <w:lang w:val="fr-FR"/>
        </w:rPr>
      </w:pPr>
      <w:r w:rsidRPr="001D6FB4">
        <w:rPr>
          <w:rFonts w:cstheme="minorHAnsi"/>
          <w:sz w:val="22"/>
          <w:szCs w:val="22"/>
          <w:lang w:val="fr-FR"/>
        </w:rPr>
        <w:t>Cette liste de contrôle comprend des exemples d</w:t>
      </w:r>
      <w:r w:rsidR="00451D01" w:rsidRPr="001D6FB4">
        <w:rPr>
          <w:rFonts w:cstheme="minorHAnsi"/>
          <w:sz w:val="22"/>
          <w:szCs w:val="22"/>
          <w:lang w:val="fr-FR"/>
        </w:rPr>
        <w:t>’</w:t>
      </w:r>
      <w:r w:rsidRPr="001D6FB4">
        <w:rPr>
          <w:rFonts w:cstheme="minorHAnsi"/>
          <w:sz w:val="22"/>
          <w:szCs w:val="22"/>
          <w:lang w:val="fr-FR"/>
        </w:rPr>
        <w:t>activités de surveillance du choléra et de bonnes pratiques que les pays doivent prendre en compte lorsqu</w:t>
      </w:r>
      <w:r w:rsidR="00451D01" w:rsidRPr="001D6FB4">
        <w:rPr>
          <w:rFonts w:cstheme="minorHAnsi"/>
          <w:sz w:val="22"/>
          <w:szCs w:val="22"/>
          <w:lang w:val="fr-FR"/>
        </w:rPr>
        <w:t>’</w:t>
      </w:r>
      <w:r w:rsidRPr="001D6FB4">
        <w:rPr>
          <w:rFonts w:cstheme="minorHAnsi"/>
          <w:sz w:val="22"/>
          <w:szCs w:val="22"/>
          <w:lang w:val="fr-FR"/>
        </w:rPr>
        <w:t xml:space="preserve">ils </w:t>
      </w:r>
      <w:r w:rsidR="002B1B3E" w:rsidRPr="001D6FB4">
        <w:rPr>
          <w:rFonts w:cstheme="minorHAnsi"/>
          <w:sz w:val="22"/>
          <w:szCs w:val="22"/>
          <w:lang w:val="fr-FR"/>
        </w:rPr>
        <w:t>sollicitent</w:t>
      </w:r>
      <w:r w:rsidRPr="001D6FB4">
        <w:rPr>
          <w:rFonts w:cstheme="minorHAnsi"/>
          <w:sz w:val="22"/>
          <w:szCs w:val="22"/>
          <w:lang w:val="fr-FR"/>
        </w:rPr>
        <w:t xml:space="preserve"> </w:t>
      </w:r>
      <w:r w:rsidR="00F7603E">
        <w:rPr>
          <w:rFonts w:cstheme="minorHAnsi"/>
          <w:sz w:val="22"/>
          <w:szCs w:val="22"/>
          <w:lang w:val="fr-FR"/>
        </w:rPr>
        <w:t>le</w:t>
      </w:r>
      <w:r w:rsidRPr="001D6FB4">
        <w:rPr>
          <w:rFonts w:cstheme="minorHAnsi"/>
          <w:sz w:val="22"/>
          <w:szCs w:val="22"/>
          <w:lang w:val="fr-FR"/>
        </w:rPr>
        <w:t xml:space="preserve"> soutien </w:t>
      </w:r>
      <w:r w:rsidR="00F7603E">
        <w:rPr>
          <w:rFonts w:cstheme="minorHAnsi"/>
          <w:sz w:val="22"/>
          <w:szCs w:val="22"/>
          <w:lang w:val="fr-FR"/>
        </w:rPr>
        <w:t>de</w:t>
      </w:r>
      <w:r w:rsidRPr="001D6FB4">
        <w:rPr>
          <w:rFonts w:cstheme="minorHAnsi"/>
          <w:sz w:val="22"/>
          <w:szCs w:val="22"/>
          <w:lang w:val="fr-FR"/>
        </w:rPr>
        <w:t xml:space="preserve"> Gavi pour le diagnostic du choléra. </w:t>
      </w:r>
      <w:r w:rsidR="00F7603E">
        <w:rPr>
          <w:rFonts w:cstheme="minorHAnsi"/>
          <w:sz w:val="22"/>
          <w:szCs w:val="22"/>
          <w:lang w:val="fr-FR"/>
        </w:rPr>
        <w:t>Celle-ci</w:t>
      </w:r>
      <w:r w:rsidRPr="001D6FB4">
        <w:rPr>
          <w:rFonts w:cstheme="minorHAnsi"/>
          <w:sz w:val="22"/>
          <w:szCs w:val="22"/>
          <w:lang w:val="fr-FR"/>
        </w:rPr>
        <w:t xml:space="preserve"> </w:t>
      </w:r>
      <w:r w:rsidR="002B1B3E" w:rsidRPr="001D6FB4">
        <w:rPr>
          <w:rFonts w:cstheme="minorHAnsi"/>
          <w:sz w:val="22"/>
          <w:szCs w:val="22"/>
          <w:lang w:val="fr-FR"/>
        </w:rPr>
        <w:t>doit</w:t>
      </w:r>
      <w:r w:rsidRPr="001D6FB4">
        <w:rPr>
          <w:rFonts w:cstheme="minorHAnsi"/>
          <w:sz w:val="22"/>
          <w:szCs w:val="22"/>
          <w:lang w:val="fr-FR"/>
        </w:rPr>
        <w:t xml:space="preserve"> guider les pays dans la mise en œuvre de programmes de surveillance du choléra et s</w:t>
      </w:r>
      <w:r w:rsidR="00451D01" w:rsidRPr="001D6FB4">
        <w:rPr>
          <w:rFonts w:cstheme="minorHAnsi"/>
          <w:sz w:val="22"/>
          <w:szCs w:val="22"/>
          <w:lang w:val="fr-FR"/>
        </w:rPr>
        <w:t>’</w:t>
      </w:r>
      <w:r w:rsidRPr="001D6FB4">
        <w:rPr>
          <w:rFonts w:cstheme="minorHAnsi"/>
          <w:sz w:val="22"/>
          <w:szCs w:val="22"/>
          <w:lang w:val="fr-FR"/>
        </w:rPr>
        <w:t>appuie sur le document d</w:t>
      </w:r>
      <w:r w:rsidR="00451D01" w:rsidRPr="001D6FB4">
        <w:rPr>
          <w:rFonts w:cstheme="minorHAnsi"/>
          <w:sz w:val="22"/>
          <w:szCs w:val="22"/>
          <w:lang w:val="fr-FR"/>
        </w:rPr>
        <w:t>’</w:t>
      </w:r>
      <w:r w:rsidRPr="001D6FB4">
        <w:rPr>
          <w:rFonts w:cstheme="minorHAnsi"/>
          <w:sz w:val="22"/>
          <w:szCs w:val="22"/>
          <w:lang w:val="fr-FR"/>
        </w:rPr>
        <w:t xml:space="preserve">orientation provisoire </w:t>
      </w:r>
      <w:r w:rsidR="002B1B3E" w:rsidRPr="001D6FB4">
        <w:rPr>
          <w:rFonts w:cstheme="minorHAnsi"/>
          <w:sz w:val="22"/>
          <w:szCs w:val="22"/>
          <w:lang w:val="fr-FR"/>
        </w:rPr>
        <w:t xml:space="preserve">de 2024 </w:t>
      </w:r>
      <w:r w:rsidRPr="001D6FB4">
        <w:rPr>
          <w:rFonts w:cstheme="minorHAnsi"/>
          <w:sz w:val="22"/>
          <w:szCs w:val="22"/>
          <w:lang w:val="fr-FR"/>
        </w:rPr>
        <w:t>du Groupe de travail mondial sur la lutte contre le choléra (GTFCC)</w:t>
      </w:r>
      <w:r w:rsidR="002B1B3E" w:rsidRPr="001D6FB4">
        <w:rPr>
          <w:rFonts w:cstheme="minorHAnsi"/>
          <w:sz w:val="22"/>
          <w:szCs w:val="22"/>
          <w:lang w:val="fr-FR"/>
        </w:rPr>
        <w:t xml:space="preserve"> intitulé</w:t>
      </w:r>
      <w:r w:rsidRPr="001D6FB4">
        <w:rPr>
          <w:rFonts w:cstheme="minorHAnsi"/>
          <w:sz w:val="22"/>
          <w:szCs w:val="22"/>
          <w:lang w:val="fr-FR"/>
        </w:rPr>
        <w:t xml:space="preserve"> </w:t>
      </w:r>
      <w:r w:rsidR="00F7603E">
        <w:rPr>
          <w:rFonts w:cstheme="minorHAnsi"/>
          <w:sz w:val="22"/>
          <w:szCs w:val="22"/>
          <w:lang w:val="fr-FR"/>
        </w:rPr>
        <w:t>« </w:t>
      </w:r>
      <w:r w:rsidR="00065A9A" w:rsidRPr="001D6FB4">
        <w:rPr>
          <w:rFonts w:cstheme="minorHAnsi"/>
          <w:sz w:val="22"/>
          <w:szCs w:val="22"/>
          <w:lang w:val="fr-FR"/>
        </w:rPr>
        <w:t>Évaluation de la surveillance du</w:t>
      </w:r>
      <w:r w:rsidRPr="001D6FB4">
        <w:rPr>
          <w:rFonts w:cstheme="minorHAnsi"/>
          <w:sz w:val="22"/>
          <w:szCs w:val="22"/>
          <w:lang w:val="fr-FR"/>
        </w:rPr>
        <w:t xml:space="preserve"> chol</w:t>
      </w:r>
      <w:r w:rsidR="00065A9A" w:rsidRPr="001D6FB4">
        <w:rPr>
          <w:rFonts w:cstheme="minorHAnsi"/>
          <w:sz w:val="22"/>
          <w:szCs w:val="22"/>
          <w:lang w:val="fr-FR"/>
        </w:rPr>
        <w:t>é</w:t>
      </w:r>
      <w:r w:rsidRPr="001D6FB4">
        <w:rPr>
          <w:rFonts w:cstheme="minorHAnsi"/>
          <w:sz w:val="22"/>
          <w:szCs w:val="22"/>
          <w:lang w:val="fr-FR"/>
        </w:rPr>
        <w:t>ra</w:t>
      </w:r>
      <w:r w:rsidR="00F7603E">
        <w:rPr>
          <w:rFonts w:cstheme="minorHAnsi"/>
          <w:sz w:val="22"/>
          <w:szCs w:val="22"/>
          <w:lang w:val="fr-FR"/>
        </w:rPr>
        <w:t> »</w:t>
      </w:r>
      <w:r w:rsidR="007E02E7" w:rsidRPr="001D6FB4">
        <w:rPr>
          <w:rFonts w:cstheme="minorHAnsi"/>
          <w:sz w:val="22"/>
          <w:szCs w:val="22"/>
          <w:lang w:val="fr-FR"/>
        </w:rPr>
        <w:t>.</w:t>
      </w:r>
      <w:r w:rsidR="00B73E04" w:rsidRPr="001D6FB4">
        <w:rPr>
          <w:rStyle w:val="Appeldenotedefin"/>
          <w:rFonts w:cstheme="minorHAnsi"/>
          <w:sz w:val="22"/>
          <w:szCs w:val="22"/>
          <w:lang w:val="fr-FR"/>
        </w:rPr>
        <w:endnoteReference w:id="1"/>
      </w:r>
    </w:p>
    <w:p w14:paraId="00341929" w14:textId="0E2C786D" w:rsidR="00E97BFD" w:rsidRPr="004F5A95" w:rsidRDefault="00690014" w:rsidP="009D1CCD">
      <w:pPr>
        <w:pStyle w:val="Lgende"/>
        <w:rPr>
          <w:rFonts w:eastAsia="Times" w:cstheme="minorHAnsi"/>
          <w:sz w:val="22"/>
          <w:szCs w:val="22"/>
          <w:lang w:val="fr-FR"/>
        </w:rPr>
      </w:pPr>
      <w:r w:rsidRPr="00F7603E">
        <w:rPr>
          <w:rFonts w:cstheme="minorHAnsi"/>
          <w:sz w:val="22"/>
          <w:szCs w:val="22"/>
          <w:lang w:val="fr-FR"/>
        </w:rPr>
        <w:t>Table</w:t>
      </w:r>
      <w:r w:rsidR="00DA070C" w:rsidRPr="00F7603E">
        <w:rPr>
          <w:rFonts w:cstheme="minorHAnsi"/>
          <w:sz w:val="22"/>
          <w:szCs w:val="22"/>
          <w:lang w:val="fr-FR"/>
        </w:rPr>
        <w:t>au</w:t>
      </w:r>
      <w:r w:rsidRPr="00F7603E">
        <w:rPr>
          <w:rFonts w:cstheme="minorHAnsi"/>
          <w:sz w:val="22"/>
          <w:szCs w:val="22"/>
          <w:lang w:val="fr-FR"/>
        </w:rPr>
        <w:t xml:space="preserve"> 1. </w:t>
      </w:r>
      <w:r w:rsidR="00D22713" w:rsidRPr="00F7603E">
        <w:rPr>
          <w:rFonts w:cstheme="minorHAnsi"/>
          <w:sz w:val="22"/>
          <w:szCs w:val="22"/>
          <w:lang w:val="fr-FR"/>
        </w:rPr>
        <w:t xml:space="preserve">Liste de contrôle de l’état de préparation à la mise en œuvre </w:t>
      </w:r>
      <w:r w:rsidR="00065A9A" w:rsidRPr="00F7603E">
        <w:rPr>
          <w:rFonts w:cstheme="minorHAnsi"/>
          <w:sz w:val="22"/>
          <w:szCs w:val="22"/>
          <w:lang w:val="fr-FR"/>
        </w:rPr>
        <w:t>du soutien</w:t>
      </w:r>
      <w:r w:rsidR="00D22713" w:rsidRPr="00F7603E">
        <w:rPr>
          <w:rFonts w:cstheme="minorHAnsi"/>
          <w:sz w:val="22"/>
          <w:szCs w:val="22"/>
          <w:lang w:val="fr-FR"/>
        </w:rPr>
        <w:t xml:space="preserve"> au diagnostic du choléra, basée sur les </w:t>
      </w:r>
      <w:r w:rsidR="002B1B3E" w:rsidRPr="00F7603E">
        <w:rPr>
          <w:rFonts w:cstheme="minorHAnsi"/>
          <w:sz w:val="22"/>
          <w:szCs w:val="22"/>
          <w:lang w:val="fr-FR"/>
        </w:rPr>
        <w:t>directives</w:t>
      </w:r>
      <w:r w:rsidR="00D22713" w:rsidRPr="00F7603E">
        <w:rPr>
          <w:rFonts w:cstheme="minorHAnsi"/>
          <w:sz w:val="22"/>
          <w:szCs w:val="22"/>
          <w:lang w:val="fr-FR"/>
        </w:rPr>
        <w:t xml:space="preserve"> actuelles du GTFCC et les principaux enseignements tirés de la mise en œuvre pilote</w:t>
      </w:r>
      <w:r w:rsidR="00A557A4" w:rsidRPr="00F7603E">
        <w:rPr>
          <w:rFonts w:cstheme="minorHAnsi"/>
          <w:sz w:val="22"/>
          <w:szCs w:val="22"/>
          <w:lang w:val="fr-FR"/>
        </w:rPr>
        <w:t>.</w:t>
      </w:r>
    </w:p>
    <w:tbl>
      <w:tblPr>
        <w:tblStyle w:val="TableauGrille1Clair-Accentuation1"/>
        <w:tblW w:w="11070" w:type="dxa"/>
        <w:tblInd w:w="-725" w:type="dxa"/>
        <w:tblLook w:val="04A0" w:firstRow="1" w:lastRow="0" w:firstColumn="1" w:lastColumn="0" w:noHBand="0" w:noVBand="1"/>
      </w:tblPr>
      <w:tblGrid>
        <w:gridCol w:w="1667"/>
        <w:gridCol w:w="5126"/>
        <w:gridCol w:w="1100"/>
        <w:gridCol w:w="2102"/>
        <w:gridCol w:w="1075"/>
      </w:tblGrid>
      <w:tr w:rsidR="00CE067A" w:rsidRPr="004F5A95" w14:paraId="2761C080" w14:textId="77777777" w:rsidTr="00C6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tcBorders>
              <w:bottom w:val="double" w:sz="4" w:space="0" w:color="4472C4" w:themeColor="accent1"/>
            </w:tcBorders>
            <w:vAlign w:val="center"/>
          </w:tcPr>
          <w:p w14:paraId="279DF7D5" w14:textId="555286E4" w:rsidR="00E97BFD" w:rsidRPr="004F5A95" w:rsidRDefault="00E97BFD" w:rsidP="00E97BFD">
            <w:pPr>
              <w:jc w:val="center"/>
              <w:rPr>
                <w:lang w:val="fr-FR"/>
              </w:rPr>
            </w:pPr>
            <w:r w:rsidRPr="004F5A95">
              <w:rPr>
                <w:lang w:val="fr-FR"/>
              </w:rPr>
              <w:t>F</w:t>
            </w:r>
            <w:r w:rsidR="00DA070C" w:rsidRPr="004F5A95">
              <w:rPr>
                <w:lang w:val="fr-FR"/>
              </w:rPr>
              <w:t>o</w:t>
            </w:r>
            <w:r w:rsidRPr="004F5A95">
              <w:rPr>
                <w:lang w:val="fr-FR"/>
              </w:rPr>
              <w:t>nction</w:t>
            </w:r>
          </w:p>
        </w:tc>
        <w:tc>
          <w:tcPr>
            <w:tcW w:w="5193" w:type="dxa"/>
            <w:tcBorders>
              <w:bottom w:val="double" w:sz="4" w:space="0" w:color="4472C4" w:themeColor="accent1"/>
            </w:tcBorders>
            <w:vAlign w:val="center"/>
          </w:tcPr>
          <w:p w14:paraId="72396F95" w14:textId="64261AFD" w:rsidR="00E97BFD" w:rsidRPr="004F5A95" w:rsidRDefault="00451D01" w:rsidP="00E97B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4F5A95">
              <w:rPr>
                <w:lang w:val="fr-FR"/>
              </w:rPr>
              <w:t>Exemples et bonnes pratiques</w:t>
            </w:r>
          </w:p>
        </w:tc>
        <w:tc>
          <w:tcPr>
            <w:tcW w:w="1102" w:type="dxa"/>
            <w:tcBorders>
              <w:bottom w:val="double" w:sz="4" w:space="0" w:color="4472C4" w:themeColor="accent1"/>
            </w:tcBorders>
            <w:vAlign w:val="center"/>
          </w:tcPr>
          <w:p w14:paraId="207A92BA" w14:textId="77A1DBEA" w:rsidR="00E97BFD" w:rsidRPr="004F5A95" w:rsidRDefault="00451D01" w:rsidP="00E97B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4F5A95">
              <w:rPr>
                <w:lang w:val="fr-FR"/>
              </w:rPr>
              <w:t>Situation actuelle</w:t>
            </w:r>
          </w:p>
        </w:tc>
        <w:tc>
          <w:tcPr>
            <w:tcW w:w="2153" w:type="dxa"/>
            <w:tcBorders>
              <w:bottom w:val="double" w:sz="4" w:space="0" w:color="4472C4" w:themeColor="accent1"/>
            </w:tcBorders>
            <w:vAlign w:val="center"/>
          </w:tcPr>
          <w:p w14:paraId="195BBD1E" w14:textId="5E40B11D" w:rsidR="00E97BFD" w:rsidRPr="004F5A95" w:rsidRDefault="00C739F1" w:rsidP="00E97B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4F5A95">
              <w:rPr>
                <w:lang w:val="fr-FR"/>
              </w:rPr>
              <w:t>D</w:t>
            </w:r>
            <w:r w:rsidR="00DA070C" w:rsidRPr="004F5A95">
              <w:rPr>
                <w:lang w:val="fr-FR"/>
              </w:rPr>
              <w:t>é</w:t>
            </w:r>
            <w:r w:rsidRPr="004F5A95">
              <w:rPr>
                <w:lang w:val="fr-FR"/>
              </w:rPr>
              <w:t>tails</w:t>
            </w:r>
          </w:p>
        </w:tc>
        <w:tc>
          <w:tcPr>
            <w:tcW w:w="1065" w:type="dxa"/>
            <w:tcBorders>
              <w:bottom w:val="double" w:sz="4" w:space="0" w:color="4472C4" w:themeColor="accent1"/>
            </w:tcBorders>
            <w:vAlign w:val="center"/>
          </w:tcPr>
          <w:p w14:paraId="6F72EFAD" w14:textId="010ADAEE" w:rsidR="00E97BFD" w:rsidRPr="004F5A95" w:rsidRDefault="00451D01" w:rsidP="00E97B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4F5A95">
              <w:rPr>
                <w:lang w:val="fr-FR"/>
              </w:rPr>
              <w:t>Personne de contact</w:t>
            </w:r>
          </w:p>
        </w:tc>
      </w:tr>
      <w:tr w:rsidR="00CE067A" w:rsidRPr="008C3322" w14:paraId="3E0D1D59" w14:textId="77777777" w:rsidTr="00C6487E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 w:val="restart"/>
            <w:tcBorders>
              <w:top w:val="double" w:sz="4" w:space="0" w:color="4472C4" w:themeColor="accent1"/>
            </w:tcBorders>
            <w:vAlign w:val="center"/>
          </w:tcPr>
          <w:p w14:paraId="6C22C3B1" w14:textId="069C3E97" w:rsidR="00E97BFD" w:rsidRPr="003135E4" w:rsidRDefault="00CE067A" w:rsidP="00E97BFD">
            <w:pPr>
              <w:jc w:val="center"/>
              <w:rPr>
                <w:lang w:val="fr-FR"/>
              </w:rPr>
            </w:pPr>
            <w:r w:rsidRPr="003135E4">
              <w:rPr>
                <w:lang w:val="fr-FR"/>
              </w:rPr>
              <w:t>Strat</w:t>
            </w:r>
            <w:r w:rsidR="00D43987" w:rsidRPr="003135E4">
              <w:rPr>
                <w:lang w:val="fr-FR"/>
              </w:rPr>
              <w:t>é</w:t>
            </w:r>
            <w:r w:rsidRPr="003135E4">
              <w:rPr>
                <w:lang w:val="fr-FR"/>
              </w:rPr>
              <w:t>g</w:t>
            </w:r>
            <w:r w:rsidR="00D43987" w:rsidRPr="003135E4">
              <w:rPr>
                <w:lang w:val="fr-FR"/>
              </w:rPr>
              <w:t>ie et</w:t>
            </w:r>
            <w:r w:rsidRPr="003135E4">
              <w:rPr>
                <w:lang w:val="fr-FR"/>
              </w:rPr>
              <w:t xml:space="preserve"> </w:t>
            </w:r>
            <w:r w:rsidR="00D43987" w:rsidRPr="003135E4">
              <w:rPr>
                <w:lang w:val="fr-FR"/>
              </w:rPr>
              <w:t>directives</w:t>
            </w:r>
          </w:p>
        </w:tc>
        <w:tc>
          <w:tcPr>
            <w:tcW w:w="5193" w:type="dxa"/>
            <w:tcBorders>
              <w:top w:val="double" w:sz="4" w:space="0" w:color="4472C4" w:themeColor="accent1"/>
            </w:tcBorders>
            <w:vAlign w:val="center"/>
          </w:tcPr>
          <w:p w14:paraId="10BB4022" w14:textId="4EFBC1C9" w:rsidR="00CE067A" w:rsidRPr="00714B86" w:rsidRDefault="000F7DE4" w:rsidP="007B3439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714B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Plan national de lutte contre le choléra (prévention et réponse aux épidémies</w:t>
            </w:r>
            <w:r w:rsidR="00E97BFD" w:rsidRPr="00714B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)</w:t>
            </w:r>
          </w:p>
          <w:p w14:paraId="15D35ABE" w14:textId="13A76A6F" w:rsidR="0059396C" w:rsidRPr="00714B86" w:rsidRDefault="00065A9A" w:rsidP="007B3439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714B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La s</w:t>
            </w:r>
            <w:r w:rsidR="000F7DE4" w:rsidRPr="00714B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urveillance </w:t>
            </w:r>
            <w:r w:rsidRPr="00714B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dans les</w:t>
            </w:r>
            <w:r w:rsidR="000F7DE4" w:rsidRPr="00714B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établissements de santé, </w:t>
            </w:r>
            <w:r w:rsidRPr="00714B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la </w:t>
            </w:r>
            <w:r w:rsidR="000F7DE4" w:rsidRPr="00714B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surveillance communautaire et la surveillance des événements doivent être systématiquement intégrées </w:t>
            </w:r>
            <w:r w:rsidR="003135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afin de</w:t>
            </w:r>
            <w:r w:rsidR="000F7DE4" w:rsidRPr="00714B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détecter les cas de choléra</w:t>
            </w:r>
          </w:p>
          <w:p w14:paraId="0CBA4B4D" w14:textId="7770547D" w:rsidR="007B3439" w:rsidRPr="00714B86" w:rsidRDefault="000F7DE4" w:rsidP="007B3439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714B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Définition d’un foyer</w:t>
            </w:r>
            <w:r w:rsidR="00065A9A" w:rsidRPr="00714B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d’infection</w:t>
            </w:r>
            <w:r w:rsidRPr="00714B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, alerte et confirmation d’un foyer</w:t>
            </w:r>
            <w:r w:rsidR="0059396C" w:rsidRPr="00714B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1102" w:type="dxa"/>
            <w:tcBorders>
              <w:top w:val="double" w:sz="4" w:space="0" w:color="4472C4" w:themeColor="accent1"/>
            </w:tcBorders>
            <w:vAlign w:val="center"/>
          </w:tcPr>
          <w:p w14:paraId="61E76EF6" w14:textId="67F37CD1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tcBorders>
              <w:top w:val="double" w:sz="4" w:space="0" w:color="4472C4" w:themeColor="accent1"/>
            </w:tcBorders>
            <w:vAlign w:val="center"/>
          </w:tcPr>
          <w:p w14:paraId="0698B0BB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tcBorders>
              <w:top w:val="double" w:sz="4" w:space="0" w:color="4472C4" w:themeColor="accent1"/>
            </w:tcBorders>
            <w:vAlign w:val="center"/>
          </w:tcPr>
          <w:p w14:paraId="2AC0B5D9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E067A" w:rsidRPr="004F5A95" w14:paraId="01AF9B42" w14:textId="77777777" w:rsidTr="00C6487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182BBF2B" w14:textId="77777777" w:rsidR="00E97BFD" w:rsidRPr="004F5A95" w:rsidRDefault="00E97BFD" w:rsidP="00E97BFD">
            <w:pPr>
              <w:jc w:val="center"/>
              <w:rPr>
                <w:lang w:val="fr-FR"/>
              </w:rPr>
            </w:pPr>
          </w:p>
        </w:tc>
        <w:tc>
          <w:tcPr>
            <w:tcW w:w="5193" w:type="dxa"/>
            <w:vAlign w:val="center"/>
          </w:tcPr>
          <w:p w14:paraId="4B26AE56" w14:textId="6CBC3C45" w:rsidR="00EC4FFA" w:rsidRPr="003135E4" w:rsidRDefault="000F7DE4" w:rsidP="00EC4FFA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3135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Définition </w:t>
            </w:r>
            <w:r w:rsidR="00065A9A" w:rsidRPr="003135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d’un</w:t>
            </w:r>
            <w:r w:rsidRPr="003135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cas de choléra et stratégies d’investigation</w:t>
            </w:r>
            <w:r w:rsidR="00065A9A" w:rsidRPr="003135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des cas</w:t>
            </w:r>
            <w:r w:rsidRPr="003135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(</w:t>
            </w:r>
            <w:r w:rsidR="00065A9A" w:rsidRPr="003135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directives</w:t>
            </w:r>
            <w:r w:rsidRPr="003135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du GTFCC</w:t>
            </w:r>
            <w:r w:rsidR="00F7358A" w:rsidRPr="003135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)</w:t>
            </w:r>
          </w:p>
          <w:p w14:paraId="6151944F" w14:textId="589523FB" w:rsidR="00C40EFA" w:rsidRPr="003135E4" w:rsidRDefault="000F7DE4" w:rsidP="00EC4FFA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3135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Formulaire </w:t>
            </w:r>
            <w:r w:rsidR="00065A9A" w:rsidRPr="003135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d’investigation</w:t>
            </w:r>
            <w:r w:rsidRPr="003135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de</w:t>
            </w:r>
            <w:r w:rsidR="00065A9A" w:rsidRPr="003135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s</w:t>
            </w:r>
            <w:r w:rsidRPr="003135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cas</w:t>
            </w:r>
          </w:p>
        </w:tc>
        <w:tc>
          <w:tcPr>
            <w:tcW w:w="1102" w:type="dxa"/>
            <w:vAlign w:val="center"/>
          </w:tcPr>
          <w:p w14:paraId="11B383AD" w14:textId="5375DDC8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vAlign w:val="center"/>
          </w:tcPr>
          <w:p w14:paraId="2ECF49AF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vAlign w:val="center"/>
          </w:tcPr>
          <w:p w14:paraId="614A7D23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E067A" w:rsidRPr="008C3322" w14:paraId="4351B257" w14:textId="77777777" w:rsidTr="000F7DE4">
        <w:trPr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48E3E9E6" w14:textId="77777777" w:rsidR="00E97BFD" w:rsidRPr="004F5A95" w:rsidRDefault="00E97BFD" w:rsidP="00E97BFD">
            <w:pPr>
              <w:jc w:val="center"/>
              <w:rPr>
                <w:lang w:val="fr-FR"/>
              </w:rPr>
            </w:pPr>
          </w:p>
        </w:tc>
        <w:tc>
          <w:tcPr>
            <w:tcW w:w="5193" w:type="dxa"/>
            <w:vAlign w:val="center"/>
          </w:tcPr>
          <w:p w14:paraId="0C3F79D6" w14:textId="7CBDAFF8" w:rsidR="00246049" w:rsidRPr="003135E4" w:rsidRDefault="000F7DE4" w:rsidP="0059396C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3135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Stratégie et algorithme de test standardisés (</w:t>
            </w:r>
            <w:r w:rsidR="00065A9A" w:rsidRPr="003135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directives du</w:t>
            </w:r>
            <w:r w:rsidRPr="003135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GTFCC</w:t>
            </w:r>
            <w:r w:rsidR="00EC4FFA" w:rsidRPr="003135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)</w:t>
            </w:r>
          </w:p>
          <w:p w14:paraId="6A90FBDD" w14:textId="0E510E32" w:rsidR="00977D16" w:rsidRPr="004F5A95" w:rsidRDefault="00977D16" w:rsidP="00977D16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02" w:type="dxa"/>
            <w:vAlign w:val="center"/>
          </w:tcPr>
          <w:p w14:paraId="571B3FED" w14:textId="6BCA2383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vAlign w:val="center"/>
          </w:tcPr>
          <w:p w14:paraId="4B703D7D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vAlign w:val="center"/>
          </w:tcPr>
          <w:p w14:paraId="2BF3CECF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E067A" w:rsidRPr="008C3322" w14:paraId="592CD0A9" w14:textId="77777777" w:rsidTr="000F7DE4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303396F6" w14:textId="77777777" w:rsidR="00E97BFD" w:rsidRPr="004F5A95" w:rsidRDefault="00E97BFD" w:rsidP="00E97BFD">
            <w:pPr>
              <w:jc w:val="center"/>
              <w:rPr>
                <w:lang w:val="fr-FR"/>
              </w:rPr>
            </w:pPr>
          </w:p>
        </w:tc>
        <w:tc>
          <w:tcPr>
            <w:tcW w:w="5193" w:type="dxa"/>
            <w:vAlign w:val="center"/>
          </w:tcPr>
          <w:p w14:paraId="3E39B5C1" w14:textId="317B863C" w:rsidR="00EC4FFA" w:rsidRPr="004F5A95" w:rsidRDefault="000F7DE4" w:rsidP="00EC4FFA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Capacité</w:t>
            </w:r>
            <w:r w:rsidR="00335B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s</w:t>
            </w:r>
            <w:r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de laboratoire</w:t>
            </w:r>
            <w:r w:rsidR="00335B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, définition et liste des c</w:t>
            </w:r>
            <w:r w:rsidR="00335B82" w:rsidRPr="00335B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entres de traitement du </w:t>
            </w:r>
            <w:r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choléra</w:t>
            </w:r>
          </w:p>
          <w:p w14:paraId="46FE7365" w14:textId="63E16A2F" w:rsidR="00EC4FFA" w:rsidRPr="00F34D3E" w:rsidRDefault="001E2132" w:rsidP="00EC4FFA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Centres bénéficiaires des TDR</w:t>
            </w:r>
            <w:r w:rsidR="000F7DE4"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(par exemple, </w:t>
            </w:r>
            <w:r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centres</w:t>
            </w:r>
            <w:r w:rsidR="000F7DE4"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L1-L2</w:t>
            </w:r>
            <w:r w:rsidR="00EC4FFA"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)</w:t>
            </w:r>
          </w:p>
          <w:p w14:paraId="4E3F9DB8" w14:textId="1008A187" w:rsidR="005B0D65" w:rsidRPr="00F34D3E" w:rsidRDefault="000F7DE4" w:rsidP="005B0D65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Laboratoire</w:t>
            </w:r>
            <w:r w:rsid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s</w:t>
            </w:r>
            <w:r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de référence (PCR et culture</w:t>
            </w:r>
            <w:r w:rsidR="005B0D65"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)</w:t>
            </w:r>
          </w:p>
          <w:p w14:paraId="46332FA9" w14:textId="1A665C78" w:rsidR="00E97BFD" w:rsidRPr="004F5A95" w:rsidRDefault="000F7DE4" w:rsidP="005B0D65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Unités de surveillance et équipes d’intervention rapide</w:t>
            </w:r>
          </w:p>
        </w:tc>
        <w:tc>
          <w:tcPr>
            <w:tcW w:w="1102" w:type="dxa"/>
            <w:vAlign w:val="center"/>
          </w:tcPr>
          <w:p w14:paraId="34B84D7F" w14:textId="44C13AF9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vAlign w:val="center"/>
          </w:tcPr>
          <w:p w14:paraId="1D81D895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vAlign w:val="center"/>
          </w:tcPr>
          <w:p w14:paraId="195E7EA2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E067A" w:rsidRPr="008C3322" w14:paraId="68C5B21E" w14:textId="77777777" w:rsidTr="00C6487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tcBorders>
              <w:bottom w:val="double" w:sz="4" w:space="0" w:color="4472C4" w:themeColor="accent1"/>
            </w:tcBorders>
            <w:vAlign w:val="center"/>
          </w:tcPr>
          <w:p w14:paraId="274DCBFF" w14:textId="77777777" w:rsidR="00E97BFD" w:rsidRPr="004F5A95" w:rsidRDefault="00E97BFD" w:rsidP="00E97BFD">
            <w:pPr>
              <w:jc w:val="center"/>
              <w:rPr>
                <w:lang w:val="fr-FR"/>
              </w:rPr>
            </w:pPr>
          </w:p>
        </w:tc>
        <w:tc>
          <w:tcPr>
            <w:tcW w:w="5193" w:type="dxa"/>
            <w:tcBorders>
              <w:bottom w:val="double" w:sz="4" w:space="0" w:color="4472C4" w:themeColor="accent1"/>
            </w:tcBorders>
            <w:vAlign w:val="center"/>
          </w:tcPr>
          <w:p w14:paraId="1DBD67D2" w14:textId="5A25F3E0" w:rsidR="00E97BFD" w:rsidRPr="00F34D3E" w:rsidRDefault="008173A3" w:rsidP="00E97BFD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Directives</w:t>
            </w:r>
            <w:r w:rsidR="000F7DE4"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et procédures opérationnelles pour la surveillance du choléra</w:t>
            </w:r>
          </w:p>
          <w:p w14:paraId="51AA6E13" w14:textId="51424793" w:rsidR="00E97BFD" w:rsidRPr="00F34D3E" w:rsidRDefault="001E2132" w:rsidP="00E97BFD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c</w:t>
            </w:r>
            <w:r w:rsidR="000F7DE4"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’est-à-dire exigences de </w:t>
            </w:r>
            <w:r w:rsidR="00A24C00"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déclaration</w:t>
            </w:r>
            <w:r w:rsidR="000F7DE4"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et </w:t>
            </w:r>
            <w:r w:rsidR="00A24C00"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calendrier</w:t>
            </w:r>
          </w:p>
          <w:p w14:paraId="6E5ED7C5" w14:textId="7E8242D9" w:rsidR="00E97BFD" w:rsidRPr="00F34D3E" w:rsidRDefault="000F7DE4" w:rsidP="00E97BFD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vérification des données et recommandation</w:t>
            </w:r>
            <w:r w:rsidR="004E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s</w:t>
            </w:r>
            <w:r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</w:t>
            </w:r>
            <w:r w:rsidR="008C5886"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d’investigation de </w:t>
            </w:r>
            <w:r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terrain</w:t>
            </w:r>
          </w:p>
          <w:p w14:paraId="6E97BEFD" w14:textId="3290B1A9" w:rsidR="00E97BFD" w:rsidRPr="00F34D3E" w:rsidRDefault="000F7DE4" w:rsidP="00E97BFD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34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instructions relatives à l’analyse et au regroupement des données</w:t>
            </w:r>
          </w:p>
        </w:tc>
        <w:tc>
          <w:tcPr>
            <w:tcW w:w="1102" w:type="dxa"/>
            <w:tcBorders>
              <w:bottom w:val="double" w:sz="4" w:space="0" w:color="4472C4" w:themeColor="accent1"/>
            </w:tcBorders>
            <w:vAlign w:val="center"/>
          </w:tcPr>
          <w:p w14:paraId="4E86E971" w14:textId="440028F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tcBorders>
              <w:bottom w:val="double" w:sz="4" w:space="0" w:color="4472C4" w:themeColor="accent1"/>
            </w:tcBorders>
            <w:vAlign w:val="center"/>
          </w:tcPr>
          <w:p w14:paraId="28B685B8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tcBorders>
              <w:bottom w:val="double" w:sz="4" w:space="0" w:color="4472C4" w:themeColor="accent1"/>
            </w:tcBorders>
            <w:vAlign w:val="center"/>
          </w:tcPr>
          <w:p w14:paraId="7D34AC5F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E067A" w:rsidRPr="004F5A95" w14:paraId="1001D3BD" w14:textId="77777777" w:rsidTr="00C6487E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 w:val="restart"/>
            <w:tcBorders>
              <w:top w:val="double" w:sz="4" w:space="0" w:color="4472C4" w:themeColor="accent1"/>
            </w:tcBorders>
            <w:vAlign w:val="center"/>
          </w:tcPr>
          <w:p w14:paraId="034F219D" w14:textId="0F7FF351" w:rsidR="00E97BFD" w:rsidRPr="004E00BD" w:rsidRDefault="000F7DE4" w:rsidP="00E97BFD">
            <w:pPr>
              <w:jc w:val="center"/>
              <w:rPr>
                <w:lang w:val="fr-FR"/>
              </w:rPr>
            </w:pPr>
            <w:r w:rsidRPr="004E00BD">
              <w:rPr>
                <w:lang w:val="fr-FR"/>
              </w:rPr>
              <w:t>C</w:t>
            </w:r>
            <w:r w:rsidR="00021F9A" w:rsidRPr="004E00BD">
              <w:rPr>
                <w:lang w:val="fr-FR"/>
              </w:rPr>
              <w:t>onsid</w:t>
            </w:r>
            <w:r w:rsidRPr="004E00BD">
              <w:rPr>
                <w:lang w:val="fr-FR"/>
              </w:rPr>
              <w:t>é</w:t>
            </w:r>
            <w:r w:rsidR="00021F9A" w:rsidRPr="004E00BD">
              <w:rPr>
                <w:lang w:val="fr-FR"/>
              </w:rPr>
              <w:t>rations</w:t>
            </w:r>
            <w:r w:rsidRPr="004E00BD">
              <w:rPr>
                <w:lang w:val="fr-FR"/>
              </w:rPr>
              <w:t xml:space="preserve"> opérationnelles</w:t>
            </w:r>
            <w:r w:rsidR="00A81B00" w:rsidRPr="004E00BD">
              <w:rPr>
                <w:lang w:val="fr-FR"/>
              </w:rPr>
              <w:t xml:space="preserve"> (distribution </w:t>
            </w:r>
            <w:r w:rsidRPr="004E00BD">
              <w:rPr>
                <w:lang w:val="fr-FR"/>
              </w:rPr>
              <w:t>et</w:t>
            </w:r>
            <w:r w:rsidR="00A81B00" w:rsidRPr="004E00BD">
              <w:rPr>
                <w:lang w:val="fr-FR"/>
              </w:rPr>
              <w:t xml:space="preserve"> logisti</w:t>
            </w:r>
            <w:r w:rsidRPr="004E00BD">
              <w:rPr>
                <w:lang w:val="fr-FR"/>
              </w:rPr>
              <w:t>que</w:t>
            </w:r>
            <w:r w:rsidR="00A81B00" w:rsidRPr="004E00BD">
              <w:rPr>
                <w:lang w:val="fr-FR"/>
              </w:rPr>
              <w:t>)</w:t>
            </w:r>
          </w:p>
        </w:tc>
        <w:tc>
          <w:tcPr>
            <w:tcW w:w="5193" w:type="dxa"/>
            <w:tcBorders>
              <w:top w:val="double" w:sz="4" w:space="0" w:color="4472C4" w:themeColor="accent1"/>
            </w:tcBorders>
            <w:vAlign w:val="center"/>
          </w:tcPr>
          <w:p w14:paraId="1152F7EB" w14:textId="50A0F290" w:rsidR="00E97BFD" w:rsidRPr="004E00BD" w:rsidRDefault="000F7DE4" w:rsidP="00E97BFD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4E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Procédures opérationnelles </w:t>
            </w:r>
            <w:r w:rsidR="008C5886" w:rsidRPr="004E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normalisées</w:t>
            </w:r>
            <w:r w:rsidRPr="004E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pour l’importation de tests de diagnostic</w:t>
            </w:r>
            <w:r w:rsidR="009D1CCD" w:rsidRPr="004E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  <w:p w14:paraId="543B424B" w14:textId="3CE0717E" w:rsidR="00F7358A" w:rsidRPr="004E00BD" w:rsidRDefault="000F7DE4" w:rsidP="00F7358A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4E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Point de contact </w:t>
            </w:r>
            <w:r w:rsidR="008C5886" w:rsidRPr="004E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à la Division des approvisionnements</w:t>
            </w:r>
            <w:r w:rsidRPr="004E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de l’UNICEF défini</w:t>
            </w:r>
          </w:p>
          <w:p w14:paraId="0DC9290E" w14:textId="5C49E201" w:rsidR="007E147E" w:rsidRPr="004E00BD" w:rsidRDefault="000F7DE4" w:rsidP="00F7358A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4E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Procédure d’importation et dérogations</w:t>
            </w:r>
          </w:p>
        </w:tc>
        <w:tc>
          <w:tcPr>
            <w:tcW w:w="1102" w:type="dxa"/>
            <w:tcBorders>
              <w:top w:val="double" w:sz="4" w:space="0" w:color="4472C4" w:themeColor="accent1"/>
            </w:tcBorders>
            <w:vAlign w:val="center"/>
          </w:tcPr>
          <w:p w14:paraId="7938A739" w14:textId="553062A5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tcBorders>
              <w:top w:val="double" w:sz="4" w:space="0" w:color="4472C4" w:themeColor="accent1"/>
            </w:tcBorders>
            <w:vAlign w:val="center"/>
          </w:tcPr>
          <w:p w14:paraId="0D741BD6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tcBorders>
              <w:top w:val="double" w:sz="4" w:space="0" w:color="4472C4" w:themeColor="accent1"/>
            </w:tcBorders>
            <w:vAlign w:val="center"/>
          </w:tcPr>
          <w:p w14:paraId="3A5CAA66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E067A" w:rsidRPr="008C3322" w14:paraId="13658F3E" w14:textId="77777777" w:rsidTr="00C6487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3124B47B" w14:textId="77777777" w:rsidR="00E97BFD" w:rsidRPr="004F5A95" w:rsidRDefault="00E97BFD" w:rsidP="00E97BFD">
            <w:pPr>
              <w:jc w:val="center"/>
              <w:rPr>
                <w:lang w:val="fr-FR"/>
              </w:rPr>
            </w:pPr>
          </w:p>
        </w:tc>
        <w:tc>
          <w:tcPr>
            <w:tcW w:w="5193" w:type="dxa"/>
            <w:vAlign w:val="center"/>
          </w:tcPr>
          <w:p w14:paraId="099847B8" w14:textId="48B497DD" w:rsidR="00E97BFD" w:rsidRPr="004E00BD" w:rsidRDefault="000F7DE4" w:rsidP="00E97BFD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4E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Planification et budgétisation des achats (calendrier &gt;</w:t>
            </w:r>
            <w:r w:rsidR="008173A3" w:rsidRPr="004E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</w:t>
            </w:r>
            <w:r w:rsidRPr="004E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12 mois</w:t>
            </w:r>
            <w:r w:rsidR="00E97BFD" w:rsidRPr="004E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)</w:t>
            </w:r>
          </w:p>
          <w:p w14:paraId="7C8D678D" w14:textId="2A561109" w:rsidR="00E35138" w:rsidRPr="004E00BD" w:rsidRDefault="000F7DE4" w:rsidP="00E97BFD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4E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Allocation budgétaire claire</w:t>
            </w:r>
          </w:p>
          <w:p w14:paraId="682C9CB6" w14:textId="7F01B2F3" w:rsidR="00E97BFD" w:rsidRPr="004E00BD" w:rsidRDefault="000F7DE4" w:rsidP="00E97BFD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4E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Nombre d’unités </w:t>
            </w:r>
            <w:r w:rsidR="00B50528" w:rsidRPr="004E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bénéficiaires,</w:t>
            </w:r>
            <w:r w:rsidRPr="004E0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et méthode pour déterminer le nombre de TDR par unité</w:t>
            </w:r>
          </w:p>
        </w:tc>
        <w:tc>
          <w:tcPr>
            <w:tcW w:w="1102" w:type="dxa"/>
            <w:vAlign w:val="center"/>
          </w:tcPr>
          <w:p w14:paraId="1284DDA4" w14:textId="3C4548C1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vAlign w:val="center"/>
          </w:tcPr>
          <w:p w14:paraId="0E37A929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vAlign w:val="center"/>
          </w:tcPr>
          <w:p w14:paraId="08612F70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E067A" w:rsidRPr="008C3322" w14:paraId="57CF657D" w14:textId="77777777" w:rsidTr="00C6487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43344B84" w14:textId="77777777" w:rsidR="00E97BFD" w:rsidRPr="004F5A95" w:rsidRDefault="00E97BFD" w:rsidP="00E97BFD">
            <w:pPr>
              <w:jc w:val="center"/>
              <w:rPr>
                <w:lang w:val="fr-FR"/>
              </w:rPr>
            </w:pPr>
          </w:p>
        </w:tc>
        <w:tc>
          <w:tcPr>
            <w:tcW w:w="5193" w:type="dxa"/>
            <w:vAlign w:val="center"/>
          </w:tcPr>
          <w:p w14:paraId="4916C637" w14:textId="1F117716" w:rsidR="00E97BFD" w:rsidRPr="00AC15C6" w:rsidRDefault="000F7DE4" w:rsidP="00E97BFD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Suivi des stocks et échelonnement </w:t>
            </w:r>
            <w:r w:rsidR="008173A3"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des approvisionnements</w:t>
            </w:r>
          </w:p>
          <w:p w14:paraId="7ABAB0BC" w14:textId="2D61F501" w:rsidR="007301BD" w:rsidRPr="00AC15C6" w:rsidRDefault="006F0563" w:rsidP="007301BD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Suivi</w:t>
            </w:r>
            <w:r w:rsidR="000F7DE4"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des stocks au niveau de</w:t>
            </w:r>
            <w:r w:rsidR="008173A3"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s </w:t>
            </w:r>
            <w:r w:rsidR="000F7DE4"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unité</w:t>
            </w:r>
            <w:r w:rsidR="008173A3"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s</w:t>
            </w:r>
            <w:r w:rsidR="000F7DE4"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, de la distribution et </w:t>
            </w:r>
            <w:r w:rsidR="008173A3"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à l’échelon national</w:t>
            </w:r>
          </w:p>
          <w:p w14:paraId="52FEA177" w14:textId="0F16383C" w:rsidR="00F80693" w:rsidRPr="00AC15C6" w:rsidRDefault="00B50528" w:rsidP="007E147E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Point de contact à la Division des approvisionnements de l’UNICEF </w:t>
            </w:r>
            <w:r w:rsidR="000F7DE4"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défini</w:t>
            </w:r>
          </w:p>
          <w:p w14:paraId="4841CDCC" w14:textId="2200E8C7" w:rsidR="006627EE" w:rsidRPr="00AC15C6" w:rsidRDefault="000F7DE4" w:rsidP="00C6487E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Des </w:t>
            </w:r>
            <w:r w:rsidR="008173A3"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directives</w:t>
            </w:r>
            <w:r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écrit</w:t>
            </w:r>
            <w:r w:rsidR="008173A3"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e</w:t>
            </w:r>
            <w:r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s accompagnent les premiers envois afin d’aider les personnes à s’orienter</w:t>
            </w:r>
            <w:r w:rsidR="006F05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,</w:t>
            </w:r>
            <w:r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</w:t>
            </w:r>
            <w:r w:rsidR="00A24C00"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s’agissant de la notification des </w:t>
            </w:r>
            <w:r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cas d’utilisation </w:t>
            </w:r>
            <w:r w:rsidR="00A24C00"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/</w:t>
            </w:r>
            <w:r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</w:t>
            </w:r>
            <w:r w:rsidR="00A24C00"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du</w:t>
            </w:r>
            <w:r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</w:t>
            </w:r>
            <w:r w:rsidR="00A24C00"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réapprovisionnement</w:t>
            </w:r>
            <w:r w:rsidR="006627EE" w:rsidRPr="00AC15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1102" w:type="dxa"/>
            <w:vAlign w:val="center"/>
          </w:tcPr>
          <w:p w14:paraId="1F80EE3E" w14:textId="4904F4C5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vAlign w:val="center"/>
          </w:tcPr>
          <w:p w14:paraId="30407FEA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vAlign w:val="center"/>
          </w:tcPr>
          <w:p w14:paraId="3578011C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E067A" w:rsidRPr="008C3322" w14:paraId="68F6E380" w14:textId="77777777" w:rsidTr="00C6487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3A34EFCD" w14:textId="77777777" w:rsidR="00E97BFD" w:rsidRPr="004F5A95" w:rsidRDefault="00E97BFD" w:rsidP="00E97BFD">
            <w:pPr>
              <w:jc w:val="center"/>
              <w:rPr>
                <w:lang w:val="fr-FR"/>
              </w:rPr>
            </w:pPr>
          </w:p>
        </w:tc>
        <w:tc>
          <w:tcPr>
            <w:tcW w:w="5193" w:type="dxa"/>
            <w:vAlign w:val="center"/>
          </w:tcPr>
          <w:p w14:paraId="487FACEC" w14:textId="270347EB" w:rsidR="00E97BFD" w:rsidRPr="006F0563" w:rsidRDefault="000F7DE4" w:rsidP="00922676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6F05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Optimisation du stockage (centres de distribution) et logistique intégrée avec les chaînes d’approvisionnement médicales existantes</w:t>
            </w:r>
          </w:p>
          <w:p w14:paraId="1BE060BE" w14:textId="322F50E4" w:rsidR="00922676" w:rsidRPr="006F0563" w:rsidRDefault="00D43987" w:rsidP="00922676">
            <w:pPr>
              <w:pStyle w:val="Paragraphedeliste"/>
              <w:numPr>
                <w:ilvl w:val="1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6F05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Communication aux unités </w:t>
            </w:r>
            <w:r w:rsidR="00B50528" w:rsidRPr="006F05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bénéficiaires</w:t>
            </w:r>
            <w:r w:rsidRPr="006F05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afin qu’elles soient informées de l’arrivée de</w:t>
            </w:r>
            <w:r w:rsidR="006423D9" w:rsidRPr="006F05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s TDR</w:t>
            </w:r>
            <w:r w:rsidR="00922676" w:rsidRPr="006F05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1102" w:type="dxa"/>
            <w:vAlign w:val="center"/>
          </w:tcPr>
          <w:p w14:paraId="09EC27A0" w14:textId="5E2F0F8B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vAlign w:val="center"/>
          </w:tcPr>
          <w:p w14:paraId="43B8ED5B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vAlign w:val="center"/>
          </w:tcPr>
          <w:p w14:paraId="287699CC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E067A" w:rsidRPr="008C3322" w14:paraId="329E2F5C" w14:textId="77777777" w:rsidTr="00C6487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58EDC78F" w14:textId="77777777" w:rsidR="00E97BFD" w:rsidRPr="004F5A95" w:rsidRDefault="00E97BFD" w:rsidP="00E97BFD">
            <w:pPr>
              <w:jc w:val="center"/>
              <w:rPr>
                <w:lang w:val="fr-FR"/>
              </w:rPr>
            </w:pPr>
          </w:p>
        </w:tc>
        <w:tc>
          <w:tcPr>
            <w:tcW w:w="5193" w:type="dxa"/>
            <w:tcBorders>
              <w:bottom w:val="double" w:sz="4" w:space="0" w:color="4472C4" w:themeColor="accent1"/>
            </w:tcBorders>
            <w:vAlign w:val="center"/>
          </w:tcPr>
          <w:p w14:paraId="0528CCB7" w14:textId="4052A8EE" w:rsidR="00606B9D" w:rsidRPr="00775218" w:rsidRDefault="008173A3" w:rsidP="00E97BFD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752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Directives</w:t>
            </w:r>
            <w:r w:rsidR="00D43987" w:rsidRPr="007752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</w:t>
            </w:r>
            <w:r w:rsidRPr="007752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sur</w:t>
            </w:r>
            <w:r w:rsidR="00D43987" w:rsidRPr="007752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la gestion des déchets et le </w:t>
            </w:r>
            <w:r w:rsidR="006423D9" w:rsidRPr="007752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réapprovisionnement</w:t>
            </w:r>
          </w:p>
          <w:p w14:paraId="77A9A500" w14:textId="4E3592D7" w:rsidR="00E97BFD" w:rsidRPr="00775218" w:rsidRDefault="00D43987" w:rsidP="00606B9D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7752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Documentation de la durée de conservation et prévention des gaspillages</w:t>
            </w:r>
          </w:p>
          <w:p w14:paraId="350D9EB4" w14:textId="030A6897" w:rsidR="00606B9D" w:rsidRPr="00775218" w:rsidRDefault="00D43987" w:rsidP="00606B9D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752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Procédure de demande de réapprovisionnement</w:t>
            </w:r>
          </w:p>
        </w:tc>
        <w:tc>
          <w:tcPr>
            <w:tcW w:w="1102" w:type="dxa"/>
            <w:tcBorders>
              <w:bottom w:val="double" w:sz="4" w:space="0" w:color="4472C4" w:themeColor="accent1"/>
            </w:tcBorders>
            <w:vAlign w:val="center"/>
          </w:tcPr>
          <w:p w14:paraId="668E2C7D" w14:textId="4E742980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tcBorders>
              <w:bottom w:val="double" w:sz="4" w:space="0" w:color="4472C4" w:themeColor="accent1"/>
            </w:tcBorders>
            <w:vAlign w:val="center"/>
          </w:tcPr>
          <w:p w14:paraId="774DB416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tcBorders>
              <w:bottom w:val="double" w:sz="4" w:space="0" w:color="4472C4" w:themeColor="accent1"/>
            </w:tcBorders>
            <w:vAlign w:val="center"/>
          </w:tcPr>
          <w:p w14:paraId="7B02B9C8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E067A" w:rsidRPr="008C3322" w14:paraId="1A1FF29E" w14:textId="77777777" w:rsidTr="00C6487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 w:val="restart"/>
            <w:tcBorders>
              <w:top w:val="double" w:sz="4" w:space="0" w:color="4472C4" w:themeColor="accent1"/>
            </w:tcBorders>
            <w:vAlign w:val="center"/>
          </w:tcPr>
          <w:p w14:paraId="798BA014" w14:textId="6F5718CF" w:rsidR="00E97BFD" w:rsidRPr="00775218" w:rsidRDefault="00A24C00" w:rsidP="00E97BFD">
            <w:pPr>
              <w:jc w:val="center"/>
              <w:rPr>
                <w:lang w:val="fr-FR"/>
              </w:rPr>
            </w:pPr>
            <w:r w:rsidRPr="00775218">
              <w:rPr>
                <w:lang w:val="fr-FR"/>
              </w:rPr>
              <w:t>Utilisation des tests</w:t>
            </w:r>
          </w:p>
        </w:tc>
        <w:tc>
          <w:tcPr>
            <w:tcW w:w="5193" w:type="dxa"/>
            <w:tcBorders>
              <w:top w:val="double" w:sz="4" w:space="0" w:color="4472C4" w:themeColor="accent1"/>
            </w:tcBorders>
            <w:vAlign w:val="center"/>
          </w:tcPr>
          <w:p w14:paraId="1D8007B3" w14:textId="3B80F65B" w:rsidR="00E97BFD" w:rsidRPr="004F5A95" w:rsidRDefault="00D43987" w:rsidP="00E97BFD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Description de la fonction et </w:t>
            </w:r>
            <w:r w:rsidR="00335B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des</w:t>
            </w:r>
            <w:r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cas d’utilisation </w:t>
            </w:r>
            <w:r w:rsidR="00335B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des tests </w:t>
            </w:r>
            <w:r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(</w:t>
            </w:r>
            <w:r w:rsidR="00C41C1B" w:rsidRPr="00335B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directives du</w:t>
            </w:r>
            <w:r w:rsidRPr="00335B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GTFCC</w:t>
            </w:r>
            <w:r w:rsidR="00A20D07" w:rsidRPr="00335B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)</w:t>
            </w:r>
          </w:p>
          <w:p w14:paraId="3BE29C3B" w14:textId="6EE9C87D" w:rsidR="00A20D07" w:rsidRPr="00775218" w:rsidRDefault="008173A3" w:rsidP="00A20D07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7752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TDR pour l’identification et le dépistage des cas</w:t>
            </w:r>
          </w:p>
          <w:p w14:paraId="7F906A88" w14:textId="4E3F2D04" w:rsidR="00A20D07" w:rsidRPr="00775218" w:rsidRDefault="008173A3" w:rsidP="00A20D07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7752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PCR pour confirmation</w:t>
            </w:r>
          </w:p>
          <w:p w14:paraId="7C89204A" w14:textId="0392FE1C" w:rsidR="00E35138" w:rsidRPr="004F5A95" w:rsidRDefault="008173A3" w:rsidP="00A20D07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7752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PCR/culture pour confirmation et prise en charge clinique</w:t>
            </w:r>
          </w:p>
        </w:tc>
        <w:tc>
          <w:tcPr>
            <w:tcW w:w="1102" w:type="dxa"/>
            <w:tcBorders>
              <w:top w:val="double" w:sz="4" w:space="0" w:color="4472C4" w:themeColor="accent1"/>
            </w:tcBorders>
            <w:vAlign w:val="center"/>
          </w:tcPr>
          <w:p w14:paraId="33A8AED8" w14:textId="596903D1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tcBorders>
              <w:top w:val="double" w:sz="4" w:space="0" w:color="4472C4" w:themeColor="accent1"/>
            </w:tcBorders>
            <w:vAlign w:val="center"/>
          </w:tcPr>
          <w:p w14:paraId="694866F6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tcBorders>
              <w:top w:val="double" w:sz="4" w:space="0" w:color="4472C4" w:themeColor="accent1"/>
            </w:tcBorders>
            <w:vAlign w:val="center"/>
          </w:tcPr>
          <w:p w14:paraId="19A2EB0C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E067A" w:rsidRPr="008C3322" w14:paraId="5891D3EB" w14:textId="77777777" w:rsidTr="00C6487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56AB6745" w14:textId="77777777" w:rsidR="00E97BFD" w:rsidRPr="004F5A95" w:rsidRDefault="00E97BFD" w:rsidP="00E97BFD">
            <w:pPr>
              <w:jc w:val="center"/>
              <w:rPr>
                <w:lang w:val="fr-FR"/>
              </w:rPr>
            </w:pPr>
          </w:p>
        </w:tc>
        <w:tc>
          <w:tcPr>
            <w:tcW w:w="5193" w:type="dxa"/>
            <w:vAlign w:val="center"/>
          </w:tcPr>
          <w:p w14:paraId="02110D9C" w14:textId="69CCE8EF" w:rsidR="00E97BFD" w:rsidRPr="00775218" w:rsidRDefault="008173A3" w:rsidP="00E97BFD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7752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Aides à l’emploi et actions de formation</w:t>
            </w:r>
          </w:p>
          <w:p w14:paraId="63CC5313" w14:textId="0383EE8F" w:rsidR="00F84338" w:rsidRPr="00775218" w:rsidRDefault="008173A3" w:rsidP="007F397D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7752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Mode d’emploi (dans la langue locale</w:t>
            </w:r>
            <w:r w:rsidR="00F84338" w:rsidRPr="007752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)</w:t>
            </w:r>
          </w:p>
          <w:p w14:paraId="08A5B409" w14:textId="260145CA" w:rsidR="007F397D" w:rsidRPr="00775218" w:rsidRDefault="008173A3" w:rsidP="00922676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7752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Formations en </w:t>
            </w:r>
            <w:r w:rsidR="00C41C1B" w:rsidRPr="007752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présentiel</w:t>
            </w:r>
            <w:r w:rsidRPr="007752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(c’est-à-dire intégrées à d’autres événements/ateliers)</w:t>
            </w:r>
            <w:r w:rsidR="007F397D" w:rsidRPr="007752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1102" w:type="dxa"/>
            <w:vAlign w:val="center"/>
          </w:tcPr>
          <w:p w14:paraId="57F87B4F" w14:textId="2CC44D7B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vAlign w:val="center"/>
          </w:tcPr>
          <w:p w14:paraId="729F6ED2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vAlign w:val="center"/>
          </w:tcPr>
          <w:p w14:paraId="696B686C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E067A" w:rsidRPr="008C3322" w14:paraId="572FB92C" w14:textId="77777777" w:rsidTr="00C6487E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6D7BD2A8" w14:textId="77777777" w:rsidR="00E97BFD" w:rsidRPr="004F5A95" w:rsidRDefault="00E97BFD" w:rsidP="00E97BFD">
            <w:pPr>
              <w:jc w:val="center"/>
              <w:rPr>
                <w:lang w:val="fr-FR"/>
              </w:rPr>
            </w:pPr>
          </w:p>
        </w:tc>
        <w:tc>
          <w:tcPr>
            <w:tcW w:w="5193" w:type="dxa"/>
            <w:vAlign w:val="center"/>
          </w:tcPr>
          <w:p w14:paraId="424D73A3" w14:textId="437CBB6A" w:rsidR="00E97BFD" w:rsidRPr="003B576B" w:rsidRDefault="008173A3" w:rsidP="00E97BFD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3B576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Capacité</w:t>
            </w:r>
            <w:r w:rsidR="00357C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s</w:t>
            </w:r>
            <w:r w:rsidRPr="003B576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et définition du réseau de laboratoires de référence</w:t>
            </w:r>
          </w:p>
        </w:tc>
        <w:tc>
          <w:tcPr>
            <w:tcW w:w="1102" w:type="dxa"/>
            <w:vAlign w:val="center"/>
          </w:tcPr>
          <w:p w14:paraId="305A10C1" w14:textId="01DD3863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vAlign w:val="center"/>
          </w:tcPr>
          <w:p w14:paraId="0A417C1B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vAlign w:val="center"/>
          </w:tcPr>
          <w:p w14:paraId="0D42CFEF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E067A" w:rsidRPr="008C3322" w14:paraId="107242B4" w14:textId="77777777" w:rsidTr="00C6487E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5CDFB369" w14:textId="77777777" w:rsidR="00E97BFD" w:rsidRPr="004F5A95" w:rsidRDefault="00E97BFD" w:rsidP="00E97BFD">
            <w:pPr>
              <w:jc w:val="center"/>
              <w:rPr>
                <w:lang w:val="fr-FR"/>
              </w:rPr>
            </w:pPr>
          </w:p>
        </w:tc>
        <w:tc>
          <w:tcPr>
            <w:tcW w:w="5193" w:type="dxa"/>
            <w:vAlign w:val="center"/>
          </w:tcPr>
          <w:p w14:paraId="0CF2A89A" w14:textId="54985D59" w:rsidR="00E97BFD" w:rsidRPr="003B576B" w:rsidRDefault="00C41C1B" w:rsidP="00E97BFD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3B576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Directives</w:t>
            </w:r>
            <w:r w:rsidR="008173A3" w:rsidRPr="003B576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pour le prélèvement, le stockage et le transport des échantillons</w:t>
            </w:r>
          </w:p>
        </w:tc>
        <w:tc>
          <w:tcPr>
            <w:tcW w:w="1102" w:type="dxa"/>
            <w:vAlign w:val="center"/>
          </w:tcPr>
          <w:p w14:paraId="543ACD2C" w14:textId="1EC8D322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vAlign w:val="center"/>
          </w:tcPr>
          <w:p w14:paraId="6EDDF7C9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vAlign w:val="center"/>
          </w:tcPr>
          <w:p w14:paraId="5477BBF3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E067A" w:rsidRPr="008C3322" w14:paraId="07F4864E" w14:textId="77777777" w:rsidTr="00C6487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0A75BCAD" w14:textId="77777777" w:rsidR="00E97BFD" w:rsidRPr="004F5A95" w:rsidRDefault="00E97BFD" w:rsidP="00E97BFD">
            <w:pPr>
              <w:jc w:val="center"/>
              <w:rPr>
                <w:lang w:val="fr-FR"/>
              </w:rPr>
            </w:pPr>
          </w:p>
        </w:tc>
        <w:tc>
          <w:tcPr>
            <w:tcW w:w="5193" w:type="dxa"/>
            <w:vAlign w:val="center"/>
          </w:tcPr>
          <w:p w14:paraId="61D3DEAF" w14:textId="125C4A6E" w:rsidR="00E97BFD" w:rsidRPr="003B576B" w:rsidRDefault="008173A3" w:rsidP="00E97BFD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3B576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Liste d’approvisionnement et systèmes de gestion de la qualité (par exemple, réactifs et consommables nécessaires aux tests</w:t>
            </w:r>
            <w:r w:rsidR="00E97BFD" w:rsidRPr="003B576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FR"/>
              </w:rPr>
              <w:t>)</w:t>
            </w:r>
          </w:p>
        </w:tc>
        <w:tc>
          <w:tcPr>
            <w:tcW w:w="1102" w:type="dxa"/>
            <w:vAlign w:val="center"/>
          </w:tcPr>
          <w:p w14:paraId="1812D55D" w14:textId="1958766E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vAlign w:val="center"/>
          </w:tcPr>
          <w:p w14:paraId="259018F1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vAlign w:val="center"/>
          </w:tcPr>
          <w:p w14:paraId="2419AC52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E067A" w:rsidRPr="008C3322" w14:paraId="6DA8BAC2" w14:textId="77777777" w:rsidTr="00C6487E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 w:val="restart"/>
            <w:tcBorders>
              <w:top w:val="double" w:sz="4" w:space="0" w:color="4472C4" w:themeColor="accent1"/>
            </w:tcBorders>
            <w:vAlign w:val="center"/>
          </w:tcPr>
          <w:p w14:paraId="4AD120DF" w14:textId="7249BF85" w:rsidR="00E97BFD" w:rsidRPr="00775218" w:rsidRDefault="00C41C1B" w:rsidP="00E97BFD">
            <w:pPr>
              <w:jc w:val="center"/>
              <w:rPr>
                <w:lang w:val="fr-FR"/>
              </w:rPr>
            </w:pPr>
            <w:r w:rsidRPr="00775218">
              <w:rPr>
                <w:lang w:val="fr-FR"/>
              </w:rPr>
              <w:t>Communication et diffusion des données</w:t>
            </w:r>
          </w:p>
        </w:tc>
        <w:tc>
          <w:tcPr>
            <w:tcW w:w="5193" w:type="dxa"/>
            <w:tcBorders>
              <w:top w:val="double" w:sz="4" w:space="0" w:color="4472C4" w:themeColor="accent1"/>
            </w:tcBorders>
            <w:vAlign w:val="center"/>
          </w:tcPr>
          <w:p w14:paraId="53E6F03D" w14:textId="29C2F2B6" w:rsidR="00E97BFD" w:rsidRPr="00870C1D" w:rsidRDefault="008173A3" w:rsidP="00E97BFD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870C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Données standard minimales </w:t>
            </w:r>
            <w:r w:rsidR="00870C1D" w:rsidRPr="00870C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basées sur les cas </w:t>
            </w:r>
            <w:r w:rsidRPr="00870C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à collecter (c’est-à-dire modèle de formulaire de rapport de cas de choléra</w:t>
            </w:r>
            <w:r w:rsidR="00E97BFD" w:rsidRPr="00870C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1102" w:type="dxa"/>
            <w:tcBorders>
              <w:top w:val="double" w:sz="4" w:space="0" w:color="4472C4" w:themeColor="accent1"/>
            </w:tcBorders>
            <w:vAlign w:val="center"/>
          </w:tcPr>
          <w:p w14:paraId="5D9B3D35" w14:textId="71C4117B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tcBorders>
              <w:top w:val="double" w:sz="4" w:space="0" w:color="4472C4" w:themeColor="accent1"/>
            </w:tcBorders>
            <w:vAlign w:val="center"/>
          </w:tcPr>
          <w:p w14:paraId="27880D6C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tcBorders>
              <w:top w:val="double" w:sz="4" w:space="0" w:color="4472C4" w:themeColor="accent1"/>
            </w:tcBorders>
            <w:vAlign w:val="center"/>
          </w:tcPr>
          <w:p w14:paraId="2977A2AE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AB5B1C" w:rsidRPr="008C3322" w14:paraId="6AA7C43A" w14:textId="77777777" w:rsidTr="00C6487E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tcBorders>
              <w:top w:val="double" w:sz="4" w:space="0" w:color="4472C4" w:themeColor="accent1"/>
            </w:tcBorders>
            <w:vAlign w:val="center"/>
          </w:tcPr>
          <w:p w14:paraId="737E935F" w14:textId="77777777" w:rsidR="00AB5B1C" w:rsidRPr="004F5A95" w:rsidRDefault="00AB5B1C" w:rsidP="00E97BFD">
            <w:pPr>
              <w:jc w:val="center"/>
              <w:rPr>
                <w:lang w:val="fr-FR"/>
              </w:rPr>
            </w:pPr>
          </w:p>
        </w:tc>
        <w:tc>
          <w:tcPr>
            <w:tcW w:w="5193" w:type="dxa"/>
            <w:tcBorders>
              <w:top w:val="double" w:sz="4" w:space="0" w:color="4472C4" w:themeColor="accent1"/>
            </w:tcBorders>
            <w:vAlign w:val="center"/>
          </w:tcPr>
          <w:p w14:paraId="21C5D2A5" w14:textId="785AE595" w:rsidR="00AB5B1C" w:rsidRPr="004F5A95" w:rsidRDefault="00335B82" w:rsidP="00E97BFD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Indicateurs de tests</w:t>
            </w:r>
            <w:r w:rsidR="00DA070C"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</w:t>
            </w:r>
            <w:r w:rsidR="00B268DC"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(GTFCC)</w:t>
            </w:r>
          </w:p>
          <w:p w14:paraId="6D84E16D" w14:textId="560C94AB" w:rsidR="00B268DC" w:rsidRPr="00870C1D" w:rsidRDefault="00870C1D" w:rsidP="00B268DC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870C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Adhésion à la stratégie de te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sts (TDR, culture et/ou PCR</w:t>
            </w:r>
            <w:r w:rsidR="00B268DC" w:rsidRPr="00870C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)</w:t>
            </w:r>
          </w:p>
          <w:p w14:paraId="59E8ABCE" w14:textId="11A8FCAA" w:rsidR="00B268DC" w:rsidRPr="000D7ACC" w:rsidRDefault="000D7ACC" w:rsidP="00B268DC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0D7ACC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lastRenderedPageBreak/>
              <w:t>Délai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s</w:t>
            </w:r>
            <w:r w:rsidRPr="000D7ACC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de réception des échantillons par le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s</w:t>
            </w:r>
            <w:r w:rsidRPr="000D7ACC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la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boratoires</w:t>
            </w:r>
          </w:p>
        </w:tc>
        <w:tc>
          <w:tcPr>
            <w:tcW w:w="1102" w:type="dxa"/>
            <w:tcBorders>
              <w:top w:val="double" w:sz="4" w:space="0" w:color="4472C4" w:themeColor="accent1"/>
            </w:tcBorders>
            <w:vAlign w:val="center"/>
          </w:tcPr>
          <w:p w14:paraId="4E13E742" w14:textId="77777777" w:rsidR="00AB5B1C" w:rsidRPr="000D7ACC" w:rsidRDefault="00AB5B1C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tcBorders>
              <w:top w:val="double" w:sz="4" w:space="0" w:color="4472C4" w:themeColor="accent1"/>
            </w:tcBorders>
            <w:vAlign w:val="center"/>
          </w:tcPr>
          <w:p w14:paraId="6C9BBE9E" w14:textId="77777777" w:rsidR="00AB5B1C" w:rsidRPr="000D7ACC" w:rsidRDefault="00AB5B1C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tcBorders>
              <w:top w:val="double" w:sz="4" w:space="0" w:color="4472C4" w:themeColor="accent1"/>
            </w:tcBorders>
            <w:vAlign w:val="center"/>
          </w:tcPr>
          <w:p w14:paraId="2DECA5F7" w14:textId="77777777" w:rsidR="00AB5B1C" w:rsidRPr="000D7ACC" w:rsidRDefault="00AB5B1C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E067A" w:rsidRPr="008C3322" w14:paraId="72CB3F76" w14:textId="77777777" w:rsidTr="00C6487E">
        <w:trPr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7D11A49A" w14:textId="77777777" w:rsidR="00E97BFD" w:rsidRPr="000D7ACC" w:rsidRDefault="00E97BFD" w:rsidP="00E97BFD">
            <w:pPr>
              <w:jc w:val="center"/>
              <w:rPr>
                <w:lang w:val="fr-FR"/>
              </w:rPr>
            </w:pPr>
          </w:p>
        </w:tc>
        <w:tc>
          <w:tcPr>
            <w:tcW w:w="5193" w:type="dxa"/>
            <w:vAlign w:val="center"/>
          </w:tcPr>
          <w:p w14:paraId="3AB90F6E" w14:textId="24DE061D" w:rsidR="00E97BFD" w:rsidRPr="004F5A95" w:rsidRDefault="008173A3" w:rsidP="00E97BFD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Intégration </w:t>
            </w:r>
            <w:r w:rsidR="000D7ACC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de la notification des</w:t>
            </w:r>
            <w:r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résultats des </w:t>
            </w:r>
            <w:r w:rsidR="00C41C1B"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TDR</w:t>
            </w:r>
            <w:r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dans les systèmes d’information opérationnels existants (DSR, EWARS, laboratoire ou autre</w:t>
            </w:r>
            <w:r w:rsidR="00E97BFD"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)</w:t>
            </w:r>
          </w:p>
          <w:p w14:paraId="28E49904" w14:textId="51DD5694" w:rsidR="00AB087D" w:rsidRPr="004F5A95" w:rsidRDefault="008173A3" w:rsidP="00F84338">
            <w:pPr>
              <w:pStyle w:val="Paragraphedeliste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Comment les résultats des TDR </w:t>
            </w:r>
            <w:proofErr w:type="spellStart"/>
            <w:r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seront-ils</w:t>
            </w:r>
            <w:proofErr w:type="spellEnd"/>
            <w:r w:rsidR="00357C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</w:t>
            </w:r>
            <w:r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intégrés dans le système de surveillance national existant </w:t>
            </w:r>
            <w:r w:rsidR="00AB087D"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?</w:t>
            </w:r>
          </w:p>
        </w:tc>
        <w:tc>
          <w:tcPr>
            <w:tcW w:w="1102" w:type="dxa"/>
            <w:vAlign w:val="center"/>
          </w:tcPr>
          <w:p w14:paraId="64CEE5AC" w14:textId="09DF8C61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vAlign w:val="center"/>
          </w:tcPr>
          <w:p w14:paraId="704DF2AA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vAlign w:val="center"/>
          </w:tcPr>
          <w:p w14:paraId="79635545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E067A" w:rsidRPr="008C3322" w14:paraId="796281CB" w14:textId="77777777" w:rsidTr="00C6487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1A75C91E" w14:textId="77777777" w:rsidR="00E97BFD" w:rsidRPr="004F5A95" w:rsidRDefault="00E97BFD" w:rsidP="00E97BFD">
            <w:pPr>
              <w:jc w:val="center"/>
              <w:rPr>
                <w:lang w:val="fr-FR"/>
              </w:rPr>
            </w:pPr>
          </w:p>
        </w:tc>
        <w:tc>
          <w:tcPr>
            <w:tcW w:w="5193" w:type="dxa"/>
            <w:vAlign w:val="center"/>
          </w:tcPr>
          <w:p w14:paraId="33B13C65" w14:textId="3F849FD7" w:rsidR="00E97BFD" w:rsidRPr="004F5A95" w:rsidRDefault="00F57C67" w:rsidP="00E97BFD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Interprétation des données et indicateurs de suivi (par exemple, </w:t>
            </w:r>
            <w:r w:rsidR="000D7ACC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conformité à</w:t>
            </w:r>
            <w:r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l’algorithme de dépistage</w:t>
            </w:r>
            <w:r w:rsidR="00E97BFD" w:rsidRPr="004F5A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1102" w:type="dxa"/>
            <w:vAlign w:val="center"/>
          </w:tcPr>
          <w:p w14:paraId="3166C6E2" w14:textId="60191FE8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vAlign w:val="center"/>
          </w:tcPr>
          <w:p w14:paraId="4EE89DEC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vAlign w:val="center"/>
          </w:tcPr>
          <w:p w14:paraId="4CFF4E0F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E067A" w:rsidRPr="008C3322" w14:paraId="11F723DE" w14:textId="77777777" w:rsidTr="00C6487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531A3B9C" w14:textId="77777777" w:rsidR="00E97BFD" w:rsidRPr="004F5A95" w:rsidRDefault="00E97BFD" w:rsidP="00E97BFD">
            <w:pPr>
              <w:jc w:val="center"/>
              <w:rPr>
                <w:lang w:val="fr-FR"/>
              </w:rPr>
            </w:pPr>
          </w:p>
        </w:tc>
        <w:tc>
          <w:tcPr>
            <w:tcW w:w="5193" w:type="dxa"/>
            <w:vAlign w:val="center"/>
          </w:tcPr>
          <w:p w14:paraId="306DBB0C" w14:textId="69C77C9D" w:rsidR="00E97BFD" w:rsidRPr="00AD5C95" w:rsidRDefault="00F57C67" w:rsidP="00E97BFD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AD5C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Communication et diffusion des données</w:t>
            </w:r>
          </w:p>
        </w:tc>
        <w:tc>
          <w:tcPr>
            <w:tcW w:w="1102" w:type="dxa"/>
            <w:vAlign w:val="center"/>
          </w:tcPr>
          <w:p w14:paraId="7CAD79FF" w14:textId="3EE9E9BD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vAlign w:val="center"/>
          </w:tcPr>
          <w:p w14:paraId="262E2625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vAlign w:val="center"/>
          </w:tcPr>
          <w:p w14:paraId="537A32AE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E067A" w:rsidRPr="008C3322" w14:paraId="2A929CD2" w14:textId="77777777" w:rsidTr="00C6487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vAlign w:val="center"/>
          </w:tcPr>
          <w:p w14:paraId="5127A947" w14:textId="77777777" w:rsidR="00E97BFD" w:rsidRPr="004F5A95" w:rsidRDefault="00E97BFD" w:rsidP="00E97BFD">
            <w:pPr>
              <w:jc w:val="center"/>
              <w:rPr>
                <w:lang w:val="fr-FR"/>
              </w:rPr>
            </w:pPr>
          </w:p>
        </w:tc>
        <w:tc>
          <w:tcPr>
            <w:tcW w:w="5193" w:type="dxa"/>
            <w:vAlign w:val="center"/>
          </w:tcPr>
          <w:p w14:paraId="7995FA62" w14:textId="052AE618" w:rsidR="00E97BFD" w:rsidRPr="00AD5C95" w:rsidRDefault="00F57C67" w:rsidP="00E97BFD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D5C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Utilisation des données et prise de décision fondée sur des données probantes (c’est-à-dire contribution au plan de vaccination</w:t>
            </w:r>
            <w:r w:rsidR="00E97BFD" w:rsidRPr="00AD5C95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1102" w:type="dxa"/>
            <w:vAlign w:val="center"/>
          </w:tcPr>
          <w:p w14:paraId="09B36988" w14:textId="2EB8C510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3" w:type="dxa"/>
            <w:vAlign w:val="center"/>
          </w:tcPr>
          <w:p w14:paraId="42E4377C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065" w:type="dxa"/>
            <w:vAlign w:val="center"/>
          </w:tcPr>
          <w:p w14:paraId="483168E9" w14:textId="77777777" w:rsidR="00E97BFD" w:rsidRPr="004F5A95" w:rsidRDefault="00E97BFD" w:rsidP="00E97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06BCA40C" w14:textId="77777777" w:rsidR="00584026" w:rsidRPr="004F5A95" w:rsidRDefault="00584026">
      <w:pPr>
        <w:rPr>
          <w:lang w:val="fr-FR"/>
        </w:rPr>
      </w:pPr>
    </w:p>
    <w:sectPr w:rsidR="00584026" w:rsidRPr="004F5A95" w:rsidSect="00945A3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09CEB" w14:textId="77777777" w:rsidR="00B15954" w:rsidRDefault="00B15954" w:rsidP="00B73E04">
      <w:pPr>
        <w:spacing w:after="0" w:line="240" w:lineRule="auto"/>
      </w:pPr>
      <w:r>
        <w:separator/>
      </w:r>
    </w:p>
  </w:endnote>
  <w:endnote w:type="continuationSeparator" w:id="0">
    <w:p w14:paraId="50FED7B8" w14:textId="77777777" w:rsidR="00B15954" w:rsidRDefault="00B15954" w:rsidP="00B73E04">
      <w:pPr>
        <w:spacing w:after="0" w:line="240" w:lineRule="auto"/>
      </w:pPr>
      <w:r>
        <w:continuationSeparator/>
      </w:r>
    </w:p>
  </w:endnote>
  <w:endnote w:id="1">
    <w:p w14:paraId="111EF5DB" w14:textId="1D4E1A31" w:rsidR="00B73E04" w:rsidRDefault="00B73E04">
      <w:pPr>
        <w:pStyle w:val="Notedefin"/>
      </w:pPr>
      <w:r w:rsidRPr="00BD5EE7">
        <w:rPr>
          <w:rStyle w:val="Appeldenotedefin"/>
        </w:rPr>
        <w:endnoteRef/>
      </w:r>
      <w:r w:rsidRPr="00BD5EE7">
        <w:t xml:space="preserve"> https://www.gtfcc.org/wp-content/uploads/2024/05/gtfcc-assessment-of-cholera-surveillance-en.pdf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B1DE5" w14:textId="77777777" w:rsidR="00B15954" w:rsidRDefault="00B15954" w:rsidP="00B73E04">
      <w:pPr>
        <w:spacing w:after="0" w:line="240" w:lineRule="auto"/>
      </w:pPr>
      <w:r>
        <w:separator/>
      </w:r>
    </w:p>
  </w:footnote>
  <w:footnote w:type="continuationSeparator" w:id="0">
    <w:p w14:paraId="4F6D2A63" w14:textId="77777777" w:rsidR="00B15954" w:rsidRDefault="00B15954" w:rsidP="00B73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D0BB7"/>
    <w:multiLevelType w:val="hybridMultilevel"/>
    <w:tmpl w:val="58C02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F5839"/>
    <w:multiLevelType w:val="hybridMultilevel"/>
    <w:tmpl w:val="7B2EF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82538"/>
    <w:multiLevelType w:val="hybridMultilevel"/>
    <w:tmpl w:val="0CAA14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603B8"/>
    <w:multiLevelType w:val="hybridMultilevel"/>
    <w:tmpl w:val="972C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A7516"/>
    <w:multiLevelType w:val="hybridMultilevel"/>
    <w:tmpl w:val="49EC4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D3DEB"/>
    <w:multiLevelType w:val="hybridMultilevel"/>
    <w:tmpl w:val="995CDB3C"/>
    <w:lvl w:ilvl="0" w:tplc="921A66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E7AD2"/>
    <w:multiLevelType w:val="hybridMultilevel"/>
    <w:tmpl w:val="1E5A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D4F0D"/>
    <w:multiLevelType w:val="hybridMultilevel"/>
    <w:tmpl w:val="BF6643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0D2C2F"/>
    <w:multiLevelType w:val="hybridMultilevel"/>
    <w:tmpl w:val="7A76A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655386">
    <w:abstractNumId w:val="1"/>
  </w:num>
  <w:num w:numId="2" w16cid:durableId="1686053101">
    <w:abstractNumId w:val="6"/>
  </w:num>
  <w:num w:numId="3" w16cid:durableId="1945185987">
    <w:abstractNumId w:val="3"/>
  </w:num>
  <w:num w:numId="4" w16cid:durableId="212347321">
    <w:abstractNumId w:val="8"/>
  </w:num>
  <w:num w:numId="5" w16cid:durableId="1863744769">
    <w:abstractNumId w:val="7"/>
  </w:num>
  <w:num w:numId="6" w16cid:durableId="149097904">
    <w:abstractNumId w:val="5"/>
  </w:num>
  <w:num w:numId="7" w16cid:durableId="2135900569">
    <w:abstractNumId w:val="4"/>
  </w:num>
  <w:num w:numId="8" w16cid:durableId="552159680">
    <w:abstractNumId w:val="2"/>
  </w:num>
  <w:num w:numId="9" w16cid:durableId="9929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B6"/>
    <w:rsid w:val="0001768F"/>
    <w:rsid w:val="00021F9A"/>
    <w:rsid w:val="00057E43"/>
    <w:rsid w:val="00065A9A"/>
    <w:rsid w:val="0006657F"/>
    <w:rsid w:val="0007313D"/>
    <w:rsid w:val="0008622A"/>
    <w:rsid w:val="00091A01"/>
    <w:rsid w:val="000D7ACC"/>
    <w:rsid w:val="000D7FBB"/>
    <w:rsid w:val="000F7DE4"/>
    <w:rsid w:val="0010585F"/>
    <w:rsid w:val="00124A71"/>
    <w:rsid w:val="00144045"/>
    <w:rsid w:val="00163101"/>
    <w:rsid w:val="001A7CEE"/>
    <w:rsid w:val="001D50C9"/>
    <w:rsid w:val="001D6FB4"/>
    <w:rsid w:val="001E2132"/>
    <w:rsid w:val="0023305D"/>
    <w:rsid w:val="00246049"/>
    <w:rsid w:val="00263B63"/>
    <w:rsid w:val="00297165"/>
    <w:rsid w:val="002B1B3E"/>
    <w:rsid w:val="002B790D"/>
    <w:rsid w:val="003135E4"/>
    <w:rsid w:val="003144ED"/>
    <w:rsid w:val="00326C6C"/>
    <w:rsid w:val="00335334"/>
    <w:rsid w:val="00335B82"/>
    <w:rsid w:val="00357CB4"/>
    <w:rsid w:val="00375BEF"/>
    <w:rsid w:val="00391A8D"/>
    <w:rsid w:val="003B576B"/>
    <w:rsid w:val="00451D01"/>
    <w:rsid w:val="00452F7A"/>
    <w:rsid w:val="004640EB"/>
    <w:rsid w:val="004A03DE"/>
    <w:rsid w:val="004A03FB"/>
    <w:rsid w:val="004D0441"/>
    <w:rsid w:val="004D2F2B"/>
    <w:rsid w:val="004E00BD"/>
    <w:rsid w:val="004F5A95"/>
    <w:rsid w:val="0053459D"/>
    <w:rsid w:val="00552B45"/>
    <w:rsid w:val="00584026"/>
    <w:rsid w:val="0059396C"/>
    <w:rsid w:val="005B0D65"/>
    <w:rsid w:val="005B4EC1"/>
    <w:rsid w:val="005D102C"/>
    <w:rsid w:val="005F6B09"/>
    <w:rsid w:val="00606B9D"/>
    <w:rsid w:val="00631FCD"/>
    <w:rsid w:val="006423D9"/>
    <w:rsid w:val="00653E77"/>
    <w:rsid w:val="006627EE"/>
    <w:rsid w:val="00690014"/>
    <w:rsid w:val="006F0563"/>
    <w:rsid w:val="00704C3E"/>
    <w:rsid w:val="00714B86"/>
    <w:rsid w:val="007301BD"/>
    <w:rsid w:val="007351F5"/>
    <w:rsid w:val="007475EC"/>
    <w:rsid w:val="00775047"/>
    <w:rsid w:val="00775218"/>
    <w:rsid w:val="007B3439"/>
    <w:rsid w:val="007C1197"/>
    <w:rsid w:val="007D1B3A"/>
    <w:rsid w:val="007E02E7"/>
    <w:rsid w:val="007E147E"/>
    <w:rsid w:val="007F06BA"/>
    <w:rsid w:val="007F397D"/>
    <w:rsid w:val="008057A7"/>
    <w:rsid w:val="008173A3"/>
    <w:rsid w:val="00826D75"/>
    <w:rsid w:val="00870C1D"/>
    <w:rsid w:val="00897FAB"/>
    <w:rsid w:val="008A423D"/>
    <w:rsid w:val="008C3322"/>
    <w:rsid w:val="008C5886"/>
    <w:rsid w:val="008D79AC"/>
    <w:rsid w:val="008E329D"/>
    <w:rsid w:val="00906578"/>
    <w:rsid w:val="00922676"/>
    <w:rsid w:val="00945A3E"/>
    <w:rsid w:val="009559D0"/>
    <w:rsid w:val="00977D16"/>
    <w:rsid w:val="00985575"/>
    <w:rsid w:val="009D1CCD"/>
    <w:rsid w:val="009D5642"/>
    <w:rsid w:val="009E614F"/>
    <w:rsid w:val="009E7288"/>
    <w:rsid w:val="009F32F5"/>
    <w:rsid w:val="00A20D07"/>
    <w:rsid w:val="00A24C00"/>
    <w:rsid w:val="00A557A4"/>
    <w:rsid w:val="00A63E24"/>
    <w:rsid w:val="00A81B00"/>
    <w:rsid w:val="00A861C7"/>
    <w:rsid w:val="00AB087D"/>
    <w:rsid w:val="00AB5B1C"/>
    <w:rsid w:val="00AC15C6"/>
    <w:rsid w:val="00AD5C95"/>
    <w:rsid w:val="00B07D3D"/>
    <w:rsid w:val="00B15954"/>
    <w:rsid w:val="00B268DC"/>
    <w:rsid w:val="00B332B8"/>
    <w:rsid w:val="00B50528"/>
    <w:rsid w:val="00B729E6"/>
    <w:rsid w:val="00B73E04"/>
    <w:rsid w:val="00B93450"/>
    <w:rsid w:val="00BD5EE7"/>
    <w:rsid w:val="00BE49D4"/>
    <w:rsid w:val="00C40EFA"/>
    <w:rsid w:val="00C41C1B"/>
    <w:rsid w:val="00C51115"/>
    <w:rsid w:val="00C6487E"/>
    <w:rsid w:val="00C739F1"/>
    <w:rsid w:val="00C77FB9"/>
    <w:rsid w:val="00CA2C88"/>
    <w:rsid w:val="00CC1B37"/>
    <w:rsid w:val="00CD5670"/>
    <w:rsid w:val="00CE067A"/>
    <w:rsid w:val="00D10016"/>
    <w:rsid w:val="00D22713"/>
    <w:rsid w:val="00D43987"/>
    <w:rsid w:val="00D539A2"/>
    <w:rsid w:val="00D66B6E"/>
    <w:rsid w:val="00D75898"/>
    <w:rsid w:val="00D90707"/>
    <w:rsid w:val="00DA070C"/>
    <w:rsid w:val="00E005B6"/>
    <w:rsid w:val="00E264B6"/>
    <w:rsid w:val="00E35138"/>
    <w:rsid w:val="00E4039C"/>
    <w:rsid w:val="00E40932"/>
    <w:rsid w:val="00E6219D"/>
    <w:rsid w:val="00E62CD9"/>
    <w:rsid w:val="00E751CE"/>
    <w:rsid w:val="00E97BFD"/>
    <w:rsid w:val="00EB69F3"/>
    <w:rsid w:val="00EC4FFA"/>
    <w:rsid w:val="00EC6A7D"/>
    <w:rsid w:val="00ED7EE0"/>
    <w:rsid w:val="00F160FE"/>
    <w:rsid w:val="00F34D3E"/>
    <w:rsid w:val="00F555D2"/>
    <w:rsid w:val="00F57C67"/>
    <w:rsid w:val="00F7358A"/>
    <w:rsid w:val="00F73E5A"/>
    <w:rsid w:val="00F7603E"/>
    <w:rsid w:val="00F80693"/>
    <w:rsid w:val="00F84338"/>
    <w:rsid w:val="00F87DBC"/>
    <w:rsid w:val="00FC3841"/>
    <w:rsid w:val="00FD6306"/>
    <w:rsid w:val="21397AF8"/>
    <w:rsid w:val="3532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4B2B"/>
  <w15:chartTrackingRefBased/>
  <w15:docId w15:val="{F0BA91CA-8C74-43E0-9EC3-5717BD9B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5B6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E005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005B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B4E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4EC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4EC1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4E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4EC1"/>
    <w:rPr>
      <w:b/>
      <w:bCs/>
      <w:kern w:val="0"/>
      <w:sz w:val="20"/>
      <w:szCs w:val="20"/>
      <w14:ligatures w14:val="none"/>
    </w:rPr>
  </w:style>
  <w:style w:type="paragraph" w:styleId="Rvision">
    <w:name w:val="Revision"/>
    <w:hidden/>
    <w:uiPriority w:val="99"/>
    <w:semiHidden/>
    <w:rsid w:val="007475EC"/>
    <w:pPr>
      <w:spacing w:after="0" w:line="240" w:lineRule="auto"/>
    </w:pPr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391A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1A8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9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E97BF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f01">
    <w:name w:val="cf01"/>
    <w:basedOn w:val="Policepardfaut"/>
    <w:rsid w:val="00F80693"/>
    <w:rPr>
      <w:rFonts w:ascii="Segoe UI" w:hAnsi="Segoe UI" w:cs="Segoe UI" w:hint="default"/>
      <w:sz w:val="18"/>
      <w:szCs w:val="1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73E0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73E04"/>
    <w:rPr>
      <w:kern w:val="0"/>
      <w:sz w:val="20"/>
      <w:szCs w:val="20"/>
      <w14:ligatures w14:val="none"/>
    </w:rPr>
  </w:style>
  <w:style w:type="character" w:styleId="Appeldenotedefin">
    <w:name w:val="endnote reference"/>
    <w:basedOn w:val="Policepardfaut"/>
    <w:uiPriority w:val="99"/>
    <w:semiHidden/>
    <w:unhideWhenUsed/>
    <w:rsid w:val="00B73E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61E92A44B5DD2545AEF000129C25E859" ma:contentTypeVersion="211" ma:contentTypeDescription="Gavi Document content type " ma:contentTypeScope="" ma:versionID="3b0b85d5947ea24f0c0956fc47bdb498">
  <xsd:schema xmlns:xsd="http://www.w3.org/2001/XMLSchema" xmlns:xs="http://www.w3.org/2001/XMLSchema" xmlns:p="http://schemas.microsoft.com/office/2006/metadata/properties" xmlns:ns2="d0706217-df7c-4bf4-936d-b09aa3b837af" xmlns:ns3="55894003-98dc-4f3e-8669-85b90bdbcc8c" xmlns:ns4="5c2490db-6e42-4989-a0fb-d6ff54a6a7de" targetNamespace="http://schemas.microsoft.com/office/2006/metadata/properties" ma:root="true" ma:fieldsID="b24f44a081ec587cada9ab9c1fee1689" ns2:_="" ns3:_="" ns4:_="">
    <xsd:import namespace="d0706217-df7c-4bf4-936d-b09aa3b837af"/>
    <xsd:import namespace="55894003-98dc-4f3e-8669-85b90bdbcc8c"/>
    <xsd:import namespace="5c2490db-6e42-4989-a0fb-d6ff54a6a7d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2:TaxCatchAllLabel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description="" ma:hidden="true" ma:list="{c405dbff-886d-494b-bfcb-83b334e9f606}" ma:internalName="TaxCatchAll" ma:showField="CatchAllData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c405dbff-886d-494b-bfcb-83b334e9f606}" ma:internalName="TaxCatchAllLabel" ma:readOnly="true" ma:showField="CatchAllDataLabel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94003-98dc-4f3e-8669-85b90bdbcc8c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90db-6e42-4989-a0fb-d6ff54a6a7d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 xsi:nil="true"/>
    <lcf76f155ced4ddcb4097134ff3c332f xmlns="5c2490db-6e42-4989-a0fb-d6ff54a6a7de">
      <Terms xmlns="http://schemas.microsoft.com/office/infopath/2007/PartnerControls"/>
    </lcf76f155ced4ddcb4097134ff3c332f>
    <_dlc_DocId xmlns="55894003-98dc-4f3e-8669-85b90bdbcc8c">GAVI-438364776-1087735</_dlc_DocId>
    <_dlc_DocIdUrl xmlns="55894003-98dc-4f3e-8669-85b90bdbcc8c">
      <Url>https://gavinet.sharepoint.com/teams/PAP/srp/_layouts/15/DocIdRedir.aspx?ID=GAVI-438364776-1087735</Url>
      <Description>GAVI-438364776-1087735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6E6EE3-B23A-486F-85F1-F62F203B7387}"/>
</file>

<file path=customXml/itemProps2.xml><?xml version="1.0" encoding="utf-8"?>
<ds:datastoreItem xmlns:ds="http://schemas.openxmlformats.org/officeDocument/2006/customXml" ds:itemID="{AACF7044-6931-456C-892A-A9F6BB9E9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FA937-C6EC-4BB4-885E-9E134FFFBA74}">
  <ds:schemaRefs>
    <ds:schemaRef ds:uri="http://schemas.microsoft.com/office/2006/metadata/properties"/>
    <ds:schemaRef ds:uri="http://schemas.microsoft.com/office/infopath/2007/PartnerControls"/>
    <ds:schemaRef ds:uri="998dc545-0596-47bf-b914-7a05e078b45d"/>
    <ds:schemaRef ds:uri="d0706217-df7c-4bf4-936d-b09aa3b837af"/>
    <ds:schemaRef ds:uri="700359ba-e36c-422a-9925-ddada98091a9"/>
  </ds:schemaRefs>
</ds:datastoreItem>
</file>

<file path=customXml/itemProps4.xml><?xml version="1.0" encoding="utf-8"?>
<ds:datastoreItem xmlns:ds="http://schemas.openxmlformats.org/officeDocument/2006/customXml" ds:itemID="{54F3E376-272F-433E-8E5B-518EE357A5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68CBEDB-705F-4AD2-AE5F-1534BEF24DE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33FD0D6-093A-8042-8874-40E85601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719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GAVI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Morais</dc:creator>
  <cp:keywords/>
  <dc:description/>
  <cp:lastModifiedBy>yohan cabre</cp:lastModifiedBy>
  <cp:revision>27</cp:revision>
  <dcterms:created xsi:type="dcterms:W3CDTF">2024-05-17T12:41:00Z</dcterms:created>
  <dcterms:modified xsi:type="dcterms:W3CDTF">2024-05-31T16:28:00Z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957285-7815-485a-9751-5b273b784ad5_Enabled">
    <vt:lpwstr>true</vt:lpwstr>
  </property>
  <property fmtid="{D5CDD505-2E9C-101B-9397-08002B2CF9AE}" pid="3" name="MSIP_Label_0a957285-7815-485a-9751-5b273b784ad5_SetDate">
    <vt:lpwstr>2024-04-24T08:54:26Z</vt:lpwstr>
  </property>
  <property fmtid="{D5CDD505-2E9C-101B-9397-08002B2CF9AE}" pid="4" name="MSIP_Label_0a957285-7815-485a-9751-5b273b784ad5_Method">
    <vt:lpwstr>Privileged</vt:lpwstr>
  </property>
  <property fmtid="{D5CDD505-2E9C-101B-9397-08002B2CF9AE}" pid="5" name="MSIP_Label_0a957285-7815-485a-9751-5b273b784ad5_Name">
    <vt:lpwstr>0a957285-7815-485a-9751-5b273b784ad5</vt:lpwstr>
  </property>
  <property fmtid="{D5CDD505-2E9C-101B-9397-08002B2CF9AE}" pid="6" name="MSIP_Label_0a957285-7815-485a-9751-5b273b784ad5_SiteId">
    <vt:lpwstr>1de6d9f3-0daf-4df6-b9d6-5959f16f6118</vt:lpwstr>
  </property>
  <property fmtid="{D5CDD505-2E9C-101B-9397-08002B2CF9AE}" pid="7" name="MSIP_Label_0a957285-7815-485a-9751-5b273b784ad5_ActionId">
    <vt:lpwstr>13138abd-1d71-4e26-b4c3-82ca6eb6f11f</vt:lpwstr>
  </property>
  <property fmtid="{D5CDD505-2E9C-101B-9397-08002B2CF9AE}" pid="8" name="MSIP_Label_0a957285-7815-485a-9751-5b273b784ad5_ContentBits">
    <vt:lpwstr>0</vt:lpwstr>
  </property>
  <property fmtid="{D5CDD505-2E9C-101B-9397-08002B2CF9AE}" pid="9" name="ContentTypeId">
    <vt:lpwstr>0x0101009954897F3EE3CC4ABB9FB9EDAC9CDEBC0061E92A44B5DD2545AEF000129C25E859</vt:lpwstr>
  </property>
  <property fmtid="{D5CDD505-2E9C-101B-9397-08002B2CF9AE}" pid="10" name="_dlc_DocIdItemGuid">
    <vt:lpwstr>6a3b1322-937c-4717-addc-768d899d1f1d</vt:lpwstr>
  </property>
  <property fmtid="{D5CDD505-2E9C-101B-9397-08002B2CF9AE}" pid="11" name="MediaServiceImageTags">
    <vt:lpwstr/>
  </property>
  <property fmtid="{D5CDD505-2E9C-101B-9397-08002B2CF9AE}" pid="12" name="Health">
    <vt:lpwstr/>
  </property>
  <property fmtid="{D5CDD505-2E9C-101B-9397-08002B2CF9AE}" pid="13" name="kfa83adfad8641678ddaedda80d7e126">
    <vt:lpwstr/>
  </property>
  <property fmtid="{D5CDD505-2E9C-101B-9397-08002B2CF9AE}" pid="14" name="Test">
    <vt:lpwstr/>
  </property>
  <property fmtid="{D5CDD505-2E9C-101B-9397-08002B2CF9AE}" pid="15" name="SharedWithUsers">
    <vt:lpwstr>59932;#André Morais;#13588;#Antara Sinha;#51;#Reme Lefevre;#27889;#Francisco Luquero;#43183;#Caroline Atherton (Consultant);#32959;#Beth Evans;#52685;#Nivedita Saksena (Consultant);#34905;#Allyson Russell;#61394;#Wang, Xin (CDC/DDID/NCIRD/DBD);#61395;#Tanya Shewchuk;#44648;#BARBOZA, Philippe;#56014;#Tatsiana Ptashnik;#56557;#DOMINGUEZ, Morgane;#60411;#Nadege Nnang</vt:lpwstr>
  </property>
</Properties>
</file>