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38CF" w14:textId="77777777" w:rsidR="00356C0F" w:rsidRDefault="00356C0F" w:rsidP="00222083">
      <w:pPr>
        <w:pStyle w:val="Heading1"/>
        <w:spacing w:before="0" w:after="0" w:line="300" w:lineRule="exact"/>
        <w:jc w:val="both"/>
        <w:rPr>
          <w:b/>
          <w:color w:val="70AD47" w:themeColor="accent6"/>
          <w:sz w:val="24"/>
          <w:lang w:val="en-GB"/>
        </w:rPr>
      </w:pPr>
    </w:p>
    <w:p w14:paraId="65EF56B6" w14:textId="77777777" w:rsidR="00F362F4" w:rsidRPr="00F362F4" w:rsidRDefault="00F362F4" w:rsidP="00222083">
      <w:pPr>
        <w:jc w:val="both"/>
        <w:rPr>
          <w:lang w:val="en-GB"/>
        </w:rPr>
      </w:pPr>
    </w:p>
    <w:p w14:paraId="60FEA920" w14:textId="1ECAD990" w:rsidR="00EA0E8B" w:rsidRPr="002C0581" w:rsidRDefault="00EA0E8B" w:rsidP="00222083">
      <w:pPr>
        <w:pStyle w:val="Heading1"/>
        <w:spacing w:before="0" w:after="0" w:line="340" w:lineRule="exact"/>
        <w:jc w:val="both"/>
        <w:rPr>
          <w:b/>
          <w:color w:val="70AD47" w:themeColor="accent6"/>
          <w:sz w:val="24"/>
        </w:rPr>
      </w:pPr>
      <w:r>
        <w:rPr>
          <w:b/>
          <w:color w:val="70AD47" w:themeColor="accent6"/>
          <w:sz w:val="24"/>
        </w:rPr>
        <w:t>MODELE</w:t>
      </w:r>
    </w:p>
    <w:p w14:paraId="7C19C58D" w14:textId="6FF7F0CD" w:rsidR="000301CD" w:rsidRPr="006615A7" w:rsidRDefault="000301CD" w:rsidP="00222083">
      <w:pPr>
        <w:spacing w:line="300" w:lineRule="exact"/>
        <w:jc w:val="both"/>
        <w:rPr>
          <w:b/>
          <w:color w:val="4472C4" w:themeColor="accent1"/>
          <w:sz w:val="36"/>
          <w:szCs w:val="36"/>
        </w:rPr>
      </w:pPr>
    </w:p>
    <w:p w14:paraId="5EF23F8B" w14:textId="6568CBA6" w:rsidR="00A71DFF" w:rsidRDefault="00A71DFF" w:rsidP="00222083">
      <w:pPr>
        <w:spacing w:line="300" w:lineRule="exact"/>
        <w:jc w:val="both"/>
        <w:rPr>
          <w:b/>
          <w:color w:val="4472C4" w:themeColor="accent1"/>
          <w:sz w:val="32"/>
        </w:rPr>
      </w:pPr>
      <w:r>
        <w:rPr>
          <w:b/>
          <w:color w:val="4472C4" w:themeColor="accent1"/>
          <w:sz w:val="32"/>
        </w:rPr>
        <w:t>Sao Tome</w:t>
      </w:r>
    </w:p>
    <w:p w14:paraId="5E47863D" w14:textId="77777777" w:rsidR="00A71DFF" w:rsidRDefault="00A71DFF" w:rsidP="00222083">
      <w:pPr>
        <w:spacing w:line="300" w:lineRule="exact"/>
        <w:jc w:val="both"/>
        <w:rPr>
          <w:b/>
          <w:color w:val="4472C4" w:themeColor="accent1"/>
          <w:sz w:val="32"/>
        </w:rPr>
      </w:pPr>
    </w:p>
    <w:p w14:paraId="104F20A4" w14:textId="0E7CA160" w:rsidR="00EA7614" w:rsidRDefault="000301CD" w:rsidP="00222083">
      <w:pPr>
        <w:spacing w:line="300" w:lineRule="exact"/>
        <w:jc w:val="both"/>
        <w:rPr>
          <w:b/>
          <w:color w:val="4471C4"/>
          <w:sz w:val="32"/>
          <w:szCs w:val="32"/>
        </w:rPr>
      </w:pPr>
      <w:r>
        <w:rPr>
          <w:b/>
          <w:color w:val="4471C4"/>
          <w:sz w:val="32"/>
        </w:rPr>
        <w:t>Justification de l'assistance pays ciblée du Cadre d'engagement des partenaires</w:t>
      </w:r>
    </w:p>
    <w:p w14:paraId="299FEA98" w14:textId="39B56499" w:rsidR="00EA7614" w:rsidRPr="000301CD" w:rsidRDefault="005D3A47" w:rsidP="00222083">
      <w:pPr>
        <w:spacing w:line="300" w:lineRule="exact"/>
        <w:jc w:val="both"/>
        <w:rPr>
          <w:bCs/>
          <w:color w:val="808080" w:themeColor="background1" w:themeShade="80"/>
          <w:sz w:val="32"/>
          <w:szCs w:val="32"/>
        </w:rPr>
      </w:pPr>
      <w:r>
        <w:rPr>
          <w:b/>
          <w:color w:val="4472C4" w:themeColor="accent1"/>
          <w:sz w:val="32"/>
        </w:rPr>
        <w:t>Pour</w:t>
      </w:r>
      <w:r w:rsidR="000301CD">
        <w:rPr>
          <w:b/>
          <w:color w:val="4472C4" w:themeColor="accent1"/>
          <w:sz w:val="32"/>
        </w:rPr>
        <w:t xml:space="preserve"> la planification</w:t>
      </w:r>
      <w:r w:rsidR="000301CD">
        <w:rPr>
          <w:b/>
          <w:sz w:val="32"/>
        </w:rPr>
        <w:t xml:space="preserve"> </w:t>
      </w:r>
      <w:r w:rsidR="000301CD">
        <w:rPr>
          <w:b/>
          <w:color w:val="4471C4"/>
          <w:sz w:val="32"/>
        </w:rPr>
        <w:t xml:space="preserve">pluriannuelle 2022-2025 </w:t>
      </w:r>
    </w:p>
    <w:p w14:paraId="505C9912" w14:textId="77777777" w:rsidR="000301CD" w:rsidRPr="006615A7" w:rsidRDefault="000301CD" w:rsidP="00222083">
      <w:pPr>
        <w:spacing w:line="300" w:lineRule="exact"/>
        <w:jc w:val="both"/>
        <w:rPr>
          <w:bCs/>
          <w:color w:val="808080" w:themeColor="background1" w:themeShade="80"/>
        </w:rPr>
      </w:pPr>
    </w:p>
    <w:p w14:paraId="0E23D244" w14:textId="1D5F69EF" w:rsidR="000D0267" w:rsidRDefault="00322FAC" w:rsidP="00222083">
      <w:pPr>
        <w:spacing w:line="300" w:lineRule="exact"/>
        <w:jc w:val="both"/>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6F6CC660" w14:textId="77777777" w:rsidR="00056DDF" w:rsidRPr="00072D93" w:rsidRDefault="00056DDF" w:rsidP="00222083">
      <w:pPr>
        <w:spacing w:line="300" w:lineRule="exact"/>
        <w:jc w:val="both"/>
        <w:rPr>
          <w:bCs/>
          <w:color w:val="808080" w:themeColor="background1" w:themeShade="80"/>
        </w:rPr>
      </w:pPr>
    </w:p>
    <w:p w14:paraId="1AB11C18" w14:textId="238BD1D1" w:rsidR="001C1D82" w:rsidRPr="0065351E" w:rsidRDefault="00056DDF" w:rsidP="00222083">
      <w:pPr>
        <w:spacing w:line="300" w:lineRule="exact"/>
        <w:ind w:left="426"/>
        <w:jc w:val="both"/>
        <w:rPr>
          <w:i/>
          <w:color w:val="808080" w:themeColor="background1" w:themeShade="80"/>
        </w:rPr>
      </w:pPr>
      <w:r>
        <w:rPr>
          <w:i/>
          <w:color w:val="808080" w:themeColor="background1" w:themeShade="80"/>
        </w:rPr>
        <w:t>(Rempli par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004C6B53">
        <w:tc>
          <w:tcPr>
            <w:tcW w:w="2185" w:type="dxa"/>
            <w:shd w:val="clear" w:color="auto" w:fill="DEEAF6" w:themeFill="accent5" w:themeFillTint="33"/>
          </w:tcPr>
          <w:p w14:paraId="7BD2C001" w14:textId="20F00943" w:rsidR="00FB048D" w:rsidRPr="00372D1F" w:rsidRDefault="00FB048D" w:rsidP="00222083">
            <w:pPr>
              <w:spacing w:line="300" w:lineRule="exact"/>
              <w:jc w:val="both"/>
              <w:rPr>
                <w:b/>
              </w:rPr>
            </w:pPr>
            <w:r>
              <w:rPr>
                <w:b/>
              </w:rPr>
              <w:t>Enveloppe totale</w:t>
            </w:r>
          </w:p>
        </w:tc>
        <w:tc>
          <w:tcPr>
            <w:tcW w:w="5748" w:type="dxa"/>
            <w:gridSpan w:val="2"/>
            <w:shd w:val="clear" w:color="auto" w:fill="DEEAF6" w:themeFill="accent5" w:themeFillTint="33"/>
          </w:tcPr>
          <w:p w14:paraId="5F1CD927" w14:textId="50744CAC" w:rsidR="00FB048D" w:rsidRPr="00372D1F" w:rsidRDefault="00FB048D" w:rsidP="00222083">
            <w:pPr>
              <w:spacing w:line="300" w:lineRule="exact"/>
              <w:jc w:val="both"/>
              <w:rPr>
                <w:b/>
              </w:rPr>
            </w:pPr>
            <w:r>
              <w:rPr>
                <w:b/>
              </w:rPr>
              <w:t>Allocation indicative pour 2022-202</w:t>
            </w:r>
            <w:r w:rsidRPr="2F1B7178">
              <w:rPr>
                <w:b/>
                <w:bCs/>
              </w:rPr>
              <w:t>3</w:t>
            </w:r>
          </w:p>
        </w:tc>
        <w:tc>
          <w:tcPr>
            <w:tcW w:w="1134" w:type="dxa"/>
            <w:shd w:val="clear" w:color="auto" w:fill="DEEAF6" w:themeFill="accent5" w:themeFillTint="33"/>
          </w:tcPr>
          <w:p w14:paraId="7640021E" w14:textId="0969877A" w:rsidR="00FB048D" w:rsidRPr="00372D1F" w:rsidRDefault="00FB048D" w:rsidP="00222083">
            <w:pPr>
              <w:spacing w:line="300" w:lineRule="exact"/>
              <w:jc w:val="both"/>
              <w:rPr>
                <w:b/>
              </w:rPr>
            </w:pPr>
            <w:r>
              <w:rPr>
                <w:b/>
              </w:rPr>
              <w:t>%</w:t>
            </w:r>
          </w:p>
        </w:tc>
      </w:tr>
      <w:tr w:rsidR="00830B03" w14:paraId="150C4E2A" w14:textId="117ACA42" w:rsidTr="004C6B53">
        <w:tc>
          <w:tcPr>
            <w:tcW w:w="2185" w:type="dxa"/>
            <w:vMerge w:val="restart"/>
            <w:shd w:val="clear" w:color="auto" w:fill="FFFFFF" w:themeFill="background1"/>
          </w:tcPr>
          <w:p w14:paraId="731ED098" w14:textId="57B792AD" w:rsidR="00830B03" w:rsidRPr="00821AEB" w:rsidRDefault="00830B03" w:rsidP="00222083">
            <w:pPr>
              <w:spacing w:line="300" w:lineRule="exact"/>
              <w:jc w:val="both"/>
              <w:rPr>
                <w:bCs/>
                <w:color w:val="808080" w:themeColor="background1" w:themeShade="80"/>
              </w:rPr>
            </w:pPr>
            <w:r>
              <w:rPr>
                <w:color w:val="808080" w:themeColor="background1" w:themeShade="80"/>
              </w:rPr>
              <w:t>1'232’592</w:t>
            </w:r>
            <w:r w:rsidRPr="00821AEB">
              <w:rPr>
                <w:color w:val="808080" w:themeColor="background1" w:themeShade="80"/>
              </w:rPr>
              <w:t xml:space="preserve"> USD</w:t>
            </w:r>
          </w:p>
        </w:tc>
        <w:tc>
          <w:tcPr>
            <w:tcW w:w="787" w:type="dxa"/>
            <w:shd w:val="clear" w:color="auto" w:fill="E2EFD9" w:themeFill="accent6" w:themeFillTint="33"/>
          </w:tcPr>
          <w:p w14:paraId="7CFDAA42" w14:textId="1406FB5F" w:rsidR="00830B03" w:rsidRPr="00821AEB" w:rsidRDefault="00830B03" w:rsidP="00222083">
            <w:pPr>
              <w:spacing w:line="300" w:lineRule="exact"/>
              <w:jc w:val="both"/>
              <w:rPr>
                <w:b/>
              </w:rPr>
            </w:pPr>
            <w:r w:rsidRPr="00821AEB">
              <w:rPr>
                <w:b/>
              </w:rPr>
              <w:t>2022</w:t>
            </w:r>
          </w:p>
        </w:tc>
        <w:tc>
          <w:tcPr>
            <w:tcW w:w="4961" w:type="dxa"/>
            <w:shd w:val="clear" w:color="auto" w:fill="E2EFD9" w:themeFill="accent6" w:themeFillTint="33"/>
          </w:tcPr>
          <w:p w14:paraId="00353A5A" w14:textId="4A30D8C2" w:rsidR="00830B03" w:rsidRPr="00821AEB" w:rsidRDefault="00830B03" w:rsidP="00222083">
            <w:pPr>
              <w:spacing w:line="300" w:lineRule="exact"/>
              <w:jc w:val="both"/>
              <w:rPr>
                <w:color w:val="808080" w:themeColor="background1" w:themeShade="80"/>
              </w:rPr>
            </w:pPr>
            <w:r w:rsidRPr="00E62323">
              <w:rPr>
                <w:color w:val="808080" w:themeColor="background1" w:themeShade="80"/>
              </w:rPr>
              <w:t>527</w:t>
            </w:r>
            <w:r>
              <w:rPr>
                <w:color w:val="808080" w:themeColor="background1" w:themeShade="80"/>
              </w:rPr>
              <w:t>’</w:t>
            </w:r>
            <w:r w:rsidRPr="00E62323">
              <w:rPr>
                <w:color w:val="808080" w:themeColor="background1" w:themeShade="80"/>
              </w:rPr>
              <w:t xml:space="preserve">711 </w:t>
            </w:r>
            <w:r w:rsidRPr="00821AEB">
              <w:rPr>
                <w:color w:val="808080" w:themeColor="background1" w:themeShade="80"/>
              </w:rPr>
              <w:t>USD</w:t>
            </w:r>
          </w:p>
        </w:tc>
        <w:tc>
          <w:tcPr>
            <w:tcW w:w="1134" w:type="dxa"/>
            <w:shd w:val="clear" w:color="auto" w:fill="E2EFD9" w:themeFill="accent6" w:themeFillTint="33"/>
          </w:tcPr>
          <w:p w14:paraId="2EADFDF3" w14:textId="117502C7" w:rsidR="00830B03" w:rsidRDefault="00A71DFF" w:rsidP="00222083">
            <w:pPr>
              <w:spacing w:line="300" w:lineRule="exact"/>
              <w:jc w:val="both"/>
              <w:rPr>
                <w:bCs/>
                <w:color w:val="808080" w:themeColor="background1" w:themeShade="80"/>
                <w:lang w:val="en-GB"/>
              </w:rPr>
            </w:pPr>
            <w:r>
              <w:rPr>
                <w:bCs/>
                <w:color w:val="808080" w:themeColor="background1" w:themeShade="80"/>
                <w:lang w:val="en-GB"/>
              </w:rPr>
              <w:t>42.8%</w:t>
            </w:r>
          </w:p>
        </w:tc>
      </w:tr>
      <w:tr w:rsidR="00A71DFF" w14:paraId="3A3CDB53" w14:textId="7AF48707" w:rsidTr="00821AEB">
        <w:trPr>
          <w:trHeight w:val="233"/>
        </w:trPr>
        <w:tc>
          <w:tcPr>
            <w:tcW w:w="2185" w:type="dxa"/>
            <w:vMerge/>
          </w:tcPr>
          <w:p w14:paraId="0CA26921" w14:textId="77777777" w:rsidR="00A71DFF" w:rsidRPr="00821AEB" w:rsidRDefault="00A71DFF" w:rsidP="007244FB">
            <w:pPr>
              <w:spacing w:line="300" w:lineRule="exact"/>
              <w:jc w:val="both"/>
              <w:rPr>
                <w:bCs/>
                <w:color w:val="808080" w:themeColor="background1" w:themeShade="80"/>
                <w:lang w:val="en-GB"/>
              </w:rPr>
            </w:pPr>
          </w:p>
        </w:tc>
        <w:tc>
          <w:tcPr>
            <w:tcW w:w="787" w:type="dxa"/>
            <w:shd w:val="clear" w:color="auto" w:fill="E2EFD9" w:themeFill="accent6" w:themeFillTint="33"/>
          </w:tcPr>
          <w:p w14:paraId="5CF45603" w14:textId="231D4A2D" w:rsidR="00A71DFF" w:rsidRPr="00821AEB" w:rsidRDefault="00A71DFF" w:rsidP="007244FB">
            <w:pPr>
              <w:spacing w:line="300" w:lineRule="exact"/>
              <w:jc w:val="both"/>
              <w:rPr>
                <w:b/>
              </w:rPr>
            </w:pPr>
            <w:r w:rsidRPr="00821AEB">
              <w:rPr>
                <w:b/>
              </w:rPr>
              <w:t>2023</w:t>
            </w:r>
          </w:p>
        </w:tc>
        <w:tc>
          <w:tcPr>
            <w:tcW w:w="4961" w:type="dxa"/>
            <w:shd w:val="clear" w:color="auto" w:fill="E2EFD9" w:themeFill="accent6" w:themeFillTint="33"/>
          </w:tcPr>
          <w:p w14:paraId="4DA7D255" w14:textId="2D364CCC" w:rsidR="00A71DFF" w:rsidRPr="00821AEB" w:rsidRDefault="00A71DFF" w:rsidP="007244FB">
            <w:pPr>
              <w:spacing w:line="300" w:lineRule="exact"/>
              <w:jc w:val="both"/>
              <w:rPr>
                <w:color w:val="808080" w:themeColor="background1" w:themeShade="80"/>
              </w:rPr>
            </w:pPr>
            <w:r w:rsidRPr="003A42C1">
              <w:rPr>
                <w:color w:val="808080" w:themeColor="background1" w:themeShade="80"/>
              </w:rPr>
              <w:t>704</w:t>
            </w:r>
            <w:r>
              <w:rPr>
                <w:color w:val="808080" w:themeColor="background1" w:themeShade="80"/>
              </w:rPr>
              <w:t>’</w:t>
            </w:r>
            <w:r w:rsidRPr="003A42C1">
              <w:rPr>
                <w:color w:val="808080" w:themeColor="background1" w:themeShade="80"/>
              </w:rPr>
              <w:t xml:space="preserve">881 </w:t>
            </w:r>
            <w:r w:rsidRPr="00821AEB">
              <w:rPr>
                <w:color w:val="808080" w:themeColor="background1" w:themeShade="80"/>
              </w:rPr>
              <w:t>USD</w:t>
            </w:r>
          </w:p>
        </w:tc>
        <w:tc>
          <w:tcPr>
            <w:tcW w:w="1134" w:type="dxa"/>
            <w:shd w:val="clear" w:color="auto" w:fill="E2EFD9" w:themeFill="accent6" w:themeFillTint="33"/>
          </w:tcPr>
          <w:p w14:paraId="11ED1C8B" w14:textId="0B7A6C32" w:rsidR="00A71DFF" w:rsidRDefault="00A71DFF" w:rsidP="007244FB">
            <w:pPr>
              <w:spacing w:line="300" w:lineRule="exact"/>
              <w:jc w:val="both"/>
              <w:rPr>
                <w:bCs/>
                <w:color w:val="808080" w:themeColor="background1" w:themeShade="80"/>
                <w:lang w:val="en-GB"/>
              </w:rPr>
            </w:pPr>
            <w:r>
              <w:rPr>
                <w:bCs/>
                <w:color w:val="808080" w:themeColor="background1" w:themeShade="80"/>
                <w:lang w:val="en-GB"/>
              </w:rPr>
              <w:t>57.2%</w:t>
            </w:r>
          </w:p>
        </w:tc>
      </w:tr>
    </w:tbl>
    <w:p w14:paraId="1F6083B3" w14:textId="77777777" w:rsidR="00A47FCF" w:rsidRDefault="00A47FCF" w:rsidP="00222083">
      <w:pPr>
        <w:spacing w:line="300" w:lineRule="exact"/>
        <w:jc w:val="both"/>
        <w:rPr>
          <w:bCs/>
          <w:color w:val="808080" w:themeColor="background1" w:themeShade="80"/>
          <w:lang w:val="en-GB"/>
        </w:rPr>
      </w:pPr>
    </w:p>
    <w:p w14:paraId="030CF340" w14:textId="34A3E30E" w:rsidR="00650EB6" w:rsidRDefault="00FB7375" w:rsidP="00222083">
      <w:pPr>
        <w:pStyle w:val="ListParagraph"/>
        <w:numPr>
          <w:ilvl w:val="0"/>
          <w:numId w:val="4"/>
        </w:numPr>
        <w:spacing w:line="300" w:lineRule="exact"/>
        <w:ind w:left="426"/>
        <w:jc w:val="both"/>
        <w:rPr>
          <w:b/>
          <w:color w:val="84C650"/>
          <w:sz w:val="26"/>
          <w:szCs w:val="26"/>
        </w:rPr>
      </w:pPr>
      <w:r>
        <w:rPr>
          <w:b/>
          <w:color w:val="70AD47" w:themeColor="accent6"/>
          <w:sz w:val="26"/>
        </w:rPr>
        <w:t>Principaux objectifs du PEV et difficultés/goulots d'étranglement connus (0,5 page)</w:t>
      </w:r>
    </w:p>
    <w:p w14:paraId="52D793FC" w14:textId="77777777" w:rsidR="000E69CF" w:rsidRPr="006615A7" w:rsidRDefault="000E69CF" w:rsidP="00222083">
      <w:pPr>
        <w:spacing w:line="300" w:lineRule="exact"/>
        <w:jc w:val="both"/>
        <w:rPr>
          <w:bCs/>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27B0A8D9">
        <w:tc>
          <w:tcPr>
            <w:tcW w:w="9192" w:type="dxa"/>
            <w:tcBorders>
              <w:bottom w:val="single" w:sz="6" w:space="0" w:color="auto"/>
            </w:tcBorders>
            <w:shd w:val="clear" w:color="auto" w:fill="F2F2F2" w:themeFill="background1" w:themeFillShade="F2"/>
          </w:tcPr>
          <w:p w14:paraId="7976640A" w14:textId="661C9E2D" w:rsidR="00650EB6" w:rsidRPr="00650EB6" w:rsidRDefault="00650EB6" w:rsidP="00222083">
            <w:pPr>
              <w:spacing w:line="300" w:lineRule="exact"/>
              <w:jc w:val="both"/>
              <w:rPr>
                <w:b/>
                <w:i/>
                <w:iCs/>
                <w:color w:val="000000" w:themeColor="text1"/>
                <w:sz w:val="20"/>
                <w:szCs w:val="20"/>
              </w:rPr>
            </w:pPr>
            <w:r>
              <w:rPr>
                <w:b/>
                <w:i/>
                <w:sz w:val="20"/>
              </w:rPr>
              <w:t>1.1</w:t>
            </w:r>
            <w:r>
              <w:rPr>
                <w:b/>
                <w:i/>
                <w:sz w:val="20"/>
              </w:rPr>
              <w:tab/>
              <w:t xml:space="preserve">Veuillez indiquer tout contexte national </w:t>
            </w:r>
            <w:r w:rsidR="00A24EDA">
              <w:rPr>
                <w:b/>
                <w:i/>
                <w:sz w:val="20"/>
              </w:rPr>
              <w:t xml:space="preserve">nécessaire </w:t>
            </w:r>
            <w:r w:rsidR="00733895">
              <w:rPr>
                <w:b/>
                <w:i/>
                <w:sz w:val="20"/>
              </w:rPr>
              <w:t xml:space="preserve">pour </w:t>
            </w:r>
            <w:r>
              <w:rPr>
                <w:b/>
                <w:i/>
                <w:sz w:val="20"/>
              </w:rPr>
              <w:t xml:space="preserve">comprendre la vision du pays et la demande d'assistance pays ciblée de Gavi. </w:t>
            </w:r>
            <w:r w:rsidR="00733895">
              <w:rPr>
                <w:b/>
                <w:i/>
                <w:sz w:val="20"/>
              </w:rPr>
              <w:t xml:space="preserve">Spécifier les </w:t>
            </w:r>
            <w:r>
              <w:rPr>
                <w:b/>
                <w:i/>
                <w:sz w:val="20"/>
              </w:rPr>
              <w:t xml:space="preserve">effets </w:t>
            </w:r>
            <w:r w:rsidR="00733895">
              <w:rPr>
                <w:b/>
                <w:i/>
                <w:sz w:val="20"/>
              </w:rPr>
              <w:t xml:space="preserve">que ces </w:t>
            </w:r>
            <w:r>
              <w:rPr>
                <w:b/>
                <w:i/>
                <w:sz w:val="20"/>
              </w:rPr>
              <w:t xml:space="preserve">facteurs </w:t>
            </w:r>
            <w:r w:rsidR="00733895">
              <w:rPr>
                <w:b/>
                <w:i/>
                <w:sz w:val="20"/>
              </w:rPr>
              <w:t>aur</w:t>
            </w:r>
            <w:r w:rsidR="004C15D1">
              <w:rPr>
                <w:b/>
                <w:i/>
                <w:sz w:val="20"/>
              </w:rPr>
              <w:t>ont</w:t>
            </w:r>
            <w:r>
              <w:rPr>
                <w:b/>
                <w:i/>
                <w:sz w:val="20"/>
              </w:rPr>
              <w:t xml:space="preserve"> sur le programme national de vaccination</w:t>
            </w:r>
            <w:r w:rsidR="00733895">
              <w:rPr>
                <w:b/>
                <w:i/>
                <w:sz w:val="20"/>
              </w:rPr>
              <w:t xml:space="preserve">. </w:t>
            </w:r>
          </w:p>
        </w:tc>
      </w:tr>
      <w:tr w:rsidR="00650EB6" w:rsidRPr="008416F9" w14:paraId="79578C2F" w14:textId="77777777" w:rsidTr="27B0A8D9">
        <w:tc>
          <w:tcPr>
            <w:tcW w:w="9192" w:type="dxa"/>
            <w:tcBorders>
              <w:top w:val="single" w:sz="6" w:space="0" w:color="auto"/>
              <w:left w:val="single" w:sz="6" w:space="0" w:color="auto"/>
              <w:bottom w:val="single" w:sz="6" w:space="0" w:color="auto"/>
              <w:right w:val="single" w:sz="6" w:space="0" w:color="auto"/>
            </w:tcBorders>
          </w:tcPr>
          <w:p w14:paraId="38BDB87E" w14:textId="2E2FC525" w:rsidR="00BF1F9F" w:rsidRDefault="005C51D4" w:rsidP="00222083">
            <w:pPr>
              <w:shd w:val="clear" w:color="auto" w:fill="FFFFFF"/>
              <w:spacing w:line="240" w:lineRule="auto"/>
              <w:jc w:val="both"/>
              <w:rPr>
                <w:color w:val="000000" w:themeColor="text1"/>
              </w:rPr>
            </w:pPr>
            <w:bookmarkStart w:id="0" w:name="_Hlk103951811"/>
            <w:r w:rsidRPr="00D90AB5">
              <w:rPr>
                <w:color w:val="000000" w:themeColor="text1"/>
              </w:rPr>
              <w:t>Sao Tom</w:t>
            </w:r>
            <w:r w:rsidR="005463B3">
              <w:rPr>
                <w:color w:val="000000" w:themeColor="text1"/>
              </w:rPr>
              <w:t>é</w:t>
            </w:r>
            <w:r w:rsidRPr="00D90AB5">
              <w:rPr>
                <w:color w:val="000000" w:themeColor="text1"/>
              </w:rPr>
              <w:t xml:space="preserve"> et Principe (STP) est un archipel formé par deux îles et des îlots adjacents, situé dans le golfe du Guinée, à environ 350 km de la côte occidentale africaine. L'archipel s’étend sur une surface de 1001 km</w:t>
            </w:r>
            <w:r w:rsidRPr="00D90AB5">
              <w:rPr>
                <w:color w:val="000000" w:themeColor="text1"/>
                <w:vertAlign w:val="superscript"/>
              </w:rPr>
              <w:t>2</w:t>
            </w:r>
            <w:r>
              <w:rPr>
                <w:color w:val="000000" w:themeColor="text1"/>
              </w:rPr>
              <w:t>. L</w:t>
            </w:r>
            <w:r w:rsidRPr="00AD7A18">
              <w:rPr>
                <w:color w:val="000000" w:themeColor="text1"/>
              </w:rPr>
              <w:t xml:space="preserve">a population </w:t>
            </w:r>
            <w:r>
              <w:rPr>
                <w:color w:val="000000" w:themeColor="text1"/>
              </w:rPr>
              <w:t xml:space="preserve">générale </w:t>
            </w:r>
            <w:r w:rsidRPr="00AD7A18">
              <w:rPr>
                <w:color w:val="000000" w:themeColor="text1"/>
              </w:rPr>
              <w:t xml:space="preserve">estimée à </w:t>
            </w:r>
            <w:r>
              <w:rPr>
                <w:color w:val="000000" w:themeColor="text1"/>
              </w:rPr>
              <w:t>2022, comprends 219 078</w:t>
            </w:r>
            <w:r w:rsidRPr="00D90AB5">
              <w:rPr>
                <w:color w:val="000000" w:themeColor="text1"/>
              </w:rPr>
              <w:t xml:space="preserve"> habitants, </w:t>
            </w:r>
            <w:r w:rsidR="00BF1F9F" w:rsidRPr="00BF1F9F">
              <w:rPr>
                <w:color w:val="000000" w:themeColor="text1"/>
              </w:rPr>
              <w:t xml:space="preserve">a augmenté, en moyenne, de 2,17 % par an au cours de la dernière décennie. </w:t>
            </w:r>
            <w:r w:rsidRPr="00D90AB5">
              <w:rPr>
                <w:color w:val="000000" w:themeColor="text1"/>
              </w:rPr>
              <w:t xml:space="preserve">L'indice de fécondité </w:t>
            </w:r>
            <w:r w:rsidRPr="00AD7A18">
              <w:rPr>
                <w:color w:val="000000" w:themeColor="text1"/>
              </w:rPr>
              <w:t xml:space="preserve">c’été de 3,5%. </w:t>
            </w:r>
            <w:r w:rsidR="00151B00" w:rsidRPr="00D90AB5">
              <w:rPr>
                <w:color w:val="000000" w:themeColor="text1"/>
              </w:rPr>
              <w:t>L’augmentation de la population a été accompagnée du phénomène d’exode rural ; la densité de la population a une valeur moyenne de 178,6hab. /Km2 mais avec des fortes variations d'un district à l’autre. Dans la structure de la population les femmes sont majoritaires (51%) et la population est très jeune avec 50% des moins de 16 ans.</w:t>
            </w:r>
            <w:r w:rsidR="00151B00">
              <w:rPr>
                <w:color w:val="000000" w:themeColor="text1"/>
              </w:rPr>
              <w:t xml:space="preserve"> Les enfants </w:t>
            </w:r>
            <w:r w:rsidR="00EF6E05">
              <w:rPr>
                <w:color w:val="000000" w:themeColor="text1"/>
              </w:rPr>
              <w:t xml:space="preserve">de </w:t>
            </w:r>
            <w:r w:rsidR="00151B00">
              <w:rPr>
                <w:color w:val="000000" w:themeColor="text1"/>
              </w:rPr>
              <w:t>moi</w:t>
            </w:r>
            <w:r w:rsidR="005463B3">
              <w:rPr>
                <w:color w:val="000000" w:themeColor="text1"/>
              </w:rPr>
              <w:t>n</w:t>
            </w:r>
            <w:r w:rsidR="00151B00">
              <w:rPr>
                <w:color w:val="000000" w:themeColor="text1"/>
              </w:rPr>
              <w:t xml:space="preserve">s de 5 ans </w:t>
            </w:r>
            <w:r w:rsidR="00EF6E05">
              <w:rPr>
                <w:color w:val="000000" w:themeColor="text1"/>
              </w:rPr>
              <w:t xml:space="preserve">représentent </w:t>
            </w:r>
            <w:r w:rsidR="00151B00">
              <w:rPr>
                <w:color w:val="000000" w:themeColor="text1"/>
              </w:rPr>
              <w:t>15.03%.</w:t>
            </w:r>
          </w:p>
          <w:p w14:paraId="191E9F15" w14:textId="2A5A03A9" w:rsidR="00BF1F9F" w:rsidRPr="00BF1F9F" w:rsidRDefault="00BF1F9F" w:rsidP="004400CA">
            <w:pPr>
              <w:shd w:val="clear" w:color="auto" w:fill="FFFFFF"/>
              <w:spacing w:line="240" w:lineRule="auto"/>
              <w:jc w:val="both"/>
              <w:rPr>
                <w:rFonts w:eastAsia="Times New Roman"/>
                <w:lang w:eastAsia="pt-PT"/>
              </w:rPr>
            </w:pPr>
            <w:r>
              <w:rPr>
                <w:rFonts w:eastAsia="Times New Roman"/>
                <w:lang w:eastAsia="pt-PT"/>
              </w:rPr>
              <w:t>L’i</w:t>
            </w:r>
            <w:r w:rsidRPr="00BF1F9F">
              <w:rPr>
                <w:rFonts w:eastAsia="Times New Roman"/>
                <w:lang w:eastAsia="pt-PT"/>
              </w:rPr>
              <w:t>ndice de développement humain (IDH) est passé de 0,542 à 0,609 entre 2010 et 2018 (PNUD, 2019)</w:t>
            </w:r>
            <w:r>
              <w:rPr>
                <w:rFonts w:eastAsia="Times New Roman"/>
                <w:lang w:eastAsia="pt-PT"/>
              </w:rPr>
              <w:t>,</w:t>
            </w:r>
            <w:r w:rsidRPr="00BF1F9F">
              <w:rPr>
                <w:rFonts w:eastAsia="Times New Roman"/>
                <w:lang w:eastAsia="pt-PT"/>
              </w:rPr>
              <w:t xml:space="preserve"> plaçant le pays au-dessus de la moyenne de l'Afrique subsaharienne mais en dessous de la moyenne des pays du groupe de développement humain moyen</w:t>
            </w:r>
            <w:r>
              <w:rPr>
                <w:rFonts w:eastAsia="Times New Roman"/>
                <w:lang w:eastAsia="pt-PT"/>
              </w:rPr>
              <w:t>. C</w:t>
            </w:r>
            <w:r w:rsidRPr="00BF1F9F">
              <w:rPr>
                <w:rFonts w:eastAsia="Times New Roman"/>
                <w:lang w:eastAsia="pt-PT"/>
              </w:rPr>
              <w:t>es</w:t>
            </w:r>
            <w:r>
              <w:rPr>
                <w:rFonts w:eastAsia="Times New Roman"/>
                <w:lang w:eastAsia="pt-PT"/>
              </w:rPr>
              <w:t xml:space="preserve"> </w:t>
            </w:r>
            <w:r w:rsidRPr="00BF1F9F">
              <w:rPr>
                <w:rFonts w:eastAsia="Times New Roman"/>
                <w:lang w:eastAsia="pt-PT"/>
              </w:rPr>
              <w:t xml:space="preserve">améliorations sont largement attribuables à l'augmentation de l'espérance de vie moyenne, qui est passée de 67,4 ans en 2010 à 70,2 ans en 2018. </w:t>
            </w:r>
            <w:r w:rsidR="00F353E9" w:rsidRPr="00AD7A18">
              <w:rPr>
                <w:color w:val="000000" w:themeColor="text1"/>
              </w:rPr>
              <w:t>Le PIB par habitant</w:t>
            </w:r>
            <w:r>
              <w:rPr>
                <w:rFonts w:eastAsia="Times New Roman"/>
                <w:lang w:eastAsia="pt-PT"/>
              </w:rPr>
              <w:t>, qui</w:t>
            </w:r>
            <w:r w:rsidRPr="00BF1F9F">
              <w:rPr>
                <w:rFonts w:eastAsia="Times New Roman"/>
                <w:lang w:eastAsia="pt-PT"/>
              </w:rPr>
              <w:t xml:space="preserve"> est passé de </w:t>
            </w:r>
            <w:r>
              <w:rPr>
                <w:rFonts w:eastAsia="Times New Roman"/>
                <w:lang w:eastAsia="pt-PT"/>
              </w:rPr>
              <w:t xml:space="preserve">US$ </w:t>
            </w:r>
            <w:r w:rsidRPr="00BF1F9F">
              <w:rPr>
                <w:rFonts w:eastAsia="Times New Roman"/>
                <w:lang w:eastAsia="pt-PT"/>
              </w:rPr>
              <w:t>2</w:t>
            </w:r>
            <w:r w:rsidR="00F353E9">
              <w:rPr>
                <w:rFonts w:eastAsia="Times New Roman"/>
                <w:lang w:eastAsia="pt-PT"/>
              </w:rPr>
              <w:t>,</w:t>
            </w:r>
            <w:r w:rsidRPr="00BF1F9F">
              <w:rPr>
                <w:rFonts w:eastAsia="Times New Roman"/>
                <w:lang w:eastAsia="pt-PT"/>
              </w:rPr>
              <w:t xml:space="preserve">567 en 2010 à </w:t>
            </w:r>
            <w:r>
              <w:rPr>
                <w:rFonts w:eastAsia="Times New Roman"/>
                <w:lang w:eastAsia="pt-PT"/>
              </w:rPr>
              <w:t xml:space="preserve">US$ </w:t>
            </w:r>
            <w:r w:rsidRPr="00BF1F9F">
              <w:rPr>
                <w:rFonts w:eastAsia="Times New Roman"/>
                <w:lang w:eastAsia="pt-PT"/>
              </w:rPr>
              <w:t>3</w:t>
            </w:r>
            <w:r w:rsidR="00F353E9">
              <w:rPr>
                <w:rFonts w:eastAsia="Times New Roman"/>
                <w:lang w:eastAsia="pt-PT"/>
              </w:rPr>
              <w:t>,</w:t>
            </w:r>
            <w:r w:rsidRPr="00BF1F9F">
              <w:rPr>
                <w:rFonts w:eastAsia="Times New Roman"/>
                <w:lang w:eastAsia="pt-PT"/>
              </w:rPr>
              <w:t xml:space="preserve">024 dollars en 2018, </w:t>
            </w:r>
            <w:r w:rsidR="00F353E9">
              <w:rPr>
                <w:rFonts w:eastAsia="Times New Roman"/>
                <w:lang w:eastAsia="pt-PT"/>
              </w:rPr>
              <w:t>a</w:t>
            </w:r>
            <w:r w:rsidRPr="00BF1F9F">
              <w:rPr>
                <w:rFonts w:eastAsia="Times New Roman"/>
                <w:lang w:eastAsia="pt-PT"/>
              </w:rPr>
              <w:t xml:space="preserve"> </w:t>
            </w:r>
            <w:r>
              <w:rPr>
                <w:rFonts w:eastAsia="Times New Roman"/>
                <w:lang w:eastAsia="pt-PT"/>
              </w:rPr>
              <w:t xml:space="preserve">classe le </w:t>
            </w:r>
            <w:r w:rsidRPr="00BF1F9F">
              <w:rPr>
                <w:rFonts w:eastAsia="Times New Roman"/>
                <w:lang w:eastAsia="pt-PT"/>
              </w:rPr>
              <w:t xml:space="preserve">pays </w:t>
            </w:r>
            <w:r>
              <w:rPr>
                <w:rFonts w:eastAsia="Times New Roman"/>
                <w:lang w:eastAsia="pt-PT"/>
              </w:rPr>
              <w:t>au</w:t>
            </w:r>
            <w:r w:rsidRPr="00BF1F9F">
              <w:rPr>
                <w:rFonts w:eastAsia="Times New Roman"/>
                <w:lang w:eastAsia="pt-PT"/>
              </w:rPr>
              <w:t xml:space="preserve"> statut de P</w:t>
            </w:r>
            <w:r w:rsidR="00F353E9">
              <w:rPr>
                <w:rFonts w:eastAsia="Times New Roman"/>
                <w:lang w:eastAsia="pt-PT"/>
              </w:rPr>
              <w:t>ays de Revenu Moyenne.</w:t>
            </w:r>
          </w:p>
          <w:p w14:paraId="0D8C4018" w14:textId="7EE107A3" w:rsidR="00F353E9" w:rsidRDefault="00F353E9" w:rsidP="005D3A47">
            <w:pPr>
              <w:shd w:val="clear" w:color="auto" w:fill="FFFFFF" w:themeFill="background1"/>
              <w:spacing w:line="240" w:lineRule="auto"/>
              <w:jc w:val="both"/>
              <w:rPr>
                <w:color w:val="000000" w:themeColor="text1"/>
              </w:rPr>
            </w:pPr>
            <w:r w:rsidRPr="27B0A8D9">
              <w:rPr>
                <w:color w:val="000000" w:themeColor="text1"/>
              </w:rPr>
              <w:t xml:space="preserve">Le système de soins de santé est fondé sur la mise en œuvre des Soins de Santé Primaires (SSP) au niveau des districts sanitaires. </w:t>
            </w:r>
            <w:r w:rsidRPr="27B0A8D9">
              <w:rPr>
                <w:color w:val="000000" w:themeColor="text1"/>
                <w:lang w:eastAsia="fr-FR"/>
              </w:rPr>
              <w:t>Ce système de santé comprend</w:t>
            </w:r>
            <w:r w:rsidR="005463B3" w:rsidRPr="27B0A8D9">
              <w:rPr>
                <w:color w:val="000000" w:themeColor="text1"/>
                <w:lang w:eastAsia="fr-FR"/>
              </w:rPr>
              <w:t xml:space="preserve"> </w:t>
            </w:r>
            <w:r w:rsidRPr="27B0A8D9">
              <w:rPr>
                <w:color w:val="000000" w:themeColor="text1"/>
                <w:lang w:eastAsia="fr-FR"/>
              </w:rPr>
              <w:t>: le niveau central et le niveau périphérique, communément appelé niveau district</w:t>
            </w:r>
            <w:r w:rsidR="00BF1F9F" w:rsidRPr="27B0A8D9">
              <w:rPr>
                <w:rFonts w:eastAsia="Times New Roman"/>
                <w:lang w:eastAsia="pt-PT"/>
              </w:rPr>
              <w:t>.</w:t>
            </w:r>
            <w:r w:rsidRPr="27B0A8D9">
              <w:rPr>
                <w:rFonts w:eastAsia="Times New Roman"/>
                <w:lang w:eastAsia="pt-PT"/>
              </w:rPr>
              <w:t xml:space="preserve"> </w:t>
            </w:r>
            <w:r w:rsidRPr="27B0A8D9">
              <w:rPr>
                <w:color w:val="000000" w:themeColor="text1"/>
              </w:rPr>
              <w:t>C’est le niveau opérationnel qui comprend 7 Districts sanitaires, y compris la Région Autonome de Principe (RAP)</w:t>
            </w:r>
            <w:r w:rsidRPr="27B0A8D9">
              <w:rPr>
                <w:b/>
                <w:bCs/>
                <w:color w:val="000000" w:themeColor="text1"/>
              </w:rPr>
              <w:t xml:space="preserve">. </w:t>
            </w:r>
            <w:r w:rsidRPr="27B0A8D9">
              <w:rPr>
                <w:color w:val="000000" w:themeColor="text1"/>
              </w:rPr>
              <w:t xml:space="preserve"> Le district est constitué d’un ensemble de structures comme les Centres de Santé (CS), structures les plus différenciées des districts et les Postes de Santé (PS), espèces </w:t>
            </w:r>
            <w:r w:rsidRPr="27B0A8D9">
              <w:rPr>
                <w:color w:val="000000" w:themeColor="text1"/>
              </w:rPr>
              <w:lastRenderedPageBreak/>
              <w:t>d’extension des CS. Ils déploient leurs activités sous la responsabilité directe d’un infirmier général et de l’équipe de district.</w:t>
            </w:r>
          </w:p>
          <w:p w14:paraId="2FE83468" w14:textId="770E2015" w:rsidR="00F353E9" w:rsidRDefault="00F353E9" w:rsidP="004400CA">
            <w:pPr>
              <w:jc w:val="both"/>
              <w:rPr>
                <w:color w:val="000000" w:themeColor="text1"/>
              </w:rPr>
            </w:pPr>
            <w:r w:rsidRPr="00D90AB5">
              <w:rPr>
                <w:color w:val="000000" w:themeColor="text1"/>
              </w:rPr>
              <w:t>Le P</w:t>
            </w:r>
            <w:r w:rsidR="00166170">
              <w:rPr>
                <w:color w:val="000000" w:themeColor="text1"/>
              </w:rPr>
              <w:t xml:space="preserve">rogramme </w:t>
            </w:r>
            <w:r w:rsidRPr="00D90AB5">
              <w:rPr>
                <w:color w:val="000000" w:themeColor="text1"/>
              </w:rPr>
              <w:t>E</w:t>
            </w:r>
            <w:r w:rsidR="00166170">
              <w:rPr>
                <w:color w:val="000000" w:themeColor="text1"/>
              </w:rPr>
              <w:t>larg</w:t>
            </w:r>
            <w:r w:rsidR="00EF6E05">
              <w:rPr>
                <w:color w:val="000000" w:themeColor="text1"/>
              </w:rPr>
              <w:t>i</w:t>
            </w:r>
            <w:r w:rsidR="00166170">
              <w:rPr>
                <w:color w:val="000000" w:themeColor="text1"/>
              </w:rPr>
              <w:t xml:space="preserve"> de </w:t>
            </w:r>
            <w:r w:rsidRPr="00D90AB5">
              <w:rPr>
                <w:color w:val="000000" w:themeColor="text1"/>
              </w:rPr>
              <w:t>V</w:t>
            </w:r>
            <w:r w:rsidR="00166170">
              <w:rPr>
                <w:color w:val="000000" w:themeColor="text1"/>
              </w:rPr>
              <w:t>accination (PEV)</w:t>
            </w:r>
            <w:r w:rsidRPr="00D90AB5">
              <w:rPr>
                <w:color w:val="000000" w:themeColor="text1"/>
              </w:rPr>
              <w:t xml:space="preserve"> fonctionn</w:t>
            </w:r>
            <w:r w:rsidR="00166170">
              <w:rPr>
                <w:color w:val="000000" w:themeColor="text1"/>
              </w:rPr>
              <w:t>e</w:t>
            </w:r>
            <w:r w:rsidRPr="00D90AB5">
              <w:rPr>
                <w:color w:val="000000" w:themeColor="text1"/>
              </w:rPr>
              <w:t xml:space="preserve"> comme un programme vertical</w:t>
            </w:r>
            <w:r w:rsidR="00166170">
              <w:rPr>
                <w:color w:val="000000" w:themeColor="text1"/>
              </w:rPr>
              <w:t xml:space="preserve">, </w:t>
            </w:r>
            <w:r w:rsidRPr="00D90AB5">
              <w:rPr>
                <w:color w:val="000000" w:themeColor="text1"/>
              </w:rPr>
              <w:t>intégré au sein du Programme de Santé de la Reproduction (PSR), sous la tutelle de la Direction des Soins de Santé</w:t>
            </w:r>
            <w:r w:rsidRPr="00AD7A18">
              <w:rPr>
                <w:color w:val="000000" w:themeColor="text1"/>
                <w:lang w:val="fr-BE"/>
              </w:rPr>
              <w:t>.</w:t>
            </w:r>
            <w:r w:rsidR="00166170">
              <w:rPr>
                <w:color w:val="000000" w:themeColor="text1"/>
                <w:lang w:val="fr-BE"/>
              </w:rPr>
              <w:t xml:space="preserve"> </w:t>
            </w:r>
            <w:r w:rsidRPr="00AD7A18">
              <w:rPr>
                <w:color w:val="000000" w:themeColor="text1"/>
                <w:lang w:val="fr-BE"/>
              </w:rPr>
              <w:t>Le PEV est composé par un noyau central coordonné par un responsable et des sous noyaux au niveau des 6 Districts et la RAP, sous la responsabilité des médecins chefs de District</w:t>
            </w:r>
            <w:r w:rsidR="00166170">
              <w:rPr>
                <w:color w:val="000000" w:themeColor="text1"/>
                <w:lang w:val="fr-BE"/>
              </w:rPr>
              <w:t>.</w:t>
            </w:r>
          </w:p>
          <w:p w14:paraId="1C436F57" w14:textId="2CEEEE4C" w:rsidR="00F353E9" w:rsidRDefault="00F353E9">
            <w:pPr>
              <w:shd w:val="clear" w:color="auto" w:fill="FFFFFF"/>
              <w:spacing w:line="240" w:lineRule="auto"/>
              <w:jc w:val="both"/>
              <w:rPr>
                <w:color w:val="000000" w:themeColor="text1"/>
              </w:rPr>
            </w:pPr>
            <w:r w:rsidRPr="00AD7A18">
              <w:rPr>
                <w:color w:val="000000" w:themeColor="text1"/>
              </w:rPr>
              <w:t>Les services de vaccination sont disponibles dans 3</w:t>
            </w:r>
            <w:r w:rsidR="00166170">
              <w:rPr>
                <w:color w:val="000000" w:themeColor="text1"/>
              </w:rPr>
              <w:t>7</w:t>
            </w:r>
            <w:r w:rsidRPr="00D90AB5">
              <w:rPr>
                <w:color w:val="000000" w:themeColor="text1"/>
              </w:rPr>
              <w:t xml:space="preserve"> formations sanitaires sur les 40 dans le pays. Par ailleurs, les unités de vaccination au niveau central et district sont dotées en outils de travail, notamment transport, équipements et outil informatique, technologie de communication</w:t>
            </w:r>
            <w:r w:rsidR="00166170">
              <w:rPr>
                <w:color w:val="000000" w:themeColor="text1"/>
              </w:rPr>
              <w:t xml:space="preserve">. </w:t>
            </w:r>
            <w:r w:rsidR="00166170" w:rsidRPr="00D90AB5">
              <w:rPr>
                <w:color w:val="000000" w:themeColor="text1"/>
              </w:rPr>
              <w:t>Dans les communautés les plus éloignées, les activités sont réalisées avec l’appui des équipes mobiles de vaccination. Les stratégies de vaccination à STP comprennent</w:t>
            </w:r>
            <w:r w:rsidR="005463B3">
              <w:rPr>
                <w:color w:val="000000" w:themeColor="text1"/>
              </w:rPr>
              <w:t xml:space="preserve"> </w:t>
            </w:r>
            <w:r w:rsidR="00166170" w:rsidRPr="00D90AB5">
              <w:rPr>
                <w:color w:val="000000" w:themeColor="text1"/>
              </w:rPr>
              <w:t>: les vaccinations en stratégies fixes dans les postes et centres de santé et les vaccinations en stratégies mobiles par les équipes mobiles, qui</w:t>
            </w:r>
            <w:r w:rsidR="005C05D9">
              <w:rPr>
                <w:color w:val="000000" w:themeColor="text1"/>
              </w:rPr>
              <w:t xml:space="preserve"> parcourent l</w:t>
            </w:r>
            <w:r w:rsidR="00166170" w:rsidRPr="00D90AB5">
              <w:rPr>
                <w:color w:val="000000" w:themeColor="text1"/>
              </w:rPr>
              <w:t>es villages périphériques et difficiles d’accès</w:t>
            </w:r>
            <w:r w:rsidR="00166170">
              <w:rPr>
                <w:color w:val="000000" w:themeColor="text1"/>
              </w:rPr>
              <w:t xml:space="preserve">. </w:t>
            </w:r>
          </w:p>
          <w:p w14:paraId="5086F89C" w14:textId="7F3B59AB" w:rsidR="00166170" w:rsidRPr="00166170" w:rsidRDefault="00166170">
            <w:pPr>
              <w:shd w:val="clear" w:color="auto" w:fill="FFFFFF"/>
              <w:spacing w:line="240" w:lineRule="auto"/>
              <w:jc w:val="both"/>
              <w:rPr>
                <w:color w:val="000000" w:themeColor="text1"/>
              </w:rPr>
            </w:pPr>
            <w:r w:rsidRPr="00D90AB5">
              <w:rPr>
                <w:color w:val="000000" w:themeColor="text1"/>
              </w:rPr>
              <w:t xml:space="preserve">La coordination des interventions au niveau national est assurée par le Comité de Coordination </w:t>
            </w:r>
            <w:r>
              <w:rPr>
                <w:color w:val="000000" w:themeColor="text1"/>
              </w:rPr>
              <w:t>Multise</w:t>
            </w:r>
            <w:r w:rsidR="005463B3">
              <w:rPr>
                <w:color w:val="000000" w:themeColor="text1"/>
              </w:rPr>
              <w:t>c</w:t>
            </w:r>
            <w:r>
              <w:rPr>
                <w:color w:val="000000" w:themeColor="text1"/>
              </w:rPr>
              <w:t>torielle</w:t>
            </w:r>
            <w:r w:rsidRPr="00D90AB5">
              <w:rPr>
                <w:color w:val="000000" w:themeColor="text1"/>
              </w:rPr>
              <w:t xml:space="preserve"> (CC</w:t>
            </w:r>
            <w:r>
              <w:rPr>
                <w:color w:val="000000" w:themeColor="text1"/>
              </w:rPr>
              <w:t>M</w:t>
            </w:r>
            <w:r w:rsidRPr="00D90AB5">
              <w:rPr>
                <w:color w:val="000000" w:themeColor="text1"/>
              </w:rPr>
              <w:t>), présidé par l</w:t>
            </w:r>
            <w:r>
              <w:rPr>
                <w:color w:val="000000" w:themeColor="text1"/>
              </w:rPr>
              <w:t>a</w:t>
            </w:r>
            <w:r w:rsidRPr="00D90AB5">
              <w:rPr>
                <w:color w:val="000000" w:themeColor="text1"/>
              </w:rPr>
              <w:t xml:space="preserve"> Ministre de la Santé et composé de la plupart des partenaires qui appuient</w:t>
            </w:r>
            <w:r w:rsidR="005C05D9">
              <w:rPr>
                <w:color w:val="000000" w:themeColor="text1"/>
              </w:rPr>
              <w:t xml:space="preserve"> entres </w:t>
            </w:r>
            <w:r>
              <w:rPr>
                <w:color w:val="000000" w:themeColor="text1"/>
              </w:rPr>
              <w:t xml:space="preserve">entre, </w:t>
            </w:r>
            <w:r w:rsidRPr="00D90AB5">
              <w:rPr>
                <w:color w:val="000000" w:themeColor="text1"/>
              </w:rPr>
              <w:t xml:space="preserve">le PEV. </w:t>
            </w:r>
            <w:r>
              <w:rPr>
                <w:color w:val="000000" w:themeColor="text1"/>
              </w:rPr>
              <w:t>Le CCM</w:t>
            </w:r>
            <w:r w:rsidRPr="00D90AB5">
              <w:rPr>
                <w:color w:val="000000" w:themeColor="text1"/>
              </w:rPr>
              <w:t xml:space="preserve"> est appuyé par un Comité technique composé de cadres techniques du PEV, de l’UNICEF et de l’OMS qui prépare les dossiers techniques sur les différents aspects (technique, communication, finances et logistique)</w:t>
            </w:r>
            <w:r w:rsidR="00EE6C9B">
              <w:rPr>
                <w:color w:val="000000" w:themeColor="text1"/>
              </w:rPr>
              <w:t>.</w:t>
            </w:r>
          </w:p>
          <w:p w14:paraId="6B387F69" w14:textId="77777777" w:rsidR="001A5DC3" w:rsidRDefault="001A5DC3">
            <w:pPr>
              <w:shd w:val="clear" w:color="auto" w:fill="FFFFFF"/>
              <w:spacing w:line="240" w:lineRule="auto"/>
              <w:jc w:val="both"/>
              <w:rPr>
                <w:color w:val="000000" w:themeColor="text1"/>
              </w:rPr>
            </w:pPr>
          </w:p>
          <w:p w14:paraId="1467B622" w14:textId="76E93238" w:rsidR="005C51D4" w:rsidRDefault="005C51D4">
            <w:pPr>
              <w:shd w:val="clear" w:color="auto" w:fill="FFFFFF"/>
              <w:spacing w:line="240" w:lineRule="auto"/>
              <w:jc w:val="both"/>
              <w:rPr>
                <w:color w:val="000000" w:themeColor="text1"/>
              </w:rPr>
            </w:pPr>
            <w:r w:rsidRPr="00D90AB5">
              <w:rPr>
                <w:color w:val="000000" w:themeColor="text1"/>
              </w:rPr>
              <w:t xml:space="preserve">L'objectif principal du </w:t>
            </w:r>
            <w:r w:rsidR="00EE6C9B">
              <w:rPr>
                <w:color w:val="000000" w:themeColor="text1"/>
              </w:rPr>
              <w:t>PEV</w:t>
            </w:r>
            <w:r w:rsidRPr="00D90AB5">
              <w:rPr>
                <w:color w:val="000000" w:themeColor="text1"/>
              </w:rPr>
              <w:t xml:space="preserve"> est de maintenir les couvertures vaccinales atteintes et améliorer les taux de perte en vue d’une amélioration de la santé et le bien-être de l'enfant. Il intègre l'initiative mondiale d'éradication de la Poliomyélite, les objectifs d'élimination du tétanos maternel et néo-natal (TMN) ainsi que le contrôle/élimination de la rougeole. Aussi un autre objectif serait de faire en sorte que le financement des vaccins traditionnels et consommables soit assuré et garanti par le Gouvernement</w:t>
            </w:r>
            <w:r w:rsidR="00EE6C9B">
              <w:rPr>
                <w:color w:val="000000" w:themeColor="text1"/>
              </w:rPr>
              <w:t>.</w:t>
            </w:r>
          </w:p>
          <w:p w14:paraId="181C01DA" w14:textId="77777777" w:rsidR="001A5DC3" w:rsidRDefault="001A5DC3">
            <w:pPr>
              <w:shd w:val="clear" w:color="auto" w:fill="FFFFFF"/>
              <w:spacing w:line="240" w:lineRule="auto"/>
              <w:jc w:val="both"/>
              <w:rPr>
                <w:color w:val="000000" w:themeColor="text1"/>
              </w:rPr>
            </w:pPr>
          </w:p>
          <w:p w14:paraId="21C755DA" w14:textId="77777777" w:rsidR="002E1BFC" w:rsidRDefault="00EE6C9B">
            <w:pPr>
              <w:shd w:val="clear" w:color="auto" w:fill="FFFFFF"/>
              <w:spacing w:line="240" w:lineRule="auto"/>
              <w:jc w:val="both"/>
              <w:rPr>
                <w:color w:val="000000" w:themeColor="text1"/>
              </w:rPr>
            </w:pPr>
            <w:r w:rsidRPr="00D90AB5">
              <w:rPr>
                <w:color w:val="000000" w:themeColor="text1"/>
              </w:rPr>
              <w:t>Les activités de vaccination sont identifiées comme priorités dans le Plan National de Développement Sanitaire (PNDS)</w:t>
            </w:r>
            <w:r>
              <w:rPr>
                <w:color w:val="000000" w:themeColor="text1"/>
              </w:rPr>
              <w:t>, c</w:t>
            </w:r>
            <w:r w:rsidRPr="00D90AB5">
              <w:rPr>
                <w:color w:val="000000" w:themeColor="text1"/>
              </w:rPr>
              <w:t>ependant, on note un faible engagement de la société civile</w:t>
            </w:r>
            <w:r>
              <w:rPr>
                <w:color w:val="000000" w:themeColor="text1"/>
              </w:rPr>
              <w:t>.</w:t>
            </w:r>
          </w:p>
          <w:p w14:paraId="7F503156" w14:textId="77777777" w:rsidR="001A5DC3" w:rsidRDefault="001A5DC3">
            <w:pPr>
              <w:shd w:val="clear" w:color="auto" w:fill="FFFFFF"/>
              <w:spacing w:line="240" w:lineRule="auto"/>
              <w:jc w:val="both"/>
              <w:rPr>
                <w:color w:val="000000" w:themeColor="text1"/>
              </w:rPr>
            </w:pPr>
          </w:p>
          <w:p w14:paraId="700E10B3" w14:textId="2CC43C75" w:rsidR="002E1BFC" w:rsidRDefault="00657A31">
            <w:pPr>
              <w:shd w:val="clear" w:color="auto" w:fill="FFFFFF"/>
              <w:spacing w:line="240" w:lineRule="auto"/>
              <w:jc w:val="both"/>
              <w:rPr>
                <w:color w:val="000000" w:themeColor="text1"/>
              </w:rPr>
            </w:pPr>
            <w:r>
              <w:rPr>
                <w:color w:val="000000" w:themeColor="text1"/>
              </w:rPr>
              <w:t>Les défis connus auxquels fait face le PEV sont l</w:t>
            </w:r>
            <w:r w:rsidR="002E1BFC">
              <w:rPr>
                <w:color w:val="000000" w:themeColor="text1"/>
              </w:rPr>
              <w:t xml:space="preserve">es </w:t>
            </w:r>
            <w:r>
              <w:rPr>
                <w:color w:val="000000" w:themeColor="text1"/>
              </w:rPr>
              <w:t>suivants</w:t>
            </w:r>
            <w:r w:rsidR="002E1BFC">
              <w:rPr>
                <w:color w:val="000000" w:themeColor="text1"/>
              </w:rPr>
              <w:t xml:space="preserve"> : </w:t>
            </w:r>
          </w:p>
          <w:p w14:paraId="00611151" w14:textId="77777777" w:rsidR="001A5DC3" w:rsidRDefault="001A5DC3">
            <w:pPr>
              <w:shd w:val="clear" w:color="auto" w:fill="FFFFFF"/>
              <w:spacing w:line="240" w:lineRule="auto"/>
              <w:jc w:val="both"/>
              <w:rPr>
                <w:color w:val="000000" w:themeColor="text1"/>
              </w:rPr>
            </w:pPr>
          </w:p>
          <w:p w14:paraId="19030AF3" w14:textId="43107195" w:rsidR="002E1BFC" w:rsidRDefault="002E1BFC">
            <w:pPr>
              <w:shd w:val="clear" w:color="auto" w:fill="FFFFFF"/>
              <w:spacing w:line="240" w:lineRule="auto"/>
              <w:jc w:val="both"/>
              <w:rPr>
                <w:b/>
                <w:bCs/>
                <w:color w:val="000000" w:themeColor="text1"/>
              </w:rPr>
            </w:pPr>
            <w:r>
              <w:rPr>
                <w:b/>
                <w:bCs/>
                <w:color w:val="000000" w:themeColor="text1"/>
              </w:rPr>
              <w:t xml:space="preserve">1/ </w:t>
            </w:r>
            <w:r w:rsidR="00BB31DE">
              <w:rPr>
                <w:b/>
                <w:bCs/>
                <w:color w:val="000000" w:themeColor="text1"/>
              </w:rPr>
              <w:t>Fragilité de l’o</w:t>
            </w:r>
            <w:r w:rsidR="008416F9" w:rsidRPr="008416F9">
              <w:rPr>
                <w:b/>
                <w:bCs/>
                <w:color w:val="000000" w:themeColor="text1"/>
              </w:rPr>
              <w:t xml:space="preserve">ffre, </w:t>
            </w:r>
            <w:r w:rsidR="00BB31DE">
              <w:rPr>
                <w:b/>
                <w:bCs/>
                <w:color w:val="000000" w:themeColor="text1"/>
              </w:rPr>
              <w:t xml:space="preserve">de la </w:t>
            </w:r>
            <w:r w:rsidR="008416F9" w:rsidRPr="008416F9">
              <w:rPr>
                <w:b/>
                <w:bCs/>
                <w:color w:val="000000" w:themeColor="text1"/>
              </w:rPr>
              <w:t xml:space="preserve">demande et </w:t>
            </w:r>
            <w:r w:rsidR="00BB31DE">
              <w:rPr>
                <w:b/>
                <w:bCs/>
                <w:color w:val="000000" w:themeColor="text1"/>
              </w:rPr>
              <w:t>de l’</w:t>
            </w:r>
            <w:r w:rsidR="008416F9" w:rsidRPr="008416F9">
              <w:rPr>
                <w:b/>
                <w:bCs/>
                <w:color w:val="000000" w:themeColor="text1"/>
              </w:rPr>
              <w:t>engagement communautaire</w:t>
            </w:r>
          </w:p>
          <w:p w14:paraId="5A13F612" w14:textId="4DACA876" w:rsidR="00D5762C" w:rsidRDefault="008416F9">
            <w:pPr>
              <w:shd w:val="clear" w:color="auto" w:fill="FFFFFF"/>
              <w:spacing w:after="100" w:afterAutospacing="1" w:line="240" w:lineRule="auto"/>
              <w:jc w:val="both"/>
              <w:rPr>
                <w:color w:val="000000" w:themeColor="text1"/>
              </w:rPr>
            </w:pPr>
            <w:r>
              <w:rPr>
                <w:color w:val="000000" w:themeColor="text1"/>
              </w:rPr>
              <w:t>L</w:t>
            </w:r>
            <w:r w:rsidRPr="008416F9">
              <w:rPr>
                <w:color w:val="000000" w:themeColor="text1"/>
              </w:rPr>
              <w:t xml:space="preserve">es unités de santé </w:t>
            </w:r>
            <w:r>
              <w:rPr>
                <w:color w:val="000000" w:themeColor="text1"/>
              </w:rPr>
              <w:t>sont distribu</w:t>
            </w:r>
            <w:r w:rsidR="002E1BFC">
              <w:rPr>
                <w:color w:val="000000" w:themeColor="text1"/>
              </w:rPr>
              <w:t>é</w:t>
            </w:r>
            <w:r>
              <w:rPr>
                <w:color w:val="000000" w:themeColor="text1"/>
              </w:rPr>
              <w:t xml:space="preserve">es </w:t>
            </w:r>
            <w:r w:rsidRPr="008416F9">
              <w:rPr>
                <w:color w:val="000000" w:themeColor="text1"/>
              </w:rPr>
              <w:t xml:space="preserve">dans tous les districts, </w:t>
            </w:r>
            <w:r>
              <w:rPr>
                <w:color w:val="000000" w:themeColor="text1"/>
              </w:rPr>
              <w:t>a</w:t>
            </w:r>
            <w:r w:rsidRPr="008416F9">
              <w:rPr>
                <w:color w:val="000000" w:themeColor="text1"/>
              </w:rPr>
              <w:t xml:space="preserve"> un accès géographique à moins de 5 km. Malgré cela, il y a eu une diminution de la demande de services de vaccination, due à plusieurs facteurs tels que l'augmentation du prix du transport, certaines routes d'accès difficile et aussi les facteurs socio-économiques de chaque famille.</w:t>
            </w:r>
            <w:r w:rsidR="00C33DB7">
              <w:rPr>
                <w:color w:val="000000" w:themeColor="text1"/>
              </w:rPr>
              <w:t xml:space="preserve"> De plus, l</w:t>
            </w:r>
            <w:r w:rsidR="00C33DB7" w:rsidRPr="008416F9">
              <w:rPr>
                <w:color w:val="000000" w:themeColor="text1"/>
              </w:rPr>
              <w:t>a pandémie</w:t>
            </w:r>
            <w:r w:rsidR="00C33DB7">
              <w:rPr>
                <w:color w:val="000000" w:themeColor="text1"/>
              </w:rPr>
              <w:t xml:space="preserve"> actuelle</w:t>
            </w:r>
            <w:r w:rsidR="00C33DB7" w:rsidRPr="008416F9">
              <w:rPr>
                <w:color w:val="000000" w:themeColor="text1"/>
              </w:rPr>
              <w:t xml:space="preserve"> de </w:t>
            </w:r>
            <w:r w:rsidR="00C33DB7">
              <w:rPr>
                <w:color w:val="000000" w:themeColor="text1"/>
              </w:rPr>
              <w:t xml:space="preserve">la </w:t>
            </w:r>
            <w:r w:rsidR="00C33DB7" w:rsidRPr="008416F9">
              <w:rPr>
                <w:color w:val="000000" w:themeColor="text1"/>
              </w:rPr>
              <w:t>covid-19 a également contribué à la baisse de la demande de services, en raison de l'hésitation de la population</w:t>
            </w:r>
            <w:r w:rsidR="00C33DB7">
              <w:rPr>
                <w:color w:val="000000" w:themeColor="text1"/>
              </w:rPr>
              <w:t xml:space="preserve">, la peur de la </w:t>
            </w:r>
            <w:r w:rsidR="00C33DB7" w:rsidRPr="00EE5993">
              <w:rPr>
                <w:color w:val="000000" w:themeColor="text1"/>
              </w:rPr>
              <w:t>contamin</w:t>
            </w:r>
            <w:r w:rsidR="00C33DB7">
              <w:rPr>
                <w:color w:val="000000" w:themeColor="text1"/>
              </w:rPr>
              <w:t>ation p</w:t>
            </w:r>
            <w:r w:rsidR="00C33DB7" w:rsidRPr="00EE5993">
              <w:rPr>
                <w:color w:val="000000" w:themeColor="text1"/>
              </w:rPr>
              <w:t>ar l</w:t>
            </w:r>
            <w:r w:rsidR="00C33DB7">
              <w:rPr>
                <w:color w:val="000000" w:themeColor="text1"/>
              </w:rPr>
              <w:t>a</w:t>
            </w:r>
            <w:r w:rsidR="00C33DB7" w:rsidRPr="00EE5993">
              <w:rPr>
                <w:color w:val="000000" w:themeColor="text1"/>
              </w:rPr>
              <w:t xml:space="preserve"> Covid-19</w:t>
            </w:r>
            <w:r w:rsidR="00C33DB7">
              <w:rPr>
                <w:color w:val="000000" w:themeColor="text1"/>
              </w:rPr>
              <w:t xml:space="preserve"> dans les établissements de santé ou encore</w:t>
            </w:r>
            <w:r w:rsidR="00C33DB7" w:rsidRPr="008416F9">
              <w:rPr>
                <w:color w:val="000000" w:themeColor="text1"/>
              </w:rPr>
              <w:t xml:space="preserve"> de la mauvaise interprétation des mesures de prévention telles que "rester à la maison". </w:t>
            </w:r>
          </w:p>
          <w:p w14:paraId="7E81C0E4" w14:textId="6C42A777" w:rsidR="008A41BD" w:rsidRDefault="00657A31">
            <w:pPr>
              <w:shd w:val="clear" w:color="auto" w:fill="FFFFFF"/>
              <w:spacing w:after="100" w:afterAutospacing="1" w:line="240" w:lineRule="auto"/>
              <w:jc w:val="both"/>
              <w:rPr>
                <w:color w:val="000000" w:themeColor="text1"/>
              </w:rPr>
            </w:pPr>
            <w:r>
              <w:rPr>
                <w:color w:val="000000" w:themeColor="text1"/>
              </w:rPr>
              <w:t>L</w:t>
            </w:r>
            <w:r w:rsidR="008416F9" w:rsidRPr="008416F9">
              <w:rPr>
                <w:color w:val="000000" w:themeColor="text1"/>
              </w:rPr>
              <w:t xml:space="preserve">es stratégies de mobilisation sociale et d'engagement communautaire </w:t>
            </w:r>
            <w:r w:rsidR="00D5762C">
              <w:rPr>
                <w:color w:val="000000" w:themeColor="text1"/>
              </w:rPr>
              <w:t xml:space="preserve">doivent être renforcées. Elles </w:t>
            </w:r>
            <w:r w:rsidR="008416F9" w:rsidRPr="008416F9">
              <w:rPr>
                <w:color w:val="000000" w:themeColor="text1"/>
              </w:rPr>
              <w:t xml:space="preserve">devraient </w:t>
            </w:r>
            <w:r w:rsidR="00D5762C">
              <w:rPr>
                <w:color w:val="000000" w:themeColor="text1"/>
              </w:rPr>
              <w:t>ê</w:t>
            </w:r>
            <w:r w:rsidR="008416F9">
              <w:rPr>
                <w:color w:val="000000" w:themeColor="text1"/>
              </w:rPr>
              <w:t>tre</w:t>
            </w:r>
            <w:r w:rsidR="00D5762C">
              <w:rPr>
                <w:color w:val="000000" w:themeColor="text1"/>
              </w:rPr>
              <w:t xml:space="preserve"> plus</w:t>
            </w:r>
            <w:r w:rsidR="008416F9" w:rsidRPr="008416F9">
              <w:rPr>
                <w:color w:val="000000" w:themeColor="text1"/>
              </w:rPr>
              <w:t xml:space="preserve"> innov</w:t>
            </w:r>
            <w:r>
              <w:rPr>
                <w:color w:val="000000" w:themeColor="text1"/>
              </w:rPr>
              <w:t xml:space="preserve">antes </w:t>
            </w:r>
            <w:r w:rsidR="008416F9" w:rsidRPr="008416F9">
              <w:rPr>
                <w:color w:val="000000" w:themeColor="text1"/>
              </w:rPr>
              <w:t>et plus « </w:t>
            </w:r>
            <w:r w:rsidR="00D5762C">
              <w:rPr>
                <w:color w:val="000000" w:themeColor="text1"/>
              </w:rPr>
              <w:t>incisives</w:t>
            </w:r>
            <w:r w:rsidR="008416F9" w:rsidRPr="008416F9">
              <w:rPr>
                <w:color w:val="000000" w:themeColor="text1"/>
              </w:rPr>
              <w:t> »</w:t>
            </w:r>
            <w:r>
              <w:rPr>
                <w:color w:val="000000" w:themeColor="text1"/>
              </w:rPr>
              <w:t xml:space="preserve"> </w:t>
            </w:r>
            <w:r w:rsidR="00D5762C">
              <w:rPr>
                <w:color w:val="000000" w:themeColor="text1"/>
              </w:rPr>
              <w:t xml:space="preserve">pour atteindre les populations </w:t>
            </w:r>
            <w:r w:rsidR="000C6EBF">
              <w:rPr>
                <w:color w:val="000000" w:themeColor="text1"/>
              </w:rPr>
              <w:t>récalcitrantes</w:t>
            </w:r>
            <w:r w:rsidR="008416F9">
              <w:rPr>
                <w:color w:val="000000" w:themeColor="text1"/>
              </w:rPr>
              <w:t>.</w:t>
            </w:r>
          </w:p>
          <w:p w14:paraId="252B8DA1" w14:textId="2510BBB5" w:rsidR="005C72BF" w:rsidRPr="00497537" w:rsidRDefault="005C72BF">
            <w:pPr>
              <w:shd w:val="clear" w:color="auto" w:fill="FFFFFF"/>
              <w:spacing w:line="240" w:lineRule="auto"/>
              <w:jc w:val="both"/>
              <w:rPr>
                <w:b/>
                <w:bCs/>
                <w:color w:val="000000" w:themeColor="text1"/>
              </w:rPr>
            </w:pPr>
            <w:r w:rsidRPr="00497537">
              <w:rPr>
                <w:b/>
                <w:bCs/>
                <w:color w:val="000000" w:themeColor="text1"/>
              </w:rPr>
              <w:t xml:space="preserve">2/ Ressources humaines insuffisante </w:t>
            </w:r>
          </w:p>
          <w:p w14:paraId="12E51788" w14:textId="71D6D70A" w:rsidR="005C72BF" w:rsidRDefault="005C72BF">
            <w:pPr>
              <w:shd w:val="clear" w:color="auto" w:fill="FFFFFF"/>
              <w:spacing w:line="240" w:lineRule="auto"/>
              <w:jc w:val="both"/>
              <w:rPr>
                <w:color w:val="000000" w:themeColor="text1"/>
              </w:rPr>
            </w:pPr>
            <w:r>
              <w:rPr>
                <w:color w:val="000000" w:themeColor="text1"/>
              </w:rPr>
              <w:t>L</w:t>
            </w:r>
            <w:r w:rsidRPr="00C777B6">
              <w:rPr>
                <w:color w:val="000000" w:themeColor="text1"/>
              </w:rPr>
              <w:t>e</w:t>
            </w:r>
            <w:r>
              <w:rPr>
                <w:color w:val="000000" w:themeColor="text1"/>
              </w:rPr>
              <w:t xml:space="preserve">s équipes </w:t>
            </w:r>
            <w:r w:rsidRPr="00C777B6">
              <w:rPr>
                <w:color w:val="000000" w:themeColor="text1"/>
              </w:rPr>
              <w:t>de vaccination au niveau d</w:t>
            </w:r>
            <w:r>
              <w:rPr>
                <w:color w:val="000000" w:themeColor="text1"/>
              </w:rPr>
              <w:t>es</w:t>
            </w:r>
            <w:r w:rsidRPr="00C777B6">
              <w:rPr>
                <w:color w:val="000000" w:themeColor="text1"/>
              </w:rPr>
              <w:t xml:space="preserve"> district</w:t>
            </w:r>
            <w:r>
              <w:rPr>
                <w:color w:val="000000" w:themeColor="text1"/>
              </w:rPr>
              <w:t>s</w:t>
            </w:r>
            <w:r w:rsidRPr="00C777B6">
              <w:rPr>
                <w:color w:val="000000" w:themeColor="text1"/>
              </w:rPr>
              <w:t xml:space="preserve"> </w:t>
            </w:r>
            <w:r>
              <w:rPr>
                <w:color w:val="000000" w:themeColor="text1"/>
              </w:rPr>
              <w:t>sont</w:t>
            </w:r>
            <w:r w:rsidRPr="00C777B6">
              <w:rPr>
                <w:color w:val="000000" w:themeColor="text1"/>
              </w:rPr>
              <w:t xml:space="preserve"> les mêmes qui </w:t>
            </w:r>
            <w:r>
              <w:rPr>
                <w:color w:val="000000" w:themeColor="text1"/>
              </w:rPr>
              <w:t xml:space="preserve">s’occupent </w:t>
            </w:r>
            <w:r w:rsidRPr="00C777B6">
              <w:rPr>
                <w:color w:val="000000" w:themeColor="text1"/>
              </w:rPr>
              <w:t xml:space="preserve">des </w:t>
            </w:r>
            <w:r w:rsidRPr="00C777B6">
              <w:rPr>
                <w:color w:val="000000" w:themeColor="text1"/>
              </w:rPr>
              <w:lastRenderedPageBreak/>
              <w:t>autres programmes</w:t>
            </w:r>
            <w:r>
              <w:rPr>
                <w:color w:val="000000" w:themeColor="text1"/>
              </w:rPr>
              <w:t xml:space="preserve"> (paludisme, TB, VIH/SIDA</w:t>
            </w:r>
            <w:r w:rsidRPr="00C777B6">
              <w:rPr>
                <w:color w:val="000000" w:themeColor="text1"/>
              </w:rPr>
              <w:t xml:space="preserve">, </w:t>
            </w:r>
            <w:r>
              <w:rPr>
                <w:color w:val="000000" w:themeColor="text1"/>
              </w:rPr>
              <w:t>etc.). L</w:t>
            </w:r>
            <w:r w:rsidRPr="008416F9">
              <w:rPr>
                <w:color w:val="000000" w:themeColor="text1"/>
              </w:rPr>
              <w:t>a fatigue des équipes</w:t>
            </w:r>
            <w:r>
              <w:rPr>
                <w:color w:val="000000" w:themeColor="text1"/>
              </w:rPr>
              <w:t xml:space="preserve"> de vaccination qui travaillent sans relâche depuis l’introduction des vaccins anti-COVID-19, </w:t>
            </w:r>
            <w:r w:rsidRPr="00C777B6">
              <w:rPr>
                <w:color w:val="000000" w:themeColor="text1"/>
              </w:rPr>
              <w:t xml:space="preserve">affecte </w:t>
            </w:r>
            <w:r>
              <w:rPr>
                <w:color w:val="000000" w:themeColor="text1"/>
              </w:rPr>
              <w:t xml:space="preserve">la </w:t>
            </w:r>
            <w:r w:rsidRPr="00C777B6">
              <w:rPr>
                <w:color w:val="000000" w:themeColor="text1"/>
              </w:rPr>
              <w:t xml:space="preserve">performance </w:t>
            </w:r>
            <w:r>
              <w:rPr>
                <w:color w:val="000000" w:themeColor="text1"/>
              </w:rPr>
              <w:t>de la vaccination.</w:t>
            </w:r>
            <w:r w:rsidR="00004180">
              <w:rPr>
                <w:color w:val="000000" w:themeColor="text1"/>
              </w:rPr>
              <w:t xml:space="preserve"> </w:t>
            </w:r>
          </w:p>
          <w:p w14:paraId="5101CC88" w14:textId="15139409" w:rsidR="005C72BF" w:rsidRDefault="00702732">
            <w:pPr>
              <w:shd w:val="clear" w:color="auto" w:fill="FFFFFF"/>
              <w:spacing w:line="240" w:lineRule="auto"/>
              <w:jc w:val="both"/>
              <w:rPr>
                <w:color w:val="000000" w:themeColor="text1"/>
              </w:rPr>
            </w:pPr>
            <w:r>
              <w:rPr>
                <w:color w:val="000000" w:themeColor="text1"/>
              </w:rPr>
              <w:t xml:space="preserve">L’insuffisance en </w:t>
            </w:r>
            <w:r w:rsidRPr="00EE6C9B">
              <w:rPr>
                <w:color w:val="000000" w:themeColor="text1"/>
              </w:rPr>
              <w:t>ressources humaines</w:t>
            </w:r>
            <w:r w:rsidR="007F6116">
              <w:rPr>
                <w:color w:val="000000" w:themeColor="text1"/>
              </w:rPr>
              <w:t xml:space="preserve"> se fait sentir dans les autres domaines de la vaccination (coordination, gestion logistique des vaccins</w:t>
            </w:r>
            <w:r>
              <w:rPr>
                <w:color w:val="000000" w:themeColor="text1"/>
              </w:rPr>
              <w:t>,</w:t>
            </w:r>
            <w:r w:rsidR="007F6116">
              <w:rPr>
                <w:color w:val="000000" w:themeColor="text1"/>
              </w:rPr>
              <w:t xml:space="preserve"> gestions des donnés, supervision, etc.)</w:t>
            </w:r>
          </w:p>
          <w:p w14:paraId="36B451FA" w14:textId="77777777" w:rsidR="00702732" w:rsidRDefault="00702732">
            <w:pPr>
              <w:shd w:val="clear" w:color="auto" w:fill="FFFFFF"/>
              <w:spacing w:line="240" w:lineRule="auto"/>
              <w:jc w:val="both"/>
              <w:rPr>
                <w:color w:val="000000" w:themeColor="text1"/>
              </w:rPr>
            </w:pPr>
          </w:p>
          <w:p w14:paraId="0BCA5672" w14:textId="6F16C086" w:rsidR="00D5762C" w:rsidRDefault="00004180">
            <w:pPr>
              <w:shd w:val="clear" w:color="auto" w:fill="FFFFFF"/>
              <w:spacing w:line="240" w:lineRule="auto"/>
              <w:jc w:val="both"/>
              <w:rPr>
                <w:color w:val="000000" w:themeColor="text1"/>
              </w:rPr>
            </w:pPr>
            <w:r>
              <w:rPr>
                <w:b/>
                <w:bCs/>
                <w:color w:val="000000" w:themeColor="text1"/>
              </w:rPr>
              <w:t>3</w:t>
            </w:r>
            <w:r w:rsidR="00D5762C" w:rsidRPr="00497537">
              <w:rPr>
                <w:b/>
                <w:bCs/>
                <w:color w:val="000000" w:themeColor="text1"/>
              </w:rPr>
              <w:t>/</w:t>
            </w:r>
            <w:r w:rsidR="00BB31DE">
              <w:rPr>
                <w:b/>
                <w:bCs/>
                <w:color w:val="000000" w:themeColor="text1"/>
              </w:rPr>
              <w:t xml:space="preserve"> </w:t>
            </w:r>
            <w:r w:rsidR="00A2343F">
              <w:rPr>
                <w:b/>
                <w:bCs/>
                <w:color w:val="000000" w:themeColor="text1"/>
              </w:rPr>
              <w:t>S</w:t>
            </w:r>
            <w:r w:rsidR="00BB31DE">
              <w:rPr>
                <w:b/>
                <w:bCs/>
                <w:color w:val="000000" w:themeColor="text1"/>
              </w:rPr>
              <w:t>upervision</w:t>
            </w:r>
            <w:r w:rsidR="00A2343F">
              <w:rPr>
                <w:b/>
                <w:bCs/>
                <w:color w:val="000000" w:themeColor="text1"/>
              </w:rPr>
              <w:t xml:space="preserve"> des activités de vaccination insuffisante </w:t>
            </w:r>
            <w:r w:rsidR="00BB31DE">
              <w:rPr>
                <w:b/>
                <w:bCs/>
                <w:color w:val="000000" w:themeColor="text1"/>
              </w:rPr>
              <w:t xml:space="preserve"> </w:t>
            </w:r>
            <w:r w:rsidR="00EE6C9B" w:rsidRPr="00D86AF9">
              <w:rPr>
                <w:color w:val="000000" w:themeColor="text1"/>
              </w:rPr>
              <w:t xml:space="preserve"> </w:t>
            </w:r>
          </w:p>
          <w:p w14:paraId="501950D6" w14:textId="0E360D9E" w:rsidR="00AC44B0" w:rsidRDefault="00010E63">
            <w:pPr>
              <w:shd w:val="clear" w:color="auto" w:fill="FFFFFF"/>
              <w:spacing w:line="240" w:lineRule="auto"/>
              <w:jc w:val="both"/>
              <w:rPr>
                <w:color w:val="000000" w:themeColor="text1"/>
              </w:rPr>
            </w:pPr>
            <w:r w:rsidRPr="00497537">
              <w:rPr>
                <w:color w:val="000000" w:themeColor="text1"/>
              </w:rPr>
              <w:t>La supervision des agents, le suivi et l</w:t>
            </w:r>
            <w:r>
              <w:rPr>
                <w:color w:val="000000" w:themeColor="text1"/>
              </w:rPr>
              <w:t>’</w:t>
            </w:r>
            <w:r w:rsidRPr="00497537">
              <w:rPr>
                <w:color w:val="000000" w:themeColor="text1"/>
              </w:rPr>
              <w:t>évaluation du programme permettent de s</w:t>
            </w:r>
            <w:r>
              <w:rPr>
                <w:color w:val="000000" w:themeColor="text1"/>
              </w:rPr>
              <w:t>’</w:t>
            </w:r>
            <w:r w:rsidRPr="00497537">
              <w:rPr>
                <w:color w:val="000000" w:themeColor="text1"/>
              </w:rPr>
              <w:t>assurer que les activités menées dans la zone concourent à l'atteinte des objectifs dans le respect des bonnes pratiques.</w:t>
            </w:r>
            <w:r>
              <w:rPr>
                <w:color w:val="000000" w:themeColor="text1"/>
              </w:rPr>
              <w:t xml:space="preserve"> </w:t>
            </w:r>
          </w:p>
          <w:p w14:paraId="07116545" w14:textId="0DA82885" w:rsidR="00A2343F" w:rsidRDefault="00010E63">
            <w:pPr>
              <w:shd w:val="clear" w:color="auto" w:fill="FFFFFF"/>
              <w:spacing w:line="240" w:lineRule="auto"/>
              <w:jc w:val="both"/>
              <w:rPr>
                <w:color w:val="000000" w:themeColor="text1"/>
              </w:rPr>
            </w:pPr>
            <w:r w:rsidRPr="00497537">
              <w:rPr>
                <w:color w:val="000000" w:themeColor="text1"/>
              </w:rPr>
              <w:t>Au niveau périphérique</w:t>
            </w:r>
            <w:r w:rsidR="003E7E25">
              <w:rPr>
                <w:color w:val="000000" w:themeColor="text1"/>
              </w:rPr>
              <w:t xml:space="preserve"> </w:t>
            </w:r>
            <w:r w:rsidR="00702732">
              <w:rPr>
                <w:color w:val="000000" w:themeColor="text1"/>
              </w:rPr>
              <w:t xml:space="preserve">les infirmiers ont </w:t>
            </w:r>
            <w:r w:rsidRPr="00497537">
              <w:rPr>
                <w:color w:val="000000" w:themeColor="text1"/>
              </w:rPr>
              <w:t>la responsabilité des services de vaccination</w:t>
            </w:r>
            <w:r w:rsidR="003E7E25">
              <w:rPr>
                <w:color w:val="000000" w:themeColor="text1"/>
              </w:rPr>
              <w:t xml:space="preserve"> mais il est </w:t>
            </w:r>
            <w:r w:rsidR="003E7E25" w:rsidRPr="00497537">
              <w:rPr>
                <w:color w:val="000000" w:themeColor="text1"/>
              </w:rPr>
              <w:t>indispensable de s’assurer que les tâches sont effectuées selon les plans établis et dans le respect des bonnes pratiq</w:t>
            </w:r>
            <w:r w:rsidR="003E7E25" w:rsidRPr="00702732">
              <w:rPr>
                <w:color w:val="000000" w:themeColor="text1"/>
              </w:rPr>
              <w:t>ues.</w:t>
            </w:r>
            <w:r w:rsidR="00702732">
              <w:rPr>
                <w:color w:val="000000" w:themeColor="text1"/>
              </w:rPr>
              <w:t xml:space="preserve"> L</w:t>
            </w:r>
            <w:r w:rsidR="007B1756">
              <w:rPr>
                <w:color w:val="000000" w:themeColor="text1"/>
              </w:rPr>
              <w:t>’absence d’un</w:t>
            </w:r>
            <w:r w:rsidR="007B1756" w:rsidRPr="00702732">
              <w:rPr>
                <w:color w:val="000000" w:themeColor="text1"/>
              </w:rPr>
              <w:t xml:space="preserve"> plan d</w:t>
            </w:r>
            <w:r w:rsidR="007F6116">
              <w:rPr>
                <w:color w:val="000000" w:themeColor="text1"/>
              </w:rPr>
              <w:t>’</w:t>
            </w:r>
            <w:r w:rsidR="007B1756" w:rsidRPr="00702732">
              <w:rPr>
                <w:color w:val="000000" w:themeColor="text1"/>
              </w:rPr>
              <w:t>actio</w:t>
            </w:r>
            <w:r w:rsidR="007F6116">
              <w:rPr>
                <w:color w:val="000000" w:themeColor="text1"/>
              </w:rPr>
              <w:t xml:space="preserve">n claire et </w:t>
            </w:r>
            <w:r w:rsidR="007B1756">
              <w:rPr>
                <w:color w:val="000000" w:themeColor="text1"/>
              </w:rPr>
              <w:t>d</w:t>
            </w:r>
            <w:r w:rsidR="007B1756" w:rsidRPr="00702732">
              <w:rPr>
                <w:color w:val="000000" w:themeColor="text1"/>
              </w:rPr>
              <w:t>e documents normatifs élaborés par le ministère de la santé</w:t>
            </w:r>
            <w:r w:rsidR="00EE6C9B" w:rsidRPr="00EE6C9B">
              <w:rPr>
                <w:color w:val="000000" w:themeColor="text1"/>
              </w:rPr>
              <w:t xml:space="preserve"> rend difficile</w:t>
            </w:r>
            <w:r w:rsidR="00A2343F">
              <w:rPr>
                <w:color w:val="000000" w:themeColor="text1"/>
              </w:rPr>
              <w:t xml:space="preserve"> la supervision. </w:t>
            </w:r>
          </w:p>
          <w:p w14:paraId="6ECA08B5" w14:textId="77777777" w:rsidR="00A2343F" w:rsidRDefault="00A2343F">
            <w:pPr>
              <w:shd w:val="clear" w:color="auto" w:fill="FFFFFF"/>
              <w:spacing w:line="240" w:lineRule="auto"/>
              <w:jc w:val="both"/>
              <w:rPr>
                <w:color w:val="000000" w:themeColor="text1"/>
              </w:rPr>
            </w:pPr>
          </w:p>
          <w:p w14:paraId="2092DB1F" w14:textId="70ED8C9C" w:rsidR="007B1756" w:rsidRDefault="007B1756">
            <w:pPr>
              <w:shd w:val="clear" w:color="auto" w:fill="FFFFFF"/>
              <w:spacing w:line="240" w:lineRule="auto"/>
              <w:jc w:val="both"/>
              <w:rPr>
                <w:color w:val="000000" w:themeColor="text1"/>
              </w:rPr>
            </w:pPr>
          </w:p>
          <w:p w14:paraId="28DD0809" w14:textId="204F68DC" w:rsidR="007B1756" w:rsidRDefault="00004180">
            <w:pPr>
              <w:shd w:val="clear" w:color="auto" w:fill="FFFFFF"/>
              <w:spacing w:line="240" w:lineRule="auto"/>
              <w:jc w:val="both"/>
              <w:rPr>
                <w:color w:val="000000" w:themeColor="text1"/>
              </w:rPr>
            </w:pPr>
            <w:r>
              <w:rPr>
                <w:b/>
                <w:bCs/>
                <w:color w:val="000000" w:themeColor="text1"/>
              </w:rPr>
              <w:t>4</w:t>
            </w:r>
            <w:r w:rsidR="007B1756" w:rsidRPr="00E95295">
              <w:rPr>
                <w:b/>
                <w:bCs/>
                <w:color w:val="000000" w:themeColor="text1"/>
              </w:rPr>
              <w:t>/</w:t>
            </w:r>
            <w:r w:rsidR="007B1756">
              <w:rPr>
                <w:b/>
                <w:bCs/>
                <w:color w:val="000000" w:themeColor="text1"/>
              </w:rPr>
              <w:t xml:space="preserve"> Faiblesse dans les activités de suivi et d’évaluation liées à la vaccination </w:t>
            </w:r>
            <w:r w:rsidR="007B1756" w:rsidRPr="00D86AF9">
              <w:rPr>
                <w:color w:val="000000" w:themeColor="text1"/>
              </w:rPr>
              <w:t xml:space="preserve"> </w:t>
            </w:r>
          </w:p>
          <w:p w14:paraId="12C15317" w14:textId="4AA4C94D" w:rsidR="00A2343F" w:rsidRDefault="00A2343F">
            <w:pPr>
              <w:shd w:val="clear" w:color="auto" w:fill="FFFFFF"/>
              <w:spacing w:line="240" w:lineRule="auto"/>
              <w:jc w:val="both"/>
              <w:rPr>
                <w:color w:val="000000" w:themeColor="text1"/>
              </w:rPr>
            </w:pPr>
            <w:r>
              <w:rPr>
                <w:color w:val="000000" w:themeColor="text1"/>
              </w:rPr>
              <w:t xml:space="preserve">Le suivi </w:t>
            </w:r>
            <w:r w:rsidRPr="00D86AF9">
              <w:rPr>
                <w:color w:val="000000" w:themeColor="text1"/>
              </w:rPr>
              <w:t>permet</w:t>
            </w:r>
            <w:r>
              <w:rPr>
                <w:color w:val="000000" w:themeColor="text1"/>
              </w:rPr>
              <w:t xml:space="preserve"> </w:t>
            </w:r>
            <w:r w:rsidRPr="00D86AF9">
              <w:rPr>
                <w:color w:val="000000" w:themeColor="text1"/>
              </w:rPr>
              <w:t>d'assurer la collecte mensuelle d'une série d'indicateurs dans 100% des districts</w:t>
            </w:r>
            <w:r>
              <w:rPr>
                <w:color w:val="000000" w:themeColor="text1"/>
              </w:rPr>
              <w:t>.</w:t>
            </w:r>
            <w:r w:rsidRPr="00EE6C9B">
              <w:rPr>
                <w:color w:val="000000" w:themeColor="text1"/>
              </w:rPr>
              <w:t xml:space="preserve"> </w:t>
            </w:r>
          </w:p>
          <w:p w14:paraId="7EFFE9DC" w14:textId="374299E5" w:rsidR="00036180" w:rsidRDefault="00C777B6">
            <w:pPr>
              <w:shd w:val="clear" w:color="auto" w:fill="FFFFFF"/>
              <w:spacing w:line="240" w:lineRule="auto"/>
              <w:jc w:val="both"/>
              <w:rPr>
                <w:color w:val="000000" w:themeColor="text1"/>
              </w:rPr>
            </w:pPr>
            <w:r>
              <w:rPr>
                <w:color w:val="000000" w:themeColor="text1"/>
              </w:rPr>
              <w:t xml:space="preserve">Concernant </w:t>
            </w:r>
            <w:r w:rsidRPr="00497537">
              <w:rPr>
                <w:b/>
                <w:bCs/>
                <w:color w:val="000000" w:themeColor="text1"/>
              </w:rPr>
              <w:t xml:space="preserve">la </w:t>
            </w:r>
            <w:r w:rsidRPr="00A2343F">
              <w:rPr>
                <w:b/>
                <w:bCs/>
                <w:color w:val="000000" w:themeColor="text1"/>
              </w:rPr>
              <w:t>gestion des données</w:t>
            </w:r>
            <w:r w:rsidRPr="00C777B6">
              <w:rPr>
                <w:color w:val="000000" w:themeColor="text1"/>
              </w:rPr>
              <w:t xml:space="preserve"> </w:t>
            </w:r>
            <w:r w:rsidR="002944A2">
              <w:rPr>
                <w:color w:val="000000" w:themeColor="text1"/>
              </w:rPr>
              <w:t xml:space="preserve">grâce à l’introduction de la </w:t>
            </w:r>
            <w:r w:rsidR="000C6EBF">
              <w:rPr>
                <w:color w:val="000000" w:themeColor="text1"/>
              </w:rPr>
              <w:t>vaccination</w:t>
            </w:r>
            <w:r w:rsidR="002944A2">
              <w:rPr>
                <w:color w:val="000000" w:themeColor="text1"/>
              </w:rPr>
              <w:t xml:space="preserve"> contr</w:t>
            </w:r>
            <w:r w:rsidR="00036180">
              <w:rPr>
                <w:color w:val="000000" w:themeColor="text1"/>
              </w:rPr>
              <w:t>e</w:t>
            </w:r>
            <w:r w:rsidR="002944A2">
              <w:rPr>
                <w:color w:val="000000" w:themeColor="text1"/>
              </w:rPr>
              <w:t xml:space="preserve"> la COVID-19, le Pays </w:t>
            </w:r>
            <w:r w:rsidR="007F6116">
              <w:rPr>
                <w:color w:val="000000" w:themeColor="text1"/>
              </w:rPr>
              <w:t>a</w:t>
            </w:r>
            <w:r w:rsidR="002944A2">
              <w:rPr>
                <w:color w:val="000000" w:themeColor="text1"/>
              </w:rPr>
              <w:t xml:space="preserve"> renforcé ses capacité</w:t>
            </w:r>
            <w:r w:rsidR="009B7EB2">
              <w:rPr>
                <w:color w:val="000000" w:themeColor="text1"/>
              </w:rPr>
              <w:t xml:space="preserve">s de </w:t>
            </w:r>
            <w:r w:rsidR="002944A2">
              <w:rPr>
                <w:color w:val="000000" w:themeColor="text1"/>
              </w:rPr>
              <w:t xml:space="preserve">gestion </w:t>
            </w:r>
            <w:r w:rsidR="00036180">
              <w:rPr>
                <w:color w:val="000000" w:themeColor="text1"/>
              </w:rPr>
              <w:t xml:space="preserve">des données notamment à travers </w:t>
            </w:r>
            <w:r w:rsidR="002944A2">
              <w:rPr>
                <w:color w:val="000000" w:themeColor="text1"/>
              </w:rPr>
              <w:t>l’utilisation du DHIS2</w:t>
            </w:r>
            <w:r w:rsidR="009B7EB2">
              <w:rPr>
                <w:color w:val="000000" w:themeColor="text1"/>
              </w:rPr>
              <w:t xml:space="preserve">. </w:t>
            </w:r>
            <w:r w:rsidR="00036180">
              <w:rPr>
                <w:color w:val="000000" w:themeColor="text1"/>
              </w:rPr>
              <w:t xml:space="preserve">Cependant ces efforts doivent être poursuivis afin </w:t>
            </w:r>
            <w:r w:rsidR="009B7EB2">
              <w:rPr>
                <w:color w:val="000000" w:themeColor="text1"/>
              </w:rPr>
              <w:t xml:space="preserve">de disposer des données de vaccination en temps réel mais aussi </w:t>
            </w:r>
            <w:r w:rsidR="00036180">
              <w:rPr>
                <w:color w:val="000000" w:themeColor="text1"/>
              </w:rPr>
              <w:t>d’accroître l’appropriation du DHIS2 par les tec</w:t>
            </w:r>
            <w:r w:rsidR="009B7EB2">
              <w:rPr>
                <w:color w:val="000000" w:themeColor="text1"/>
              </w:rPr>
              <w:t>h</w:t>
            </w:r>
            <w:r w:rsidR="00036180">
              <w:rPr>
                <w:color w:val="000000" w:themeColor="text1"/>
              </w:rPr>
              <w:t>nicien</w:t>
            </w:r>
            <w:r w:rsidR="009B7EB2">
              <w:rPr>
                <w:color w:val="000000" w:themeColor="text1"/>
              </w:rPr>
              <w:t>s</w:t>
            </w:r>
            <w:r w:rsidR="00036180">
              <w:rPr>
                <w:color w:val="000000" w:themeColor="text1"/>
              </w:rPr>
              <w:t xml:space="preserve"> du </w:t>
            </w:r>
            <w:r w:rsidR="00BB31DE">
              <w:rPr>
                <w:color w:val="000000" w:themeColor="text1"/>
              </w:rPr>
              <w:t>PEV</w:t>
            </w:r>
            <w:r w:rsidR="00036180">
              <w:rPr>
                <w:color w:val="000000" w:themeColor="text1"/>
              </w:rPr>
              <w:t xml:space="preserve"> et du programme de surveillance </w:t>
            </w:r>
            <w:r w:rsidR="000C6EBF">
              <w:rPr>
                <w:color w:val="000000" w:themeColor="text1"/>
              </w:rPr>
              <w:t>épidémiologique</w:t>
            </w:r>
            <w:r w:rsidR="00036180">
              <w:rPr>
                <w:color w:val="000000" w:themeColor="text1"/>
              </w:rPr>
              <w:t xml:space="preserve">. Cela passe par des formations régulières </w:t>
            </w:r>
            <w:r w:rsidR="000C6EBF">
              <w:rPr>
                <w:color w:val="000000" w:themeColor="text1"/>
              </w:rPr>
              <w:t>entre autres</w:t>
            </w:r>
            <w:r w:rsidR="00036180">
              <w:rPr>
                <w:color w:val="000000" w:themeColor="text1"/>
              </w:rPr>
              <w:t>, et la mise à jour régulière des modules du DHIS2 afin qu’il puisse toujours répondre aux besoins du programme.</w:t>
            </w:r>
          </w:p>
          <w:p w14:paraId="2F4B0AE2" w14:textId="24CD6E20" w:rsidR="00A7687D" w:rsidRDefault="00AA72C2">
            <w:pPr>
              <w:shd w:val="clear" w:color="auto" w:fill="FFFFFF"/>
              <w:spacing w:line="240" w:lineRule="auto"/>
              <w:jc w:val="both"/>
              <w:rPr>
                <w:color w:val="000000" w:themeColor="text1"/>
              </w:rPr>
            </w:pPr>
            <w:r>
              <w:rPr>
                <w:color w:val="000000" w:themeColor="text1"/>
              </w:rPr>
              <w:t xml:space="preserve">L’élaboration régulière de bulletins de vaccination permettrait d’avoir une plus grande visibilité des zones et groupes prioritaires, des obstacles rencontrés et aiderait à la prise de décision. </w:t>
            </w:r>
          </w:p>
          <w:p w14:paraId="2E6E26B7" w14:textId="02392C4E" w:rsidR="0050784F" w:rsidRDefault="00A7687D">
            <w:pPr>
              <w:shd w:val="clear" w:color="auto" w:fill="FFFFFF"/>
              <w:spacing w:line="240" w:lineRule="auto"/>
              <w:jc w:val="both"/>
              <w:rPr>
                <w:color w:val="000000" w:themeColor="text1"/>
              </w:rPr>
            </w:pPr>
            <w:r>
              <w:rPr>
                <w:color w:val="000000" w:themeColor="text1"/>
              </w:rPr>
              <w:t>La présentation des données mensuelles compl</w:t>
            </w:r>
            <w:r w:rsidR="000C6EBF">
              <w:rPr>
                <w:color w:val="000000" w:themeColor="text1"/>
              </w:rPr>
              <w:t>è</w:t>
            </w:r>
            <w:r>
              <w:rPr>
                <w:color w:val="000000" w:themeColor="text1"/>
              </w:rPr>
              <w:t xml:space="preserve">tes, </w:t>
            </w:r>
            <w:r w:rsidRPr="007F6116">
              <w:rPr>
                <w:color w:val="000000" w:themeColor="text1"/>
              </w:rPr>
              <w:t>permettraient d'identifier les problèmes prioritaires</w:t>
            </w:r>
            <w:r w:rsidR="0050784F" w:rsidRPr="007F6116">
              <w:rPr>
                <w:color w:val="000000" w:themeColor="text1"/>
              </w:rPr>
              <w:t xml:space="preserve">. </w:t>
            </w:r>
          </w:p>
          <w:p w14:paraId="10EC1EDC" w14:textId="008E9262" w:rsidR="00A95621" w:rsidRDefault="00A95621">
            <w:pPr>
              <w:shd w:val="clear" w:color="auto" w:fill="FFFFFF"/>
              <w:spacing w:line="240" w:lineRule="auto"/>
              <w:jc w:val="both"/>
              <w:rPr>
                <w:color w:val="000000" w:themeColor="text1"/>
              </w:rPr>
            </w:pPr>
            <w:r w:rsidRPr="00082C7D">
              <w:rPr>
                <w:color w:val="000000" w:themeColor="text1"/>
              </w:rPr>
              <w:t>Le PEV dispose d'un gestionnaire de données, non formé et dont le besoin du renforcement de capacité permettrait également d’am</w:t>
            </w:r>
            <w:r w:rsidR="000C6EBF" w:rsidRPr="00082C7D">
              <w:rPr>
                <w:color w:val="000000" w:themeColor="text1"/>
              </w:rPr>
              <w:t>é</w:t>
            </w:r>
            <w:r w:rsidRPr="00082C7D">
              <w:rPr>
                <w:color w:val="000000" w:themeColor="text1"/>
              </w:rPr>
              <w:t xml:space="preserve">liorer la saisie des données, </w:t>
            </w:r>
            <w:r w:rsidR="00574B8E" w:rsidRPr="00082C7D">
              <w:rPr>
                <w:color w:val="000000" w:themeColor="text1"/>
              </w:rPr>
              <w:t xml:space="preserve">le reportage, </w:t>
            </w:r>
            <w:r w:rsidRPr="00082C7D">
              <w:rPr>
                <w:color w:val="000000" w:themeColor="text1"/>
              </w:rPr>
              <w:t>leur analyse ainsi que leur pr</w:t>
            </w:r>
            <w:r w:rsidR="000C6EBF" w:rsidRPr="00082C7D">
              <w:rPr>
                <w:color w:val="000000" w:themeColor="text1"/>
              </w:rPr>
              <w:t>é</w:t>
            </w:r>
            <w:r w:rsidRPr="00082C7D">
              <w:rPr>
                <w:color w:val="000000" w:themeColor="text1"/>
              </w:rPr>
              <w:t>sentation régulière.</w:t>
            </w:r>
          </w:p>
          <w:p w14:paraId="64BF2AE3" w14:textId="77777777" w:rsidR="00A95621" w:rsidRPr="00497537" w:rsidRDefault="00A95621">
            <w:pPr>
              <w:shd w:val="clear" w:color="auto" w:fill="FFFFFF"/>
              <w:spacing w:line="240" w:lineRule="auto"/>
              <w:jc w:val="both"/>
              <w:rPr>
                <w:color w:val="000000" w:themeColor="text1"/>
              </w:rPr>
            </w:pPr>
          </w:p>
          <w:p w14:paraId="742F8725" w14:textId="11557E11" w:rsidR="009D613E" w:rsidRPr="00574B8E" w:rsidRDefault="00345D80">
            <w:pPr>
              <w:shd w:val="clear" w:color="auto" w:fill="FFFFFF"/>
              <w:spacing w:line="240" w:lineRule="auto"/>
              <w:jc w:val="both"/>
              <w:rPr>
                <w:color w:val="000000" w:themeColor="text1"/>
              </w:rPr>
            </w:pPr>
            <w:r w:rsidRPr="00497537">
              <w:rPr>
                <w:color w:val="000000" w:themeColor="text1"/>
              </w:rPr>
              <w:t>L</w:t>
            </w:r>
            <w:r w:rsidRPr="00574B8E">
              <w:rPr>
                <w:color w:val="000000" w:themeColor="text1"/>
              </w:rPr>
              <w:t xml:space="preserve">a mise en place d’une </w:t>
            </w:r>
            <w:r w:rsidRPr="00574B8E">
              <w:rPr>
                <w:b/>
                <w:bCs/>
                <w:color w:val="000000" w:themeColor="text1"/>
              </w:rPr>
              <w:t>évaluation régulières des activités de vaccination</w:t>
            </w:r>
            <w:r w:rsidRPr="00574B8E">
              <w:rPr>
                <w:color w:val="000000" w:themeColor="text1"/>
              </w:rPr>
              <w:t xml:space="preserve"> (enquêtes, </w:t>
            </w:r>
            <w:r w:rsidR="009D613E" w:rsidRPr="00574B8E">
              <w:rPr>
                <w:color w:val="000000" w:themeColor="text1"/>
              </w:rPr>
              <w:t xml:space="preserve">analyse de </w:t>
            </w:r>
            <w:r w:rsidRPr="00574B8E">
              <w:rPr>
                <w:color w:val="000000" w:themeColor="text1"/>
              </w:rPr>
              <w:t>documents, entretien</w:t>
            </w:r>
            <w:r w:rsidR="009D613E" w:rsidRPr="00574B8E">
              <w:rPr>
                <w:color w:val="000000" w:themeColor="text1"/>
              </w:rPr>
              <w:t>s</w:t>
            </w:r>
            <w:r w:rsidRPr="00574B8E">
              <w:rPr>
                <w:color w:val="000000" w:themeColor="text1"/>
              </w:rPr>
              <w:t xml:space="preserve"> avec les </w:t>
            </w:r>
            <w:r w:rsidR="009D613E" w:rsidRPr="00574B8E">
              <w:rPr>
                <w:color w:val="000000" w:themeColor="text1"/>
              </w:rPr>
              <w:t xml:space="preserve">prestataires de service, </w:t>
            </w:r>
            <w:r w:rsidRPr="00574B8E">
              <w:rPr>
                <w:color w:val="000000" w:themeColor="text1"/>
              </w:rPr>
              <w:t>la population et les partenaires</w:t>
            </w:r>
            <w:r w:rsidR="009D613E" w:rsidRPr="00574B8E">
              <w:rPr>
                <w:color w:val="000000" w:themeColor="text1"/>
              </w:rPr>
              <w:t>, etc.)</w:t>
            </w:r>
            <w:r w:rsidRPr="00574B8E">
              <w:rPr>
                <w:color w:val="000000" w:themeColor="text1"/>
              </w:rPr>
              <w:t> permet de mesurer les performances du PEV mais aussi le processus de mise en œuvre. A l’heure actuelle, le pays n’a pas d</w:t>
            </w:r>
            <w:r w:rsidR="000C6EBF">
              <w:rPr>
                <w:color w:val="000000" w:themeColor="text1"/>
              </w:rPr>
              <w:t>é</w:t>
            </w:r>
            <w:r w:rsidRPr="00574B8E">
              <w:rPr>
                <w:color w:val="000000" w:themeColor="text1"/>
              </w:rPr>
              <w:t>veloppé et mis en place un protocole pour l’évaluation</w:t>
            </w:r>
            <w:r w:rsidR="009D613E">
              <w:rPr>
                <w:color w:val="000000" w:themeColor="text1"/>
              </w:rPr>
              <w:t xml:space="preserve"> régulière de </w:t>
            </w:r>
            <w:r w:rsidR="00574B8E">
              <w:rPr>
                <w:color w:val="000000" w:themeColor="text1"/>
              </w:rPr>
              <w:t>s</w:t>
            </w:r>
            <w:r w:rsidR="009D613E">
              <w:rPr>
                <w:color w:val="000000" w:themeColor="text1"/>
              </w:rPr>
              <w:t>es activités</w:t>
            </w:r>
            <w:r w:rsidR="00574B8E">
              <w:rPr>
                <w:color w:val="000000" w:themeColor="text1"/>
              </w:rPr>
              <w:t xml:space="preserve">, pour </w:t>
            </w:r>
            <w:r w:rsidR="009D613E">
              <w:rPr>
                <w:color w:val="000000" w:themeColor="text1"/>
              </w:rPr>
              <w:t>évaluer entre autres, la p</w:t>
            </w:r>
            <w:r w:rsidR="009D613E" w:rsidRPr="00574B8E">
              <w:rPr>
                <w:color w:val="000000" w:themeColor="text1"/>
              </w:rPr>
              <w:t>erformance du programme (couverture vaccinale)</w:t>
            </w:r>
            <w:r w:rsidR="009D613E">
              <w:rPr>
                <w:color w:val="000000" w:themeColor="text1"/>
              </w:rPr>
              <w:t>, la qu</w:t>
            </w:r>
            <w:r w:rsidR="009D613E" w:rsidRPr="00574B8E">
              <w:rPr>
                <w:color w:val="000000" w:themeColor="text1"/>
              </w:rPr>
              <w:t>alité des données du programme</w:t>
            </w:r>
            <w:r w:rsidR="009D613E">
              <w:rPr>
                <w:color w:val="000000" w:themeColor="text1"/>
              </w:rPr>
              <w:t>, la c</w:t>
            </w:r>
            <w:r w:rsidR="009D613E" w:rsidRPr="00574B8E">
              <w:rPr>
                <w:color w:val="000000" w:themeColor="text1"/>
              </w:rPr>
              <w:t>ompétence des agents impliqués dans la vaccination</w:t>
            </w:r>
            <w:r w:rsidR="009D613E">
              <w:rPr>
                <w:color w:val="000000" w:themeColor="text1"/>
              </w:rPr>
              <w:t>, la g</w:t>
            </w:r>
            <w:r w:rsidR="009D613E" w:rsidRPr="00574B8E">
              <w:rPr>
                <w:color w:val="000000" w:themeColor="text1"/>
              </w:rPr>
              <w:t>estion des vaccins, de la chaîne du froid et des déchets</w:t>
            </w:r>
            <w:r w:rsidR="009D613E">
              <w:rPr>
                <w:color w:val="000000" w:themeColor="text1"/>
              </w:rPr>
              <w:t>, la c</w:t>
            </w:r>
            <w:r w:rsidR="009D613E" w:rsidRPr="00574B8E">
              <w:rPr>
                <w:color w:val="000000" w:themeColor="text1"/>
              </w:rPr>
              <w:t>ommunication pour la vaccination</w:t>
            </w:r>
            <w:r w:rsidR="009D613E">
              <w:rPr>
                <w:color w:val="000000" w:themeColor="text1"/>
              </w:rPr>
              <w:t xml:space="preserve"> etc.</w:t>
            </w:r>
          </w:p>
          <w:p w14:paraId="67EA8127" w14:textId="581B4B18" w:rsidR="009D613E" w:rsidRDefault="009D613E">
            <w:pPr>
              <w:shd w:val="clear" w:color="auto" w:fill="FFFFFF"/>
              <w:spacing w:line="240" w:lineRule="auto"/>
              <w:jc w:val="both"/>
              <w:rPr>
                <w:color w:val="000000" w:themeColor="text1"/>
              </w:rPr>
            </w:pPr>
          </w:p>
          <w:p w14:paraId="2A1CBA1A" w14:textId="6017ADE5" w:rsidR="0055216B" w:rsidRDefault="0055216B">
            <w:pPr>
              <w:shd w:val="clear" w:color="auto" w:fill="FFFFFF"/>
              <w:spacing w:line="240" w:lineRule="auto"/>
              <w:jc w:val="both"/>
              <w:rPr>
                <w:b/>
              </w:rPr>
            </w:pPr>
            <w:r w:rsidRPr="00497537">
              <w:rPr>
                <w:bCs/>
              </w:rPr>
              <w:t>Le suivi des</w:t>
            </w:r>
            <w:r>
              <w:rPr>
                <w:b/>
              </w:rPr>
              <w:t xml:space="preserve"> M</w:t>
            </w:r>
            <w:r w:rsidRPr="00E95295">
              <w:rPr>
                <w:b/>
              </w:rPr>
              <w:t xml:space="preserve">anifestations adverses post </w:t>
            </w:r>
            <w:r w:rsidR="000C6EBF" w:rsidRPr="00E95295">
              <w:rPr>
                <w:b/>
              </w:rPr>
              <w:t>immunisation</w:t>
            </w:r>
            <w:r>
              <w:rPr>
                <w:b/>
              </w:rPr>
              <w:t xml:space="preserve"> </w:t>
            </w:r>
            <w:r w:rsidR="00105C16">
              <w:rPr>
                <w:b/>
              </w:rPr>
              <w:t xml:space="preserve">(MAPI) </w:t>
            </w:r>
            <w:r w:rsidRPr="00497537">
              <w:rPr>
                <w:bCs/>
              </w:rPr>
              <w:t xml:space="preserve">doit être renforcé </w:t>
            </w:r>
            <w:r w:rsidR="00105C16">
              <w:rPr>
                <w:bCs/>
              </w:rPr>
              <w:t xml:space="preserve">tant au niveau de la notification des cas que l’évaluation </w:t>
            </w:r>
            <w:r w:rsidR="00105C16">
              <w:t xml:space="preserve">des causes des MAPI. Par ailleurs le Pays ne dispose pas encore d’un comité national de </w:t>
            </w:r>
            <w:r w:rsidR="000C6EBF">
              <w:t>pharmacovigilance</w:t>
            </w:r>
            <w:r w:rsidR="00105C16">
              <w:t xml:space="preserve">. </w:t>
            </w:r>
          </w:p>
          <w:p w14:paraId="2ACB7328" w14:textId="77777777" w:rsidR="0055216B" w:rsidRDefault="0055216B">
            <w:pPr>
              <w:shd w:val="clear" w:color="auto" w:fill="FFFFFF"/>
              <w:spacing w:line="240" w:lineRule="auto"/>
              <w:jc w:val="both"/>
              <w:rPr>
                <w:color w:val="000000" w:themeColor="text1"/>
              </w:rPr>
            </w:pPr>
          </w:p>
          <w:p w14:paraId="0DABB631" w14:textId="189737E2" w:rsidR="009D613E" w:rsidRDefault="00004180">
            <w:pPr>
              <w:shd w:val="clear" w:color="auto" w:fill="FFFFFF"/>
              <w:spacing w:line="240" w:lineRule="auto"/>
              <w:jc w:val="both"/>
              <w:rPr>
                <w:bCs/>
              </w:rPr>
            </w:pPr>
            <w:r>
              <w:rPr>
                <w:b/>
              </w:rPr>
              <w:t xml:space="preserve">5/ </w:t>
            </w:r>
            <w:r w:rsidR="00574B8E">
              <w:rPr>
                <w:b/>
              </w:rPr>
              <w:t xml:space="preserve">Logistique </w:t>
            </w:r>
            <w:r w:rsidR="00CB6C2D">
              <w:rPr>
                <w:b/>
              </w:rPr>
              <w:t xml:space="preserve">des vaccins </w:t>
            </w:r>
          </w:p>
          <w:p w14:paraId="2F5CB543" w14:textId="06CB4AA4" w:rsidR="005B2DD9" w:rsidRDefault="009D613E">
            <w:pPr>
              <w:shd w:val="clear" w:color="auto" w:fill="FFFFFF"/>
              <w:spacing w:line="240" w:lineRule="auto"/>
              <w:jc w:val="both"/>
              <w:rPr>
                <w:bCs/>
              </w:rPr>
            </w:pPr>
            <w:r>
              <w:rPr>
                <w:bCs/>
              </w:rPr>
              <w:t>Depuis le début de l</w:t>
            </w:r>
            <w:r w:rsidR="00674346" w:rsidRPr="00674346">
              <w:rPr>
                <w:bCs/>
              </w:rPr>
              <w:t xml:space="preserve">a pandémie </w:t>
            </w:r>
            <w:r>
              <w:rPr>
                <w:bCs/>
              </w:rPr>
              <w:t xml:space="preserve">de la </w:t>
            </w:r>
            <w:r w:rsidR="00674346" w:rsidRPr="00674346">
              <w:rPr>
                <w:bCs/>
              </w:rPr>
              <w:t>COVID-19</w:t>
            </w:r>
            <w:r w:rsidR="00CB6C2D">
              <w:rPr>
                <w:bCs/>
              </w:rPr>
              <w:t>,</w:t>
            </w:r>
            <w:r w:rsidR="00674346" w:rsidRPr="00674346">
              <w:rPr>
                <w:bCs/>
              </w:rPr>
              <w:t xml:space="preserve"> </w:t>
            </w:r>
            <w:r>
              <w:rPr>
                <w:bCs/>
              </w:rPr>
              <w:t xml:space="preserve">le pays a </w:t>
            </w:r>
            <w:r w:rsidR="00674346" w:rsidRPr="00674346">
              <w:rPr>
                <w:bCs/>
              </w:rPr>
              <w:t>amélior</w:t>
            </w:r>
            <w:r>
              <w:rPr>
                <w:bCs/>
              </w:rPr>
              <w:t xml:space="preserve">é </w:t>
            </w:r>
            <w:r w:rsidR="00674346" w:rsidRPr="00674346">
              <w:rPr>
                <w:bCs/>
              </w:rPr>
              <w:t>et</w:t>
            </w:r>
            <w:r>
              <w:rPr>
                <w:bCs/>
              </w:rPr>
              <w:t xml:space="preserve"> </w:t>
            </w:r>
            <w:r w:rsidR="00674346" w:rsidRPr="00674346">
              <w:rPr>
                <w:bCs/>
              </w:rPr>
              <w:t>renforc</w:t>
            </w:r>
            <w:r>
              <w:rPr>
                <w:bCs/>
              </w:rPr>
              <w:t xml:space="preserve">é </w:t>
            </w:r>
            <w:r w:rsidR="00674346" w:rsidRPr="00674346">
              <w:rPr>
                <w:bCs/>
              </w:rPr>
              <w:t xml:space="preserve">la chaîne du froid </w:t>
            </w:r>
            <w:r w:rsidR="00674346">
              <w:rPr>
                <w:bCs/>
              </w:rPr>
              <w:t xml:space="preserve">avec </w:t>
            </w:r>
            <w:r w:rsidR="00A00A0A">
              <w:rPr>
                <w:bCs/>
              </w:rPr>
              <w:t>la construction d’un nouveau dépôt</w:t>
            </w:r>
            <w:r w:rsidR="005B2DD9">
              <w:rPr>
                <w:bCs/>
              </w:rPr>
              <w:t xml:space="preserve"> central de vaccins</w:t>
            </w:r>
            <w:r w:rsidR="00A00A0A">
              <w:rPr>
                <w:bCs/>
              </w:rPr>
              <w:t>, l’</w:t>
            </w:r>
            <w:r w:rsidR="000C6EBF">
              <w:rPr>
                <w:bCs/>
              </w:rPr>
              <w:t>acquisition</w:t>
            </w:r>
            <w:r w:rsidR="00A00A0A">
              <w:rPr>
                <w:bCs/>
              </w:rPr>
              <w:t xml:space="preserve"> </w:t>
            </w:r>
            <w:r w:rsidR="00674346">
              <w:rPr>
                <w:bCs/>
              </w:rPr>
              <w:lastRenderedPageBreak/>
              <w:t>d’</w:t>
            </w:r>
            <w:r w:rsidR="000C6EBF">
              <w:rPr>
                <w:bCs/>
              </w:rPr>
              <w:t>équipements</w:t>
            </w:r>
            <w:r w:rsidR="00A00A0A">
              <w:rPr>
                <w:bCs/>
              </w:rPr>
              <w:t xml:space="preserve">, </w:t>
            </w:r>
            <w:r w:rsidR="005B2DD9" w:rsidRPr="00CB6C2D">
              <w:rPr>
                <w:bCs/>
              </w:rPr>
              <w:t xml:space="preserve">la mise en place d’un système de chaîne de froid à ultra-basse température pour soutenir </w:t>
            </w:r>
            <w:r w:rsidR="005B2DD9">
              <w:rPr>
                <w:bCs/>
              </w:rPr>
              <w:t>entre autre</w:t>
            </w:r>
            <w:r w:rsidR="000C6EBF">
              <w:rPr>
                <w:bCs/>
              </w:rPr>
              <w:t>s</w:t>
            </w:r>
            <w:r w:rsidR="005B2DD9">
              <w:rPr>
                <w:bCs/>
              </w:rPr>
              <w:t xml:space="preserve">, </w:t>
            </w:r>
            <w:r w:rsidR="005B2DD9" w:rsidRPr="00CB6C2D">
              <w:rPr>
                <w:bCs/>
              </w:rPr>
              <w:t>le déploiement du vaccin Pfizer-BioNTech</w:t>
            </w:r>
            <w:r w:rsidR="005B2DD9">
              <w:rPr>
                <w:bCs/>
              </w:rPr>
              <w:t xml:space="preserve">. Ceci </w:t>
            </w:r>
            <w:r w:rsidR="00674346" w:rsidRPr="00674346">
              <w:rPr>
                <w:bCs/>
              </w:rPr>
              <w:t xml:space="preserve">a </w:t>
            </w:r>
            <w:r w:rsidR="00674346">
              <w:rPr>
                <w:bCs/>
              </w:rPr>
              <w:t>permis</w:t>
            </w:r>
            <w:r w:rsidR="00A00A0A">
              <w:rPr>
                <w:bCs/>
              </w:rPr>
              <w:t xml:space="preserve"> d’</w:t>
            </w:r>
            <w:r w:rsidR="00674346" w:rsidRPr="00674346">
              <w:rPr>
                <w:bCs/>
              </w:rPr>
              <w:t>augment</w:t>
            </w:r>
            <w:r w:rsidR="00A00A0A">
              <w:rPr>
                <w:bCs/>
              </w:rPr>
              <w:t xml:space="preserve">er </w:t>
            </w:r>
            <w:r w:rsidR="00674346" w:rsidRPr="00674346">
              <w:rPr>
                <w:bCs/>
              </w:rPr>
              <w:t>la capacité de stockage des vaccins</w:t>
            </w:r>
            <w:r w:rsidR="00A00A0A">
              <w:rPr>
                <w:bCs/>
              </w:rPr>
              <w:t xml:space="preserve"> tant au niveau central que </w:t>
            </w:r>
            <w:r w:rsidR="000C6EBF">
              <w:rPr>
                <w:bCs/>
              </w:rPr>
              <w:t>périphérique</w:t>
            </w:r>
            <w:r w:rsidR="0099084D">
              <w:rPr>
                <w:bCs/>
              </w:rPr>
              <w:t>.</w:t>
            </w:r>
            <w:r w:rsidR="00674346">
              <w:rPr>
                <w:bCs/>
              </w:rPr>
              <w:t xml:space="preserve"> </w:t>
            </w:r>
          </w:p>
          <w:p w14:paraId="37930CE6" w14:textId="623DD1D0" w:rsidR="005B2DD9" w:rsidRDefault="00A00A0A">
            <w:pPr>
              <w:shd w:val="clear" w:color="auto" w:fill="FFFFFF"/>
              <w:spacing w:line="240" w:lineRule="auto"/>
              <w:jc w:val="both"/>
              <w:rPr>
                <w:bCs/>
              </w:rPr>
            </w:pPr>
            <w:r>
              <w:rPr>
                <w:bCs/>
              </w:rPr>
              <w:t xml:space="preserve">Malgré ces améliorations significatives, des efforts doivent être entrepris pour </w:t>
            </w:r>
            <w:r w:rsidR="005B2DD9">
              <w:rPr>
                <w:bCs/>
              </w:rPr>
              <w:t xml:space="preserve">garantir une bonne </w:t>
            </w:r>
            <w:r w:rsidR="00674346" w:rsidRPr="00674346">
              <w:rPr>
                <w:bCs/>
              </w:rPr>
              <w:t>maintenance de</w:t>
            </w:r>
            <w:r>
              <w:rPr>
                <w:bCs/>
              </w:rPr>
              <w:t xml:space="preserve"> ce</w:t>
            </w:r>
            <w:r w:rsidR="00674346" w:rsidRPr="00674346">
              <w:rPr>
                <w:bCs/>
              </w:rPr>
              <w:t xml:space="preserve">s équipements. </w:t>
            </w:r>
          </w:p>
          <w:p w14:paraId="0316A012" w14:textId="6BC804EA" w:rsidR="00CD5833" w:rsidRDefault="00B65B4E">
            <w:pPr>
              <w:shd w:val="clear" w:color="auto" w:fill="FFFFFF"/>
              <w:spacing w:line="240" w:lineRule="auto"/>
              <w:jc w:val="both"/>
              <w:rPr>
                <w:bCs/>
              </w:rPr>
            </w:pPr>
            <w:r>
              <w:rPr>
                <w:bCs/>
              </w:rPr>
              <w:t xml:space="preserve">Récemment le pays </w:t>
            </w:r>
            <w:r w:rsidR="00CA0EF5">
              <w:rPr>
                <w:bCs/>
              </w:rPr>
              <w:t xml:space="preserve">a commencé à </w:t>
            </w:r>
            <w:r>
              <w:rPr>
                <w:bCs/>
              </w:rPr>
              <w:t>introdui</w:t>
            </w:r>
            <w:r w:rsidR="00CA0EF5">
              <w:rPr>
                <w:bCs/>
              </w:rPr>
              <w:t xml:space="preserve">re </w:t>
            </w:r>
            <w:r>
              <w:rPr>
                <w:bCs/>
              </w:rPr>
              <w:t>des outils num</w:t>
            </w:r>
            <w:r w:rsidR="00CA0EF5">
              <w:rPr>
                <w:bCs/>
              </w:rPr>
              <w:t>é</w:t>
            </w:r>
            <w:r>
              <w:rPr>
                <w:bCs/>
              </w:rPr>
              <w:t>rique</w:t>
            </w:r>
            <w:r w:rsidR="00CA0EF5">
              <w:rPr>
                <w:bCs/>
              </w:rPr>
              <w:t>s</w:t>
            </w:r>
            <w:r>
              <w:rPr>
                <w:bCs/>
              </w:rPr>
              <w:t xml:space="preserve"> pour la gestion </w:t>
            </w:r>
            <w:r w:rsidR="00CB6C2D">
              <w:rPr>
                <w:bCs/>
              </w:rPr>
              <w:t xml:space="preserve">du stock </w:t>
            </w:r>
            <w:r>
              <w:rPr>
                <w:bCs/>
              </w:rPr>
              <w:t>des vaccins</w:t>
            </w:r>
            <w:r w:rsidR="00CA0EF5">
              <w:rPr>
                <w:bCs/>
              </w:rPr>
              <w:t xml:space="preserve"> au niveau périphérique</w:t>
            </w:r>
            <w:r>
              <w:rPr>
                <w:bCs/>
              </w:rPr>
              <w:t xml:space="preserve">. </w:t>
            </w:r>
            <w:r w:rsidR="00CA0EF5">
              <w:rPr>
                <w:bCs/>
              </w:rPr>
              <w:t xml:space="preserve">Ce </w:t>
            </w:r>
            <w:r w:rsidR="000C6EBF">
              <w:rPr>
                <w:bCs/>
              </w:rPr>
              <w:t>déploiement</w:t>
            </w:r>
            <w:r w:rsidR="00CA0EF5">
              <w:rPr>
                <w:bCs/>
              </w:rPr>
              <w:t xml:space="preserve"> doit continuer avec la formation en continue des équipes, la supervision et la mise en place de procédures</w:t>
            </w:r>
            <w:r w:rsidR="00CB6C2D">
              <w:rPr>
                <w:bCs/>
              </w:rPr>
              <w:t xml:space="preserve"> efficaces</w:t>
            </w:r>
            <w:r w:rsidR="00CA0EF5">
              <w:rPr>
                <w:bCs/>
              </w:rPr>
              <w:t xml:space="preserve">. L’introduction d’un </w:t>
            </w:r>
            <w:r>
              <w:rPr>
                <w:bCs/>
              </w:rPr>
              <w:t xml:space="preserve">système </w:t>
            </w:r>
            <w:r w:rsidR="000C6EBF">
              <w:rPr>
                <w:bCs/>
              </w:rPr>
              <w:t>numérisé</w:t>
            </w:r>
            <w:r w:rsidR="00CA0EF5">
              <w:rPr>
                <w:bCs/>
              </w:rPr>
              <w:t xml:space="preserve"> solide </w:t>
            </w:r>
            <w:r w:rsidR="00CB6C2D">
              <w:rPr>
                <w:bCs/>
              </w:rPr>
              <w:t xml:space="preserve">doit être poursuivie pour </w:t>
            </w:r>
            <w:r w:rsidR="00CA0EF5">
              <w:rPr>
                <w:bCs/>
              </w:rPr>
              <w:t xml:space="preserve">permettre </w:t>
            </w:r>
            <w:r>
              <w:rPr>
                <w:bCs/>
              </w:rPr>
              <w:t xml:space="preserve">aux équipes </w:t>
            </w:r>
            <w:r w:rsidR="00CA0EF5">
              <w:rPr>
                <w:bCs/>
              </w:rPr>
              <w:t>d</w:t>
            </w:r>
            <w:r w:rsidR="00CB6C2D">
              <w:rPr>
                <w:bCs/>
              </w:rPr>
              <w:t xml:space="preserve">’avoir les </w:t>
            </w:r>
            <w:r>
              <w:rPr>
                <w:bCs/>
              </w:rPr>
              <w:t>données</w:t>
            </w:r>
            <w:r w:rsidR="00CB6C2D">
              <w:rPr>
                <w:bCs/>
              </w:rPr>
              <w:t xml:space="preserve"> de stock</w:t>
            </w:r>
            <w:r>
              <w:rPr>
                <w:bCs/>
              </w:rPr>
              <w:t xml:space="preserve"> en temps réel</w:t>
            </w:r>
            <w:r w:rsidR="00CB6C2D">
              <w:rPr>
                <w:bCs/>
              </w:rPr>
              <w:t xml:space="preserve"> y compris les notifications sur </w:t>
            </w:r>
            <w:r w:rsidR="00CA0EF5">
              <w:rPr>
                <w:bCs/>
              </w:rPr>
              <w:t>l’état du stock</w:t>
            </w:r>
            <w:r w:rsidR="00CB6C2D">
              <w:rPr>
                <w:bCs/>
              </w:rPr>
              <w:t xml:space="preserve"> et ainsi éviter les ruptures</w:t>
            </w:r>
            <w:r>
              <w:rPr>
                <w:bCs/>
              </w:rPr>
              <w:t xml:space="preserve">. </w:t>
            </w:r>
          </w:p>
          <w:p w14:paraId="0F9B74FE" w14:textId="77777777" w:rsidR="00B65B4E" w:rsidRDefault="00B65B4E">
            <w:pPr>
              <w:shd w:val="clear" w:color="auto" w:fill="FFFFFF"/>
              <w:spacing w:line="240" w:lineRule="auto"/>
              <w:jc w:val="both"/>
              <w:rPr>
                <w:bCs/>
              </w:rPr>
            </w:pPr>
          </w:p>
          <w:p w14:paraId="6FAEFEE6" w14:textId="213DFFAA" w:rsidR="00014955" w:rsidRDefault="00674346">
            <w:pPr>
              <w:shd w:val="clear" w:color="auto" w:fill="FFFFFF"/>
              <w:spacing w:line="240" w:lineRule="auto"/>
              <w:jc w:val="both"/>
              <w:rPr>
                <w:bCs/>
              </w:rPr>
            </w:pPr>
            <w:r w:rsidRPr="00674346">
              <w:rPr>
                <w:bCs/>
              </w:rPr>
              <w:t xml:space="preserve">Concernant la </w:t>
            </w:r>
            <w:r w:rsidRPr="00CB6C2D">
              <w:rPr>
                <w:b/>
              </w:rPr>
              <w:t>gestion des déchets de vaccination</w:t>
            </w:r>
            <w:r w:rsidRPr="00674346">
              <w:rPr>
                <w:bCs/>
              </w:rPr>
              <w:t xml:space="preserve">, malgré le fait que 2 incinérateurs </w:t>
            </w:r>
            <w:r w:rsidR="00CB6C2D">
              <w:rPr>
                <w:bCs/>
              </w:rPr>
              <w:t xml:space="preserve">aient </w:t>
            </w:r>
            <w:r w:rsidR="00CB6C2D" w:rsidRPr="00674346">
              <w:rPr>
                <w:bCs/>
              </w:rPr>
              <w:t>été</w:t>
            </w:r>
            <w:r w:rsidRPr="00674346">
              <w:rPr>
                <w:bCs/>
              </w:rPr>
              <w:t xml:space="preserve"> installés</w:t>
            </w:r>
            <w:r w:rsidR="005B2DD9">
              <w:rPr>
                <w:bCs/>
              </w:rPr>
              <w:t xml:space="preserve"> (</w:t>
            </w:r>
            <w:r w:rsidRPr="00674346">
              <w:rPr>
                <w:bCs/>
              </w:rPr>
              <w:t xml:space="preserve">un à São Tomé et </w:t>
            </w:r>
            <w:r>
              <w:rPr>
                <w:bCs/>
              </w:rPr>
              <w:t>l’</w:t>
            </w:r>
            <w:r w:rsidRPr="00674346">
              <w:rPr>
                <w:bCs/>
              </w:rPr>
              <w:t xml:space="preserve">autre </w:t>
            </w:r>
            <w:r w:rsidR="005B2DD9">
              <w:rPr>
                <w:bCs/>
              </w:rPr>
              <w:t>à</w:t>
            </w:r>
            <w:r w:rsidRPr="00674346">
              <w:rPr>
                <w:bCs/>
              </w:rPr>
              <w:t xml:space="preserve"> Príncipe</w:t>
            </w:r>
            <w:r w:rsidR="005B2DD9">
              <w:rPr>
                <w:bCs/>
              </w:rPr>
              <w:t>)</w:t>
            </w:r>
            <w:r w:rsidRPr="00674346">
              <w:rPr>
                <w:bCs/>
              </w:rPr>
              <w:t xml:space="preserve">, </w:t>
            </w:r>
            <w:r>
              <w:rPr>
                <w:bCs/>
              </w:rPr>
              <w:t>persistent des contraintes li</w:t>
            </w:r>
            <w:r w:rsidR="005141BD" w:rsidRPr="00674346">
              <w:rPr>
                <w:bCs/>
              </w:rPr>
              <w:t>é</w:t>
            </w:r>
            <w:r>
              <w:rPr>
                <w:bCs/>
              </w:rPr>
              <w:t xml:space="preserve">es </w:t>
            </w:r>
            <w:r w:rsidR="005B2DD9">
              <w:rPr>
                <w:bCs/>
              </w:rPr>
              <w:t xml:space="preserve">à </w:t>
            </w:r>
            <w:r>
              <w:rPr>
                <w:bCs/>
              </w:rPr>
              <w:t xml:space="preserve">la </w:t>
            </w:r>
            <w:r w:rsidRPr="00674346">
              <w:rPr>
                <w:bCs/>
              </w:rPr>
              <w:t xml:space="preserve">coupure </w:t>
            </w:r>
            <w:r>
              <w:rPr>
                <w:bCs/>
              </w:rPr>
              <w:t>fr</w:t>
            </w:r>
            <w:r w:rsidR="005B2DD9">
              <w:rPr>
                <w:bCs/>
              </w:rPr>
              <w:t>é</w:t>
            </w:r>
            <w:r>
              <w:rPr>
                <w:bCs/>
              </w:rPr>
              <w:t>quent</w:t>
            </w:r>
            <w:r w:rsidR="005B2DD9">
              <w:rPr>
                <w:bCs/>
              </w:rPr>
              <w:t>e</w:t>
            </w:r>
            <w:r w:rsidRPr="00674346">
              <w:rPr>
                <w:bCs/>
              </w:rPr>
              <w:t xml:space="preserve"> d</w:t>
            </w:r>
            <w:r>
              <w:rPr>
                <w:bCs/>
              </w:rPr>
              <w:t xml:space="preserve">u courant </w:t>
            </w:r>
            <w:r w:rsidRPr="00674346">
              <w:rPr>
                <w:bCs/>
              </w:rPr>
              <w:t>qui alimente ces équipements</w:t>
            </w:r>
            <w:r>
              <w:rPr>
                <w:bCs/>
              </w:rPr>
              <w:t>. D</w:t>
            </w:r>
            <w:r w:rsidRPr="00674346">
              <w:rPr>
                <w:bCs/>
              </w:rPr>
              <w:t>'autre part</w:t>
            </w:r>
            <w:r w:rsidR="005B2DD9">
              <w:rPr>
                <w:bCs/>
              </w:rPr>
              <w:t>,</w:t>
            </w:r>
            <w:r w:rsidRPr="00674346">
              <w:rPr>
                <w:bCs/>
              </w:rPr>
              <w:t xml:space="preserve"> des pannes constantes </w:t>
            </w:r>
            <w:r>
              <w:rPr>
                <w:bCs/>
              </w:rPr>
              <w:t xml:space="preserve">ont </w:t>
            </w:r>
            <w:r w:rsidRPr="00674346">
              <w:rPr>
                <w:bCs/>
              </w:rPr>
              <w:t>provoqu</w:t>
            </w:r>
            <w:r w:rsidR="00A163D6" w:rsidRPr="00674346">
              <w:rPr>
                <w:bCs/>
              </w:rPr>
              <w:t>é</w:t>
            </w:r>
            <w:r w:rsidRPr="00674346">
              <w:rPr>
                <w:bCs/>
              </w:rPr>
              <w:t xml:space="preserve"> </w:t>
            </w:r>
            <w:r>
              <w:rPr>
                <w:bCs/>
              </w:rPr>
              <w:t>l’</w:t>
            </w:r>
            <w:r w:rsidRPr="00674346">
              <w:rPr>
                <w:bCs/>
              </w:rPr>
              <w:t>accumulation de déchets, créant des situations d'insécurité</w:t>
            </w:r>
            <w:r w:rsidR="005B2DD9">
              <w:rPr>
                <w:bCs/>
              </w:rPr>
              <w:t xml:space="preserve"> à la fois</w:t>
            </w:r>
            <w:r w:rsidRPr="00674346">
              <w:rPr>
                <w:bCs/>
              </w:rPr>
              <w:t xml:space="preserve"> environnementale et pour le personnel</w:t>
            </w:r>
            <w:r w:rsidR="00222B52" w:rsidRPr="00674346">
              <w:rPr>
                <w:bCs/>
              </w:rPr>
              <w:t>.</w:t>
            </w:r>
          </w:p>
          <w:p w14:paraId="6285DA92" w14:textId="77777777" w:rsidR="0075788E" w:rsidRPr="00674346" w:rsidRDefault="0075788E">
            <w:pPr>
              <w:shd w:val="clear" w:color="auto" w:fill="FFFFFF"/>
              <w:spacing w:line="240" w:lineRule="auto"/>
              <w:jc w:val="both"/>
              <w:rPr>
                <w:bCs/>
              </w:rPr>
            </w:pPr>
          </w:p>
          <w:p w14:paraId="355757F1" w14:textId="1F9AD30E" w:rsidR="00222B52" w:rsidRDefault="00CD5833">
            <w:pPr>
              <w:shd w:val="clear" w:color="auto" w:fill="FFFFFF"/>
              <w:spacing w:after="100" w:afterAutospacing="1" w:line="240" w:lineRule="auto"/>
              <w:jc w:val="both"/>
            </w:pPr>
            <w:r>
              <w:t xml:space="preserve">Enfin, </w:t>
            </w:r>
            <w:r w:rsidR="0075788E">
              <w:rPr>
                <w:color w:val="000000" w:themeColor="text1"/>
              </w:rPr>
              <w:t xml:space="preserve">un gap a été identifié </w:t>
            </w:r>
            <w:r w:rsidR="0075788E">
              <w:t xml:space="preserve">au niveau du </w:t>
            </w:r>
            <w:r w:rsidR="0075788E" w:rsidRPr="0075788E">
              <w:rPr>
                <w:b/>
                <w:bCs/>
              </w:rPr>
              <w:t>transport</w:t>
            </w:r>
            <w:r w:rsidR="0075788E">
              <w:t xml:space="preserve"> </w:t>
            </w:r>
            <w:r w:rsidR="0075788E" w:rsidRPr="00C777B6">
              <w:rPr>
                <w:color w:val="000000" w:themeColor="text1"/>
              </w:rPr>
              <w:t xml:space="preserve">pour </w:t>
            </w:r>
            <w:r w:rsidR="0075788E">
              <w:rPr>
                <w:color w:val="000000" w:themeColor="text1"/>
              </w:rPr>
              <w:t>l</w:t>
            </w:r>
            <w:r w:rsidR="0075788E" w:rsidRPr="00C777B6">
              <w:rPr>
                <w:color w:val="000000" w:themeColor="text1"/>
              </w:rPr>
              <w:t xml:space="preserve">es activités </w:t>
            </w:r>
            <w:r w:rsidR="0075788E">
              <w:rPr>
                <w:color w:val="000000" w:themeColor="text1"/>
              </w:rPr>
              <w:t>sur le</w:t>
            </w:r>
            <w:r w:rsidR="0075788E" w:rsidRPr="00C777B6">
              <w:rPr>
                <w:color w:val="000000" w:themeColor="text1"/>
              </w:rPr>
              <w:t xml:space="preserve"> terrain </w:t>
            </w:r>
            <w:r w:rsidR="0075788E">
              <w:rPr>
                <w:color w:val="000000" w:themeColor="text1"/>
              </w:rPr>
              <w:t>y compris la</w:t>
            </w:r>
            <w:r w:rsidR="0075788E" w:rsidRPr="00C777B6">
              <w:rPr>
                <w:color w:val="000000" w:themeColor="text1"/>
              </w:rPr>
              <w:t xml:space="preserve"> supervision</w:t>
            </w:r>
            <w:r w:rsidR="0075788E">
              <w:rPr>
                <w:color w:val="000000" w:themeColor="text1"/>
              </w:rPr>
              <w:t xml:space="preserve">. Les problèmes de transport concernent également le transport des vaccins puisque celui-ci est réalisé </w:t>
            </w:r>
            <w:r w:rsidR="0075788E" w:rsidRPr="008A41BD">
              <w:t>par un véhicule Pick Up</w:t>
            </w:r>
            <w:r w:rsidR="0075788E">
              <w:t xml:space="preserve">, </w:t>
            </w:r>
            <w:r w:rsidR="008A41BD" w:rsidRPr="008A41BD">
              <w:t>à la fois de l'aéroport au dépôt central et aux districts</w:t>
            </w:r>
            <w:r w:rsidR="0075788E">
              <w:t xml:space="preserve">. </w:t>
            </w:r>
            <w:r w:rsidR="008A41BD" w:rsidRPr="008A41BD">
              <w:t>L'acquisition d'un véhicule frigorifique spécifique pour le transport des vaccins est en cours, financé par la Banque Mondiale, à travers l'UNICEF</w:t>
            </w:r>
            <w:r w:rsidR="008A41BD">
              <w:t>.</w:t>
            </w:r>
          </w:p>
          <w:p w14:paraId="50A15E76" w14:textId="14CB1F92" w:rsidR="00CD5833" w:rsidRDefault="00CD5833" w:rsidP="008C348A">
            <w:pPr>
              <w:shd w:val="clear" w:color="auto" w:fill="FFFFFF" w:themeFill="background1"/>
              <w:spacing w:line="240" w:lineRule="auto"/>
              <w:jc w:val="both"/>
              <w:rPr>
                <w:b/>
                <w:bCs/>
              </w:rPr>
            </w:pPr>
            <w:r w:rsidRPr="27B0A8D9">
              <w:rPr>
                <w:b/>
                <w:bCs/>
              </w:rPr>
              <w:t xml:space="preserve">6/ </w:t>
            </w:r>
            <w:r w:rsidR="008416F9" w:rsidRPr="27B0A8D9">
              <w:rPr>
                <w:b/>
                <w:bCs/>
              </w:rPr>
              <w:t>Gestion financière</w:t>
            </w:r>
            <w:r w:rsidR="004D03B1" w:rsidRPr="27B0A8D9">
              <w:rPr>
                <w:b/>
                <w:bCs/>
              </w:rPr>
              <w:t xml:space="preserve"> difficile et non soutenable pour l’achat des vaccins et les coûts de la vaccination</w:t>
            </w:r>
          </w:p>
          <w:p w14:paraId="78052B35" w14:textId="7BC54572" w:rsidR="00CA0EF5" w:rsidRPr="002657FA" w:rsidRDefault="00171EBA" w:rsidP="008C348A">
            <w:pPr>
              <w:shd w:val="clear" w:color="auto" w:fill="FFFFFF" w:themeFill="background1"/>
              <w:spacing w:line="240" w:lineRule="auto"/>
              <w:jc w:val="both"/>
            </w:pPr>
            <w:r>
              <w:t xml:space="preserve">Le </w:t>
            </w:r>
            <w:r w:rsidR="00CD5833">
              <w:t xml:space="preserve">fait que le </w:t>
            </w:r>
            <w:r>
              <w:t xml:space="preserve">pays </w:t>
            </w:r>
            <w:r w:rsidR="00CD5833">
              <w:t xml:space="preserve">soit </w:t>
            </w:r>
            <w:r>
              <w:t>fortement dépendant de l'aide extérieure</w:t>
            </w:r>
            <w:r w:rsidR="008416F9">
              <w:t xml:space="preserve"> affecte de façon significative le programme qui dépend presque totalement de l'appui des partenaires</w:t>
            </w:r>
            <w:r w:rsidR="00CD5833">
              <w:t xml:space="preserve"> pour la mise en place de ses activités</w:t>
            </w:r>
            <w:r w:rsidR="008416F9">
              <w:t>.</w:t>
            </w:r>
            <w:r>
              <w:t xml:space="preserve"> Le pays est actuellement dans le processus de transition accélérée de GAVI, qui devrait conduire à l'indépendance vaccinale à partir de 2024. Cette situation </w:t>
            </w:r>
            <w:r w:rsidR="00CD5833">
              <w:t>s</w:t>
            </w:r>
            <w:r>
              <w:t>uscit</w:t>
            </w:r>
            <w:r w:rsidR="00CD5833">
              <w:t>e</w:t>
            </w:r>
            <w:r>
              <w:t xml:space="preserve"> une grande inquiétude </w:t>
            </w:r>
            <w:r w:rsidR="004D03B1">
              <w:t xml:space="preserve">pour le PEV du fait des </w:t>
            </w:r>
            <w:r>
              <w:t>difficultés</w:t>
            </w:r>
            <w:r w:rsidR="004D03B1">
              <w:t xml:space="preserve"> démontré</w:t>
            </w:r>
            <w:r w:rsidR="000C6EBF">
              <w:t>es</w:t>
            </w:r>
            <w:r w:rsidR="004D03B1">
              <w:t xml:space="preserve"> par le gouvernement d</w:t>
            </w:r>
            <w:r>
              <w:t xml:space="preserve">ans l’accomplissement de </w:t>
            </w:r>
            <w:r w:rsidR="004D03B1">
              <w:t xml:space="preserve">ses </w:t>
            </w:r>
            <w:r>
              <w:t>engagement</w:t>
            </w:r>
            <w:r w:rsidR="004D03B1">
              <w:t>s financiers pour l’achat des vaccins et les activités de vaccination</w:t>
            </w:r>
            <w:r>
              <w:t xml:space="preserve">. Le pays devrait transitionné en 2024 et il existe un risque réel de </w:t>
            </w:r>
            <w:r w:rsidR="008C348A">
              <w:t>non-paiement</w:t>
            </w:r>
            <w:r>
              <w:t xml:space="preserve"> des vaccins. Le paiement ponctuel des vaccins a été respect</w:t>
            </w:r>
            <w:r w:rsidR="004D03B1">
              <w:t>é</w:t>
            </w:r>
            <w:r>
              <w:t>, sur la base du VII Plan depuis 2019 quand le coût des vaccins a flambé suite à l’entrée du pays en transition accéléré. Ce plan est assur</w:t>
            </w:r>
            <w:r w:rsidR="004D03B1">
              <w:t>é</w:t>
            </w:r>
            <w:r>
              <w:t xml:space="preserve"> par l'U</w:t>
            </w:r>
            <w:r w:rsidR="004D03B1">
              <w:t>N</w:t>
            </w:r>
            <w:r w:rsidR="002657FA">
              <w:t>I</w:t>
            </w:r>
            <w:r w:rsidR="004D03B1">
              <w:t xml:space="preserve">CEF </w:t>
            </w:r>
            <w:r>
              <w:t xml:space="preserve">jusqu'en 2025. La réalisation du cofinancement </w:t>
            </w:r>
            <w:r w:rsidR="004D03B1">
              <w:t>avec le g</w:t>
            </w:r>
            <w:r>
              <w:t xml:space="preserve">ouvernement s'est faite </w:t>
            </w:r>
            <w:r w:rsidR="004D03B1">
              <w:t xml:space="preserve">mais </w:t>
            </w:r>
            <w:r>
              <w:t xml:space="preserve">avec de nombreux retards. Un appui sur </w:t>
            </w:r>
            <w:r w:rsidR="008C348A">
              <w:t>les questions</w:t>
            </w:r>
            <w:r>
              <w:t xml:space="preserve"> de soutenabilité financière du programme de vaccination est plus que nécessaire.</w:t>
            </w:r>
            <w:bookmarkEnd w:id="0"/>
          </w:p>
        </w:tc>
      </w:tr>
    </w:tbl>
    <w:p w14:paraId="434C7691" w14:textId="77777777" w:rsidR="000759BE" w:rsidRPr="008416F9" w:rsidRDefault="000759BE" w:rsidP="00222083">
      <w:pPr>
        <w:spacing w:line="300" w:lineRule="exact"/>
        <w:jc w:val="both"/>
        <w:rPr>
          <w:bCs/>
          <w:color w:val="808080" w:themeColor="background1" w:themeShade="80"/>
        </w:rPr>
      </w:pPr>
    </w:p>
    <w:p w14:paraId="5CAF378B" w14:textId="160E4994" w:rsidR="004E4361" w:rsidRPr="00372D1F" w:rsidRDefault="004E4361" w:rsidP="00222083">
      <w:pPr>
        <w:pStyle w:val="ListParagraph"/>
        <w:numPr>
          <w:ilvl w:val="0"/>
          <w:numId w:val="4"/>
        </w:numPr>
        <w:spacing w:line="300" w:lineRule="exact"/>
        <w:ind w:left="426"/>
        <w:jc w:val="both"/>
        <w:rPr>
          <w:b/>
          <w:bCs/>
          <w:color w:val="84C650"/>
          <w:sz w:val="26"/>
          <w:szCs w:val="26"/>
        </w:rPr>
      </w:pPr>
      <w:r>
        <w:rPr>
          <w:b/>
          <w:color w:val="70AD47" w:themeColor="accent6"/>
          <w:sz w:val="26"/>
        </w:rPr>
        <w:t xml:space="preserve">Besoins actuels en </w:t>
      </w:r>
      <w:r w:rsidR="00A24EDA">
        <w:rPr>
          <w:b/>
          <w:color w:val="70AD47" w:themeColor="accent6"/>
          <w:sz w:val="26"/>
        </w:rPr>
        <w:t>assistance technique (</w:t>
      </w:r>
      <w:r>
        <w:rPr>
          <w:b/>
          <w:color w:val="70AD47" w:themeColor="accent6"/>
          <w:sz w:val="26"/>
        </w:rPr>
        <w:t>AT</w:t>
      </w:r>
      <w:r w:rsidR="00A24EDA">
        <w:rPr>
          <w:b/>
          <w:color w:val="70AD47" w:themeColor="accent6"/>
          <w:sz w:val="26"/>
        </w:rPr>
        <w:t>)</w:t>
      </w:r>
      <w:r>
        <w:rPr>
          <w:b/>
          <w:color w:val="70AD47" w:themeColor="accent6"/>
          <w:sz w:val="26"/>
        </w:rPr>
        <w:t xml:space="preserve"> de votre système de vaccination (1-2 pages)</w:t>
      </w:r>
    </w:p>
    <w:p w14:paraId="272993D5" w14:textId="13F9F524" w:rsidR="0095370A" w:rsidRPr="00D93986" w:rsidRDefault="00EC2EA5" w:rsidP="00222083">
      <w:pPr>
        <w:pStyle w:val="ListParagraph"/>
        <w:spacing w:line="300" w:lineRule="exact"/>
        <w:ind w:left="142"/>
        <w:jc w:val="both"/>
        <w:rPr>
          <w:b/>
          <w:i/>
          <w:sz w:val="20"/>
          <w:szCs w:val="20"/>
        </w:rPr>
      </w:pPr>
      <w:r>
        <w:rPr>
          <w:b/>
          <w:i/>
          <w:sz w:val="20"/>
        </w:rPr>
        <w:t xml:space="preserve">Veuillez indiquer l'allocation prévue de l'assistance pays ciblée du Cadre d'engagement des partenaires par domaine d'investissement et objectif de haut niveau. Les domaines d'investissement soutenus par Gavi </w:t>
      </w:r>
      <w:r w:rsidR="00BD532A">
        <w:rPr>
          <w:b/>
          <w:i/>
          <w:sz w:val="20"/>
        </w:rPr>
        <w:t>ainsi qu’</w:t>
      </w:r>
      <w:r>
        <w:rPr>
          <w:b/>
          <w:i/>
          <w:sz w:val="20"/>
        </w:rPr>
        <w:t xml:space="preserve">une liste des objectifs sont </w:t>
      </w:r>
      <w:r w:rsidR="00723937">
        <w:rPr>
          <w:b/>
          <w:i/>
          <w:sz w:val="20"/>
        </w:rPr>
        <w:t xml:space="preserve">consultables </w:t>
      </w:r>
      <w:r>
        <w:rPr>
          <w:b/>
          <w:i/>
          <w:sz w:val="20"/>
        </w:rPr>
        <w:t xml:space="preserve">dans les </w:t>
      </w:r>
      <w:hyperlink r:id="rId13" w:history="1">
        <w:r>
          <w:rPr>
            <w:rStyle w:val="Hyperlink"/>
            <w:b/>
            <w:i/>
            <w:sz w:val="20"/>
          </w:rPr>
          <w:t>Directives sur le financement des programmes</w:t>
        </w:r>
      </w:hyperlink>
      <w:r>
        <w:rPr>
          <w:b/>
          <w:i/>
          <w:sz w:val="20"/>
        </w:rPr>
        <w:t xml:space="preserve"> de Gavi. Le pays peut planifier</w:t>
      </w:r>
      <w:r w:rsidR="00D066A2">
        <w:rPr>
          <w:b/>
          <w:i/>
          <w:sz w:val="20"/>
        </w:rPr>
        <w:t xml:space="preserve"> cette assistance</w:t>
      </w:r>
      <w:r>
        <w:rPr>
          <w:b/>
          <w:i/>
          <w:sz w:val="20"/>
        </w:rPr>
        <w:t xml:space="preserve"> pour la durée restante de son actuelle subvention de RSS</w:t>
      </w:r>
      <w:r w:rsidR="00D066A2">
        <w:rPr>
          <w:b/>
          <w:i/>
          <w:sz w:val="20"/>
        </w:rPr>
        <w:t>.</w:t>
      </w:r>
    </w:p>
    <w:p w14:paraId="6567DB8B" w14:textId="77777777" w:rsidR="007F2F8B" w:rsidRPr="006615A7" w:rsidRDefault="007F2F8B" w:rsidP="00222083">
      <w:pPr>
        <w:pStyle w:val="ListParagraph"/>
        <w:spacing w:line="300" w:lineRule="exact"/>
        <w:ind w:left="426"/>
        <w:jc w:val="both"/>
        <w:rPr>
          <w:i/>
          <w:color w:val="808080" w:themeColor="background1" w:themeShade="80"/>
        </w:rPr>
      </w:pPr>
    </w:p>
    <w:p w14:paraId="1D079834" w14:textId="3BFFF507" w:rsidR="00655D56" w:rsidRPr="006C63B1" w:rsidRDefault="00372D1F" w:rsidP="00222083">
      <w:pPr>
        <w:pStyle w:val="ListParagraph"/>
        <w:spacing w:line="300" w:lineRule="exact"/>
        <w:ind w:left="426"/>
        <w:jc w:val="both"/>
        <w:rPr>
          <w:i/>
          <w:color w:val="808080" w:themeColor="background1" w:themeShade="80"/>
        </w:rPr>
      </w:pPr>
      <w:r>
        <w:rPr>
          <w:i/>
          <w:color w:val="808080" w:themeColor="background1" w:themeShade="80"/>
        </w:rPr>
        <w:t>(N'hésitez pas à ajouter des lignes, si nécessaire)</w:t>
      </w:r>
    </w:p>
    <w:tbl>
      <w:tblPr>
        <w:tblStyle w:val="TableGrid"/>
        <w:tblW w:w="9072" w:type="dxa"/>
        <w:tblInd w:w="-5" w:type="dxa"/>
        <w:tblLook w:val="04A0" w:firstRow="1" w:lastRow="0" w:firstColumn="1" w:lastColumn="0" w:noHBand="0" w:noVBand="1"/>
      </w:tblPr>
      <w:tblGrid>
        <w:gridCol w:w="2523"/>
        <w:gridCol w:w="3400"/>
        <w:gridCol w:w="2015"/>
        <w:gridCol w:w="1134"/>
      </w:tblGrid>
      <w:tr w:rsidR="004D0C16" w14:paraId="4754848F" w14:textId="2B3AF5AA" w:rsidTr="27B0A8D9">
        <w:tc>
          <w:tcPr>
            <w:tcW w:w="5923" w:type="dxa"/>
            <w:gridSpan w:val="2"/>
            <w:shd w:val="clear" w:color="auto" w:fill="DEEAF6" w:themeFill="accent5" w:themeFillTint="33"/>
          </w:tcPr>
          <w:p w14:paraId="60978116" w14:textId="77777777" w:rsidR="004D0C16" w:rsidRPr="00372D1F" w:rsidRDefault="004D0C16" w:rsidP="00222083">
            <w:pPr>
              <w:spacing w:line="300" w:lineRule="exact"/>
              <w:jc w:val="both"/>
              <w:rPr>
                <w:b/>
              </w:rPr>
            </w:pPr>
            <w:r>
              <w:rPr>
                <w:b/>
              </w:rPr>
              <w:t>Plan de haut niveau</w:t>
            </w:r>
          </w:p>
        </w:tc>
        <w:tc>
          <w:tcPr>
            <w:tcW w:w="2015" w:type="dxa"/>
            <w:shd w:val="clear" w:color="auto" w:fill="DEEAF6" w:themeFill="accent5" w:themeFillTint="33"/>
          </w:tcPr>
          <w:p w14:paraId="2F400D8C" w14:textId="754228F6" w:rsidR="004D0C16" w:rsidRPr="00372D1F" w:rsidRDefault="004D0C16" w:rsidP="00222083">
            <w:pPr>
              <w:spacing w:line="300" w:lineRule="exact"/>
              <w:jc w:val="both"/>
              <w:rPr>
                <w:b/>
                <w:color w:val="808080" w:themeColor="background1" w:themeShade="80"/>
              </w:rPr>
            </w:pPr>
            <w:r>
              <w:rPr>
                <w:b/>
              </w:rPr>
              <w:t>Budget (USD)</w:t>
            </w:r>
          </w:p>
        </w:tc>
        <w:tc>
          <w:tcPr>
            <w:tcW w:w="1134" w:type="dxa"/>
            <w:shd w:val="clear" w:color="auto" w:fill="DEEAF6" w:themeFill="accent5" w:themeFillTint="33"/>
          </w:tcPr>
          <w:p w14:paraId="0FEF51FA" w14:textId="32409750" w:rsidR="004D0C16" w:rsidRPr="00372D1F" w:rsidRDefault="00131FD5" w:rsidP="00222083">
            <w:pPr>
              <w:spacing w:line="300" w:lineRule="exact"/>
              <w:jc w:val="both"/>
              <w:rPr>
                <w:b/>
              </w:rPr>
            </w:pPr>
            <w:r>
              <w:rPr>
                <w:b/>
              </w:rPr>
              <w:t>%</w:t>
            </w:r>
          </w:p>
        </w:tc>
      </w:tr>
      <w:tr w:rsidR="004D0C16" w14:paraId="65B29F5B" w14:textId="129D73A5" w:rsidTr="27B0A8D9">
        <w:tc>
          <w:tcPr>
            <w:tcW w:w="5923" w:type="dxa"/>
            <w:gridSpan w:val="2"/>
            <w:shd w:val="clear" w:color="auto" w:fill="E2EFD9" w:themeFill="accent6" w:themeFillTint="33"/>
          </w:tcPr>
          <w:p w14:paraId="106E2D7B" w14:textId="77777777" w:rsidR="004D0C16" w:rsidRPr="00372D1F" w:rsidRDefault="004D0C16" w:rsidP="00222083">
            <w:pPr>
              <w:spacing w:line="300" w:lineRule="exact"/>
              <w:jc w:val="both"/>
              <w:rPr>
                <w:b/>
                <w:color w:val="808080" w:themeColor="background1" w:themeShade="80"/>
              </w:rPr>
            </w:pPr>
            <w:r>
              <w:rPr>
                <w:b/>
              </w:rPr>
              <w:lastRenderedPageBreak/>
              <w:t>2022</w:t>
            </w:r>
          </w:p>
        </w:tc>
        <w:tc>
          <w:tcPr>
            <w:tcW w:w="2015" w:type="dxa"/>
            <w:shd w:val="clear" w:color="auto" w:fill="E2EFD9" w:themeFill="accent6" w:themeFillTint="33"/>
          </w:tcPr>
          <w:p w14:paraId="6DD37EC1" w14:textId="77777777" w:rsidR="004D0C16" w:rsidRDefault="004D0C16" w:rsidP="00222083">
            <w:pPr>
              <w:spacing w:line="300" w:lineRule="exact"/>
              <w:jc w:val="both"/>
              <w:rPr>
                <w:bCs/>
                <w:color w:val="808080" w:themeColor="background1" w:themeShade="80"/>
                <w:lang w:val="en-GB"/>
              </w:rPr>
            </w:pPr>
          </w:p>
        </w:tc>
        <w:tc>
          <w:tcPr>
            <w:tcW w:w="1134" w:type="dxa"/>
            <w:shd w:val="clear" w:color="auto" w:fill="E2EFD9" w:themeFill="accent6" w:themeFillTint="33"/>
          </w:tcPr>
          <w:p w14:paraId="3D6A3C6F" w14:textId="77777777" w:rsidR="004D0C16" w:rsidRDefault="004D0C16" w:rsidP="00222083">
            <w:pPr>
              <w:spacing w:line="300" w:lineRule="exact"/>
              <w:jc w:val="both"/>
              <w:rPr>
                <w:bCs/>
                <w:color w:val="808080" w:themeColor="background1" w:themeShade="80"/>
                <w:lang w:val="en-GB"/>
              </w:rPr>
            </w:pPr>
          </w:p>
        </w:tc>
      </w:tr>
      <w:tr w:rsidR="004D0C16" w:rsidRPr="00C74389" w14:paraId="113A41E1" w14:textId="1B4A5F63" w:rsidTr="27B0A8D9">
        <w:tc>
          <w:tcPr>
            <w:tcW w:w="2523" w:type="dxa"/>
            <w:shd w:val="clear" w:color="auto" w:fill="FFFFFF" w:themeFill="background1"/>
          </w:tcPr>
          <w:p w14:paraId="44981B8B" w14:textId="3F61D0C2" w:rsidR="000E08EA" w:rsidRDefault="000E08EA" w:rsidP="00222083">
            <w:pPr>
              <w:spacing w:line="300" w:lineRule="exact"/>
              <w:jc w:val="both"/>
            </w:pPr>
            <w:r>
              <w:t>Gestion technique du Programme, planification et logistique pour suivre le niveau d'avancement</w:t>
            </w:r>
          </w:p>
          <w:p w14:paraId="10985FF8" w14:textId="26786DB1" w:rsidR="004D0C16" w:rsidRPr="00C74389" w:rsidRDefault="000E08EA" w:rsidP="00222083">
            <w:pPr>
              <w:spacing w:line="300" w:lineRule="exact"/>
              <w:jc w:val="both"/>
              <w:rPr>
                <w:bCs/>
                <w:color w:val="808080" w:themeColor="background1" w:themeShade="80"/>
              </w:rPr>
            </w:pPr>
            <w:r>
              <w:t xml:space="preserve">pour atteindre les enfants </w:t>
            </w:r>
            <w:r w:rsidR="00EC1DE1">
              <w:t xml:space="preserve">0 </w:t>
            </w:r>
            <w:r>
              <w:t>dose</w:t>
            </w:r>
          </w:p>
        </w:tc>
        <w:tc>
          <w:tcPr>
            <w:tcW w:w="3400" w:type="dxa"/>
            <w:shd w:val="clear" w:color="auto" w:fill="FFFFFF" w:themeFill="background1"/>
          </w:tcPr>
          <w:p w14:paraId="5C7C851D" w14:textId="4D75D700" w:rsidR="00B122DF" w:rsidRDefault="00B122DF" w:rsidP="00222083">
            <w:pPr>
              <w:spacing w:line="300" w:lineRule="exact"/>
              <w:jc w:val="both"/>
            </w:pPr>
            <w:r>
              <w:t xml:space="preserve">Renforcer la capacité des organes de gouvernance technique pour la planification, la coordination et le suivi des </w:t>
            </w:r>
          </w:p>
          <w:p w14:paraId="40A674E0" w14:textId="0AD00B8F" w:rsidR="004D0C16" w:rsidRPr="00C74389" w:rsidRDefault="001B24D4" w:rsidP="00222083">
            <w:pPr>
              <w:spacing w:line="300" w:lineRule="exact"/>
              <w:jc w:val="both"/>
              <w:rPr>
                <w:bCs/>
                <w:color w:val="808080" w:themeColor="background1" w:themeShade="80"/>
              </w:rPr>
            </w:pPr>
            <w:r>
              <w:t>progr</w:t>
            </w:r>
            <w:r w:rsidR="000C6EBF">
              <w:t>è</w:t>
            </w:r>
            <w:r>
              <w:t>s</w:t>
            </w:r>
            <w:r w:rsidR="00B122DF">
              <w:t xml:space="preserve"> pour atteindre les enfants </w:t>
            </w:r>
            <w:r>
              <w:t>0</w:t>
            </w:r>
            <w:r w:rsidR="00A526FC">
              <w:t xml:space="preserve"> dose</w:t>
            </w:r>
            <w:r>
              <w:t>.</w:t>
            </w:r>
          </w:p>
        </w:tc>
        <w:tc>
          <w:tcPr>
            <w:tcW w:w="2015" w:type="dxa"/>
            <w:shd w:val="clear" w:color="auto" w:fill="FFFFFF" w:themeFill="background1"/>
          </w:tcPr>
          <w:p w14:paraId="4CDE8FAA" w14:textId="5B22C064" w:rsidR="004D0C16" w:rsidRPr="00C74389" w:rsidRDefault="00CC46A3" w:rsidP="00222083">
            <w:pPr>
              <w:spacing w:line="300" w:lineRule="exact"/>
              <w:jc w:val="both"/>
              <w:rPr>
                <w:bCs/>
                <w:color w:val="808080" w:themeColor="background1" w:themeShade="80"/>
              </w:rPr>
            </w:pPr>
            <w:r w:rsidRPr="00E62323">
              <w:rPr>
                <w:color w:val="808080" w:themeColor="background1" w:themeShade="80"/>
              </w:rPr>
              <w:t>27</w:t>
            </w:r>
            <w:r w:rsidR="007E69A1">
              <w:rPr>
                <w:color w:val="808080" w:themeColor="background1" w:themeShade="80"/>
              </w:rPr>
              <w:t>,</w:t>
            </w:r>
            <w:r>
              <w:rPr>
                <w:color w:val="808080" w:themeColor="background1" w:themeShade="80"/>
              </w:rPr>
              <w:t>000</w:t>
            </w:r>
            <w:r w:rsidR="007E69A1">
              <w:rPr>
                <w:color w:val="808080" w:themeColor="background1" w:themeShade="80"/>
              </w:rPr>
              <w:t>.0</w:t>
            </w:r>
            <w:r w:rsidRPr="00E62323">
              <w:rPr>
                <w:color w:val="808080" w:themeColor="background1" w:themeShade="80"/>
              </w:rPr>
              <w:t xml:space="preserve"> </w:t>
            </w:r>
          </w:p>
        </w:tc>
        <w:tc>
          <w:tcPr>
            <w:tcW w:w="1134" w:type="dxa"/>
            <w:shd w:val="clear" w:color="auto" w:fill="FFFFFF" w:themeFill="background1"/>
          </w:tcPr>
          <w:p w14:paraId="0F3A2B8A" w14:textId="0635FA08" w:rsidR="004D0C16" w:rsidRPr="00C74389" w:rsidRDefault="007E69A1" w:rsidP="00222083">
            <w:pPr>
              <w:spacing w:line="300" w:lineRule="exact"/>
              <w:jc w:val="both"/>
              <w:rPr>
                <w:bCs/>
                <w:color w:val="808080" w:themeColor="background1" w:themeShade="80"/>
              </w:rPr>
            </w:pPr>
            <w:r>
              <w:rPr>
                <w:bCs/>
                <w:color w:val="808080" w:themeColor="background1" w:themeShade="80"/>
              </w:rPr>
              <w:t>5%</w:t>
            </w:r>
          </w:p>
        </w:tc>
      </w:tr>
      <w:tr w:rsidR="425AD08B" w14:paraId="66AB4C14" w14:textId="77777777" w:rsidTr="425AD08B">
        <w:tc>
          <w:tcPr>
            <w:tcW w:w="2523" w:type="dxa"/>
            <w:shd w:val="clear" w:color="auto" w:fill="FFFFFF" w:themeFill="background1"/>
          </w:tcPr>
          <w:p w14:paraId="3B44615F" w14:textId="652A7AF0" w:rsidR="425AD08B" w:rsidRDefault="425AD08B" w:rsidP="00222083">
            <w:pPr>
              <w:spacing w:line="300" w:lineRule="exact"/>
              <w:jc w:val="both"/>
            </w:pPr>
            <w:r>
              <w:t>Gouvernance,</w:t>
            </w:r>
          </w:p>
          <w:p w14:paraId="2166ADAC" w14:textId="18FEC4D8" w:rsidR="425AD08B" w:rsidRDefault="425AD08B" w:rsidP="00222083">
            <w:pPr>
              <w:spacing w:line="300" w:lineRule="exact"/>
              <w:jc w:val="both"/>
            </w:pPr>
            <w:r>
              <w:t>politique,</w:t>
            </w:r>
          </w:p>
          <w:p w14:paraId="61ABB323" w14:textId="417D1A44" w:rsidR="425AD08B" w:rsidRDefault="425AD08B" w:rsidP="00222083">
            <w:pPr>
              <w:spacing w:line="300" w:lineRule="exact"/>
              <w:jc w:val="both"/>
            </w:pPr>
            <w:r>
              <w:t>planification</w:t>
            </w:r>
          </w:p>
          <w:p w14:paraId="0BC28983" w14:textId="1B7ECE6D" w:rsidR="425AD08B" w:rsidRDefault="425AD08B" w:rsidP="00222083">
            <w:pPr>
              <w:spacing w:line="300" w:lineRule="exact"/>
              <w:jc w:val="both"/>
            </w:pPr>
            <w:r>
              <w:t>stratégique et</w:t>
            </w:r>
          </w:p>
          <w:p w14:paraId="4D2A776E" w14:textId="18CCD0E6" w:rsidR="425AD08B" w:rsidRDefault="425AD08B" w:rsidP="00222083">
            <w:pPr>
              <w:spacing w:line="300" w:lineRule="exact"/>
              <w:jc w:val="both"/>
            </w:pPr>
            <w:r>
              <w:t>gestion du</w:t>
            </w:r>
          </w:p>
          <w:p w14:paraId="5B996AE6" w14:textId="610CC41A" w:rsidR="425AD08B" w:rsidRDefault="425AD08B" w:rsidP="00222083">
            <w:pPr>
              <w:spacing w:line="300" w:lineRule="exact"/>
              <w:jc w:val="both"/>
            </w:pPr>
            <w:r>
              <w:t>programme</w:t>
            </w:r>
          </w:p>
        </w:tc>
        <w:tc>
          <w:tcPr>
            <w:tcW w:w="3400" w:type="dxa"/>
            <w:shd w:val="clear" w:color="auto" w:fill="FFFFFF" w:themeFill="background1"/>
          </w:tcPr>
          <w:p w14:paraId="50839771" w14:textId="2FC3C878" w:rsidR="425AD08B" w:rsidRDefault="425AD08B" w:rsidP="00222083">
            <w:pPr>
              <w:spacing w:line="300" w:lineRule="exact"/>
              <w:jc w:val="both"/>
            </w:pPr>
            <w:r>
              <w:t>Appui à l’intégration des services de santé primaires y compris la vaccination dans l’objectif de la mise en place de la stratégie vers UHC</w:t>
            </w:r>
          </w:p>
          <w:p w14:paraId="636FD5BF" w14:textId="68B63779" w:rsidR="425AD08B" w:rsidRDefault="425AD08B" w:rsidP="00222083">
            <w:pPr>
              <w:spacing w:line="300" w:lineRule="exact"/>
              <w:jc w:val="both"/>
            </w:pPr>
            <w:r>
              <w:t>Appui à la politique communautaire de santé</w:t>
            </w:r>
          </w:p>
          <w:p w14:paraId="15D403C8" w14:textId="2AD35B91" w:rsidR="425AD08B" w:rsidRDefault="425AD08B" w:rsidP="00222083">
            <w:pPr>
              <w:spacing w:line="300" w:lineRule="exact"/>
              <w:jc w:val="both"/>
            </w:pPr>
            <w:r>
              <w:t>Suivi des plans de travail et budgets annuels de Gavi – en lien avec le PNS et le PNDS</w:t>
            </w:r>
          </w:p>
        </w:tc>
        <w:tc>
          <w:tcPr>
            <w:tcW w:w="2015" w:type="dxa"/>
            <w:shd w:val="clear" w:color="auto" w:fill="FFFFFF" w:themeFill="background1"/>
          </w:tcPr>
          <w:p w14:paraId="1DC5418F" w14:textId="7DDB0CE2" w:rsidR="425AD08B" w:rsidRDefault="425AD08B" w:rsidP="00222083">
            <w:pPr>
              <w:spacing w:line="300" w:lineRule="exact"/>
              <w:jc w:val="both"/>
              <w:rPr>
                <w:color w:val="808080" w:themeColor="background1" w:themeShade="80"/>
              </w:rPr>
            </w:pPr>
            <w:r w:rsidRPr="425AD08B">
              <w:rPr>
                <w:color w:val="808080" w:themeColor="background1" w:themeShade="80"/>
              </w:rPr>
              <w:t>100,000</w:t>
            </w:r>
          </w:p>
        </w:tc>
        <w:tc>
          <w:tcPr>
            <w:tcW w:w="1134" w:type="dxa"/>
            <w:shd w:val="clear" w:color="auto" w:fill="FFFFFF" w:themeFill="background1"/>
          </w:tcPr>
          <w:p w14:paraId="08F74E85" w14:textId="343F7B7D" w:rsidR="425AD08B" w:rsidRDefault="425AD08B" w:rsidP="00222083">
            <w:pPr>
              <w:spacing w:line="300" w:lineRule="exact"/>
              <w:jc w:val="both"/>
              <w:rPr>
                <w:color w:val="808080" w:themeColor="background1" w:themeShade="80"/>
              </w:rPr>
            </w:pPr>
            <w:r w:rsidRPr="425AD08B">
              <w:rPr>
                <w:color w:val="808080" w:themeColor="background1" w:themeShade="80"/>
              </w:rPr>
              <w:t>18.9%</w:t>
            </w:r>
          </w:p>
        </w:tc>
      </w:tr>
      <w:tr w:rsidR="004D0C16" w:rsidRPr="00C74389" w14:paraId="795A975C" w14:textId="61E0C5F4" w:rsidTr="27B0A8D9">
        <w:tc>
          <w:tcPr>
            <w:tcW w:w="2523" w:type="dxa"/>
            <w:shd w:val="clear" w:color="auto" w:fill="FFFFFF" w:themeFill="background1"/>
          </w:tcPr>
          <w:p w14:paraId="02FE1568" w14:textId="44834377" w:rsidR="004D0C16" w:rsidRPr="00C74389" w:rsidRDefault="00830E48" w:rsidP="00222083">
            <w:pPr>
              <w:spacing w:line="300" w:lineRule="exact"/>
              <w:jc w:val="both"/>
              <w:rPr>
                <w:bCs/>
                <w:color w:val="808080" w:themeColor="background1" w:themeShade="80"/>
              </w:rPr>
            </w:pPr>
            <w:r w:rsidRPr="00830E48">
              <w:t xml:space="preserve">Systèmes d'information sanitaire et suivi et apprentissage </w:t>
            </w:r>
          </w:p>
        </w:tc>
        <w:tc>
          <w:tcPr>
            <w:tcW w:w="3400" w:type="dxa"/>
            <w:shd w:val="clear" w:color="auto" w:fill="FFFFFF" w:themeFill="background1"/>
          </w:tcPr>
          <w:p w14:paraId="22D1618D" w14:textId="4C7661A2" w:rsidR="00830E48" w:rsidRDefault="00C74389" w:rsidP="00222083">
            <w:pPr>
              <w:spacing w:line="300" w:lineRule="exact"/>
              <w:jc w:val="both"/>
            </w:pPr>
            <w:r w:rsidRPr="00C74389">
              <w:t>Harmoniser les données de l'enregistrement d</w:t>
            </w:r>
            <w:r w:rsidR="001A5DC3">
              <w:t>è</w:t>
            </w:r>
            <w:r w:rsidRPr="00C74389">
              <w:t xml:space="preserve">s </w:t>
            </w:r>
            <w:r>
              <w:t xml:space="preserve">la </w:t>
            </w:r>
            <w:r w:rsidRPr="00C74389">
              <w:t>naissance</w:t>
            </w:r>
            <w:r w:rsidR="00830E48">
              <w:t>, d</w:t>
            </w:r>
            <w:r w:rsidR="00830E48" w:rsidRPr="00C74389">
              <w:t>éveloppe</w:t>
            </w:r>
            <w:r w:rsidR="00830E48">
              <w:t xml:space="preserve">r </w:t>
            </w:r>
            <w:r w:rsidR="00830E48" w:rsidRPr="00C74389">
              <w:t>un système d'enregistrement électronique pour la vaccination</w:t>
            </w:r>
            <w:r w:rsidR="00830E48">
              <w:t xml:space="preserve"> et renforcer la capacité d'effectuer des analyses avancées,</w:t>
            </w:r>
          </w:p>
          <w:p w14:paraId="6887E0E4" w14:textId="51E09F22" w:rsidR="004D0C16" w:rsidRPr="00C74389" w:rsidRDefault="00830E48" w:rsidP="00222083">
            <w:pPr>
              <w:spacing w:line="300" w:lineRule="exact"/>
              <w:jc w:val="both"/>
              <w:rPr>
                <w:bCs/>
                <w:color w:val="808080" w:themeColor="background1" w:themeShade="80"/>
              </w:rPr>
            </w:pPr>
            <w:r>
              <w:t>y compris la triangulation des données.</w:t>
            </w:r>
          </w:p>
        </w:tc>
        <w:tc>
          <w:tcPr>
            <w:tcW w:w="2015" w:type="dxa"/>
            <w:shd w:val="clear" w:color="auto" w:fill="FFFFFF" w:themeFill="background1"/>
          </w:tcPr>
          <w:p w14:paraId="3FCB67D1" w14:textId="5789C3A0" w:rsidR="004D0C16" w:rsidRPr="00C74389" w:rsidRDefault="007E69A1" w:rsidP="00222083">
            <w:pPr>
              <w:spacing w:line="300" w:lineRule="exact"/>
              <w:jc w:val="both"/>
              <w:rPr>
                <w:bCs/>
                <w:color w:val="808080" w:themeColor="background1" w:themeShade="80"/>
              </w:rPr>
            </w:pPr>
            <w:r>
              <w:rPr>
                <w:bCs/>
                <w:color w:val="808080" w:themeColor="background1" w:themeShade="80"/>
              </w:rPr>
              <w:t>18</w:t>
            </w:r>
            <w:r w:rsidR="00F57074">
              <w:rPr>
                <w:bCs/>
                <w:color w:val="808080" w:themeColor="background1" w:themeShade="80"/>
              </w:rPr>
              <w:t>0</w:t>
            </w:r>
            <w:r>
              <w:rPr>
                <w:bCs/>
                <w:color w:val="808080" w:themeColor="background1" w:themeShade="80"/>
              </w:rPr>
              <w:t>,000.0</w:t>
            </w:r>
            <w:r w:rsidR="001328C6">
              <w:rPr>
                <w:bCs/>
                <w:color w:val="808080" w:themeColor="background1" w:themeShade="80"/>
              </w:rPr>
              <w:t xml:space="preserve"> </w:t>
            </w:r>
          </w:p>
        </w:tc>
        <w:tc>
          <w:tcPr>
            <w:tcW w:w="1134" w:type="dxa"/>
            <w:shd w:val="clear" w:color="auto" w:fill="FFFFFF" w:themeFill="background1"/>
          </w:tcPr>
          <w:p w14:paraId="07171017" w14:textId="6E33E276" w:rsidR="004D0C16" w:rsidRPr="00C74389" w:rsidRDefault="007E69A1" w:rsidP="00222083">
            <w:pPr>
              <w:spacing w:line="300" w:lineRule="exact"/>
              <w:jc w:val="both"/>
              <w:rPr>
                <w:bCs/>
                <w:color w:val="808080" w:themeColor="background1" w:themeShade="80"/>
              </w:rPr>
            </w:pPr>
            <w:r>
              <w:rPr>
                <w:bCs/>
                <w:color w:val="808080" w:themeColor="background1" w:themeShade="80"/>
              </w:rPr>
              <w:t>3</w:t>
            </w:r>
            <w:r w:rsidR="003371DA">
              <w:rPr>
                <w:bCs/>
                <w:color w:val="808080" w:themeColor="background1" w:themeShade="80"/>
              </w:rPr>
              <w:t>4</w:t>
            </w:r>
            <w:r w:rsidR="00BF003B">
              <w:rPr>
                <w:bCs/>
                <w:color w:val="808080" w:themeColor="background1" w:themeShade="80"/>
              </w:rPr>
              <w:t>.</w:t>
            </w:r>
            <w:r w:rsidR="00C15122">
              <w:rPr>
                <w:bCs/>
                <w:color w:val="808080" w:themeColor="background1" w:themeShade="80"/>
              </w:rPr>
              <w:t>2</w:t>
            </w:r>
            <w:r>
              <w:rPr>
                <w:bCs/>
                <w:color w:val="808080" w:themeColor="background1" w:themeShade="80"/>
              </w:rPr>
              <w:t>%</w:t>
            </w:r>
          </w:p>
        </w:tc>
      </w:tr>
      <w:tr w:rsidR="00D3328E" w:rsidRPr="00B8492E" w14:paraId="30935B09" w14:textId="77777777" w:rsidTr="27B0A8D9">
        <w:tc>
          <w:tcPr>
            <w:tcW w:w="2523" w:type="dxa"/>
            <w:shd w:val="clear" w:color="auto" w:fill="FFFFFF" w:themeFill="background1"/>
          </w:tcPr>
          <w:p w14:paraId="6B92E0A8" w14:textId="4175AB2D" w:rsidR="00830E48" w:rsidRDefault="00830E48" w:rsidP="00222083">
            <w:pPr>
              <w:spacing w:line="300" w:lineRule="exact"/>
              <w:jc w:val="both"/>
            </w:pPr>
            <w:r>
              <w:t>Vaccination pour atteindre la dose zéro,</w:t>
            </w:r>
          </w:p>
          <w:p w14:paraId="1D7A10CE" w14:textId="7CC17255" w:rsidR="00D3328E" w:rsidRPr="00C74389" w:rsidRDefault="00830E48" w:rsidP="00222083">
            <w:pPr>
              <w:spacing w:line="300" w:lineRule="exact"/>
              <w:jc w:val="both"/>
            </w:pPr>
            <w:r>
              <w:t>enfants sous-immunisés et communautés oubliées</w:t>
            </w:r>
          </w:p>
        </w:tc>
        <w:tc>
          <w:tcPr>
            <w:tcW w:w="3400" w:type="dxa"/>
            <w:shd w:val="clear" w:color="auto" w:fill="FFFFFF" w:themeFill="background1"/>
          </w:tcPr>
          <w:p w14:paraId="227815A2" w14:textId="77777777" w:rsidR="00B8492E" w:rsidRDefault="00B8492E" w:rsidP="00222083">
            <w:pPr>
              <w:spacing w:line="300" w:lineRule="exact"/>
              <w:jc w:val="both"/>
            </w:pPr>
            <w:r>
              <w:t>Étendre les services de vaccination pour atteindre la dose zéro,</w:t>
            </w:r>
          </w:p>
          <w:p w14:paraId="6EE369A7" w14:textId="73E2B699" w:rsidR="00D3328E" w:rsidRPr="00B8492E" w:rsidRDefault="00B8492E" w:rsidP="00222083">
            <w:pPr>
              <w:spacing w:line="300" w:lineRule="exact"/>
              <w:jc w:val="both"/>
            </w:pPr>
            <w:r>
              <w:t>enfants sous-immunisés et communautés oubliées</w:t>
            </w:r>
          </w:p>
        </w:tc>
        <w:tc>
          <w:tcPr>
            <w:tcW w:w="2015" w:type="dxa"/>
            <w:shd w:val="clear" w:color="auto" w:fill="FFFFFF" w:themeFill="background1"/>
          </w:tcPr>
          <w:p w14:paraId="25591C10" w14:textId="1BD21F7F" w:rsidR="00D3328E" w:rsidRPr="00B8492E" w:rsidRDefault="00F43C6C" w:rsidP="00222083">
            <w:pPr>
              <w:spacing w:line="300" w:lineRule="exact"/>
              <w:jc w:val="both"/>
              <w:rPr>
                <w:bCs/>
                <w:color w:val="808080" w:themeColor="background1" w:themeShade="80"/>
              </w:rPr>
            </w:pPr>
            <w:r>
              <w:rPr>
                <w:bCs/>
                <w:color w:val="808080" w:themeColor="background1" w:themeShade="80"/>
              </w:rPr>
              <w:t>75</w:t>
            </w:r>
            <w:r w:rsidR="0008629B">
              <w:rPr>
                <w:bCs/>
                <w:color w:val="808080" w:themeColor="background1" w:themeShade="80"/>
              </w:rPr>
              <w:t>,711</w:t>
            </w:r>
            <w:r w:rsidR="007E69A1">
              <w:rPr>
                <w:bCs/>
                <w:color w:val="808080" w:themeColor="background1" w:themeShade="80"/>
              </w:rPr>
              <w:t>.0</w:t>
            </w:r>
          </w:p>
        </w:tc>
        <w:tc>
          <w:tcPr>
            <w:tcW w:w="1134" w:type="dxa"/>
            <w:shd w:val="clear" w:color="auto" w:fill="FFFFFF" w:themeFill="background1"/>
          </w:tcPr>
          <w:p w14:paraId="669656F8" w14:textId="670F117E" w:rsidR="00D3328E" w:rsidRPr="00B8492E" w:rsidRDefault="00C51174" w:rsidP="00222083">
            <w:pPr>
              <w:spacing w:line="300" w:lineRule="exact"/>
              <w:jc w:val="both"/>
              <w:rPr>
                <w:bCs/>
                <w:color w:val="808080" w:themeColor="background1" w:themeShade="80"/>
              </w:rPr>
            </w:pPr>
            <w:r>
              <w:rPr>
                <w:color w:val="808080" w:themeColor="background1" w:themeShade="80"/>
              </w:rPr>
              <w:t>14.3</w:t>
            </w:r>
            <w:r w:rsidR="007E69A1">
              <w:rPr>
                <w:bCs/>
                <w:color w:val="808080" w:themeColor="background1" w:themeShade="80"/>
              </w:rPr>
              <w:t>%</w:t>
            </w:r>
          </w:p>
        </w:tc>
      </w:tr>
      <w:tr w:rsidR="27B0A8D9" w14:paraId="72A56FA0" w14:textId="77777777" w:rsidTr="27B0A8D9">
        <w:tc>
          <w:tcPr>
            <w:tcW w:w="2523" w:type="dxa"/>
            <w:shd w:val="clear" w:color="auto" w:fill="FFFFFF" w:themeFill="background1"/>
          </w:tcPr>
          <w:p w14:paraId="68E86BD4" w14:textId="614BCFDE" w:rsidR="27B0A8D9" w:rsidRDefault="27B0A8D9" w:rsidP="00222083">
            <w:pPr>
              <w:spacing w:line="300" w:lineRule="exact"/>
              <w:jc w:val="both"/>
            </w:pPr>
            <w:r>
              <w:t>Financement de la santé</w:t>
            </w:r>
          </w:p>
        </w:tc>
        <w:tc>
          <w:tcPr>
            <w:tcW w:w="3400" w:type="dxa"/>
            <w:shd w:val="clear" w:color="auto" w:fill="FFFFFF" w:themeFill="background1"/>
          </w:tcPr>
          <w:p w14:paraId="6B121A1B" w14:textId="2EE38382" w:rsidR="27B0A8D9" w:rsidRDefault="27B0A8D9" w:rsidP="00222083">
            <w:pPr>
              <w:spacing w:line="300" w:lineRule="exact"/>
              <w:jc w:val="both"/>
            </w:pPr>
            <w:r>
              <w:t>Améliorer le financement des vaccins et de la prestation de services dans le cadre de la fin de la transition accélérée (2023)</w:t>
            </w:r>
          </w:p>
          <w:p w14:paraId="082B22DF" w14:textId="38488973" w:rsidR="27B0A8D9" w:rsidRDefault="27B0A8D9" w:rsidP="00222083">
            <w:pPr>
              <w:spacing w:line="300" w:lineRule="exact"/>
              <w:jc w:val="both"/>
            </w:pPr>
            <w:r>
              <w:t xml:space="preserve">Exemple: Effectuer une projection des besoins en vaccins et des coûts de fonctionnement (comprend l'évaluation du coût de la gratuité des services, afin de les </w:t>
            </w:r>
            <w:r>
              <w:lastRenderedPageBreak/>
              <w:t>rationaliser et d'assurer leur financement durable, recommandation du rapport du CSU sur la section financement de la santé)</w:t>
            </w:r>
          </w:p>
        </w:tc>
        <w:tc>
          <w:tcPr>
            <w:tcW w:w="2015" w:type="dxa"/>
            <w:shd w:val="clear" w:color="auto" w:fill="FFFFFF" w:themeFill="background1"/>
          </w:tcPr>
          <w:p w14:paraId="388DE13D" w14:textId="6A471D41" w:rsidR="27B0A8D9" w:rsidRDefault="27B0A8D9" w:rsidP="00222083">
            <w:pPr>
              <w:spacing w:line="300" w:lineRule="exact"/>
              <w:jc w:val="both"/>
              <w:rPr>
                <w:color w:val="808080" w:themeColor="background1" w:themeShade="80"/>
              </w:rPr>
            </w:pPr>
            <w:r w:rsidRPr="27B0A8D9">
              <w:rPr>
                <w:color w:val="808080" w:themeColor="background1" w:themeShade="80"/>
              </w:rPr>
              <w:lastRenderedPageBreak/>
              <w:t>75,000</w:t>
            </w:r>
          </w:p>
        </w:tc>
        <w:tc>
          <w:tcPr>
            <w:tcW w:w="1134" w:type="dxa"/>
            <w:shd w:val="clear" w:color="auto" w:fill="FFFFFF" w:themeFill="background1"/>
          </w:tcPr>
          <w:p w14:paraId="2B08EAC6" w14:textId="0F5DE322" w:rsidR="27B0A8D9" w:rsidRDefault="425AD08B" w:rsidP="00222083">
            <w:pPr>
              <w:spacing w:line="300" w:lineRule="exact"/>
              <w:jc w:val="both"/>
              <w:rPr>
                <w:color w:val="808080" w:themeColor="background1" w:themeShade="80"/>
              </w:rPr>
            </w:pPr>
            <w:r w:rsidRPr="425AD08B">
              <w:rPr>
                <w:color w:val="808080" w:themeColor="background1" w:themeShade="80"/>
              </w:rPr>
              <w:t>14%</w:t>
            </w:r>
          </w:p>
        </w:tc>
      </w:tr>
      <w:tr w:rsidR="00B8492E" w:rsidRPr="00B8492E" w14:paraId="7B9D91F8" w14:textId="77777777" w:rsidTr="27B0A8D9">
        <w:tc>
          <w:tcPr>
            <w:tcW w:w="2523" w:type="dxa"/>
            <w:shd w:val="clear" w:color="auto" w:fill="FFFFFF" w:themeFill="background1"/>
          </w:tcPr>
          <w:p w14:paraId="1AF18E1D" w14:textId="748C59F1" w:rsidR="00B8492E" w:rsidRPr="00C74389" w:rsidRDefault="00307865" w:rsidP="00222083">
            <w:pPr>
              <w:spacing w:line="300" w:lineRule="exact"/>
              <w:jc w:val="both"/>
            </w:pPr>
            <w:r w:rsidRPr="00307865">
              <w:t>Amélior</w:t>
            </w:r>
            <w:r>
              <w:t>ation de</w:t>
            </w:r>
            <w:r w:rsidRPr="00307865">
              <w:t xml:space="preserve"> la capacité technique et de gestion des agents de santé pour planifier, mettre en œuvre et contrôler les services de vaccination</w:t>
            </w:r>
          </w:p>
        </w:tc>
        <w:tc>
          <w:tcPr>
            <w:tcW w:w="3400" w:type="dxa"/>
            <w:shd w:val="clear" w:color="auto" w:fill="FFFFFF" w:themeFill="background1"/>
          </w:tcPr>
          <w:p w14:paraId="56B19D6E" w14:textId="700A17CA" w:rsidR="00EE4A6A" w:rsidRDefault="00EE4A6A" w:rsidP="00222083">
            <w:pPr>
              <w:spacing w:line="300" w:lineRule="exact"/>
              <w:jc w:val="both"/>
            </w:pPr>
            <w:r w:rsidRPr="00C74389">
              <w:t xml:space="preserve">Créer des capacités </w:t>
            </w:r>
            <w:r>
              <w:t>d’apprentissage mixte innovant</w:t>
            </w:r>
            <w:r w:rsidR="00B65B4E">
              <w:t>es</w:t>
            </w:r>
            <w:r>
              <w:t>, y compris par les pairs, l'apprentissage mobile,</w:t>
            </w:r>
          </w:p>
          <w:p w14:paraId="76F177C0" w14:textId="77777777" w:rsidR="00EE4A6A" w:rsidRDefault="00EE4A6A" w:rsidP="00222083">
            <w:pPr>
              <w:spacing w:line="300" w:lineRule="exact"/>
              <w:jc w:val="both"/>
            </w:pPr>
            <w:r>
              <w:t>résolution collaborative de problèmes et à distance</w:t>
            </w:r>
          </w:p>
          <w:p w14:paraId="288BE515" w14:textId="5672C750" w:rsidR="00EE4A6A" w:rsidRDefault="00EE4A6A" w:rsidP="00222083">
            <w:pPr>
              <w:spacing w:line="300" w:lineRule="exact"/>
              <w:jc w:val="both"/>
            </w:pPr>
            <w:r>
              <w:t>pour améliorer la motivation des agents de santé,</w:t>
            </w:r>
            <w:r w:rsidR="00B65B4E">
              <w:t xml:space="preserve"> les</w:t>
            </w:r>
          </w:p>
          <w:p w14:paraId="3FE5B558" w14:textId="19E01280" w:rsidR="00B8492E" w:rsidRPr="00B8492E" w:rsidRDefault="00EE4A6A" w:rsidP="00222083">
            <w:pPr>
              <w:spacing w:line="300" w:lineRule="exact"/>
              <w:jc w:val="both"/>
            </w:pPr>
            <w:r>
              <w:t>connaissances, compétences et performances</w:t>
            </w:r>
          </w:p>
        </w:tc>
        <w:tc>
          <w:tcPr>
            <w:tcW w:w="2015" w:type="dxa"/>
            <w:shd w:val="clear" w:color="auto" w:fill="FFFFFF" w:themeFill="background1"/>
          </w:tcPr>
          <w:p w14:paraId="6A6ABD65" w14:textId="75422672" w:rsidR="00B8492E" w:rsidRPr="00B8492E" w:rsidRDefault="00F57074" w:rsidP="00222083">
            <w:pPr>
              <w:spacing w:line="300" w:lineRule="exact"/>
              <w:jc w:val="both"/>
              <w:rPr>
                <w:bCs/>
                <w:color w:val="808080" w:themeColor="background1" w:themeShade="80"/>
              </w:rPr>
            </w:pPr>
            <w:r>
              <w:rPr>
                <w:bCs/>
                <w:color w:val="808080" w:themeColor="background1" w:themeShade="80"/>
              </w:rPr>
              <w:t>20</w:t>
            </w:r>
            <w:r w:rsidR="00230E80">
              <w:rPr>
                <w:bCs/>
                <w:color w:val="808080" w:themeColor="background1" w:themeShade="80"/>
              </w:rPr>
              <w:t>,000.0</w:t>
            </w:r>
          </w:p>
        </w:tc>
        <w:tc>
          <w:tcPr>
            <w:tcW w:w="1134" w:type="dxa"/>
            <w:shd w:val="clear" w:color="auto" w:fill="FFFFFF" w:themeFill="background1"/>
          </w:tcPr>
          <w:p w14:paraId="1BF0B006" w14:textId="647BDEE2" w:rsidR="00B8492E" w:rsidRPr="00B8492E" w:rsidRDefault="001328C6" w:rsidP="00222083">
            <w:pPr>
              <w:spacing w:line="300" w:lineRule="exact"/>
              <w:jc w:val="both"/>
              <w:rPr>
                <w:bCs/>
                <w:color w:val="808080" w:themeColor="background1" w:themeShade="80"/>
              </w:rPr>
            </w:pPr>
            <w:r>
              <w:rPr>
                <w:bCs/>
                <w:color w:val="808080" w:themeColor="background1" w:themeShade="80"/>
              </w:rPr>
              <w:t>3.8%</w:t>
            </w:r>
          </w:p>
        </w:tc>
      </w:tr>
      <w:tr w:rsidR="425AD08B" w14:paraId="18FA4B1B" w14:textId="77777777" w:rsidTr="425AD08B">
        <w:tc>
          <w:tcPr>
            <w:tcW w:w="2523" w:type="dxa"/>
            <w:shd w:val="clear" w:color="auto" w:fill="FFFFFF" w:themeFill="background1"/>
          </w:tcPr>
          <w:p w14:paraId="7E88D5DE" w14:textId="061B47C9" w:rsidR="425AD08B" w:rsidRDefault="425AD08B" w:rsidP="00222083">
            <w:pPr>
              <w:spacing w:line="300" w:lineRule="exact"/>
              <w:jc w:val="both"/>
            </w:pPr>
            <w:r>
              <w:t>Ressources humaines pour la santé</w:t>
            </w:r>
          </w:p>
        </w:tc>
        <w:tc>
          <w:tcPr>
            <w:tcW w:w="3400" w:type="dxa"/>
            <w:shd w:val="clear" w:color="auto" w:fill="FFFFFF" w:themeFill="background1"/>
          </w:tcPr>
          <w:p w14:paraId="33A6B71A" w14:textId="60905C2D" w:rsidR="425AD08B" w:rsidRDefault="425AD08B" w:rsidP="00222083">
            <w:pPr>
              <w:spacing w:line="300" w:lineRule="exact"/>
              <w:jc w:val="both"/>
            </w:pPr>
            <w:r>
              <w:t>Elaboration de plans complets de formation continue et de formation professionnelle pour les vaccinateurs et le personnel de santé</w:t>
            </w:r>
          </w:p>
        </w:tc>
        <w:tc>
          <w:tcPr>
            <w:tcW w:w="2015" w:type="dxa"/>
            <w:shd w:val="clear" w:color="auto" w:fill="FFFFFF" w:themeFill="background1"/>
          </w:tcPr>
          <w:p w14:paraId="737E6628" w14:textId="336331E0" w:rsidR="425AD08B" w:rsidRDefault="00C51174" w:rsidP="00222083">
            <w:pPr>
              <w:spacing w:line="300" w:lineRule="exact"/>
              <w:jc w:val="both"/>
              <w:rPr>
                <w:color w:val="808080" w:themeColor="background1" w:themeShade="80"/>
              </w:rPr>
            </w:pPr>
            <w:r>
              <w:rPr>
                <w:color w:val="808080" w:themeColor="background1" w:themeShade="80"/>
              </w:rPr>
              <w:t>50,000</w:t>
            </w:r>
          </w:p>
        </w:tc>
        <w:tc>
          <w:tcPr>
            <w:tcW w:w="1134" w:type="dxa"/>
            <w:shd w:val="clear" w:color="auto" w:fill="FFFFFF" w:themeFill="background1"/>
          </w:tcPr>
          <w:p w14:paraId="47BA89CA" w14:textId="7212A957" w:rsidR="425AD08B" w:rsidRDefault="00F634C9" w:rsidP="00222083">
            <w:pPr>
              <w:spacing w:line="300" w:lineRule="exact"/>
              <w:jc w:val="both"/>
              <w:rPr>
                <w:color w:val="808080" w:themeColor="background1" w:themeShade="80"/>
              </w:rPr>
            </w:pPr>
            <w:r>
              <w:rPr>
                <w:color w:val="808080" w:themeColor="background1" w:themeShade="80"/>
              </w:rPr>
              <w:t>9%</w:t>
            </w:r>
          </w:p>
        </w:tc>
      </w:tr>
      <w:tr w:rsidR="004D0C16" w14:paraId="722EF4AE" w14:textId="037364C4" w:rsidTr="27B0A8D9">
        <w:tc>
          <w:tcPr>
            <w:tcW w:w="5923" w:type="dxa"/>
            <w:gridSpan w:val="2"/>
            <w:shd w:val="clear" w:color="auto" w:fill="E2EFD9" w:themeFill="accent6" w:themeFillTint="33"/>
          </w:tcPr>
          <w:p w14:paraId="43F4301D" w14:textId="77777777" w:rsidR="004D0C16" w:rsidRPr="00372D1F" w:rsidRDefault="004D0C16" w:rsidP="00222083">
            <w:pPr>
              <w:spacing w:line="300" w:lineRule="exact"/>
              <w:jc w:val="both"/>
              <w:rPr>
                <w:b/>
              </w:rPr>
            </w:pPr>
            <w:r>
              <w:rPr>
                <w:b/>
              </w:rPr>
              <w:t>2023</w:t>
            </w:r>
          </w:p>
        </w:tc>
        <w:tc>
          <w:tcPr>
            <w:tcW w:w="2015" w:type="dxa"/>
            <w:shd w:val="clear" w:color="auto" w:fill="E2EFD9" w:themeFill="accent6" w:themeFillTint="33"/>
          </w:tcPr>
          <w:p w14:paraId="09E6B15D" w14:textId="77777777" w:rsidR="004D0C16" w:rsidRPr="00372D1F" w:rsidRDefault="004D0C16" w:rsidP="00222083">
            <w:pPr>
              <w:spacing w:line="300" w:lineRule="exact"/>
              <w:jc w:val="both"/>
              <w:rPr>
                <w:b/>
                <w:lang w:val="en-GB"/>
              </w:rPr>
            </w:pPr>
          </w:p>
        </w:tc>
        <w:tc>
          <w:tcPr>
            <w:tcW w:w="1134" w:type="dxa"/>
            <w:shd w:val="clear" w:color="auto" w:fill="E2EFD9" w:themeFill="accent6" w:themeFillTint="33"/>
          </w:tcPr>
          <w:p w14:paraId="7CED7596" w14:textId="77777777" w:rsidR="004D0C16" w:rsidRPr="00372D1F" w:rsidRDefault="004D0C16" w:rsidP="00222083">
            <w:pPr>
              <w:spacing w:line="300" w:lineRule="exact"/>
              <w:jc w:val="both"/>
              <w:rPr>
                <w:b/>
                <w:lang w:val="en-GB"/>
              </w:rPr>
            </w:pPr>
          </w:p>
        </w:tc>
      </w:tr>
      <w:tr w:rsidR="00725460" w14:paraId="22897710" w14:textId="2350D58E" w:rsidTr="27B0A8D9">
        <w:tc>
          <w:tcPr>
            <w:tcW w:w="2523" w:type="dxa"/>
            <w:shd w:val="clear" w:color="auto" w:fill="FFFFFF" w:themeFill="background1"/>
          </w:tcPr>
          <w:p w14:paraId="0E6DA463" w14:textId="3A8BACEF" w:rsidR="00725460" w:rsidRDefault="00725460" w:rsidP="00222083">
            <w:pPr>
              <w:spacing w:line="300" w:lineRule="exact"/>
              <w:jc w:val="both"/>
              <w:rPr>
                <w:bCs/>
                <w:color w:val="808080" w:themeColor="background1" w:themeShade="80"/>
              </w:rPr>
            </w:pPr>
            <w:r>
              <w:t>G</w:t>
            </w:r>
            <w:r w:rsidRPr="00725460">
              <w:t>estion des performances des programmes à tous les niveaux</w:t>
            </w:r>
          </w:p>
        </w:tc>
        <w:tc>
          <w:tcPr>
            <w:tcW w:w="3400" w:type="dxa"/>
            <w:shd w:val="clear" w:color="auto" w:fill="FFFFFF" w:themeFill="background1"/>
          </w:tcPr>
          <w:p w14:paraId="1F48101B" w14:textId="59FC4768" w:rsidR="00725460" w:rsidRDefault="00725460" w:rsidP="00222083">
            <w:pPr>
              <w:spacing w:line="300" w:lineRule="exact"/>
              <w:jc w:val="both"/>
              <w:rPr>
                <w:bCs/>
                <w:color w:val="808080" w:themeColor="background1" w:themeShade="80"/>
              </w:rPr>
            </w:pPr>
            <w:r>
              <w:t>Renforcer la capacité de gestion du PEV à tous les niveaux pour résoudre les goulots d'étranglement et atteindre les enfants à dose zéro</w:t>
            </w:r>
          </w:p>
        </w:tc>
        <w:tc>
          <w:tcPr>
            <w:tcW w:w="2015" w:type="dxa"/>
            <w:shd w:val="clear" w:color="auto" w:fill="FFFFFF" w:themeFill="background1"/>
          </w:tcPr>
          <w:p w14:paraId="2A9EA0BF" w14:textId="0CD62501" w:rsidR="00725460" w:rsidRPr="00CC46A3" w:rsidRDefault="00D05D50" w:rsidP="00222083">
            <w:pPr>
              <w:spacing w:line="300" w:lineRule="exact"/>
              <w:jc w:val="both"/>
              <w:rPr>
                <w:bCs/>
                <w:color w:val="808080" w:themeColor="background1" w:themeShade="80"/>
              </w:rPr>
            </w:pPr>
            <w:r>
              <w:rPr>
                <w:bCs/>
                <w:color w:val="808080" w:themeColor="background1" w:themeShade="80"/>
              </w:rPr>
              <w:t>5</w:t>
            </w:r>
            <w:r w:rsidR="00725460">
              <w:rPr>
                <w:bCs/>
                <w:color w:val="808080" w:themeColor="background1" w:themeShade="80"/>
              </w:rPr>
              <w:t>4,</w:t>
            </w:r>
            <w:r>
              <w:rPr>
                <w:bCs/>
                <w:color w:val="808080" w:themeColor="background1" w:themeShade="80"/>
              </w:rPr>
              <w:t>800.0</w:t>
            </w:r>
          </w:p>
        </w:tc>
        <w:tc>
          <w:tcPr>
            <w:tcW w:w="1134" w:type="dxa"/>
            <w:shd w:val="clear" w:color="auto" w:fill="FFFFFF" w:themeFill="background1"/>
          </w:tcPr>
          <w:p w14:paraId="6F1D7982" w14:textId="53035F92" w:rsidR="00725460" w:rsidRPr="00CC46A3" w:rsidRDefault="00D05D50" w:rsidP="00222083">
            <w:pPr>
              <w:spacing w:line="300" w:lineRule="exact"/>
              <w:jc w:val="both"/>
              <w:rPr>
                <w:bCs/>
                <w:color w:val="808080" w:themeColor="background1" w:themeShade="80"/>
              </w:rPr>
            </w:pPr>
            <w:r>
              <w:rPr>
                <w:bCs/>
                <w:color w:val="808080" w:themeColor="background1" w:themeShade="80"/>
              </w:rPr>
              <w:t>7.7%</w:t>
            </w:r>
          </w:p>
        </w:tc>
      </w:tr>
      <w:tr w:rsidR="425AD08B" w14:paraId="298F96A4" w14:textId="77777777" w:rsidTr="425AD08B">
        <w:tc>
          <w:tcPr>
            <w:tcW w:w="2523" w:type="dxa"/>
            <w:shd w:val="clear" w:color="auto" w:fill="FFFFFF" w:themeFill="background1"/>
          </w:tcPr>
          <w:p w14:paraId="7102E18A" w14:textId="67813C72" w:rsidR="425AD08B" w:rsidRDefault="425AD08B" w:rsidP="00222083">
            <w:pPr>
              <w:spacing w:line="300" w:lineRule="exact"/>
              <w:jc w:val="both"/>
            </w:pPr>
            <w:r>
              <w:t>Gouvernance,</w:t>
            </w:r>
          </w:p>
          <w:p w14:paraId="5CA875C4" w14:textId="50891E29" w:rsidR="425AD08B" w:rsidRDefault="425AD08B" w:rsidP="00222083">
            <w:pPr>
              <w:spacing w:line="300" w:lineRule="exact"/>
              <w:jc w:val="both"/>
            </w:pPr>
            <w:r>
              <w:t>politique,</w:t>
            </w:r>
          </w:p>
          <w:p w14:paraId="58EB2D29" w14:textId="6B66C6E5" w:rsidR="425AD08B" w:rsidRDefault="425AD08B" w:rsidP="00222083">
            <w:pPr>
              <w:spacing w:line="300" w:lineRule="exact"/>
              <w:jc w:val="both"/>
            </w:pPr>
            <w:r>
              <w:t>planification</w:t>
            </w:r>
          </w:p>
          <w:p w14:paraId="4FD1814E" w14:textId="5BC5D65D" w:rsidR="425AD08B" w:rsidRDefault="425AD08B" w:rsidP="00222083">
            <w:pPr>
              <w:spacing w:line="300" w:lineRule="exact"/>
              <w:jc w:val="both"/>
            </w:pPr>
            <w:r>
              <w:t>stratégique et</w:t>
            </w:r>
          </w:p>
          <w:p w14:paraId="5650ED4E" w14:textId="7BFDA4F3" w:rsidR="425AD08B" w:rsidRDefault="425AD08B" w:rsidP="00222083">
            <w:pPr>
              <w:spacing w:line="300" w:lineRule="exact"/>
              <w:jc w:val="both"/>
            </w:pPr>
            <w:r>
              <w:t>gestion du</w:t>
            </w:r>
          </w:p>
          <w:p w14:paraId="61A21E13" w14:textId="7187AE26" w:rsidR="425AD08B" w:rsidRDefault="425AD08B" w:rsidP="00222083">
            <w:pPr>
              <w:spacing w:line="300" w:lineRule="exact"/>
              <w:jc w:val="both"/>
            </w:pPr>
            <w:r>
              <w:t>programme</w:t>
            </w:r>
          </w:p>
        </w:tc>
        <w:tc>
          <w:tcPr>
            <w:tcW w:w="3400" w:type="dxa"/>
            <w:shd w:val="clear" w:color="auto" w:fill="FFFFFF" w:themeFill="background1"/>
          </w:tcPr>
          <w:p w14:paraId="0C5574F6" w14:textId="2FC3C878" w:rsidR="425AD08B" w:rsidRDefault="425AD08B" w:rsidP="00222083">
            <w:pPr>
              <w:spacing w:line="300" w:lineRule="exact"/>
              <w:jc w:val="both"/>
            </w:pPr>
            <w:r>
              <w:t>Appui à l’intégration des services de santé primaires y compris la vaccination dans l’objectif de la mise en place de la stratégie vers UHC</w:t>
            </w:r>
          </w:p>
          <w:p w14:paraId="398D14F2" w14:textId="68B63779" w:rsidR="425AD08B" w:rsidRDefault="425AD08B" w:rsidP="00222083">
            <w:pPr>
              <w:spacing w:line="300" w:lineRule="exact"/>
              <w:jc w:val="both"/>
            </w:pPr>
            <w:r>
              <w:t>Appui à la politique communautaire de santé</w:t>
            </w:r>
          </w:p>
          <w:p w14:paraId="4924C0A3" w14:textId="68B6DDEE" w:rsidR="425AD08B" w:rsidRDefault="425AD08B" w:rsidP="00222083">
            <w:pPr>
              <w:spacing w:line="300" w:lineRule="exact"/>
              <w:jc w:val="both"/>
            </w:pPr>
            <w:r>
              <w:t>Suivi des plans de travail et budgets annuels de Gavi – en lien avec le PNS et le PNDS</w:t>
            </w:r>
          </w:p>
        </w:tc>
        <w:tc>
          <w:tcPr>
            <w:tcW w:w="2015" w:type="dxa"/>
            <w:shd w:val="clear" w:color="auto" w:fill="FFFFFF" w:themeFill="background1"/>
          </w:tcPr>
          <w:p w14:paraId="79174C6D" w14:textId="5D289A46" w:rsidR="425AD08B" w:rsidRDefault="425AD08B" w:rsidP="00222083">
            <w:pPr>
              <w:spacing w:line="300" w:lineRule="exact"/>
              <w:jc w:val="both"/>
              <w:rPr>
                <w:color w:val="808080" w:themeColor="background1" w:themeShade="80"/>
              </w:rPr>
            </w:pPr>
            <w:r w:rsidRPr="425AD08B">
              <w:rPr>
                <w:color w:val="808080" w:themeColor="background1" w:themeShade="80"/>
              </w:rPr>
              <w:t>100,000</w:t>
            </w:r>
          </w:p>
        </w:tc>
        <w:tc>
          <w:tcPr>
            <w:tcW w:w="1134" w:type="dxa"/>
            <w:shd w:val="clear" w:color="auto" w:fill="FFFFFF" w:themeFill="background1"/>
          </w:tcPr>
          <w:p w14:paraId="773380AD" w14:textId="494F3025" w:rsidR="425AD08B" w:rsidRDefault="425AD08B" w:rsidP="00222083">
            <w:pPr>
              <w:spacing w:line="300" w:lineRule="exact"/>
              <w:jc w:val="both"/>
              <w:rPr>
                <w:color w:val="808080" w:themeColor="background1" w:themeShade="80"/>
              </w:rPr>
            </w:pPr>
            <w:r w:rsidRPr="425AD08B">
              <w:rPr>
                <w:color w:val="808080" w:themeColor="background1" w:themeShade="80"/>
              </w:rPr>
              <w:t>14.1%</w:t>
            </w:r>
          </w:p>
        </w:tc>
      </w:tr>
      <w:tr w:rsidR="00725460" w14:paraId="4B5E226A" w14:textId="77777777" w:rsidTr="27B0A8D9">
        <w:tc>
          <w:tcPr>
            <w:tcW w:w="2523" w:type="dxa"/>
            <w:shd w:val="clear" w:color="auto" w:fill="FFFFFF" w:themeFill="background1"/>
          </w:tcPr>
          <w:p w14:paraId="6D4EF73D" w14:textId="1DD40FB3" w:rsidR="00725460" w:rsidRPr="00C74389" w:rsidRDefault="00725460" w:rsidP="00222083">
            <w:pPr>
              <w:spacing w:line="300" w:lineRule="exact"/>
              <w:jc w:val="both"/>
            </w:pPr>
            <w:r>
              <w:t xml:space="preserve">Renforcement du partenariat </w:t>
            </w:r>
            <w:r w:rsidR="00D05D50">
              <w:t>et engagement communautaire</w:t>
            </w:r>
          </w:p>
          <w:p w14:paraId="3CD1EE1B" w14:textId="77777777" w:rsidR="00725460" w:rsidRDefault="00725460" w:rsidP="00222083">
            <w:pPr>
              <w:spacing w:line="300" w:lineRule="exact"/>
              <w:jc w:val="both"/>
            </w:pPr>
          </w:p>
        </w:tc>
        <w:tc>
          <w:tcPr>
            <w:tcW w:w="3400" w:type="dxa"/>
            <w:shd w:val="clear" w:color="auto" w:fill="FFFFFF" w:themeFill="background1"/>
          </w:tcPr>
          <w:p w14:paraId="5CA8604B" w14:textId="096FC511" w:rsidR="00725460" w:rsidRDefault="00725460" w:rsidP="00222083">
            <w:pPr>
              <w:spacing w:line="300" w:lineRule="exact"/>
              <w:jc w:val="both"/>
            </w:pPr>
            <w:r>
              <w:t>Renforcer les partenariats avec les acteurs communautaires pour améliorer la demande de vaccination</w:t>
            </w:r>
          </w:p>
        </w:tc>
        <w:tc>
          <w:tcPr>
            <w:tcW w:w="2015" w:type="dxa"/>
            <w:shd w:val="clear" w:color="auto" w:fill="FFFFFF" w:themeFill="background1"/>
          </w:tcPr>
          <w:p w14:paraId="4282F8F5" w14:textId="22228D84" w:rsidR="00725460" w:rsidRPr="00CC46A3" w:rsidRDefault="00D05D50" w:rsidP="00222083">
            <w:pPr>
              <w:spacing w:line="300" w:lineRule="exact"/>
              <w:jc w:val="both"/>
              <w:rPr>
                <w:bCs/>
                <w:color w:val="808080" w:themeColor="background1" w:themeShade="80"/>
              </w:rPr>
            </w:pPr>
            <w:r>
              <w:rPr>
                <w:bCs/>
                <w:color w:val="808080" w:themeColor="background1" w:themeShade="80"/>
              </w:rPr>
              <w:t>70,000.0</w:t>
            </w:r>
          </w:p>
        </w:tc>
        <w:tc>
          <w:tcPr>
            <w:tcW w:w="1134" w:type="dxa"/>
            <w:shd w:val="clear" w:color="auto" w:fill="FFFFFF" w:themeFill="background1"/>
          </w:tcPr>
          <w:p w14:paraId="3595B56F" w14:textId="2DB31162" w:rsidR="00725460" w:rsidRPr="00CC46A3" w:rsidRDefault="00D05D50" w:rsidP="00222083">
            <w:pPr>
              <w:spacing w:line="300" w:lineRule="exact"/>
              <w:jc w:val="both"/>
              <w:rPr>
                <w:bCs/>
                <w:color w:val="808080" w:themeColor="background1" w:themeShade="80"/>
              </w:rPr>
            </w:pPr>
            <w:r>
              <w:rPr>
                <w:bCs/>
                <w:color w:val="808080" w:themeColor="background1" w:themeShade="80"/>
              </w:rPr>
              <w:t>9.9%</w:t>
            </w:r>
          </w:p>
        </w:tc>
      </w:tr>
      <w:tr w:rsidR="004D0C16" w14:paraId="15111CCA" w14:textId="23068779" w:rsidTr="27B0A8D9">
        <w:tc>
          <w:tcPr>
            <w:tcW w:w="2523" w:type="dxa"/>
            <w:shd w:val="clear" w:color="auto" w:fill="FFFFFF" w:themeFill="background1"/>
          </w:tcPr>
          <w:p w14:paraId="0EA952B8" w14:textId="077DC9B5" w:rsidR="004D0C16" w:rsidRPr="00CC46A3" w:rsidRDefault="00CC46A3" w:rsidP="00222083">
            <w:pPr>
              <w:spacing w:line="300" w:lineRule="exact"/>
              <w:jc w:val="both"/>
              <w:rPr>
                <w:bCs/>
              </w:rPr>
            </w:pPr>
            <w:r>
              <w:t>G</w:t>
            </w:r>
            <w:r w:rsidRPr="00CC46A3">
              <w:t xml:space="preserve">estion des déchets </w:t>
            </w:r>
          </w:p>
        </w:tc>
        <w:tc>
          <w:tcPr>
            <w:tcW w:w="3400" w:type="dxa"/>
            <w:shd w:val="clear" w:color="auto" w:fill="FFFFFF" w:themeFill="background1"/>
          </w:tcPr>
          <w:p w14:paraId="10D70F46" w14:textId="1FDFF840" w:rsidR="004D0C16" w:rsidRPr="00CC46A3" w:rsidRDefault="00CC46A3" w:rsidP="00222083">
            <w:pPr>
              <w:spacing w:line="300" w:lineRule="exact"/>
              <w:jc w:val="both"/>
              <w:rPr>
                <w:bCs/>
              </w:rPr>
            </w:pPr>
            <w:r w:rsidRPr="00CC46A3">
              <w:t xml:space="preserve">Renforcer la gestion des déchets </w:t>
            </w:r>
            <w:r w:rsidR="5743EE7C">
              <w:t xml:space="preserve">des vaccins et produits </w:t>
            </w:r>
            <w:r w:rsidR="5743EE7C">
              <w:lastRenderedPageBreak/>
              <w:t xml:space="preserve">d’injection </w:t>
            </w:r>
            <w:r w:rsidRPr="00CC46A3">
              <w:t>pour réduire le risque d'infection et l'impact environnemental</w:t>
            </w:r>
          </w:p>
        </w:tc>
        <w:tc>
          <w:tcPr>
            <w:tcW w:w="2015" w:type="dxa"/>
            <w:shd w:val="clear" w:color="auto" w:fill="FFFFFF" w:themeFill="background1"/>
          </w:tcPr>
          <w:p w14:paraId="2571AD46" w14:textId="12F3F96C" w:rsidR="004D0C16" w:rsidRPr="00CC46A3" w:rsidRDefault="7B7C1828" w:rsidP="00222083">
            <w:pPr>
              <w:spacing w:line="300" w:lineRule="exact"/>
              <w:jc w:val="both"/>
              <w:rPr>
                <w:bCs/>
                <w:color w:val="808080" w:themeColor="background1" w:themeShade="80"/>
              </w:rPr>
            </w:pPr>
            <w:r w:rsidRPr="425AD08B">
              <w:rPr>
                <w:color w:val="808080" w:themeColor="background1" w:themeShade="80"/>
              </w:rPr>
              <w:lastRenderedPageBreak/>
              <w:t>2</w:t>
            </w:r>
            <w:r w:rsidR="00DA564E">
              <w:rPr>
                <w:color w:val="808080" w:themeColor="background1" w:themeShade="80"/>
              </w:rPr>
              <w:t>00</w:t>
            </w:r>
            <w:r w:rsidRPr="425AD08B">
              <w:rPr>
                <w:color w:val="808080" w:themeColor="background1" w:themeShade="80"/>
              </w:rPr>
              <w:t>,700</w:t>
            </w:r>
          </w:p>
        </w:tc>
        <w:tc>
          <w:tcPr>
            <w:tcW w:w="1134" w:type="dxa"/>
            <w:shd w:val="clear" w:color="auto" w:fill="FFFFFF" w:themeFill="background1"/>
          </w:tcPr>
          <w:p w14:paraId="4C87F1AA" w14:textId="34B46533" w:rsidR="004D0C16" w:rsidRPr="00CC46A3" w:rsidRDefault="00C311B4" w:rsidP="00222083">
            <w:pPr>
              <w:spacing w:line="300" w:lineRule="exact"/>
              <w:jc w:val="both"/>
              <w:rPr>
                <w:bCs/>
                <w:color w:val="808080" w:themeColor="background1" w:themeShade="80"/>
              </w:rPr>
            </w:pPr>
            <w:r>
              <w:rPr>
                <w:bCs/>
                <w:color w:val="808080" w:themeColor="background1" w:themeShade="80"/>
              </w:rPr>
              <w:t>28.3</w:t>
            </w:r>
            <w:r w:rsidR="00D05D50">
              <w:rPr>
                <w:bCs/>
                <w:color w:val="808080" w:themeColor="background1" w:themeShade="80"/>
              </w:rPr>
              <w:t>%</w:t>
            </w:r>
          </w:p>
        </w:tc>
      </w:tr>
      <w:tr w:rsidR="004B3C6C" w14:paraId="1007B2A2" w14:textId="77777777" w:rsidTr="008C348A">
        <w:trPr>
          <w:trHeight w:val="2205"/>
        </w:trPr>
        <w:tc>
          <w:tcPr>
            <w:tcW w:w="2523" w:type="dxa"/>
            <w:shd w:val="clear" w:color="auto" w:fill="FFFFFF" w:themeFill="background1"/>
          </w:tcPr>
          <w:p w14:paraId="64152F3C" w14:textId="51FEB74E" w:rsidR="004B3C6C" w:rsidRDefault="004B3C6C" w:rsidP="00222083">
            <w:pPr>
              <w:spacing w:line="300" w:lineRule="exact"/>
              <w:jc w:val="both"/>
            </w:pPr>
            <w:r>
              <w:t>Financement de la santé</w:t>
            </w:r>
          </w:p>
        </w:tc>
        <w:tc>
          <w:tcPr>
            <w:tcW w:w="3400" w:type="dxa"/>
            <w:shd w:val="clear" w:color="auto" w:fill="FFFFFF" w:themeFill="background1"/>
          </w:tcPr>
          <w:p w14:paraId="323F7B11" w14:textId="77777777" w:rsidR="004B3C6C" w:rsidRDefault="35AD6F2B" w:rsidP="00222083">
            <w:pPr>
              <w:spacing w:line="300" w:lineRule="exact"/>
              <w:jc w:val="both"/>
            </w:pPr>
            <w:r>
              <w:t>Améliorer le financement des vaccins et de la prestation de services dans le cadre de la fin de la transition accélérée (2023)</w:t>
            </w:r>
          </w:p>
          <w:p w14:paraId="1576D6F3" w14:textId="04DB6F65" w:rsidR="35AD6F2B" w:rsidRDefault="35AD6F2B" w:rsidP="00222083">
            <w:pPr>
              <w:spacing w:line="300" w:lineRule="exact"/>
              <w:jc w:val="both"/>
            </w:pPr>
          </w:p>
        </w:tc>
        <w:tc>
          <w:tcPr>
            <w:tcW w:w="2015" w:type="dxa"/>
            <w:shd w:val="clear" w:color="auto" w:fill="FFFFFF" w:themeFill="background1"/>
          </w:tcPr>
          <w:p w14:paraId="7BA3663E" w14:textId="3030503E" w:rsidR="004B3C6C" w:rsidRDefault="35AD6F2B" w:rsidP="00222083">
            <w:pPr>
              <w:spacing w:line="300" w:lineRule="exact"/>
              <w:jc w:val="both"/>
              <w:rPr>
                <w:bCs/>
                <w:color w:val="808080" w:themeColor="background1" w:themeShade="80"/>
              </w:rPr>
            </w:pPr>
            <w:r w:rsidRPr="425AD08B">
              <w:rPr>
                <w:color w:val="808080" w:themeColor="background1" w:themeShade="80"/>
              </w:rPr>
              <w:t>100</w:t>
            </w:r>
            <w:r w:rsidR="004B3C6C">
              <w:rPr>
                <w:bCs/>
                <w:color w:val="808080" w:themeColor="background1" w:themeShade="80"/>
              </w:rPr>
              <w:t>,000</w:t>
            </w:r>
          </w:p>
        </w:tc>
        <w:tc>
          <w:tcPr>
            <w:tcW w:w="1134" w:type="dxa"/>
            <w:shd w:val="clear" w:color="auto" w:fill="FFFFFF" w:themeFill="background1"/>
          </w:tcPr>
          <w:p w14:paraId="46965355" w14:textId="5FAC6390" w:rsidR="004B3C6C" w:rsidRDefault="425AD08B" w:rsidP="00222083">
            <w:pPr>
              <w:spacing w:line="300" w:lineRule="exact"/>
              <w:jc w:val="both"/>
              <w:rPr>
                <w:bCs/>
                <w:color w:val="808080" w:themeColor="background1" w:themeShade="80"/>
              </w:rPr>
            </w:pPr>
            <w:r w:rsidRPr="425AD08B">
              <w:rPr>
                <w:color w:val="808080" w:themeColor="background1" w:themeShade="80"/>
              </w:rPr>
              <w:t>14.1%</w:t>
            </w:r>
          </w:p>
        </w:tc>
      </w:tr>
      <w:tr w:rsidR="007E69A1" w14:paraId="0242F019" w14:textId="77777777" w:rsidTr="27B0A8D9">
        <w:tc>
          <w:tcPr>
            <w:tcW w:w="2523" w:type="dxa"/>
            <w:shd w:val="clear" w:color="auto" w:fill="FFFFFF" w:themeFill="background1"/>
          </w:tcPr>
          <w:p w14:paraId="5E178845" w14:textId="3DD78F40" w:rsidR="007E69A1" w:rsidRDefault="00725460" w:rsidP="00222083">
            <w:pPr>
              <w:spacing w:line="300" w:lineRule="exact"/>
              <w:jc w:val="both"/>
            </w:pPr>
            <w:r>
              <w:t>C</w:t>
            </w:r>
            <w:r w:rsidRPr="00C74389">
              <w:t>ommunication pour le changement d</w:t>
            </w:r>
            <w:r>
              <w:t>u</w:t>
            </w:r>
            <w:r w:rsidRPr="00C74389">
              <w:t xml:space="preserve"> comportement</w:t>
            </w:r>
            <w:r>
              <w:t xml:space="preserve"> social et promotion de la demande</w:t>
            </w:r>
          </w:p>
        </w:tc>
        <w:tc>
          <w:tcPr>
            <w:tcW w:w="3400" w:type="dxa"/>
            <w:shd w:val="clear" w:color="auto" w:fill="FFFFFF" w:themeFill="background1"/>
          </w:tcPr>
          <w:p w14:paraId="404CD471" w14:textId="77777777" w:rsidR="00725460" w:rsidRDefault="00725460" w:rsidP="00222083">
            <w:pPr>
              <w:spacing w:line="300" w:lineRule="exact"/>
              <w:jc w:val="both"/>
            </w:pPr>
            <w:r>
              <w:t>Concevoir et mettre en œuvre des interventions communautaires qui</w:t>
            </w:r>
          </w:p>
          <w:p w14:paraId="47D3AD96" w14:textId="119F7015" w:rsidR="007E69A1" w:rsidRPr="00CC46A3" w:rsidRDefault="00725460" w:rsidP="00222083">
            <w:pPr>
              <w:spacing w:line="300" w:lineRule="exact"/>
              <w:jc w:val="both"/>
            </w:pPr>
            <w:r>
              <w:t>renforce</w:t>
            </w:r>
            <w:r w:rsidR="008256F7">
              <w:t>nt</w:t>
            </w:r>
            <w:r>
              <w:t xml:space="preserve"> la confiance et la demande active de vaccination</w:t>
            </w:r>
          </w:p>
        </w:tc>
        <w:tc>
          <w:tcPr>
            <w:tcW w:w="2015" w:type="dxa"/>
            <w:shd w:val="clear" w:color="auto" w:fill="FFFFFF" w:themeFill="background1"/>
          </w:tcPr>
          <w:p w14:paraId="1EB72A43" w14:textId="66E386A7" w:rsidR="007E69A1" w:rsidRPr="00CC46A3" w:rsidRDefault="00AD69A7" w:rsidP="00222083">
            <w:pPr>
              <w:spacing w:line="300" w:lineRule="exact"/>
              <w:jc w:val="both"/>
              <w:rPr>
                <w:bCs/>
                <w:color w:val="808080" w:themeColor="background1" w:themeShade="80"/>
              </w:rPr>
            </w:pPr>
            <w:r>
              <w:rPr>
                <w:color w:val="808080" w:themeColor="background1" w:themeShade="80"/>
              </w:rPr>
              <w:t>179</w:t>
            </w:r>
            <w:r w:rsidR="00D05D50">
              <w:rPr>
                <w:bCs/>
                <w:color w:val="808080" w:themeColor="background1" w:themeShade="80"/>
              </w:rPr>
              <w:t>,381.0</w:t>
            </w:r>
          </w:p>
        </w:tc>
        <w:tc>
          <w:tcPr>
            <w:tcW w:w="1134" w:type="dxa"/>
            <w:shd w:val="clear" w:color="auto" w:fill="FFFFFF" w:themeFill="background1"/>
          </w:tcPr>
          <w:p w14:paraId="73DD0CDA" w14:textId="41B192B4" w:rsidR="007E69A1" w:rsidRPr="00CC46A3" w:rsidRDefault="00590515" w:rsidP="00222083">
            <w:pPr>
              <w:spacing w:line="300" w:lineRule="exact"/>
              <w:jc w:val="both"/>
              <w:rPr>
                <w:bCs/>
                <w:color w:val="808080" w:themeColor="background1" w:themeShade="80"/>
              </w:rPr>
            </w:pPr>
            <w:r>
              <w:rPr>
                <w:bCs/>
                <w:color w:val="808080" w:themeColor="background1" w:themeShade="80"/>
              </w:rPr>
              <w:t>2</w:t>
            </w:r>
            <w:r w:rsidR="00CA6AF9">
              <w:rPr>
                <w:bCs/>
                <w:color w:val="808080" w:themeColor="background1" w:themeShade="80"/>
              </w:rPr>
              <w:t>5</w:t>
            </w:r>
            <w:r w:rsidR="7B7C1828" w:rsidRPr="425AD08B">
              <w:rPr>
                <w:color w:val="808080" w:themeColor="background1" w:themeShade="80"/>
              </w:rPr>
              <w:t>.</w:t>
            </w:r>
            <w:r w:rsidR="00CA6AF9">
              <w:rPr>
                <w:color w:val="808080" w:themeColor="background1" w:themeShade="80"/>
              </w:rPr>
              <w:t>4</w:t>
            </w:r>
            <w:r w:rsidR="00D05D50">
              <w:rPr>
                <w:bCs/>
                <w:color w:val="808080" w:themeColor="background1" w:themeShade="80"/>
              </w:rPr>
              <w:t>%</w:t>
            </w:r>
          </w:p>
        </w:tc>
      </w:tr>
      <w:tr w:rsidR="425AD08B" w14:paraId="4AC94C3A" w14:textId="77777777" w:rsidTr="425AD08B">
        <w:tc>
          <w:tcPr>
            <w:tcW w:w="2523" w:type="dxa"/>
            <w:shd w:val="clear" w:color="auto" w:fill="FFFFFF" w:themeFill="background1"/>
          </w:tcPr>
          <w:p w14:paraId="3945677B" w14:textId="4CF09A3F" w:rsidR="425AD08B" w:rsidRDefault="425AD08B" w:rsidP="00222083">
            <w:pPr>
              <w:spacing w:line="300" w:lineRule="exact"/>
              <w:jc w:val="both"/>
            </w:pPr>
            <w:r>
              <w:t>Ressources Humaines pour la santé</w:t>
            </w:r>
          </w:p>
        </w:tc>
        <w:tc>
          <w:tcPr>
            <w:tcW w:w="3400" w:type="dxa"/>
            <w:shd w:val="clear" w:color="auto" w:fill="FFFFFF" w:themeFill="background1"/>
          </w:tcPr>
          <w:p w14:paraId="07E530DA" w14:textId="531B9C65" w:rsidR="425AD08B" w:rsidRDefault="425AD08B" w:rsidP="00222083">
            <w:pPr>
              <w:spacing w:line="300" w:lineRule="exact"/>
              <w:jc w:val="both"/>
            </w:pPr>
            <w:r>
              <w:t>Mise en place de plans complets de formation continue et de formation professionnelle pour les vaccinateurs et le personnel de santé</w:t>
            </w:r>
          </w:p>
        </w:tc>
        <w:tc>
          <w:tcPr>
            <w:tcW w:w="2015" w:type="dxa"/>
            <w:shd w:val="clear" w:color="auto" w:fill="FFFFFF" w:themeFill="background1"/>
          </w:tcPr>
          <w:p w14:paraId="48A866FD" w14:textId="6EC7A5CC" w:rsidR="425AD08B" w:rsidRDefault="000703DF" w:rsidP="00222083">
            <w:pPr>
              <w:spacing w:line="300" w:lineRule="exact"/>
              <w:jc w:val="both"/>
              <w:rPr>
                <w:color w:val="808080" w:themeColor="background1" w:themeShade="80"/>
              </w:rPr>
            </w:pPr>
            <w:r>
              <w:rPr>
                <w:color w:val="808080" w:themeColor="background1" w:themeShade="80"/>
              </w:rPr>
              <w:t>75,000</w:t>
            </w:r>
          </w:p>
        </w:tc>
        <w:tc>
          <w:tcPr>
            <w:tcW w:w="1134" w:type="dxa"/>
            <w:shd w:val="clear" w:color="auto" w:fill="FFFFFF" w:themeFill="background1"/>
          </w:tcPr>
          <w:p w14:paraId="5126CF9D" w14:textId="46F973C0" w:rsidR="425AD08B" w:rsidRDefault="000703DF" w:rsidP="00222083">
            <w:pPr>
              <w:spacing w:line="300" w:lineRule="exact"/>
              <w:jc w:val="both"/>
              <w:rPr>
                <w:color w:val="808080" w:themeColor="background1" w:themeShade="80"/>
              </w:rPr>
            </w:pPr>
            <w:r>
              <w:rPr>
                <w:color w:val="808080" w:themeColor="background1" w:themeShade="80"/>
              </w:rPr>
              <w:t>10.6%</w:t>
            </w:r>
          </w:p>
        </w:tc>
      </w:tr>
    </w:tbl>
    <w:p w14:paraId="62A44A29" w14:textId="77777777" w:rsidR="00372D1F" w:rsidRDefault="00372D1F" w:rsidP="00222083">
      <w:pPr>
        <w:jc w:val="both"/>
      </w:pP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0EF03AD">
        <w:tc>
          <w:tcPr>
            <w:tcW w:w="9192" w:type="dxa"/>
            <w:tcBorders>
              <w:bottom w:val="single" w:sz="4" w:space="0" w:color="auto"/>
            </w:tcBorders>
            <w:shd w:val="clear" w:color="auto" w:fill="F2F2F2" w:themeFill="background1" w:themeFillShade="F2"/>
          </w:tcPr>
          <w:p w14:paraId="5594A626" w14:textId="35E0FA6D" w:rsidR="00372D1F" w:rsidRPr="00B614D7" w:rsidRDefault="00372D1F" w:rsidP="00222083">
            <w:pPr>
              <w:spacing w:line="300" w:lineRule="exact"/>
              <w:jc w:val="both"/>
              <w:rPr>
                <w:b/>
                <w:bCs/>
                <w:i/>
                <w:iCs/>
                <w:sz w:val="20"/>
                <w:szCs w:val="20"/>
              </w:rPr>
            </w:pPr>
            <w:r>
              <w:rPr>
                <w:b/>
                <w:i/>
                <w:sz w:val="20"/>
              </w:rPr>
              <w:t>2.1</w:t>
            </w:r>
            <w:r>
              <w:rPr>
                <w:b/>
                <w:i/>
                <w:sz w:val="20"/>
              </w:rPr>
              <w:tab/>
              <w:t>Veuillez indiquer et décrire les besoins</w:t>
            </w:r>
            <w:r w:rsidR="00723937">
              <w:rPr>
                <w:b/>
                <w:i/>
                <w:sz w:val="20"/>
              </w:rPr>
              <w:t xml:space="preserve"> en </w:t>
            </w:r>
            <w:r>
              <w:rPr>
                <w:b/>
                <w:i/>
                <w:sz w:val="20"/>
              </w:rPr>
              <w:t xml:space="preserve">'AT actuels de votre </w:t>
            </w:r>
            <w:r w:rsidR="00723937">
              <w:rPr>
                <w:b/>
                <w:i/>
                <w:sz w:val="20"/>
              </w:rPr>
              <w:t xml:space="preserve">programme </w:t>
            </w:r>
            <w:r>
              <w:rPr>
                <w:b/>
                <w:i/>
                <w:sz w:val="20"/>
              </w:rPr>
              <w:t xml:space="preserve">de vaccination, </w:t>
            </w:r>
            <w:r w:rsidR="00847E96">
              <w:rPr>
                <w:b/>
                <w:i/>
                <w:sz w:val="20"/>
              </w:rPr>
              <w:t>en veillant à ce qu</w:t>
            </w:r>
            <w:r w:rsidR="00723937">
              <w:rPr>
                <w:b/>
                <w:i/>
                <w:sz w:val="20"/>
              </w:rPr>
              <w:t xml:space="preserve">’ils </w:t>
            </w:r>
            <w:r w:rsidR="00847E96">
              <w:rPr>
                <w:b/>
                <w:i/>
                <w:sz w:val="20"/>
              </w:rPr>
              <w:t xml:space="preserve"> soient </w:t>
            </w:r>
            <w:r>
              <w:rPr>
                <w:b/>
                <w:i/>
                <w:sz w:val="20"/>
              </w:rPr>
              <w:t>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 xml:space="preserve">Veuillez noter explicitement la durée du soutien </w:t>
            </w:r>
            <w:r w:rsidR="008C348A">
              <w:rPr>
                <w:b/>
                <w:i/>
                <w:sz w:val="20"/>
              </w:rPr>
              <w:t>demandé.</w:t>
            </w:r>
          </w:p>
        </w:tc>
      </w:tr>
      <w:tr w:rsidR="00372D1F" w14:paraId="19BE42B7" w14:textId="77777777" w:rsidTr="00EF03AD">
        <w:tc>
          <w:tcPr>
            <w:tcW w:w="9192" w:type="dxa"/>
            <w:tcBorders>
              <w:top w:val="single" w:sz="4" w:space="0" w:color="auto"/>
              <w:left w:val="single" w:sz="4" w:space="0" w:color="auto"/>
              <w:bottom w:val="single" w:sz="4" w:space="0" w:color="auto"/>
              <w:right w:val="single" w:sz="4" w:space="0" w:color="auto"/>
            </w:tcBorders>
          </w:tcPr>
          <w:p w14:paraId="70171976" w14:textId="77777777" w:rsidR="008256F7" w:rsidRDefault="008256F7" w:rsidP="00222083">
            <w:pPr>
              <w:spacing w:line="300" w:lineRule="exact"/>
              <w:jc w:val="both"/>
            </w:pPr>
          </w:p>
          <w:p w14:paraId="4999AC35" w14:textId="4B301314" w:rsidR="008256F7" w:rsidRDefault="0051418D" w:rsidP="00222083">
            <w:pPr>
              <w:spacing w:line="300" w:lineRule="exact"/>
              <w:jc w:val="both"/>
              <w:rPr>
                <w:b/>
                <w:bCs/>
                <w:color w:val="000000" w:themeColor="text1"/>
              </w:rPr>
            </w:pPr>
            <w:r>
              <w:rPr>
                <w:b/>
                <w:bCs/>
                <w:color w:val="000000" w:themeColor="text1"/>
              </w:rPr>
              <w:t xml:space="preserve">1/ </w:t>
            </w:r>
            <w:r w:rsidR="008256F7">
              <w:rPr>
                <w:b/>
                <w:bCs/>
                <w:color w:val="000000" w:themeColor="text1"/>
              </w:rPr>
              <w:t>O</w:t>
            </w:r>
            <w:r w:rsidR="008256F7" w:rsidRPr="008416F9">
              <w:rPr>
                <w:b/>
                <w:bCs/>
                <w:color w:val="000000" w:themeColor="text1"/>
              </w:rPr>
              <w:t xml:space="preserve">ffre, </w:t>
            </w:r>
            <w:r w:rsidR="008256F7">
              <w:rPr>
                <w:b/>
                <w:bCs/>
                <w:color w:val="000000" w:themeColor="text1"/>
              </w:rPr>
              <w:t xml:space="preserve">de la </w:t>
            </w:r>
            <w:r w:rsidR="008256F7" w:rsidRPr="008416F9">
              <w:rPr>
                <w:b/>
                <w:bCs/>
                <w:color w:val="000000" w:themeColor="text1"/>
              </w:rPr>
              <w:t xml:space="preserve">demande et </w:t>
            </w:r>
            <w:r w:rsidR="008256F7">
              <w:rPr>
                <w:b/>
                <w:bCs/>
                <w:color w:val="000000" w:themeColor="text1"/>
              </w:rPr>
              <w:t>de l’</w:t>
            </w:r>
            <w:r w:rsidR="008256F7" w:rsidRPr="008416F9">
              <w:rPr>
                <w:b/>
                <w:bCs/>
                <w:color w:val="000000" w:themeColor="text1"/>
              </w:rPr>
              <w:t>engagement communautaire</w:t>
            </w:r>
          </w:p>
          <w:p w14:paraId="5DC8D0FB" w14:textId="015F5A57" w:rsidR="00037B1F" w:rsidRDefault="0035354A" w:rsidP="00222083">
            <w:pPr>
              <w:shd w:val="clear" w:color="auto" w:fill="FFFFFF"/>
              <w:spacing w:line="240" w:lineRule="auto"/>
              <w:jc w:val="both"/>
            </w:pPr>
            <w:r>
              <w:rPr>
                <w:color w:val="000000" w:themeColor="text1"/>
              </w:rPr>
              <w:t xml:space="preserve">Un </w:t>
            </w:r>
            <w:r w:rsidRPr="009A0CEC">
              <w:rPr>
                <w:color w:val="000000" w:themeColor="text1"/>
              </w:rPr>
              <w:t xml:space="preserve">spécialiste </w:t>
            </w:r>
            <w:r w:rsidR="009376F7" w:rsidRPr="009A0CEC">
              <w:rPr>
                <w:color w:val="000000" w:themeColor="text1"/>
              </w:rPr>
              <w:t xml:space="preserve">national </w:t>
            </w:r>
            <w:r w:rsidRPr="009A0CEC">
              <w:rPr>
                <w:color w:val="000000" w:themeColor="text1"/>
              </w:rPr>
              <w:t xml:space="preserve">en </w:t>
            </w:r>
            <w:r w:rsidR="000C6EBF" w:rsidRPr="009A0CEC">
              <w:rPr>
                <w:color w:val="000000" w:themeColor="text1"/>
              </w:rPr>
              <w:t>communication</w:t>
            </w:r>
            <w:r w:rsidRPr="009A0CEC">
              <w:rPr>
                <w:color w:val="000000" w:themeColor="text1"/>
              </w:rPr>
              <w:t xml:space="preserve"> pour une durée </w:t>
            </w:r>
            <w:r w:rsidR="009376F7" w:rsidRPr="009A0CEC">
              <w:rPr>
                <w:color w:val="000000" w:themeColor="text1"/>
              </w:rPr>
              <w:t xml:space="preserve">minimum </w:t>
            </w:r>
            <w:r w:rsidRPr="009A0CEC">
              <w:rPr>
                <w:color w:val="000000" w:themeColor="text1"/>
              </w:rPr>
              <w:t>de 2</w:t>
            </w:r>
            <w:r w:rsidR="001A7D22" w:rsidRPr="009A0CEC">
              <w:rPr>
                <w:color w:val="000000" w:themeColor="text1"/>
              </w:rPr>
              <w:t>4</w:t>
            </w:r>
            <w:r w:rsidRPr="009A0CEC">
              <w:rPr>
                <w:color w:val="000000" w:themeColor="text1"/>
              </w:rPr>
              <w:t xml:space="preserve"> mois</w:t>
            </w:r>
            <w:r w:rsidR="002944A2" w:rsidRPr="009A0CEC">
              <w:rPr>
                <w:color w:val="000000" w:themeColor="text1"/>
              </w:rPr>
              <w:t xml:space="preserve"> est nécessaire pour la mise en place en étroite </w:t>
            </w:r>
            <w:r w:rsidRPr="009A0CEC">
              <w:rPr>
                <w:color w:val="000000" w:themeColor="text1"/>
              </w:rPr>
              <w:t>collaboration avec le Centre National d’Education à la Santé</w:t>
            </w:r>
            <w:r w:rsidR="002944A2" w:rsidRPr="009A0CEC">
              <w:rPr>
                <w:color w:val="000000" w:themeColor="text1"/>
              </w:rPr>
              <w:t xml:space="preserve">, d’activités de </w:t>
            </w:r>
            <w:r w:rsidR="000C6EBF" w:rsidRPr="009A0CEC">
              <w:rPr>
                <w:color w:val="000000" w:themeColor="text1"/>
              </w:rPr>
              <w:t>communication</w:t>
            </w:r>
            <w:r w:rsidR="002944A2" w:rsidRPr="009A0CEC">
              <w:rPr>
                <w:color w:val="000000" w:themeColor="text1"/>
              </w:rPr>
              <w:t xml:space="preserve"> in</w:t>
            </w:r>
            <w:r w:rsidR="000C6EBF" w:rsidRPr="009A0CEC">
              <w:rPr>
                <w:color w:val="000000" w:themeColor="text1"/>
              </w:rPr>
              <w:t>n</w:t>
            </w:r>
            <w:r w:rsidR="002944A2" w:rsidRPr="009A0CEC">
              <w:rPr>
                <w:color w:val="000000" w:themeColor="text1"/>
              </w:rPr>
              <w:t>ovantes et incisive</w:t>
            </w:r>
            <w:r w:rsidR="009376F7" w:rsidRPr="009A0CEC">
              <w:rPr>
                <w:color w:val="000000" w:themeColor="text1"/>
              </w:rPr>
              <w:t>s</w:t>
            </w:r>
            <w:r w:rsidR="002944A2" w:rsidRPr="009A0CEC">
              <w:rPr>
                <w:color w:val="000000" w:themeColor="text1"/>
              </w:rPr>
              <w:t xml:space="preserve">. </w:t>
            </w:r>
            <w:r w:rsidR="009376F7" w:rsidRPr="009A0CEC">
              <w:rPr>
                <w:color w:val="000000" w:themeColor="text1"/>
              </w:rPr>
              <w:t>C</w:t>
            </w:r>
            <w:r w:rsidR="002944A2" w:rsidRPr="009A0CEC">
              <w:rPr>
                <w:color w:val="000000" w:themeColor="text1"/>
              </w:rPr>
              <w:t>e</w:t>
            </w:r>
            <w:r w:rsidR="009376F7" w:rsidRPr="009A0CEC">
              <w:rPr>
                <w:color w:val="000000" w:themeColor="text1"/>
              </w:rPr>
              <w:t xml:space="preserve"> dernier</w:t>
            </w:r>
            <w:r w:rsidR="002944A2">
              <w:rPr>
                <w:color w:val="000000" w:themeColor="text1"/>
              </w:rPr>
              <w:t xml:space="preserve"> serait responsable entre autre</w:t>
            </w:r>
            <w:r w:rsidR="000C6EBF">
              <w:rPr>
                <w:color w:val="000000" w:themeColor="text1"/>
              </w:rPr>
              <w:t>s</w:t>
            </w:r>
            <w:r w:rsidR="002944A2">
              <w:rPr>
                <w:color w:val="000000" w:themeColor="text1"/>
              </w:rPr>
              <w:t xml:space="preserve"> </w:t>
            </w:r>
            <w:r w:rsidR="005F423E">
              <w:rPr>
                <w:color w:val="000000" w:themeColor="text1"/>
              </w:rPr>
              <w:t>de la mise en place et du suivi d’une s</w:t>
            </w:r>
            <w:r w:rsidR="005F423E">
              <w:t xml:space="preserve">tratégie de communication sociale </w:t>
            </w:r>
            <w:r w:rsidR="000C6EBF">
              <w:t>efficace</w:t>
            </w:r>
            <w:r w:rsidR="005F423E">
              <w:t xml:space="preserve"> et spécifiquement liée à la vaccination (</w:t>
            </w:r>
            <w:r w:rsidR="000C6EBF">
              <w:t>plaidoyer</w:t>
            </w:r>
            <w:r w:rsidR="005F423E">
              <w:t xml:space="preserve">, formations, élaboration de matériels, etc.), de la réalisation d’une </w:t>
            </w:r>
            <w:r w:rsidR="000C6EBF">
              <w:t>série</w:t>
            </w:r>
            <w:r w:rsidR="005F423E">
              <w:t xml:space="preserve"> de spots éducatifs</w:t>
            </w:r>
            <w:r w:rsidR="00037B1F">
              <w:t xml:space="preserve">, ainsi que du développement d’un processus d’écoute et </w:t>
            </w:r>
            <w:r w:rsidR="00673B0B">
              <w:t>d’</w:t>
            </w:r>
            <w:r w:rsidR="00037B1F">
              <w:t xml:space="preserve">engagement sociaux afin d’identifier puis traiter la </w:t>
            </w:r>
            <w:r w:rsidR="008C348A">
              <w:t>désinformation</w:t>
            </w:r>
            <w:r w:rsidR="00037B1F">
              <w:t xml:space="preserve"> liée à la vaccination. Le spécialiste devra faciliter la réalisation </w:t>
            </w:r>
            <w:r w:rsidR="005F423E">
              <w:t>d’une enquête CAP</w:t>
            </w:r>
            <w:r w:rsidR="00673B0B">
              <w:t xml:space="preserve"> (Connaissance attitude et pratique) afin d’analyser les raisons de non-vaccination et d’abandons. Il devra également appuyer la </w:t>
            </w:r>
            <w:r w:rsidR="005F423E">
              <w:t>mise en œuvre d’outils et directives élaborés</w:t>
            </w:r>
            <w:r w:rsidR="00037B1F">
              <w:t xml:space="preserve"> par le ministère de la santé</w:t>
            </w:r>
            <w:r w:rsidR="005F423E">
              <w:t xml:space="preserve"> pour générer des données sociales et comportementales</w:t>
            </w:r>
            <w:r w:rsidR="00037B1F">
              <w:t>.</w:t>
            </w:r>
            <w:r w:rsidR="00C26A7F">
              <w:t xml:space="preserve"> Cette personne devra en particulier travailler sur la plateforme de la seconde année pour identifier les barrières et les solutions à la vaccination contre la rougeole</w:t>
            </w:r>
            <w:r w:rsidR="006F6C85">
              <w:t xml:space="preserve"> (2</w:t>
            </w:r>
            <w:r w:rsidR="006F6C85" w:rsidRPr="008C348A">
              <w:rPr>
                <w:vertAlign w:val="superscript"/>
              </w:rPr>
              <w:t>ème</w:t>
            </w:r>
            <w:r w:rsidR="006F6C85">
              <w:t xml:space="preserve"> dose).</w:t>
            </w:r>
          </w:p>
          <w:p w14:paraId="609406F3" w14:textId="09E944C9" w:rsidR="00A516AF" w:rsidRDefault="00A516AF" w:rsidP="004400CA">
            <w:pPr>
              <w:shd w:val="clear" w:color="auto" w:fill="FFFFFF"/>
              <w:spacing w:line="240" w:lineRule="auto"/>
              <w:jc w:val="both"/>
            </w:pPr>
            <w:r>
              <w:t xml:space="preserve">L’appui à la sensibilisation et mobilisation communautaire menée par des ONGs locales et internationales ont démontré leur efficacité. Une assistance financière est primordiale pour pérenniser le travail en cours. </w:t>
            </w:r>
          </w:p>
          <w:p w14:paraId="17FC631C" w14:textId="5072C3A7" w:rsidR="008256F7" w:rsidRDefault="0035354A">
            <w:pPr>
              <w:shd w:val="clear" w:color="auto" w:fill="FFFFFF"/>
              <w:spacing w:line="240" w:lineRule="auto"/>
              <w:jc w:val="both"/>
              <w:rPr>
                <w:color w:val="000000" w:themeColor="text1"/>
              </w:rPr>
            </w:pPr>
            <w:r>
              <w:rPr>
                <w:color w:val="000000" w:themeColor="text1"/>
              </w:rPr>
              <w:t xml:space="preserve"> </w:t>
            </w:r>
          </w:p>
          <w:p w14:paraId="19B0354C" w14:textId="6F562386" w:rsidR="00A546C6" w:rsidRDefault="0051418D">
            <w:pPr>
              <w:shd w:val="clear" w:color="auto" w:fill="FFFFFF"/>
              <w:spacing w:line="240" w:lineRule="auto"/>
              <w:jc w:val="both"/>
              <w:rPr>
                <w:b/>
                <w:bCs/>
                <w:color w:val="000000" w:themeColor="text1"/>
              </w:rPr>
            </w:pPr>
            <w:r>
              <w:rPr>
                <w:b/>
                <w:bCs/>
                <w:color w:val="000000" w:themeColor="text1"/>
              </w:rPr>
              <w:lastRenderedPageBreak/>
              <w:t>2</w:t>
            </w:r>
            <w:r w:rsidR="008256F7" w:rsidRPr="00E95295">
              <w:rPr>
                <w:b/>
                <w:bCs/>
                <w:color w:val="000000" w:themeColor="text1"/>
              </w:rPr>
              <w:t>/</w:t>
            </w:r>
            <w:r w:rsidR="008256F7">
              <w:rPr>
                <w:b/>
                <w:bCs/>
                <w:color w:val="000000" w:themeColor="text1"/>
              </w:rPr>
              <w:t xml:space="preserve"> </w:t>
            </w:r>
            <w:r w:rsidR="000C6EBF">
              <w:rPr>
                <w:b/>
                <w:bCs/>
                <w:color w:val="000000" w:themeColor="text1"/>
              </w:rPr>
              <w:t>Ressources</w:t>
            </w:r>
            <w:r w:rsidR="00A546C6">
              <w:rPr>
                <w:b/>
                <w:bCs/>
                <w:color w:val="000000" w:themeColor="text1"/>
              </w:rPr>
              <w:t xml:space="preserve"> humaines</w:t>
            </w:r>
          </w:p>
          <w:p w14:paraId="1EB4F561" w14:textId="4B0B7C26" w:rsidR="00582D09" w:rsidRPr="00F62B1B" w:rsidRDefault="00582D09">
            <w:pPr>
              <w:shd w:val="clear" w:color="auto" w:fill="FFFFFF"/>
              <w:spacing w:line="240" w:lineRule="auto"/>
              <w:jc w:val="both"/>
              <w:rPr>
                <w:color w:val="000000" w:themeColor="text1"/>
              </w:rPr>
            </w:pPr>
            <w:r>
              <w:rPr>
                <w:color w:val="000000" w:themeColor="text1"/>
              </w:rPr>
              <w:t xml:space="preserve">La mise en place de formations régulières pour les agents doit être poursuivi afin de garantir  </w:t>
            </w:r>
            <w:r w:rsidR="00673B0B">
              <w:t>l</w:t>
            </w:r>
            <w:r w:rsidR="000C6EBF">
              <w:t>’actualisation</w:t>
            </w:r>
            <w:r>
              <w:t xml:space="preserve"> des connaissances sur la vaccination et les procédures mise</w:t>
            </w:r>
            <w:r w:rsidR="00673B0B">
              <w:t>s</w:t>
            </w:r>
            <w:r>
              <w:t xml:space="preserve"> en place par le programme. Dans ce contexte</w:t>
            </w:r>
            <w:r w:rsidR="00673B0B">
              <w:t>,</w:t>
            </w:r>
            <w:r>
              <w:t xml:space="preserve"> le pays aurait </w:t>
            </w:r>
            <w:r w:rsidR="003B6E46">
              <w:t>besoin d’une assistance technique pour l’</w:t>
            </w:r>
            <w:r w:rsidR="000C6EBF">
              <w:t>élaboration</w:t>
            </w:r>
            <w:r w:rsidR="003B6E46">
              <w:t xml:space="preserve"> d’un plan complet de formation</w:t>
            </w:r>
            <w:r w:rsidR="00673B0B">
              <w:t xml:space="preserve"> pour la période</w:t>
            </w:r>
            <w:r w:rsidR="003B6E46">
              <w:t>, l’</w:t>
            </w:r>
            <w:r w:rsidR="000C6EBF">
              <w:t>élaboration</w:t>
            </w:r>
            <w:r w:rsidR="003B6E46">
              <w:t xml:space="preserve"> de modules de formation et </w:t>
            </w:r>
            <w:r w:rsidR="00673B0B">
              <w:t xml:space="preserve">de </w:t>
            </w:r>
            <w:r w:rsidR="003B6E46">
              <w:t>fiches techniques pour les équipe</w:t>
            </w:r>
            <w:r w:rsidR="000C6EBF">
              <w:t>s</w:t>
            </w:r>
            <w:r w:rsidR="003B6E46">
              <w:t xml:space="preserve">. </w:t>
            </w:r>
          </w:p>
          <w:p w14:paraId="1181C0B5" w14:textId="15E844CC" w:rsidR="008256F7" w:rsidRDefault="00582D09">
            <w:pPr>
              <w:shd w:val="clear" w:color="auto" w:fill="FFFFFF"/>
              <w:spacing w:line="240" w:lineRule="auto"/>
              <w:jc w:val="both"/>
            </w:pPr>
            <w:r>
              <w:t xml:space="preserve">Par ailleurs, </w:t>
            </w:r>
            <w:r w:rsidR="003B6E46">
              <w:t>afin de réponde à l’</w:t>
            </w:r>
            <w:r>
              <w:rPr>
                <w:color w:val="000000" w:themeColor="text1"/>
              </w:rPr>
              <w:t xml:space="preserve">absence d’un </w:t>
            </w:r>
            <w:r w:rsidRPr="00E95295">
              <w:rPr>
                <w:color w:val="000000" w:themeColor="text1"/>
              </w:rPr>
              <w:t>plan d'action</w:t>
            </w:r>
            <w:r>
              <w:rPr>
                <w:color w:val="000000" w:themeColor="text1"/>
              </w:rPr>
              <w:t xml:space="preserve"> et de </w:t>
            </w:r>
            <w:r w:rsidRPr="00E95295">
              <w:rPr>
                <w:color w:val="000000" w:themeColor="text1"/>
              </w:rPr>
              <w:t xml:space="preserve">documents normatifs </w:t>
            </w:r>
            <w:r>
              <w:rPr>
                <w:color w:val="000000" w:themeColor="text1"/>
              </w:rPr>
              <w:t>permettant une supervision</w:t>
            </w:r>
            <w:r w:rsidR="003B6E46">
              <w:rPr>
                <w:color w:val="000000" w:themeColor="text1"/>
              </w:rPr>
              <w:t xml:space="preserve"> de qualité, </w:t>
            </w:r>
            <w:r w:rsidR="00673B0B">
              <w:rPr>
                <w:color w:val="000000" w:themeColor="text1"/>
              </w:rPr>
              <w:t xml:space="preserve">l’assistance technique requise, </w:t>
            </w:r>
            <w:r w:rsidR="00F62B1B">
              <w:rPr>
                <w:color w:val="000000" w:themeColor="text1"/>
              </w:rPr>
              <w:t>aura également la charge</w:t>
            </w:r>
            <w:r w:rsidR="00673B0B">
              <w:rPr>
                <w:color w:val="000000" w:themeColor="text1"/>
              </w:rPr>
              <w:t xml:space="preserve"> de </w:t>
            </w:r>
            <w:r w:rsidR="00F62B1B">
              <w:rPr>
                <w:color w:val="000000" w:themeColor="text1"/>
              </w:rPr>
              <w:t>d’</w:t>
            </w:r>
            <w:r w:rsidR="003B6E46">
              <w:rPr>
                <w:color w:val="000000" w:themeColor="text1"/>
              </w:rPr>
              <w:t xml:space="preserve">appuyer le pays pour l’élaboration </w:t>
            </w:r>
            <w:r w:rsidR="003B6E46">
              <w:t xml:space="preserve">d’un SoP pour </w:t>
            </w:r>
            <w:r w:rsidR="009B7EB2">
              <w:t xml:space="preserve">permettre la mise en place </w:t>
            </w:r>
            <w:r>
              <w:t>d'un système de supervision formative régulière des vaccinateurs/agents de santé communautaires</w:t>
            </w:r>
            <w:r w:rsidR="009B7EB2">
              <w:t>.</w:t>
            </w:r>
          </w:p>
          <w:p w14:paraId="5560DDA2" w14:textId="04BE936B" w:rsidR="009B7EB2" w:rsidRPr="00497537" w:rsidRDefault="009B7EB2">
            <w:pPr>
              <w:shd w:val="clear" w:color="auto" w:fill="FFFFFF"/>
              <w:spacing w:line="240" w:lineRule="auto"/>
              <w:jc w:val="both"/>
            </w:pPr>
            <w:r>
              <w:t xml:space="preserve">Cette assistance </w:t>
            </w:r>
            <w:r w:rsidR="000C6EBF">
              <w:t>technique</w:t>
            </w:r>
            <w:r>
              <w:t xml:space="preserve"> est nécessaire pour une durée de </w:t>
            </w:r>
            <w:r w:rsidR="009A0CEC">
              <w:t>6</w:t>
            </w:r>
            <w:r>
              <w:t xml:space="preserve"> mois.</w:t>
            </w:r>
          </w:p>
          <w:p w14:paraId="39CAA36A" w14:textId="77777777" w:rsidR="008256F7" w:rsidRDefault="008256F7">
            <w:pPr>
              <w:shd w:val="clear" w:color="auto" w:fill="FFFFFF"/>
              <w:spacing w:line="240" w:lineRule="auto"/>
              <w:jc w:val="both"/>
              <w:rPr>
                <w:color w:val="000000" w:themeColor="text1"/>
              </w:rPr>
            </w:pPr>
          </w:p>
          <w:p w14:paraId="2DEBF42C" w14:textId="77777777" w:rsidR="008256F7" w:rsidRDefault="008256F7">
            <w:pPr>
              <w:shd w:val="clear" w:color="auto" w:fill="FFFFFF"/>
              <w:spacing w:line="240" w:lineRule="auto"/>
              <w:jc w:val="both"/>
              <w:rPr>
                <w:color w:val="000000" w:themeColor="text1"/>
              </w:rPr>
            </w:pPr>
          </w:p>
          <w:p w14:paraId="50030D95" w14:textId="0033CEE9" w:rsidR="008256F7" w:rsidRDefault="0051418D">
            <w:pPr>
              <w:shd w:val="clear" w:color="auto" w:fill="FFFFFF"/>
              <w:spacing w:line="240" w:lineRule="auto"/>
              <w:jc w:val="both"/>
              <w:rPr>
                <w:color w:val="000000" w:themeColor="text1"/>
              </w:rPr>
            </w:pPr>
            <w:r>
              <w:rPr>
                <w:b/>
                <w:bCs/>
                <w:color w:val="000000" w:themeColor="text1"/>
              </w:rPr>
              <w:t>3</w:t>
            </w:r>
            <w:r w:rsidR="008256F7" w:rsidRPr="00E95295">
              <w:rPr>
                <w:b/>
                <w:bCs/>
                <w:color w:val="000000" w:themeColor="text1"/>
              </w:rPr>
              <w:t>/</w:t>
            </w:r>
            <w:r w:rsidR="008256F7">
              <w:rPr>
                <w:b/>
                <w:bCs/>
                <w:color w:val="000000" w:themeColor="text1"/>
              </w:rPr>
              <w:t xml:space="preserve"> Suivi et </w:t>
            </w:r>
            <w:r w:rsidR="000C6EBF">
              <w:rPr>
                <w:b/>
                <w:bCs/>
                <w:color w:val="000000" w:themeColor="text1"/>
              </w:rPr>
              <w:t>évaluation liée</w:t>
            </w:r>
            <w:r w:rsidR="008256F7">
              <w:rPr>
                <w:b/>
                <w:bCs/>
                <w:color w:val="000000" w:themeColor="text1"/>
              </w:rPr>
              <w:t xml:space="preserve"> à la vaccination </w:t>
            </w:r>
            <w:r w:rsidR="008256F7" w:rsidRPr="00D86AF9">
              <w:rPr>
                <w:color w:val="000000" w:themeColor="text1"/>
              </w:rPr>
              <w:t xml:space="preserve"> </w:t>
            </w:r>
          </w:p>
          <w:p w14:paraId="7B50DF31" w14:textId="77777777" w:rsidR="00A95621" w:rsidRPr="00E95295" w:rsidRDefault="00A95621">
            <w:pPr>
              <w:shd w:val="clear" w:color="auto" w:fill="FFFFFF"/>
              <w:spacing w:line="240" w:lineRule="auto"/>
              <w:jc w:val="both"/>
              <w:rPr>
                <w:color w:val="000000" w:themeColor="text1"/>
                <w:u w:val="single"/>
              </w:rPr>
            </w:pPr>
            <w:r w:rsidRPr="00E95295">
              <w:rPr>
                <w:color w:val="000000" w:themeColor="text1"/>
                <w:u w:val="single"/>
              </w:rPr>
              <w:t xml:space="preserve">Gestion des données </w:t>
            </w:r>
          </w:p>
          <w:p w14:paraId="0C84803C" w14:textId="1FEAC6C2" w:rsidR="002A7DB5" w:rsidRPr="009A0CEC" w:rsidRDefault="002A7DB5">
            <w:pPr>
              <w:shd w:val="clear" w:color="auto" w:fill="FFFFFF"/>
              <w:spacing w:line="240" w:lineRule="auto"/>
              <w:jc w:val="both"/>
              <w:rPr>
                <w:color w:val="000000" w:themeColor="text1"/>
              </w:rPr>
            </w:pPr>
            <w:r>
              <w:rPr>
                <w:color w:val="000000" w:themeColor="text1"/>
              </w:rPr>
              <w:t xml:space="preserve">Une assistance </w:t>
            </w:r>
            <w:r w:rsidR="000C6EBF">
              <w:rPr>
                <w:color w:val="000000" w:themeColor="text1"/>
              </w:rPr>
              <w:t>technique</w:t>
            </w:r>
            <w:r>
              <w:rPr>
                <w:color w:val="000000" w:themeColor="text1"/>
              </w:rPr>
              <w:t xml:space="preserve"> est nécessaire pour la gestion des données a</w:t>
            </w:r>
            <w:r w:rsidRPr="00497537">
              <w:rPr>
                <w:color w:val="000000" w:themeColor="text1"/>
              </w:rPr>
              <w:t xml:space="preserve">fin de poursuivre les </w:t>
            </w:r>
            <w:r>
              <w:rPr>
                <w:color w:val="000000" w:themeColor="text1"/>
              </w:rPr>
              <w:t xml:space="preserve">efforts pour l’obtention des données en temps </w:t>
            </w:r>
            <w:r w:rsidRPr="009A0CEC">
              <w:rPr>
                <w:color w:val="000000" w:themeColor="text1"/>
              </w:rPr>
              <w:t>réel. Un gestionnaire de donné supplémentaire est nécessaire pour appuyer le programme ainsi que</w:t>
            </w:r>
            <w:r>
              <w:rPr>
                <w:color w:val="000000" w:themeColor="text1"/>
              </w:rPr>
              <w:t xml:space="preserve"> le SIS pour la mise en œuvre de </w:t>
            </w:r>
            <w:r w:rsidR="000C6EBF">
              <w:rPr>
                <w:color w:val="000000" w:themeColor="text1"/>
              </w:rPr>
              <w:t>procédures</w:t>
            </w:r>
            <w:r>
              <w:rPr>
                <w:color w:val="000000" w:themeColor="text1"/>
              </w:rPr>
              <w:t xml:space="preserve"> standardisées pour le nettoyage et la </w:t>
            </w:r>
            <w:r w:rsidR="000C6EBF">
              <w:rPr>
                <w:color w:val="000000" w:themeColor="text1"/>
              </w:rPr>
              <w:t>vérification</w:t>
            </w:r>
            <w:r>
              <w:rPr>
                <w:color w:val="000000" w:themeColor="text1"/>
              </w:rPr>
              <w:t xml:space="preserve"> des données introduites dans le DHIS2</w:t>
            </w:r>
            <w:r w:rsidR="00243A28">
              <w:rPr>
                <w:color w:val="000000" w:themeColor="text1"/>
              </w:rPr>
              <w:t xml:space="preserve">, l’analyse des données, </w:t>
            </w:r>
            <w:r w:rsidR="00F62B1B">
              <w:rPr>
                <w:color w:val="000000" w:themeColor="text1"/>
              </w:rPr>
              <w:t xml:space="preserve">le reportage et </w:t>
            </w:r>
            <w:r w:rsidR="00243A28">
              <w:rPr>
                <w:color w:val="000000" w:themeColor="text1"/>
              </w:rPr>
              <w:t xml:space="preserve">la présentation mensuelle des données de vaccination et la formation des gestionnaires de données </w:t>
            </w:r>
            <w:r w:rsidR="00243A28" w:rsidRPr="009A0CEC">
              <w:rPr>
                <w:color w:val="000000" w:themeColor="text1"/>
              </w:rPr>
              <w:t>du SIS et du PEV</w:t>
            </w:r>
            <w:r w:rsidRPr="009A0CEC">
              <w:rPr>
                <w:color w:val="000000" w:themeColor="text1"/>
              </w:rPr>
              <w:t>.</w:t>
            </w:r>
          </w:p>
          <w:p w14:paraId="44B4C198" w14:textId="4D807F31" w:rsidR="00243A28" w:rsidRPr="009A0CEC" w:rsidRDefault="00243A28">
            <w:pPr>
              <w:shd w:val="clear" w:color="auto" w:fill="FFFFFF"/>
              <w:spacing w:line="240" w:lineRule="auto"/>
              <w:jc w:val="both"/>
            </w:pPr>
            <w:r w:rsidRPr="009A0CEC">
              <w:t xml:space="preserve">Cette assistance </w:t>
            </w:r>
            <w:r w:rsidR="000C6EBF" w:rsidRPr="009A0CEC">
              <w:t>technique</w:t>
            </w:r>
            <w:r w:rsidRPr="009A0CEC">
              <w:t xml:space="preserve"> est nécessaire pour une durée de 24 mois.</w:t>
            </w:r>
          </w:p>
          <w:p w14:paraId="607AE91B" w14:textId="77777777" w:rsidR="002A7DB5" w:rsidRPr="009A0CEC" w:rsidRDefault="002A7DB5">
            <w:pPr>
              <w:shd w:val="clear" w:color="auto" w:fill="FFFFFF"/>
              <w:spacing w:line="240" w:lineRule="auto"/>
              <w:jc w:val="both"/>
              <w:rPr>
                <w:color w:val="000000" w:themeColor="text1"/>
              </w:rPr>
            </w:pPr>
          </w:p>
          <w:p w14:paraId="5C7841EC" w14:textId="71DAA3F2" w:rsidR="00243A28" w:rsidRPr="00E95295" w:rsidRDefault="002A7DB5">
            <w:pPr>
              <w:shd w:val="clear" w:color="auto" w:fill="FFFFFF"/>
              <w:spacing w:line="240" w:lineRule="auto"/>
              <w:jc w:val="both"/>
            </w:pPr>
            <w:r w:rsidRPr="009A0CEC">
              <w:rPr>
                <w:color w:val="000000" w:themeColor="text1"/>
              </w:rPr>
              <w:t xml:space="preserve">De même une assistance </w:t>
            </w:r>
            <w:r w:rsidR="000C6EBF" w:rsidRPr="009A0CEC">
              <w:rPr>
                <w:color w:val="000000" w:themeColor="text1"/>
              </w:rPr>
              <w:t>technique</w:t>
            </w:r>
            <w:r w:rsidRPr="009A0CEC">
              <w:rPr>
                <w:color w:val="000000" w:themeColor="text1"/>
              </w:rPr>
              <w:t xml:space="preserve"> pour la </w:t>
            </w:r>
            <w:r w:rsidR="000C6EBF" w:rsidRPr="009A0CEC">
              <w:rPr>
                <w:color w:val="000000" w:themeColor="text1"/>
              </w:rPr>
              <w:t>customisation</w:t>
            </w:r>
            <w:r w:rsidR="00243A28" w:rsidRPr="009A0CEC">
              <w:rPr>
                <w:color w:val="000000" w:themeColor="text1"/>
              </w:rPr>
              <w:t xml:space="preserve"> du DHIS2 (amélioration/mise à jour de la plateforme), la formation des agents est nécessaire</w:t>
            </w:r>
            <w:r w:rsidR="00C9109A" w:rsidRPr="009A0CEC">
              <w:rPr>
                <w:color w:val="000000" w:themeColor="text1"/>
              </w:rPr>
              <w:t xml:space="preserve">. </w:t>
            </w:r>
            <w:r w:rsidR="00243A28" w:rsidRPr="009A0CEC">
              <w:t xml:space="preserve">Cette assistance </w:t>
            </w:r>
            <w:r w:rsidR="000C6EBF" w:rsidRPr="009A0CEC">
              <w:t>technique</w:t>
            </w:r>
            <w:r w:rsidR="00243A28" w:rsidRPr="009A0CEC">
              <w:t xml:space="preserve"> est nécessaire pour une durée de 6 mois minimum.</w:t>
            </w:r>
          </w:p>
          <w:p w14:paraId="12DF2F77" w14:textId="77777777" w:rsidR="00243A28" w:rsidRDefault="00243A28">
            <w:pPr>
              <w:shd w:val="clear" w:color="auto" w:fill="FFFFFF"/>
              <w:spacing w:line="240" w:lineRule="auto"/>
              <w:jc w:val="both"/>
              <w:rPr>
                <w:color w:val="000000" w:themeColor="text1"/>
              </w:rPr>
            </w:pPr>
          </w:p>
          <w:p w14:paraId="21EE88B3" w14:textId="7677163B" w:rsidR="00A95621" w:rsidRPr="00E95295" w:rsidRDefault="002A7DB5">
            <w:pPr>
              <w:shd w:val="clear" w:color="auto" w:fill="FFFFFF"/>
              <w:spacing w:line="240" w:lineRule="auto"/>
              <w:jc w:val="both"/>
              <w:rPr>
                <w:color w:val="000000" w:themeColor="text1"/>
                <w:u w:val="single"/>
              </w:rPr>
            </w:pPr>
            <w:r>
              <w:rPr>
                <w:color w:val="000000" w:themeColor="text1"/>
                <w:u w:val="single"/>
              </w:rPr>
              <w:t>Suivi et é</w:t>
            </w:r>
            <w:r w:rsidR="00A95621" w:rsidRPr="00E95295">
              <w:rPr>
                <w:color w:val="000000" w:themeColor="text1"/>
                <w:u w:val="single"/>
              </w:rPr>
              <w:t xml:space="preserve">valuation des activités de vaccination  </w:t>
            </w:r>
          </w:p>
          <w:p w14:paraId="74364D03" w14:textId="7A4F5C0D" w:rsidR="00372D1F" w:rsidRPr="001801AC" w:rsidRDefault="002C64B5" w:rsidP="005D3A47">
            <w:pPr>
              <w:spacing w:line="300" w:lineRule="exact"/>
              <w:jc w:val="both"/>
            </w:pPr>
            <w:r w:rsidRPr="001801AC">
              <w:t>Le P</w:t>
            </w:r>
            <w:r w:rsidR="008256F7">
              <w:t>EV</w:t>
            </w:r>
            <w:r w:rsidRPr="001801AC">
              <w:t xml:space="preserve"> a bénéficié d'actions de suivi à savoir la collecte mensuelle d'une série d'indicateurs dans tous les districts. Cependant, il y a eu quelques retards dans l'achèvement des bulletins mensuels de vaccination et au niveau des districts la performance </w:t>
            </w:r>
            <w:r w:rsidR="005D3A47" w:rsidRPr="001801AC">
              <w:t>démontrent</w:t>
            </w:r>
            <w:r w:rsidRPr="001801AC">
              <w:t xml:space="preserve"> </w:t>
            </w:r>
            <w:r w:rsidR="00072AFA" w:rsidRPr="001801AC">
              <w:t>l’existence de faibl</w:t>
            </w:r>
            <w:r w:rsidR="008256F7">
              <w:t>e</w:t>
            </w:r>
            <w:r w:rsidR="00072AFA" w:rsidRPr="001801AC">
              <w:t>sses</w:t>
            </w:r>
            <w:r w:rsidRPr="001801AC">
              <w:t>. La comparaison des données d'enquête</w:t>
            </w:r>
            <w:r w:rsidR="00072AFA" w:rsidRPr="001801AC">
              <w:t xml:space="preserve"> MICS-19</w:t>
            </w:r>
            <w:r w:rsidRPr="001801AC">
              <w:t xml:space="preserve"> a révélé certaines différences entre les deux sources d'information. Ces différences ont été </w:t>
            </w:r>
            <w:r w:rsidR="00081C31" w:rsidRPr="001801AC">
              <w:t xml:space="preserve">également </w:t>
            </w:r>
            <w:r w:rsidR="00072AFA" w:rsidRPr="001801AC">
              <w:t>enregistr</w:t>
            </w:r>
            <w:r w:rsidR="008256F7">
              <w:t>é</w:t>
            </w:r>
            <w:r w:rsidR="00072AFA" w:rsidRPr="001801AC">
              <w:t>es</w:t>
            </w:r>
            <w:r w:rsidRPr="001801AC">
              <w:t xml:space="preserve"> dans une enquête de couverture vaccinale, ce qui prouve les insuffisances du système de collecte d'information. </w:t>
            </w:r>
            <w:r w:rsidR="00081C31" w:rsidRPr="009A0CEC">
              <w:t>Sur cette base</w:t>
            </w:r>
            <w:r w:rsidRPr="009A0CEC">
              <w:t xml:space="preserve"> le P</w:t>
            </w:r>
            <w:r w:rsidR="00081C31" w:rsidRPr="009A0CEC">
              <w:t>E</w:t>
            </w:r>
            <w:r w:rsidRPr="009A0CEC">
              <w:t>V considère que l'assistance technique est essentielle pour améliorer l</w:t>
            </w:r>
            <w:r w:rsidR="00081C31" w:rsidRPr="009A0CEC">
              <w:t>a qualit</w:t>
            </w:r>
            <w:r w:rsidR="000C6EBF" w:rsidRPr="009A0CEC">
              <w:t>é</w:t>
            </w:r>
            <w:r w:rsidR="00081C31" w:rsidRPr="009A0CEC">
              <w:t xml:space="preserve"> de </w:t>
            </w:r>
            <w:r w:rsidR="00747950" w:rsidRPr="009A0CEC">
              <w:t>r</w:t>
            </w:r>
            <w:r w:rsidR="000C6EBF" w:rsidRPr="009A0CEC">
              <w:t>é</w:t>
            </w:r>
            <w:r w:rsidR="00747950" w:rsidRPr="009A0CEC">
              <w:t>colte d</w:t>
            </w:r>
            <w:r w:rsidRPr="009A0CEC">
              <w:t>'information sur la couverture vaccinale</w:t>
            </w:r>
            <w:r w:rsidR="00747950" w:rsidRPr="009A0CEC">
              <w:t>, surtout au niveau des districts</w:t>
            </w:r>
            <w:r w:rsidR="00081C31" w:rsidRPr="009A0CEC">
              <w:t>.</w:t>
            </w:r>
          </w:p>
          <w:p w14:paraId="5A5CBE73" w14:textId="77777777" w:rsidR="0055216B" w:rsidRDefault="0055216B" w:rsidP="00222083">
            <w:pPr>
              <w:spacing w:line="300" w:lineRule="exact"/>
              <w:jc w:val="both"/>
            </w:pPr>
          </w:p>
          <w:p w14:paraId="011FCD60" w14:textId="0ADF8A48" w:rsidR="0055216B" w:rsidRDefault="0055216B" w:rsidP="00222083">
            <w:pPr>
              <w:spacing w:line="300" w:lineRule="exact"/>
              <w:jc w:val="both"/>
            </w:pPr>
            <w:r w:rsidRPr="00830782">
              <w:t xml:space="preserve">Les rapports de couverture vaccinale ont démontré l'incapacité d’atteindre la couverture universelle. Sur cette base le PEV demande l’appui pour la réalisation d’une enquête de couverture pour identifier les cas de </w:t>
            </w:r>
            <w:r>
              <w:t>zéro</w:t>
            </w:r>
            <w:r w:rsidRPr="00830782">
              <w:t xml:space="preserve"> dose, évaluer les raisons de la non-vaccination et les facteurs associés</w:t>
            </w:r>
            <w:r w:rsidRPr="00082C7D">
              <w:t xml:space="preserve">. Une assistance technique est requise </w:t>
            </w:r>
            <w:r w:rsidR="00D06BCA" w:rsidRPr="00082C7D">
              <w:t xml:space="preserve">à </w:t>
            </w:r>
            <w:r w:rsidRPr="00082C7D">
              <w:t>cet effet.</w:t>
            </w:r>
          </w:p>
          <w:p w14:paraId="1671F956" w14:textId="6929B5C1" w:rsidR="002A7DB5" w:rsidRDefault="002A7DB5" w:rsidP="00222083">
            <w:pPr>
              <w:shd w:val="clear" w:color="auto" w:fill="FFFFFF"/>
              <w:spacing w:line="240" w:lineRule="auto"/>
              <w:jc w:val="both"/>
              <w:rPr>
                <w:color w:val="000000" w:themeColor="text1"/>
                <w:u w:val="single"/>
              </w:rPr>
            </w:pPr>
          </w:p>
          <w:p w14:paraId="26951B6F" w14:textId="14465408" w:rsidR="006659AC" w:rsidRPr="006659AC" w:rsidRDefault="006659AC" w:rsidP="00222083">
            <w:pPr>
              <w:spacing w:line="300" w:lineRule="exact"/>
              <w:jc w:val="both"/>
              <w:rPr>
                <w:u w:val="single"/>
              </w:rPr>
            </w:pPr>
            <w:r w:rsidRPr="006659AC">
              <w:rPr>
                <w:u w:val="single"/>
              </w:rPr>
              <w:t xml:space="preserve">Evaluation de l’équité dans la distribution de la </w:t>
            </w:r>
            <w:r w:rsidR="00AB633A">
              <w:rPr>
                <w:u w:val="single"/>
              </w:rPr>
              <w:t>couverture vaccinale</w:t>
            </w:r>
            <w:r w:rsidRPr="006659AC">
              <w:rPr>
                <w:u w:val="single"/>
              </w:rPr>
              <w:t xml:space="preserve"> </w:t>
            </w:r>
          </w:p>
          <w:p w14:paraId="5A396CDB" w14:textId="2B541466" w:rsidR="006659AC" w:rsidRPr="006659AC" w:rsidRDefault="006659AC" w:rsidP="00222083">
            <w:pPr>
              <w:spacing w:line="300" w:lineRule="exact"/>
              <w:jc w:val="both"/>
            </w:pPr>
            <w:r w:rsidRPr="006659AC">
              <w:t xml:space="preserve">A ce jour, le Pays dispose de données insuffisantes concernant la distribution des vaccins par genre. Ainsi, les données administratives et la récente enquête MICS-19, indique qu’il n’y a pas d'obstacles liés au genre dans l'accès aux services de vaccination à Sao Tome et </w:t>
            </w:r>
            <w:r w:rsidRPr="006659AC">
              <w:lastRenderedPageBreak/>
              <w:t>Principe. Cependant, la capacité des équipes doit être renforcée pour conduire une analyse plus approfondie des obstacles liés au genre</w:t>
            </w:r>
            <w:r w:rsidR="00AB633A">
              <w:t xml:space="preserve"> et s’assurer de la couverture équitable dans la population</w:t>
            </w:r>
            <w:r w:rsidRPr="006659AC">
              <w:t xml:space="preserve">. </w:t>
            </w:r>
            <w:r w:rsidR="00AB633A">
              <w:t xml:space="preserve">Pour cela, le pays sollicite un expert lié aux questions du genre pour former les équipes et mettre en place l’évaluation.  </w:t>
            </w:r>
          </w:p>
          <w:p w14:paraId="002E9677" w14:textId="2F9712C7" w:rsidR="006659AC" w:rsidRDefault="006659AC" w:rsidP="00222083">
            <w:pPr>
              <w:shd w:val="clear" w:color="auto" w:fill="FFFFFF"/>
              <w:spacing w:line="240" w:lineRule="auto"/>
              <w:jc w:val="both"/>
              <w:rPr>
                <w:color w:val="000000" w:themeColor="text1"/>
                <w:u w:val="single"/>
              </w:rPr>
            </w:pPr>
          </w:p>
          <w:p w14:paraId="51B81803" w14:textId="77777777" w:rsidR="006659AC" w:rsidRDefault="006659AC" w:rsidP="004400CA">
            <w:pPr>
              <w:shd w:val="clear" w:color="auto" w:fill="FFFFFF"/>
              <w:spacing w:line="240" w:lineRule="auto"/>
              <w:jc w:val="both"/>
              <w:rPr>
                <w:color w:val="000000" w:themeColor="text1"/>
                <w:u w:val="single"/>
              </w:rPr>
            </w:pPr>
          </w:p>
          <w:p w14:paraId="52504099" w14:textId="4AE38BAB" w:rsidR="00A95621" w:rsidRDefault="002A7DB5">
            <w:pPr>
              <w:shd w:val="clear" w:color="auto" w:fill="FFFFFF"/>
              <w:spacing w:line="240" w:lineRule="auto"/>
              <w:jc w:val="both"/>
              <w:rPr>
                <w:color w:val="000000" w:themeColor="text1"/>
                <w:u w:val="single"/>
              </w:rPr>
            </w:pPr>
            <w:r>
              <w:rPr>
                <w:color w:val="000000" w:themeColor="text1"/>
                <w:u w:val="single"/>
              </w:rPr>
              <w:t>Suivi des MAPI</w:t>
            </w:r>
          </w:p>
          <w:p w14:paraId="450C8958" w14:textId="46CC9CFE" w:rsidR="005141BD" w:rsidRDefault="007779C5">
            <w:pPr>
              <w:spacing w:line="300" w:lineRule="exact"/>
              <w:jc w:val="both"/>
            </w:pPr>
            <w:r>
              <w:t xml:space="preserve">La création d’un comité national pour le suivi des </w:t>
            </w:r>
            <w:r w:rsidR="00243A28">
              <w:t>MAPI</w:t>
            </w:r>
            <w:r>
              <w:t xml:space="preserve">, l’identification de points focaux pour le suivi des MAPI dans les districts ainsi que le renforcement du suivi des MAPI </w:t>
            </w:r>
            <w:r w:rsidR="00D06BCA">
              <w:t>nécessite</w:t>
            </w:r>
            <w:r>
              <w:t xml:space="preserve"> l’</w:t>
            </w:r>
            <w:r w:rsidR="00D06BCA">
              <w:t>existence</w:t>
            </w:r>
            <w:r>
              <w:t xml:space="preserve"> d’un appui </w:t>
            </w:r>
            <w:r w:rsidR="00D06BCA">
              <w:t>technique</w:t>
            </w:r>
            <w:r>
              <w:t xml:space="preserve"> dédié. Le </w:t>
            </w:r>
            <w:r w:rsidR="00D06BCA">
              <w:t>déploiement</w:t>
            </w:r>
            <w:r>
              <w:t xml:space="preserve"> d’un expert en </w:t>
            </w:r>
            <w:r w:rsidR="00D06BCA">
              <w:t>pharmacovigilance</w:t>
            </w:r>
            <w:r>
              <w:t xml:space="preserve"> pourrait se faire </w:t>
            </w:r>
            <w:r w:rsidR="00A236A2">
              <w:t xml:space="preserve">lorsque </w:t>
            </w:r>
            <w:r>
              <w:t>le pays aura identifi</w:t>
            </w:r>
            <w:r w:rsidR="00A236A2">
              <w:t>é</w:t>
            </w:r>
            <w:r>
              <w:t xml:space="preserve"> en interne un point focal national pour permettre le renforcement des capacités pays et la pérennité du système mis en place. </w:t>
            </w:r>
          </w:p>
          <w:p w14:paraId="3C9683B2" w14:textId="1162B5F2" w:rsidR="00C21057" w:rsidRPr="009A0CEC" w:rsidRDefault="00C21057">
            <w:pPr>
              <w:shd w:val="clear" w:color="auto" w:fill="FFFFFF"/>
              <w:spacing w:line="240" w:lineRule="auto"/>
              <w:jc w:val="both"/>
            </w:pPr>
            <w:r>
              <w:t xml:space="preserve">Une telle assistance </w:t>
            </w:r>
            <w:r w:rsidR="00D06BCA">
              <w:t>technique</w:t>
            </w:r>
            <w:r>
              <w:t xml:space="preserve"> est nécessaire pour une durée </w:t>
            </w:r>
            <w:r w:rsidRPr="009A0CEC">
              <w:t>de 6 mois.</w:t>
            </w:r>
          </w:p>
          <w:p w14:paraId="5554EECA" w14:textId="12A1E5E3" w:rsidR="0055216B" w:rsidRPr="009A0CEC" w:rsidRDefault="0055216B">
            <w:pPr>
              <w:shd w:val="clear" w:color="auto" w:fill="FFFFFF"/>
              <w:spacing w:line="240" w:lineRule="auto"/>
              <w:jc w:val="both"/>
            </w:pPr>
          </w:p>
          <w:p w14:paraId="750B012A" w14:textId="4027D894" w:rsidR="0051418D" w:rsidRPr="009A0CEC" w:rsidRDefault="0051418D">
            <w:pPr>
              <w:shd w:val="clear" w:color="auto" w:fill="FFFFFF"/>
              <w:spacing w:line="240" w:lineRule="auto"/>
              <w:jc w:val="both"/>
              <w:rPr>
                <w:bCs/>
              </w:rPr>
            </w:pPr>
            <w:r w:rsidRPr="009A0CEC">
              <w:rPr>
                <w:b/>
              </w:rPr>
              <w:t>5/ Stock des vaccin</w:t>
            </w:r>
            <w:r w:rsidR="00A236A2" w:rsidRPr="009A0CEC">
              <w:rPr>
                <w:b/>
              </w:rPr>
              <w:t>s</w:t>
            </w:r>
            <w:r w:rsidRPr="009A0CEC">
              <w:rPr>
                <w:b/>
              </w:rPr>
              <w:t xml:space="preserve">, gestion des déchets et transport des vaccins </w:t>
            </w:r>
          </w:p>
          <w:p w14:paraId="52EDE374" w14:textId="0742140B" w:rsidR="00C21057" w:rsidRDefault="00C21057">
            <w:pPr>
              <w:spacing w:line="300" w:lineRule="exact"/>
              <w:jc w:val="both"/>
            </w:pPr>
            <w:r w:rsidRPr="009A0CEC">
              <w:t xml:space="preserve">Afin de répondre aux </w:t>
            </w:r>
            <w:r w:rsidR="007846BF" w:rsidRPr="009A0CEC">
              <w:t>contraintes dans la gestion d</w:t>
            </w:r>
            <w:r w:rsidR="001801AC" w:rsidRPr="009A0CEC">
              <w:t>u</w:t>
            </w:r>
            <w:r w:rsidR="007846BF" w:rsidRPr="009A0CEC">
              <w:t xml:space="preserve"> stock de vaccins </w:t>
            </w:r>
            <w:r w:rsidRPr="009A0CEC">
              <w:t xml:space="preserve">le PEV souhaiterai une </w:t>
            </w:r>
            <w:r w:rsidR="007846BF" w:rsidRPr="009A0CEC">
              <w:t>assistance technique</w:t>
            </w:r>
            <w:r w:rsidRPr="009A0CEC">
              <w:t xml:space="preserve"> pour une durée de </w:t>
            </w:r>
            <w:r w:rsidR="009A0CEC" w:rsidRPr="009A0CEC">
              <w:t>6</w:t>
            </w:r>
            <w:r w:rsidRPr="009A0CEC">
              <w:t xml:space="preserve"> mois.</w:t>
            </w:r>
          </w:p>
          <w:p w14:paraId="68D7FFC2" w14:textId="77777777" w:rsidR="006E4D16" w:rsidRDefault="00C21057">
            <w:pPr>
              <w:spacing w:line="300" w:lineRule="exact"/>
              <w:jc w:val="both"/>
            </w:pPr>
            <w:r>
              <w:t>Cette assistance technique</w:t>
            </w:r>
            <w:r w:rsidR="007846BF" w:rsidRPr="00A236A2">
              <w:t xml:space="preserve"> requise contribuerait à l'amélioration de </w:t>
            </w:r>
            <w:r>
              <w:t>l</w:t>
            </w:r>
            <w:r w:rsidR="007846BF" w:rsidRPr="00A236A2">
              <w:t>a qualité</w:t>
            </w:r>
            <w:r>
              <w:t xml:space="preserve"> du stock des vaccins</w:t>
            </w:r>
            <w:r w:rsidR="0055216B">
              <w:t xml:space="preserve">, </w:t>
            </w:r>
            <w:r w:rsidR="007846BF" w:rsidRPr="00A236A2">
              <w:t xml:space="preserve">à la </w:t>
            </w:r>
            <w:r w:rsidR="001801AC" w:rsidRPr="00A236A2">
              <w:t>capacita</w:t>
            </w:r>
            <w:r w:rsidR="007846BF" w:rsidRPr="00A236A2">
              <w:t>tion d'un personnel supplémentaire</w:t>
            </w:r>
            <w:r>
              <w:t xml:space="preserve"> pour </w:t>
            </w:r>
            <w:r w:rsidR="007846BF" w:rsidRPr="00A236A2">
              <w:t>appuy</w:t>
            </w:r>
            <w:r w:rsidR="001801AC" w:rsidRPr="00A236A2">
              <w:t>e</w:t>
            </w:r>
            <w:r>
              <w:t>r</w:t>
            </w:r>
            <w:r w:rsidR="007846BF" w:rsidRPr="00A236A2">
              <w:t xml:space="preserve"> le </w:t>
            </w:r>
            <w:r>
              <w:t>PEV</w:t>
            </w:r>
            <w:r w:rsidR="0055216B">
              <w:t xml:space="preserve">, à la formation des agents au niveau des districts et le développement de </w:t>
            </w:r>
            <w:r w:rsidR="00D06BCA">
              <w:t>procédures</w:t>
            </w:r>
            <w:r w:rsidR="0055216B">
              <w:t xml:space="preserve"> pour l’</w:t>
            </w:r>
            <w:r w:rsidR="00D06BCA">
              <w:t>amélioration</w:t>
            </w:r>
            <w:r w:rsidR="0055216B">
              <w:t xml:space="preserve"> du stockage des vaccin</w:t>
            </w:r>
            <w:r w:rsidR="006E4D16">
              <w:t>s.</w:t>
            </w:r>
          </w:p>
          <w:p w14:paraId="7FB37E0E" w14:textId="77777777" w:rsidR="006E4D16" w:rsidRDefault="006E4D16">
            <w:pPr>
              <w:spacing w:line="300" w:lineRule="exact"/>
              <w:jc w:val="both"/>
            </w:pPr>
          </w:p>
          <w:p w14:paraId="04C9DB38" w14:textId="4C94FCD3" w:rsidR="00AB59FF" w:rsidRDefault="002B4DDE" w:rsidP="005D3A47">
            <w:pPr>
              <w:spacing w:line="300" w:lineRule="exact"/>
              <w:jc w:val="both"/>
            </w:pPr>
            <w:r w:rsidRPr="002B4DDE">
              <w:t xml:space="preserve">L'installation d'un autre incinérateur à São Tomé sera nécessaire pour couvrir la quantité de déchets produits ainsi qu'un transport approprié pour la collecte des </w:t>
            </w:r>
            <w:r w:rsidR="005D3A47" w:rsidRPr="002B4DDE">
              <w:t>déchets. Pour</w:t>
            </w:r>
            <w:r w:rsidRPr="002B4DDE">
              <w:t xml:space="preserve"> le fonctionnement de l'incinérateur, il sera nécessaire de garantir le carburant. Une assistance technique sera nécessaire pour soutenir la formation des techniciens chargés de l'entretien de l'incinérateur.</w:t>
            </w:r>
          </w:p>
          <w:p w14:paraId="2802A097" w14:textId="77777777" w:rsidR="00AB59FF" w:rsidRDefault="00AB59FF" w:rsidP="004400CA">
            <w:pPr>
              <w:spacing w:line="300" w:lineRule="exact"/>
              <w:jc w:val="both"/>
            </w:pPr>
          </w:p>
          <w:p w14:paraId="38DC400C" w14:textId="6D63C828" w:rsidR="004F08B6" w:rsidRPr="004F08B6" w:rsidRDefault="004F08B6">
            <w:pPr>
              <w:spacing w:line="300" w:lineRule="exact"/>
              <w:jc w:val="both"/>
              <w:rPr>
                <w:b/>
                <w:bCs/>
              </w:rPr>
            </w:pPr>
            <w:r w:rsidRPr="004F08B6">
              <w:rPr>
                <w:b/>
                <w:bCs/>
              </w:rPr>
              <w:t>6/ Planification et leadership</w:t>
            </w:r>
          </w:p>
          <w:p w14:paraId="1BF4074E" w14:textId="5867D0EB" w:rsidR="004F08B6" w:rsidRDefault="004F08B6">
            <w:pPr>
              <w:spacing w:line="300" w:lineRule="exact"/>
              <w:jc w:val="both"/>
            </w:pPr>
            <w:r>
              <w:t xml:space="preserve">Le </w:t>
            </w:r>
            <w:r w:rsidR="00B47302">
              <w:t>plan pluriannuel complet (PPAC)</w:t>
            </w:r>
            <w:r>
              <w:t xml:space="preserve"> doit être révisé </w:t>
            </w:r>
            <w:r w:rsidR="00B47302">
              <w:t>et harmonisé avec l’initiative Immunisation 2030 (IA2030). Une assistance technique est nécessaire pour l’élaboration du plan et du budget. La durée d’assistance est de 3 mois, incluant le processus de révision, élaboration du plan et de la budgétisation.</w:t>
            </w:r>
          </w:p>
          <w:p w14:paraId="58A9BD2B" w14:textId="77777777" w:rsidR="004F08B6" w:rsidRDefault="00B47302">
            <w:pPr>
              <w:spacing w:line="300" w:lineRule="exact"/>
              <w:jc w:val="both"/>
            </w:pPr>
            <w:r>
              <w:t xml:space="preserve">Un renforcement des compétences en leadership </w:t>
            </w:r>
            <w:r w:rsidR="004F37D4">
              <w:t xml:space="preserve">pour l’équipe du PEV au niveau central et périphérique est nécessaire. L’assistance technique est demandée pour cela pour une durée de 1 mois. </w:t>
            </w:r>
          </w:p>
          <w:p w14:paraId="61D2AADC" w14:textId="77777777" w:rsidR="006659AC" w:rsidRDefault="006659AC">
            <w:pPr>
              <w:spacing w:line="300" w:lineRule="exact"/>
              <w:jc w:val="both"/>
            </w:pPr>
          </w:p>
          <w:p w14:paraId="56BE8F0B" w14:textId="77777777" w:rsidR="0008629B" w:rsidRPr="008C348A" w:rsidRDefault="0008629B">
            <w:pPr>
              <w:spacing w:line="300" w:lineRule="exact"/>
              <w:jc w:val="both"/>
              <w:rPr>
                <w:b/>
                <w:bCs/>
              </w:rPr>
            </w:pPr>
            <w:r w:rsidRPr="008C348A">
              <w:rPr>
                <w:b/>
                <w:bCs/>
              </w:rPr>
              <w:t>7/ Financement de la santé</w:t>
            </w:r>
          </w:p>
          <w:p w14:paraId="7D9A0BA9" w14:textId="35FF0CD0" w:rsidR="0008629B" w:rsidRPr="00497537" w:rsidRDefault="0008629B" w:rsidP="008C348A">
            <w:pPr>
              <w:spacing w:line="300" w:lineRule="exact"/>
              <w:jc w:val="both"/>
            </w:pPr>
            <w:r>
              <w:t xml:space="preserve">Un appui de </w:t>
            </w:r>
            <w:r w:rsidR="00A0297A">
              <w:t xml:space="preserve">15 mois via un consultant à temps plein en financement de la santé travaillant à la fois avec le Ministère de la santé et le Ministère des Finances. Cette personne sera en outre chargé d’améliorer le financement des vaccins et de la prestation de services dans le cadre de la fin de la transition accélérée (2023). Plus précisément, il/elle appuiera : la projection des besoins en vaccins et des coûts de fonctionnement (comprend l'évaluation du coût de la gratuité des services, afin de les rationaliser et d'assurer leur financement durable, recommandation du rapport du CSU sur la section financement de la santé) ; la </w:t>
            </w:r>
            <w:r w:rsidR="00A0297A">
              <w:lastRenderedPageBreak/>
              <w:t>surveillance du processus de paiement national des vaccins en 2022 et 2023 ; la cartographie du soutien des donateurs pour les SSP / prestation de services ; l’appui/Renforcement en gestion financière dans le contexte de transition ; soutien au développement du nouveau PNDS pour s'assurer que les problèmes/besoins liés à la transition sont inclus ; Note visant un plaidoyer auprès du niveau décentralisé et du secteur privé pour leur implication/levier dans le financement de la santé</w:t>
            </w:r>
          </w:p>
        </w:tc>
      </w:tr>
      <w:tr w:rsidR="0071439C" w14:paraId="0D9AF231" w14:textId="77777777" w:rsidTr="007B53D1">
        <w:tc>
          <w:tcPr>
            <w:tcW w:w="9192" w:type="dxa"/>
            <w:tcBorders>
              <w:top w:val="single" w:sz="4" w:space="0" w:color="auto"/>
              <w:bottom w:val="single" w:sz="4" w:space="0" w:color="auto"/>
            </w:tcBorders>
            <w:shd w:val="clear" w:color="auto" w:fill="F2F2F2" w:themeFill="background1" w:themeFillShade="F2"/>
          </w:tcPr>
          <w:p w14:paraId="14533925" w14:textId="33BEE13D" w:rsidR="00E165B4" w:rsidRPr="00D277C6" w:rsidRDefault="00247618" w:rsidP="00222083">
            <w:pPr>
              <w:pStyle w:val="ListParagraph"/>
              <w:numPr>
                <w:ilvl w:val="1"/>
                <w:numId w:val="4"/>
              </w:numPr>
              <w:spacing w:line="300" w:lineRule="exact"/>
              <w:ind w:left="316" w:hanging="316"/>
              <w:jc w:val="both"/>
              <w:rPr>
                <w:b/>
                <w:bCs/>
                <w:i/>
                <w:iCs/>
                <w:sz w:val="20"/>
                <w:szCs w:val="20"/>
              </w:rPr>
            </w:pPr>
            <w:r>
              <w:rPr>
                <w:b/>
                <w:i/>
                <w:sz w:val="20"/>
              </w:rPr>
              <w:lastRenderedPageBreak/>
              <w:t>Veuillez indique</w:t>
            </w:r>
            <w:r w:rsidR="00723937">
              <w:rPr>
                <w:b/>
                <w:i/>
                <w:sz w:val="20"/>
              </w:rPr>
              <w:t xml:space="preserve">r </w:t>
            </w:r>
            <w:r w:rsidR="0063551E">
              <w:rPr>
                <w:b/>
                <w:i/>
                <w:sz w:val="20"/>
              </w:rPr>
              <w:t xml:space="preserve">comment </w:t>
            </w:r>
            <w:r w:rsidR="0071439C">
              <w:rPr>
                <w:b/>
                <w:i/>
                <w:sz w:val="20"/>
              </w:rPr>
              <w:t xml:space="preserve">l'assistance pays ciblée requise promeut-elle la mission de Gavi 5.0 </w:t>
            </w:r>
            <w:r w:rsidR="0071439C" w:rsidRPr="00D277C6">
              <w:rPr>
                <w:b/>
                <w:i/>
                <w:sz w:val="20"/>
              </w:rPr>
              <w:t>par contexte national, en insistant sur:</w:t>
            </w:r>
          </w:p>
          <w:p w14:paraId="2112DA8C" w14:textId="6BDEDEB2" w:rsidR="00544D9B" w:rsidRPr="00D277C6" w:rsidRDefault="00544D9B" w:rsidP="00222083">
            <w:pPr>
              <w:pStyle w:val="ListParagraph"/>
              <w:numPr>
                <w:ilvl w:val="0"/>
                <w:numId w:val="5"/>
              </w:numPr>
              <w:spacing w:line="300" w:lineRule="exact"/>
              <w:ind w:left="741"/>
              <w:jc w:val="both"/>
              <w:rPr>
                <w:b/>
                <w:bCs/>
                <w:i/>
                <w:iCs/>
                <w:sz w:val="20"/>
                <w:szCs w:val="20"/>
              </w:rPr>
            </w:pPr>
            <w:r w:rsidRPr="00D277C6">
              <w:rPr>
                <w:b/>
                <w:i/>
                <w:sz w:val="20"/>
              </w:rPr>
              <w:t>l'identification et l'atteinte des enfants et des communautés zéro</w:t>
            </w:r>
            <w:r w:rsidR="005B4209">
              <w:rPr>
                <w:b/>
                <w:i/>
                <w:sz w:val="20"/>
              </w:rPr>
              <w:t>-</w:t>
            </w:r>
            <w:r w:rsidRPr="00D277C6">
              <w:rPr>
                <w:b/>
                <w:i/>
                <w:sz w:val="20"/>
              </w:rPr>
              <w:t>dose et systématiquement oubliés;</w:t>
            </w:r>
          </w:p>
          <w:p w14:paraId="6B56EB6C" w14:textId="408F36D1" w:rsidR="00544D9B" w:rsidRPr="00D277C6" w:rsidRDefault="00544D9B" w:rsidP="00222083">
            <w:pPr>
              <w:pStyle w:val="ListParagraph"/>
              <w:numPr>
                <w:ilvl w:val="0"/>
                <w:numId w:val="5"/>
              </w:numPr>
              <w:spacing w:line="300" w:lineRule="exact"/>
              <w:ind w:left="741"/>
              <w:jc w:val="both"/>
              <w:rPr>
                <w:b/>
                <w:bCs/>
                <w:i/>
                <w:iCs/>
                <w:sz w:val="20"/>
                <w:szCs w:val="20"/>
              </w:rPr>
            </w:pPr>
            <w:r w:rsidRPr="00D277C6">
              <w:rPr>
                <w:b/>
                <w:i/>
                <w:sz w:val="20"/>
              </w:rPr>
              <w:t xml:space="preserve">l'amélioration </w:t>
            </w:r>
            <w:r w:rsidR="0063551E">
              <w:rPr>
                <w:b/>
                <w:i/>
                <w:sz w:val="20"/>
              </w:rPr>
              <w:t>de l’analyse</w:t>
            </w:r>
            <w:r w:rsidRPr="00D277C6">
              <w:rPr>
                <w:b/>
                <w:i/>
                <w:sz w:val="20"/>
              </w:rPr>
              <w:t xml:space="preserve"> des stocks et de la gestion des vaccins au niveau infranational;</w:t>
            </w:r>
          </w:p>
          <w:p w14:paraId="009281C7" w14:textId="11C0A77E" w:rsidR="00544D9B" w:rsidRPr="00D277C6" w:rsidRDefault="00CC34D7" w:rsidP="00222083">
            <w:pPr>
              <w:pStyle w:val="ListParagraph"/>
              <w:numPr>
                <w:ilvl w:val="0"/>
                <w:numId w:val="5"/>
              </w:numPr>
              <w:spacing w:line="300" w:lineRule="exact"/>
              <w:ind w:left="741"/>
              <w:jc w:val="both"/>
              <w:rPr>
                <w:b/>
                <w:bCs/>
                <w:i/>
                <w:iCs/>
                <w:sz w:val="20"/>
                <w:szCs w:val="20"/>
              </w:rPr>
            </w:pPr>
            <w:r w:rsidRPr="00D277C6">
              <w:rPr>
                <w:b/>
                <w:i/>
                <w:sz w:val="20"/>
              </w:rPr>
              <w:t>l</w:t>
            </w:r>
            <w:r w:rsidR="00544D9B" w:rsidRPr="00D277C6">
              <w:rPr>
                <w:b/>
                <w:i/>
                <w:sz w:val="20"/>
              </w:rPr>
              <w:t>e renforcement du leadership, de la gestion et de la coordination, comprenant l'utilisation de données pour la prise de décision;</w:t>
            </w:r>
          </w:p>
          <w:p w14:paraId="35EE3F38" w14:textId="2426627E" w:rsidR="00532C23" w:rsidRPr="00D277C6" w:rsidRDefault="009912B7" w:rsidP="00222083">
            <w:pPr>
              <w:pStyle w:val="ListParagraph"/>
              <w:numPr>
                <w:ilvl w:val="0"/>
                <w:numId w:val="5"/>
              </w:numPr>
              <w:spacing w:line="300" w:lineRule="exact"/>
              <w:ind w:left="741"/>
              <w:jc w:val="both"/>
              <w:rPr>
                <w:b/>
                <w:i/>
                <w:sz w:val="20"/>
                <w:szCs w:val="20"/>
              </w:rPr>
            </w:pPr>
            <w:r w:rsidRPr="00D277C6">
              <w:rPr>
                <w:b/>
                <w:i/>
                <w:sz w:val="20"/>
              </w:rPr>
              <w:t>l'introduction et le déploiement à large échelle des vaccins;</w:t>
            </w:r>
          </w:p>
          <w:p w14:paraId="1DC79B3B" w14:textId="2E55360D" w:rsidR="0071439C" w:rsidRPr="00544D9B" w:rsidRDefault="00532C23" w:rsidP="00222083">
            <w:pPr>
              <w:pStyle w:val="ListParagraph"/>
              <w:numPr>
                <w:ilvl w:val="0"/>
                <w:numId w:val="5"/>
              </w:numPr>
              <w:spacing w:line="300" w:lineRule="exact"/>
              <w:ind w:left="741"/>
              <w:jc w:val="both"/>
              <w:rPr>
                <w:b/>
                <w:i/>
                <w:sz w:val="20"/>
                <w:szCs w:val="20"/>
              </w:rPr>
            </w:pPr>
            <w:r w:rsidRPr="00D277C6">
              <w:rPr>
                <w:b/>
                <w:i/>
                <w:sz w:val="20"/>
              </w:rPr>
              <w:t>la viabilité des programmes.</w:t>
            </w:r>
          </w:p>
        </w:tc>
      </w:tr>
      <w:tr w:rsidR="00B87A48" w:rsidRPr="006A272B" w14:paraId="0A3FAE65" w14:textId="77777777" w:rsidTr="007B53D1">
        <w:tc>
          <w:tcPr>
            <w:tcW w:w="9192" w:type="dxa"/>
            <w:tcBorders>
              <w:top w:val="single" w:sz="4" w:space="0" w:color="auto"/>
              <w:left w:val="single" w:sz="4" w:space="0" w:color="auto"/>
              <w:bottom w:val="single" w:sz="4" w:space="0" w:color="auto"/>
              <w:right w:val="single" w:sz="4" w:space="0" w:color="auto"/>
            </w:tcBorders>
          </w:tcPr>
          <w:p w14:paraId="302DDBAB" w14:textId="77777777" w:rsidR="00B87A48" w:rsidRDefault="00B87A48" w:rsidP="00222083">
            <w:pPr>
              <w:spacing w:line="300" w:lineRule="exact"/>
              <w:jc w:val="both"/>
            </w:pPr>
          </w:p>
          <w:p w14:paraId="6A510DE7" w14:textId="77777777" w:rsidR="00B87A48" w:rsidRDefault="00B87A48" w:rsidP="00222083">
            <w:pPr>
              <w:spacing w:line="300" w:lineRule="exact"/>
              <w:jc w:val="both"/>
              <w:rPr>
                <w:b/>
                <w:bCs/>
                <w:color w:val="000000" w:themeColor="text1"/>
              </w:rPr>
            </w:pPr>
            <w:r>
              <w:rPr>
                <w:b/>
                <w:bCs/>
                <w:color w:val="000000" w:themeColor="text1"/>
              </w:rPr>
              <w:t>1/ O</w:t>
            </w:r>
            <w:r w:rsidRPr="008416F9">
              <w:rPr>
                <w:b/>
                <w:bCs/>
                <w:color w:val="000000" w:themeColor="text1"/>
              </w:rPr>
              <w:t xml:space="preserve">ffre, </w:t>
            </w:r>
            <w:r>
              <w:rPr>
                <w:b/>
                <w:bCs/>
                <w:color w:val="000000" w:themeColor="text1"/>
              </w:rPr>
              <w:t xml:space="preserve">de la </w:t>
            </w:r>
            <w:r w:rsidRPr="008416F9">
              <w:rPr>
                <w:b/>
                <w:bCs/>
                <w:color w:val="000000" w:themeColor="text1"/>
              </w:rPr>
              <w:t xml:space="preserve">demande et </w:t>
            </w:r>
            <w:r>
              <w:rPr>
                <w:b/>
                <w:bCs/>
                <w:color w:val="000000" w:themeColor="text1"/>
              </w:rPr>
              <w:t>de l’</w:t>
            </w:r>
            <w:r w:rsidRPr="008416F9">
              <w:rPr>
                <w:b/>
                <w:bCs/>
                <w:color w:val="000000" w:themeColor="text1"/>
              </w:rPr>
              <w:t>engagement communautaire</w:t>
            </w:r>
          </w:p>
          <w:p w14:paraId="0EC380CF" w14:textId="7E6F7A34" w:rsidR="00B87A48" w:rsidRDefault="00030E3E" w:rsidP="00222083">
            <w:pPr>
              <w:shd w:val="clear" w:color="auto" w:fill="FFFFFF"/>
              <w:spacing w:line="240" w:lineRule="auto"/>
              <w:jc w:val="both"/>
              <w:rPr>
                <w:color w:val="000000" w:themeColor="text1"/>
              </w:rPr>
            </w:pPr>
            <w:r>
              <w:rPr>
                <w:color w:val="000000" w:themeColor="text1"/>
              </w:rPr>
              <w:t>L</w:t>
            </w:r>
            <w:r w:rsidR="00D06BCA">
              <w:rPr>
                <w:color w:val="000000" w:themeColor="text1"/>
              </w:rPr>
              <w:t xml:space="preserve">a réalisation d’une enquête CAP permettra de comprendre les raisons de non-vaccination, les abandons et les hésitations. La mise en en œuvre de stratégies de communication sociale et d’engagement communautaire adaptées (ou ciblées) permettra d’augmenter </w:t>
            </w:r>
            <w:r>
              <w:rPr>
                <w:color w:val="000000" w:themeColor="text1"/>
              </w:rPr>
              <w:t>la demande de services</w:t>
            </w:r>
            <w:r w:rsidR="00581CAA">
              <w:rPr>
                <w:color w:val="000000" w:themeColor="text1"/>
              </w:rPr>
              <w:t xml:space="preserve"> et de réduire les abandons. </w:t>
            </w:r>
            <w:r>
              <w:rPr>
                <w:color w:val="000000" w:themeColor="text1"/>
              </w:rPr>
              <w:t xml:space="preserve"> </w:t>
            </w:r>
          </w:p>
          <w:p w14:paraId="3BFE5051" w14:textId="77777777" w:rsidR="00B87A48" w:rsidRDefault="00B87A48" w:rsidP="00222083">
            <w:pPr>
              <w:shd w:val="clear" w:color="auto" w:fill="FFFFFF"/>
              <w:spacing w:line="240" w:lineRule="auto"/>
              <w:jc w:val="both"/>
              <w:rPr>
                <w:color w:val="000000" w:themeColor="text1"/>
              </w:rPr>
            </w:pPr>
          </w:p>
          <w:p w14:paraId="7D3145C9" w14:textId="1100606D" w:rsidR="00B87A48" w:rsidRDefault="00B87A48" w:rsidP="00222083">
            <w:pPr>
              <w:shd w:val="clear" w:color="auto" w:fill="FFFFFF"/>
              <w:spacing w:line="240" w:lineRule="auto"/>
              <w:jc w:val="both"/>
              <w:rPr>
                <w:b/>
                <w:bCs/>
                <w:color w:val="000000" w:themeColor="text1"/>
              </w:rPr>
            </w:pPr>
            <w:r>
              <w:rPr>
                <w:b/>
                <w:bCs/>
                <w:color w:val="000000" w:themeColor="text1"/>
              </w:rPr>
              <w:t>2</w:t>
            </w:r>
            <w:r w:rsidRPr="00E95295">
              <w:rPr>
                <w:b/>
                <w:bCs/>
                <w:color w:val="000000" w:themeColor="text1"/>
              </w:rPr>
              <w:t>/</w:t>
            </w:r>
            <w:r>
              <w:rPr>
                <w:b/>
                <w:bCs/>
                <w:color w:val="000000" w:themeColor="text1"/>
              </w:rPr>
              <w:t xml:space="preserve"> </w:t>
            </w:r>
            <w:r w:rsidR="00581CAA">
              <w:rPr>
                <w:b/>
                <w:bCs/>
                <w:color w:val="000000" w:themeColor="text1"/>
              </w:rPr>
              <w:t>Ressources</w:t>
            </w:r>
            <w:r>
              <w:rPr>
                <w:b/>
                <w:bCs/>
                <w:color w:val="000000" w:themeColor="text1"/>
              </w:rPr>
              <w:t xml:space="preserve"> humaines</w:t>
            </w:r>
          </w:p>
          <w:p w14:paraId="37EDD237" w14:textId="2B330E7B" w:rsidR="00B87A48" w:rsidRPr="00497537" w:rsidRDefault="00B87A48" w:rsidP="00222083">
            <w:pPr>
              <w:shd w:val="clear" w:color="auto" w:fill="FFFFFF"/>
              <w:spacing w:line="240" w:lineRule="auto"/>
              <w:jc w:val="both"/>
              <w:rPr>
                <w:color w:val="000000" w:themeColor="text1"/>
              </w:rPr>
            </w:pPr>
            <w:r>
              <w:rPr>
                <w:color w:val="000000" w:themeColor="text1"/>
              </w:rPr>
              <w:t xml:space="preserve">La mise en place de formations régulières pour les agents de santé de santé </w:t>
            </w:r>
            <w:r w:rsidR="00581CAA">
              <w:rPr>
                <w:color w:val="000000" w:themeColor="text1"/>
              </w:rPr>
              <w:t>communautaire</w:t>
            </w:r>
            <w:r>
              <w:rPr>
                <w:color w:val="000000" w:themeColor="text1"/>
              </w:rPr>
              <w:t xml:space="preserve">/vaccinateurs ainsi que la mise en place </w:t>
            </w:r>
            <w:r>
              <w:t>procédures normatives pour la supervision, permettra</w:t>
            </w:r>
            <w:r w:rsidR="00581CAA">
              <w:t xml:space="preserve"> d</w:t>
            </w:r>
            <w:r>
              <w:t xml:space="preserve">e </w:t>
            </w:r>
            <w:r w:rsidRPr="00497537">
              <w:rPr>
                <w:color w:val="000000" w:themeColor="text1"/>
              </w:rPr>
              <w:t>s'assurer de la qualité des prestations</w:t>
            </w:r>
            <w:r>
              <w:rPr>
                <w:color w:val="000000" w:themeColor="text1"/>
              </w:rPr>
              <w:t>, d’</w:t>
            </w:r>
            <w:r w:rsidRPr="00497537">
              <w:rPr>
                <w:color w:val="000000" w:themeColor="text1"/>
              </w:rPr>
              <w:t>identifier les bonnes pratiques et les insuffisances,</w:t>
            </w:r>
            <w:r>
              <w:rPr>
                <w:color w:val="000000" w:themeColor="text1"/>
              </w:rPr>
              <w:t xml:space="preserve"> de </w:t>
            </w:r>
            <w:r w:rsidRPr="00497537">
              <w:rPr>
                <w:color w:val="000000" w:themeColor="text1"/>
              </w:rPr>
              <w:t xml:space="preserve">contribuer à </w:t>
            </w:r>
            <w:r w:rsidR="00581CAA">
              <w:rPr>
                <w:color w:val="000000" w:themeColor="text1"/>
              </w:rPr>
              <w:t xml:space="preserve">une constante </w:t>
            </w:r>
            <w:r w:rsidRPr="00497537">
              <w:rPr>
                <w:color w:val="000000" w:themeColor="text1"/>
              </w:rPr>
              <w:t xml:space="preserve">amélioration </w:t>
            </w:r>
            <w:r>
              <w:rPr>
                <w:color w:val="000000" w:themeColor="text1"/>
              </w:rPr>
              <w:t xml:space="preserve">des </w:t>
            </w:r>
            <w:r w:rsidRPr="00497537">
              <w:rPr>
                <w:color w:val="000000" w:themeColor="text1"/>
              </w:rPr>
              <w:t>compétences, des connaissances et des attitudes d</w:t>
            </w:r>
            <w:r>
              <w:rPr>
                <w:color w:val="000000" w:themeColor="text1"/>
              </w:rPr>
              <w:t xml:space="preserve">es </w:t>
            </w:r>
            <w:r w:rsidR="00581CAA">
              <w:rPr>
                <w:color w:val="000000" w:themeColor="text1"/>
              </w:rPr>
              <w:t xml:space="preserve">professionnels </w:t>
            </w:r>
            <w:r>
              <w:rPr>
                <w:color w:val="000000" w:themeColor="text1"/>
              </w:rPr>
              <w:t xml:space="preserve">afin de répondre </w:t>
            </w:r>
            <w:r w:rsidR="00581CAA">
              <w:rPr>
                <w:color w:val="000000" w:themeColor="text1"/>
              </w:rPr>
              <w:t>à l’o</w:t>
            </w:r>
            <w:r>
              <w:rPr>
                <w:color w:val="000000" w:themeColor="text1"/>
              </w:rPr>
              <w:t>bjectif</w:t>
            </w:r>
            <w:r w:rsidR="00581CAA">
              <w:rPr>
                <w:color w:val="000000" w:themeColor="text1"/>
              </w:rPr>
              <w:t xml:space="preserve"> zéro dose.</w:t>
            </w:r>
          </w:p>
          <w:p w14:paraId="5D5685FE" w14:textId="77777777" w:rsidR="00B87A48" w:rsidRDefault="00B87A48" w:rsidP="00222083">
            <w:pPr>
              <w:shd w:val="clear" w:color="auto" w:fill="FFFFFF"/>
              <w:spacing w:line="240" w:lineRule="auto"/>
              <w:jc w:val="both"/>
              <w:rPr>
                <w:color w:val="000000" w:themeColor="text1"/>
              </w:rPr>
            </w:pPr>
          </w:p>
          <w:p w14:paraId="5B5F538A" w14:textId="77777777" w:rsidR="00B87A48" w:rsidRDefault="00B87A48" w:rsidP="00222083">
            <w:pPr>
              <w:shd w:val="clear" w:color="auto" w:fill="FFFFFF"/>
              <w:spacing w:line="240" w:lineRule="auto"/>
              <w:jc w:val="both"/>
              <w:rPr>
                <w:color w:val="000000" w:themeColor="text1"/>
              </w:rPr>
            </w:pPr>
          </w:p>
          <w:p w14:paraId="7314AF0B" w14:textId="644B35A9" w:rsidR="00B87A48" w:rsidRDefault="00B87A48" w:rsidP="00222083">
            <w:pPr>
              <w:shd w:val="clear" w:color="auto" w:fill="FFFFFF"/>
              <w:spacing w:line="240" w:lineRule="auto"/>
              <w:jc w:val="both"/>
              <w:rPr>
                <w:color w:val="000000" w:themeColor="text1"/>
              </w:rPr>
            </w:pPr>
            <w:r>
              <w:rPr>
                <w:b/>
                <w:bCs/>
                <w:color w:val="000000" w:themeColor="text1"/>
              </w:rPr>
              <w:t>3</w:t>
            </w:r>
            <w:r w:rsidRPr="00E95295">
              <w:rPr>
                <w:b/>
                <w:bCs/>
                <w:color w:val="000000" w:themeColor="text1"/>
              </w:rPr>
              <w:t>/</w:t>
            </w:r>
            <w:r>
              <w:rPr>
                <w:b/>
                <w:bCs/>
                <w:color w:val="000000" w:themeColor="text1"/>
              </w:rPr>
              <w:t xml:space="preserve"> Suivi et </w:t>
            </w:r>
            <w:r w:rsidR="00581CAA">
              <w:rPr>
                <w:b/>
                <w:bCs/>
                <w:color w:val="000000" w:themeColor="text1"/>
              </w:rPr>
              <w:t>évaluation liée</w:t>
            </w:r>
            <w:r>
              <w:rPr>
                <w:b/>
                <w:bCs/>
                <w:color w:val="000000" w:themeColor="text1"/>
              </w:rPr>
              <w:t xml:space="preserve"> à la vaccination </w:t>
            </w:r>
            <w:r w:rsidRPr="00D86AF9">
              <w:rPr>
                <w:color w:val="000000" w:themeColor="text1"/>
              </w:rPr>
              <w:t xml:space="preserve"> </w:t>
            </w:r>
          </w:p>
          <w:p w14:paraId="7B8C37FF" w14:textId="77777777" w:rsidR="00B87A48" w:rsidRPr="00E95295" w:rsidRDefault="00B87A48" w:rsidP="00222083">
            <w:pPr>
              <w:shd w:val="clear" w:color="auto" w:fill="FFFFFF"/>
              <w:spacing w:line="240" w:lineRule="auto"/>
              <w:jc w:val="both"/>
              <w:rPr>
                <w:color w:val="000000" w:themeColor="text1"/>
                <w:u w:val="single"/>
              </w:rPr>
            </w:pPr>
            <w:r w:rsidRPr="00E95295">
              <w:rPr>
                <w:color w:val="000000" w:themeColor="text1"/>
                <w:u w:val="single"/>
              </w:rPr>
              <w:t xml:space="preserve">Gestion des données </w:t>
            </w:r>
          </w:p>
          <w:p w14:paraId="7837CA85" w14:textId="356F1D1A" w:rsidR="00B87A48" w:rsidRDefault="00B87A48" w:rsidP="00222083">
            <w:pPr>
              <w:shd w:val="clear" w:color="auto" w:fill="FFFFFF"/>
              <w:spacing w:line="240" w:lineRule="auto"/>
              <w:jc w:val="both"/>
              <w:rPr>
                <w:color w:val="000000" w:themeColor="text1"/>
              </w:rPr>
            </w:pPr>
            <w:r>
              <w:rPr>
                <w:color w:val="000000" w:themeColor="text1"/>
              </w:rPr>
              <w:t xml:space="preserve">Une assistance </w:t>
            </w:r>
            <w:r w:rsidR="00581CAA">
              <w:rPr>
                <w:color w:val="000000" w:themeColor="text1"/>
              </w:rPr>
              <w:t>technique</w:t>
            </w:r>
            <w:r>
              <w:rPr>
                <w:color w:val="000000" w:themeColor="text1"/>
              </w:rPr>
              <w:t xml:space="preserve"> pour la gestion des données</w:t>
            </w:r>
            <w:r w:rsidR="00C9109A">
              <w:rPr>
                <w:color w:val="000000" w:themeColor="text1"/>
              </w:rPr>
              <w:t xml:space="preserve">, l’actualisation du </w:t>
            </w:r>
            <w:r>
              <w:rPr>
                <w:color w:val="000000" w:themeColor="text1"/>
              </w:rPr>
              <w:t>DHIS2</w:t>
            </w:r>
            <w:r w:rsidR="00C9109A">
              <w:rPr>
                <w:color w:val="000000" w:themeColor="text1"/>
              </w:rPr>
              <w:t xml:space="preserve"> et </w:t>
            </w:r>
            <w:r>
              <w:rPr>
                <w:color w:val="000000" w:themeColor="text1"/>
              </w:rPr>
              <w:t xml:space="preserve">la formation des agents </w:t>
            </w:r>
            <w:r w:rsidR="00C9109A">
              <w:rPr>
                <w:color w:val="000000" w:themeColor="text1"/>
              </w:rPr>
              <w:t xml:space="preserve">permettra </w:t>
            </w:r>
            <w:r>
              <w:rPr>
                <w:color w:val="000000" w:themeColor="text1"/>
              </w:rPr>
              <w:t xml:space="preserve">l’appropriation du DHIS2 </w:t>
            </w:r>
            <w:r w:rsidR="00C9109A">
              <w:rPr>
                <w:color w:val="000000" w:themeColor="text1"/>
              </w:rPr>
              <w:t xml:space="preserve">en </w:t>
            </w:r>
            <w:r>
              <w:rPr>
                <w:color w:val="000000" w:themeColor="text1"/>
              </w:rPr>
              <w:t>évit</w:t>
            </w:r>
            <w:r w:rsidR="00C9109A">
              <w:rPr>
                <w:color w:val="000000" w:themeColor="text1"/>
              </w:rPr>
              <w:t xml:space="preserve">ant </w:t>
            </w:r>
            <w:r>
              <w:rPr>
                <w:color w:val="000000" w:themeColor="text1"/>
              </w:rPr>
              <w:t xml:space="preserve">l’utilisation de systèmes parallèles (fichiers Excel de suivi).  </w:t>
            </w:r>
            <w:r w:rsidR="00C9109A">
              <w:rPr>
                <w:color w:val="000000" w:themeColor="text1"/>
              </w:rPr>
              <w:t>Ceci contribuera à l’</w:t>
            </w:r>
            <w:r w:rsidR="00581CAA">
              <w:rPr>
                <w:color w:val="000000" w:themeColor="text1"/>
              </w:rPr>
              <w:t>amélioration</w:t>
            </w:r>
            <w:r w:rsidR="00C9109A">
              <w:rPr>
                <w:color w:val="000000" w:themeColor="text1"/>
              </w:rPr>
              <w:t xml:space="preserve"> de la qualité des données de vaccination, son analyse </w:t>
            </w:r>
            <w:r w:rsidR="00581CAA">
              <w:rPr>
                <w:color w:val="000000" w:themeColor="text1"/>
              </w:rPr>
              <w:t xml:space="preserve">et sa diffusion. L’ensemble </w:t>
            </w:r>
            <w:r w:rsidR="00C9109A" w:rsidRPr="00497537">
              <w:rPr>
                <w:color w:val="000000" w:themeColor="text1"/>
              </w:rPr>
              <w:t>permettr</w:t>
            </w:r>
            <w:r w:rsidR="00581CAA">
              <w:rPr>
                <w:color w:val="000000" w:themeColor="text1"/>
              </w:rPr>
              <w:t xml:space="preserve">a </w:t>
            </w:r>
            <w:r w:rsidR="00C9109A" w:rsidRPr="00497537">
              <w:rPr>
                <w:color w:val="000000" w:themeColor="text1"/>
              </w:rPr>
              <w:t xml:space="preserve">aux acteurs de la vaccination de prendre des décisions </w:t>
            </w:r>
            <w:r w:rsidR="00581CAA">
              <w:rPr>
                <w:color w:val="000000" w:themeColor="text1"/>
              </w:rPr>
              <w:t xml:space="preserve">stratégiques </w:t>
            </w:r>
            <w:r w:rsidR="00C9109A" w:rsidRPr="00497537">
              <w:rPr>
                <w:color w:val="000000" w:themeColor="text1"/>
              </w:rPr>
              <w:t>pour orienter et améliorer le programme</w:t>
            </w:r>
            <w:r w:rsidR="0061445C">
              <w:rPr>
                <w:color w:val="000000" w:themeColor="text1"/>
              </w:rPr>
              <w:t xml:space="preserve"> et notamment atteindre l’objectif </w:t>
            </w:r>
            <w:r w:rsidR="00581CAA">
              <w:rPr>
                <w:color w:val="000000" w:themeColor="text1"/>
              </w:rPr>
              <w:t>zéro</w:t>
            </w:r>
            <w:r w:rsidR="0061445C">
              <w:rPr>
                <w:color w:val="000000" w:themeColor="text1"/>
              </w:rPr>
              <w:t xml:space="preserve"> dose</w:t>
            </w:r>
            <w:r w:rsidR="00C9109A" w:rsidRPr="00497537">
              <w:rPr>
                <w:color w:val="000000" w:themeColor="text1"/>
              </w:rPr>
              <w:t>.</w:t>
            </w:r>
          </w:p>
          <w:p w14:paraId="24382608" w14:textId="77777777" w:rsidR="00B87A48" w:rsidRDefault="00B87A48" w:rsidP="00222083">
            <w:pPr>
              <w:shd w:val="clear" w:color="auto" w:fill="FFFFFF"/>
              <w:spacing w:line="240" w:lineRule="auto"/>
              <w:jc w:val="both"/>
              <w:rPr>
                <w:color w:val="000000" w:themeColor="text1"/>
              </w:rPr>
            </w:pPr>
          </w:p>
          <w:p w14:paraId="1917CFE2" w14:textId="77777777" w:rsidR="00B87A48" w:rsidRPr="00E95295" w:rsidRDefault="00B87A48" w:rsidP="00222083">
            <w:pPr>
              <w:shd w:val="clear" w:color="auto" w:fill="FFFFFF"/>
              <w:spacing w:line="240" w:lineRule="auto"/>
              <w:jc w:val="both"/>
              <w:rPr>
                <w:color w:val="000000" w:themeColor="text1"/>
                <w:u w:val="single"/>
              </w:rPr>
            </w:pPr>
            <w:r>
              <w:rPr>
                <w:color w:val="000000" w:themeColor="text1"/>
                <w:u w:val="single"/>
              </w:rPr>
              <w:t>Suivi et é</w:t>
            </w:r>
            <w:r w:rsidRPr="00E95295">
              <w:rPr>
                <w:color w:val="000000" w:themeColor="text1"/>
                <w:u w:val="single"/>
              </w:rPr>
              <w:t xml:space="preserve">valuation des activités de vaccination  </w:t>
            </w:r>
          </w:p>
          <w:p w14:paraId="17967D4E" w14:textId="5A8F31A1" w:rsidR="0061445C" w:rsidRPr="00497537" w:rsidRDefault="0061445C" w:rsidP="00222083">
            <w:pPr>
              <w:spacing w:line="300" w:lineRule="exact"/>
              <w:jc w:val="both"/>
              <w:rPr>
                <w:color w:val="000000" w:themeColor="text1"/>
              </w:rPr>
            </w:pPr>
            <w:r w:rsidRPr="00497537">
              <w:rPr>
                <w:color w:val="000000" w:themeColor="text1"/>
              </w:rPr>
              <w:t>La réalisation d</w:t>
            </w:r>
            <w:r>
              <w:rPr>
                <w:color w:val="000000" w:themeColor="text1"/>
              </w:rPr>
              <w:t xml:space="preserve">’une </w:t>
            </w:r>
            <w:r w:rsidRPr="00497537">
              <w:rPr>
                <w:color w:val="000000" w:themeColor="text1"/>
              </w:rPr>
              <w:t xml:space="preserve">enquête </w:t>
            </w:r>
            <w:r>
              <w:rPr>
                <w:color w:val="000000" w:themeColor="text1"/>
              </w:rPr>
              <w:t xml:space="preserve">de </w:t>
            </w:r>
            <w:r w:rsidRPr="00497537">
              <w:rPr>
                <w:color w:val="000000" w:themeColor="text1"/>
              </w:rPr>
              <w:t>couverture vaccinale</w:t>
            </w:r>
            <w:r>
              <w:rPr>
                <w:color w:val="000000" w:themeColor="text1"/>
              </w:rPr>
              <w:t>, l’</w:t>
            </w:r>
            <w:r w:rsidR="00581CAA">
              <w:rPr>
                <w:color w:val="000000" w:themeColor="text1"/>
              </w:rPr>
              <w:t>analyse</w:t>
            </w:r>
            <w:r>
              <w:rPr>
                <w:color w:val="000000" w:themeColor="text1"/>
              </w:rPr>
              <w:t xml:space="preserve"> de documents présent</w:t>
            </w:r>
            <w:r w:rsidR="00581CAA">
              <w:rPr>
                <w:color w:val="000000" w:themeColor="text1"/>
              </w:rPr>
              <w:t>s</w:t>
            </w:r>
            <w:r>
              <w:rPr>
                <w:color w:val="000000" w:themeColor="text1"/>
              </w:rPr>
              <w:t xml:space="preserve"> dans ces unités de santé, ainsi que le mapping des zones, </w:t>
            </w:r>
            <w:r w:rsidRPr="00497537">
              <w:rPr>
                <w:color w:val="000000" w:themeColor="text1"/>
              </w:rPr>
              <w:t>permettrait d'identifier les enfants et les communautés systématiquement perdus et 0 dose</w:t>
            </w:r>
            <w:r>
              <w:rPr>
                <w:color w:val="000000" w:themeColor="text1"/>
              </w:rPr>
              <w:t xml:space="preserve">. Ceci permettra </w:t>
            </w:r>
            <w:r w:rsidRPr="00497537">
              <w:rPr>
                <w:color w:val="000000" w:themeColor="text1"/>
              </w:rPr>
              <w:t xml:space="preserve">par conséquent </w:t>
            </w:r>
            <w:r>
              <w:rPr>
                <w:color w:val="000000" w:themeColor="text1"/>
              </w:rPr>
              <w:t xml:space="preserve">la mise en place de </w:t>
            </w:r>
            <w:r w:rsidRPr="00497537">
              <w:rPr>
                <w:color w:val="000000" w:themeColor="text1"/>
              </w:rPr>
              <w:t xml:space="preserve">plans d'action </w:t>
            </w:r>
            <w:r>
              <w:rPr>
                <w:color w:val="000000" w:themeColor="text1"/>
              </w:rPr>
              <w:t>spécifique pour aller à la recherche de ces population</w:t>
            </w:r>
            <w:r w:rsidR="00581CAA">
              <w:rPr>
                <w:color w:val="000000" w:themeColor="text1"/>
              </w:rPr>
              <w:t>s</w:t>
            </w:r>
            <w:r>
              <w:rPr>
                <w:color w:val="000000" w:themeColor="text1"/>
              </w:rPr>
              <w:t xml:space="preserve"> et </w:t>
            </w:r>
            <w:r w:rsidRPr="00497537">
              <w:rPr>
                <w:color w:val="000000" w:themeColor="text1"/>
              </w:rPr>
              <w:t xml:space="preserve">d'atteindre </w:t>
            </w:r>
            <w:r>
              <w:rPr>
                <w:color w:val="000000" w:themeColor="text1"/>
              </w:rPr>
              <w:t>l</w:t>
            </w:r>
            <w:r w:rsidRPr="00497537">
              <w:rPr>
                <w:color w:val="000000" w:themeColor="text1"/>
              </w:rPr>
              <w:t>es objectifs.</w:t>
            </w:r>
          </w:p>
          <w:p w14:paraId="47FBD665" w14:textId="61F424AD" w:rsidR="00B87A48" w:rsidRDefault="00B87A48" w:rsidP="00222083">
            <w:pPr>
              <w:shd w:val="clear" w:color="auto" w:fill="FFFFFF"/>
              <w:spacing w:line="240" w:lineRule="auto"/>
              <w:jc w:val="both"/>
              <w:rPr>
                <w:color w:val="000000" w:themeColor="text1"/>
                <w:u w:val="single"/>
              </w:rPr>
            </w:pPr>
          </w:p>
          <w:p w14:paraId="6E2FE70C" w14:textId="77777777" w:rsidR="004F08B6" w:rsidRDefault="004F08B6" w:rsidP="00222083">
            <w:pPr>
              <w:shd w:val="clear" w:color="auto" w:fill="FFFFFF"/>
              <w:spacing w:line="240" w:lineRule="auto"/>
              <w:jc w:val="both"/>
              <w:rPr>
                <w:color w:val="000000" w:themeColor="text1"/>
                <w:u w:val="single"/>
              </w:rPr>
            </w:pPr>
          </w:p>
          <w:p w14:paraId="235CBE81" w14:textId="77777777" w:rsidR="00B87A48" w:rsidRDefault="00B87A48" w:rsidP="00222083">
            <w:pPr>
              <w:shd w:val="clear" w:color="auto" w:fill="FFFFFF"/>
              <w:spacing w:line="240" w:lineRule="auto"/>
              <w:jc w:val="both"/>
              <w:rPr>
                <w:color w:val="000000" w:themeColor="text1"/>
                <w:u w:val="single"/>
              </w:rPr>
            </w:pPr>
            <w:r>
              <w:rPr>
                <w:color w:val="000000" w:themeColor="text1"/>
                <w:u w:val="single"/>
              </w:rPr>
              <w:t>Suivi des MAPI</w:t>
            </w:r>
          </w:p>
          <w:p w14:paraId="376555DC" w14:textId="7F8FB0D6" w:rsidR="00B87A48" w:rsidRDefault="00B87A48" w:rsidP="00222083">
            <w:pPr>
              <w:spacing w:line="300" w:lineRule="exact"/>
              <w:jc w:val="both"/>
            </w:pPr>
            <w:r>
              <w:t xml:space="preserve">Le </w:t>
            </w:r>
            <w:r w:rsidR="00581CAA">
              <w:t>déploiement</w:t>
            </w:r>
            <w:r>
              <w:t xml:space="preserve"> d’un expert en </w:t>
            </w:r>
            <w:r w:rsidR="00581CAA">
              <w:t>pharmacovigilance</w:t>
            </w:r>
            <w:r>
              <w:t xml:space="preserve"> </w:t>
            </w:r>
            <w:r w:rsidR="00030E3E">
              <w:t>pour f</w:t>
            </w:r>
            <w:r w:rsidR="00A36ACE">
              <w:t>avoriser</w:t>
            </w:r>
            <w:r w:rsidR="00030E3E">
              <w:t xml:space="preserve"> </w:t>
            </w:r>
            <w:r w:rsidR="00A36ACE">
              <w:t xml:space="preserve">la création d’un comité national de </w:t>
            </w:r>
            <w:r w:rsidR="00581CAA">
              <w:t>pharmacovigilance</w:t>
            </w:r>
            <w:r w:rsidR="00030E3E">
              <w:t xml:space="preserve"> et renforcer le suivi des MAPI pourra aider les populations </w:t>
            </w:r>
            <w:r w:rsidR="00581CAA">
              <w:t>à</w:t>
            </w:r>
            <w:r w:rsidR="00030E3E">
              <w:t xml:space="preserve"> être plus sensibilisées au MAPI ce qui peut augmenter </w:t>
            </w:r>
            <w:r w:rsidR="008C348A">
              <w:t>la demande</w:t>
            </w:r>
            <w:r w:rsidR="00030E3E">
              <w:t xml:space="preserve"> et/ou diminuer les abandons liés quelques fois à l’apparition de MAPI.  </w:t>
            </w:r>
          </w:p>
          <w:p w14:paraId="459BBB01" w14:textId="77777777" w:rsidR="00B87A48" w:rsidRDefault="00B87A48" w:rsidP="00222083">
            <w:pPr>
              <w:shd w:val="clear" w:color="auto" w:fill="FFFFFF"/>
              <w:spacing w:line="240" w:lineRule="auto"/>
              <w:jc w:val="both"/>
            </w:pPr>
          </w:p>
          <w:p w14:paraId="0261E64A" w14:textId="5E174F08" w:rsidR="00B87A48" w:rsidRDefault="00B87A48" w:rsidP="00222083">
            <w:pPr>
              <w:shd w:val="clear" w:color="auto" w:fill="FFFFFF"/>
              <w:spacing w:line="240" w:lineRule="auto"/>
              <w:jc w:val="both"/>
              <w:rPr>
                <w:bCs/>
              </w:rPr>
            </w:pPr>
            <w:r>
              <w:rPr>
                <w:b/>
              </w:rPr>
              <w:t xml:space="preserve">5/ Stock des </w:t>
            </w:r>
            <w:r w:rsidR="004753F3">
              <w:rPr>
                <w:b/>
              </w:rPr>
              <w:t>vaccins</w:t>
            </w:r>
            <w:r>
              <w:rPr>
                <w:b/>
              </w:rPr>
              <w:t xml:space="preserve">, gestion des déchets et transport des vaccins </w:t>
            </w:r>
          </w:p>
          <w:p w14:paraId="636CA446" w14:textId="02C4B0E9" w:rsidR="001A7D22" w:rsidRPr="001A7D22" w:rsidRDefault="00497537" w:rsidP="00222083">
            <w:pPr>
              <w:spacing w:line="300" w:lineRule="exact"/>
              <w:jc w:val="both"/>
            </w:pPr>
            <w:r w:rsidRPr="001A7D22">
              <w:t xml:space="preserve">L’amélioration de la gestion des vaccins va </w:t>
            </w:r>
            <w:r w:rsidR="001A7D22">
              <w:t xml:space="preserve">contribuer à la distribution sécurisée des vaccins (qui respecte toutes les normes) et </w:t>
            </w:r>
            <w:r w:rsidRPr="001A7D22">
              <w:t xml:space="preserve">permettre </w:t>
            </w:r>
            <w:r w:rsidR="001A7D22">
              <w:t>d’avoir des</w:t>
            </w:r>
            <w:r w:rsidRPr="001A7D22">
              <w:t xml:space="preserve"> données plus fiables concernant l</w:t>
            </w:r>
            <w:r w:rsidR="001A7D22" w:rsidRPr="001A7D22">
              <w:t>es couverture</w:t>
            </w:r>
            <w:r w:rsidR="001A7D22">
              <w:t>s</w:t>
            </w:r>
            <w:r w:rsidR="001A7D22" w:rsidRPr="001A7D22">
              <w:t xml:space="preserve"> administrative</w:t>
            </w:r>
            <w:r w:rsidR="001A7D22">
              <w:t>s et éviter des ruptures de stock. Ces éléments vont contribuer à l’amélioration de la qualité des services.</w:t>
            </w:r>
          </w:p>
          <w:p w14:paraId="0574DF9F" w14:textId="77777777" w:rsidR="00497537" w:rsidRPr="00497537" w:rsidRDefault="00497537" w:rsidP="00222083">
            <w:pPr>
              <w:spacing w:line="300" w:lineRule="exact"/>
              <w:jc w:val="both"/>
              <w:rPr>
                <w:b/>
                <w:bCs/>
                <w:sz w:val="20"/>
                <w:szCs w:val="20"/>
              </w:rPr>
            </w:pPr>
          </w:p>
          <w:p w14:paraId="01F10984" w14:textId="2E15044F" w:rsidR="008538C1" w:rsidRPr="00497537" w:rsidRDefault="008538C1" w:rsidP="00222083">
            <w:pPr>
              <w:spacing w:line="300" w:lineRule="exact"/>
              <w:jc w:val="both"/>
              <w:rPr>
                <w:b/>
                <w:bCs/>
                <w:sz w:val="20"/>
                <w:szCs w:val="20"/>
              </w:rPr>
            </w:pPr>
            <w:r w:rsidRPr="00497537">
              <w:rPr>
                <w:b/>
                <w:bCs/>
                <w:sz w:val="20"/>
                <w:szCs w:val="20"/>
              </w:rPr>
              <w:t>6/ Planification et leadership</w:t>
            </w:r>
          </w:p>
          <w:p w14:paraId="0FE3E762" w14:textId="696A9035" w:rsidR="00A36ACE" w:rsidRPr="008538C1" w:rsidRDefault="00A36ACE" w:rsidP="00222083">
            <w:pPr>
              <w:spacing w:line="300" w:lineRule="exact"/>
              <w:jc w:val="both"/>
            </w:pPr>
            <w:r w:rsidRPr="00497537">
              <w:t>Le renforcement du leadership, de la gestion technique et de la coordination</w:t>
            </w:r>
            <w:r w:rsidR="008538C1" w:rsidRPr="00497537">
              <w:t xml:space="preserve"> va faciliter la programmation, la budgétisation et la réalisation des activités. Cela </w:t>
            </w:r>
            <w:r w:rsidRPr="00497537">
              <w:t>contribuerait à une meilleure performance du programme et par conséquent, éviterait les cas d'enfants non vaccinés.</w:t>
            </w:r>
          </w:p>
          <w:p w14:paraId="68093A06" w14:textId="77777777" w:rsidR="00B87A48" w:rsidRDefault="00B87A48" w:rsidP="00222083">
            <w:pPr>
              <w:spacing w:line="300" w:lineRule="exact"/>
              <w:jc w:val="both"/>
            </w:pPr>
          </w:p>
          <w:p w14:paraId="4802E772" w14:textId="77777777" w:rsidR="004445D6" w:rsidRPr="008C348A" w:rsidRDefault="004445D6" w:rsidP="00222083">
            <w:pPr>
              <w:spacing w:line="300" w:lineRule="exact"/>
              <w:jc w:val="both"/>
              <w:rPr>
                <w:b/>
                <w:bCs/>
              </w:rPr>
            </w:pPr>
            <w:r w:rsidRPr="008C348A">
              <w:rPr>
                <w:b/>
                <w:bCs/>
              </w:rPr>
              <w:t>7/ Financement de la santé</w:t>
            </w:r>
          </w:p>
          <w:p w14:paraId="0C49E76B" w14:textId="0C0CBDC4" w:rsidR="004445D6" w:rsidRPr="005C0214" w:rsidRDefault="004445D6" w:rsidP="00222083">
            <w:pPr>
              <w:spacing w:line="300" w:lineRule="exact"/>
              <w:jc w:val="both"/>
            </w:pPr>
            <w:r>
              <w:t xml:space="preserve">Contribution forte à la viabilité </w:t>
            </w:r>
            <w:r w:rsidR="00F83574">
              <w:t xml:space="preserve">financière et programmatique </w:t>
            </w:r>
            <w:r>
              <w:t>du programme</w:t>
            </w:r>
            <w:r w:rsidR="00F83574">
              <w:t xml:space="preserve"> de vaccination</w:t>
            </w:r>
          </w:p>
        </w:tc>
      </w:tr>
      <w:tr w:rsidR="00B87A48" w14:paraId="733DCE72" w14:textId="77777777" w:rsidTr="007B53D1">
        <w:tc>
          <w:tcPr>
            <w:tcW w:w="9192" w:type="dxa"/>
            <w:tcBorders>
              <w:top w:val="single" w:sz="4" w:space="0" w:color="auto"/>
              <w:bottom w:val="single" w:sz="4" w:space="0" w:color="auto"/>
            </w:tcBorders>
            <w:shd w:val="clear" w:color="auto" w:fill="F2F2F2" w:themeFill="background1" w:themeFillShade="F2"/>
          </w:tcPr>
          <w:p w14:paraId="39970F96" w14:textId="304B1EB3" w:rsidR="00B87A48" w:rsidRPr="00CF3BC4" w:rsidRDefault="00B87A48" w:rsidP="00222083">
            <w:pPr>
              <w:pStyle w:val="ListParagraph"/>
              <w:spacing w:line="300" w:lineRule="exact"/>
              <w:ind w:left="0"/>
              <w:jc w:val="both"/>
              <w:rPr>
                <w:b/>
                <w:bCs/>
                <w:i/>
                <w:iCs/>
                <w:color w:val="000000" w:themeColor="text1"/>
                <w:sz w:val="20"/>
                <w:szCs w:val="20"/>
              </w:rPr>
            </w:pPr>
            <w:r w:rsidRPr="00497537">
              <w:rPr>
                <w:b/>
                <w:i/>
                <w:sz w:val="20"/>
              </w:rPr>
              <w:lastRenderedPageBreak/>
              <w:t>2.3</w:t>
            </w:r>
            <w:r w:rsidRPr="00497537">
              <w:rPr>
                <w:b/>
                <w:i/>
                <w:sz w:val="20"/>
              </w:rPr>
              <w:tab/>
              <w:t>Décrire comment  les nouvelles introductions de vaccins et les campagnes prévues durant  cette période pourraient renforcer davantage les domaines indiqués à la question 2.2</w:t>
            </w:r>
            <w:r>
              <w:rPr>
                <w:b/>
                <w:i/>
                <w:sz w:val="20"/>
              </w:rPr>
              <w:t xml:space="preserve"> </w:t>
            </w:r>
          </w:p>
        </w:tc>
      </w:tr>
      <w:tr w:rsidR="00B87A48" w:rsidRPr="000A6ED2" w14:paraId="3B0C1B4D" w14:textId="77777777" w:rsidTr="007B53D1">
        <w:tc>
          <w:tcPr>
            <w:tcW w:w="9192" w:type="dxa"/>
            <w:tcBorders>
              <w:top w:val="single" w:sz="4" w:space="0" w:color="auto"/>
              <w:left w:val="single" w:sz="4" w:space="0" w:color="auto"/>
              <w:bottom w:val="single" w:sz="4" w:space="0" w:color="auto"/>
              <w:right w:val="single" w:sz="4" w:space="0" w:color="auto"/>
            </w:tcBorders>
          </w:tcPr>
          <w:p w14:paraId="2525ED44" w14:textId="3725ADA5" w:rsidR="00C03EBB" w:rsidRPr="00026420" w:rsidRDefault="00C03EBB" w:rsidP="00222083">
            <w:pPr>
              <w:spacing w:line="300" w:lineRule="exact"/>
              <w:jc w:val="both"/>
              <w:rPr>
                <w:sz w:val="20"/>
                <w:szCs w:val="20"/>
              </w:rPr>
            </w:pPr>
            <w:r w:rsidRPr="009A0CEC">
              <w:t xml:space="preserve">Depuis l'introduction de nouveaux vaccins, le PEV a considérablement amélioré et renforcé ses performances, ce qui a conduit à une augmentation de l'immunité des enfants contre les maladies évitables par la </w:t>
            </w:r>
            <w:r w:rsidR="00A5722F" w:rsidRPr="009A0CEC">
              <w:t>vaccination :</w:t>
            </w:r>
            <w:r w:rsidRPr="009A0CEC">
              <w:t xml:space="preserve"> l'élimination du TMN certifié par l'OMS, aucun cas de poliomyélite, rougeole, fièvre jaune depuis des années. Ces progrès se sont accompagnés du renforcement et de l'amélioration de la chaîne du froid, avec l'installation d'équipements d'énergie voltaïque et de nouveaux équipements dans le cadre de la pandémie COVID-19.</w:t>
            </w:r>
          </w:p>
        </w:tc>
      </w:tr>
      <w:tr w:rsidR="00B87A48" w14:paraId="124CC764" w14:textId="77777777" w:rsidTr="007B53D1">
        <w:tc>
          <w:tcPr>
            <w:tcW w:w="9192" w:type="dxa"/>
            <w:tcBorders>
              <w:top w:val="single" w:sz="4" w:space="0" w:color="auto"/>
              <w:bottom w:val="single" w:sz="4" w:space="0" w:color="auto"/>
            </w:tcBorders>
            <w:shd w:val="clear" w:color="auto" w:fill="F2F2F2" w:themeFill="background1" w:themeFillShade="F2"/>
          </w:tcPr>
          <w:p w14:paraId="374B434F" w14:textId="1CE44FF9" w:rsidR="00B87A48" w:rsidRDefault="00B87A48" w:rsidP="00222083">
            <w:pPr>
              <w:spacing w:line="300" w:lineRule="exact"/>
              <w:jc w:val="both"/>
              <w:rPr>
                <w:b/>
                <w:i/>
                <w:iCs/>
                <w:color w:val="000000" w:themeColor="text1"/>
                <w:sz w:val="20"/>
                <w:szCs w:val="20"/>
              </w:rPr>
            </w:pPr>
            <w:r>
              <w:rPr>
                <w:b/>
                <w:i/>
                <w:color w:val="000000" w:themeColor="text1"/>
                <w:sz w:val="20"/>
              </w:rPr>
              <w:t>2.4</w:t>
            </w:r>
            <w:r>
              <w:rPr>
                <w:b/>
                <w:i/>
                <w:color w:val="000000" w:themeColor="text1"/>
                <w:sz w:val="20"/>
              </w:rPr>
              <w:tab/>
              <w:t xml:space="preserve">Décrivez comment l'assistance pays ciblée aidera à rétablir les services de vaccination de routine et toutes les autres activités de maintien, restauration et renforcement de la vaccination liées à la Covid-19. </w:t>
            </w:r>
          </w:p>
          <w:p w14:paraId="5D61F6FA" w14:textId="77777777" w:rsidR="00B87A48" w:rsidRPr="0041751A" w:rsidRDefault="00B87A48" w:rsidP="00222083">
            <w:pPr>
              <w:spacing w:line="300" w:lineRule="exact"/>
              <w:jc w:val="both"/>
              <w:rPr>
                <w:b/>
                <w:bCs/>
                <w:i/>
                <w:iCs/>
                <w:color w:val="70AD47" w:themeColor="accent6"/>
                <w:sz w:val="20"/>
                <w:szCs w:val="20"/>
              </w:rPr>
            </w:pPr>
            <w:r>
              <w:rPr>
                <w:i/>
                <w:sz w:val="20"/>
              </w:rPr>
              <w:t xml:space="preserve">Veuillez indiquer toute réallocation liée à la Covid-19 qui pourrait avoir eu lieu pour les fonds d'assistance pays ciblée précédents (le cas échéant); cette réallocation reste-t-elle pertinente pour cette proposition? </w:t>
            </w:r>
          </w:p>
        </w:tc>
      </w:tr>
      <w:tr w:rsidR="00B87A48" w14:paraId="14D7F47D" w14:textId="77777777" w:rsidTr="007B53D1">
        <w:tc>
          <w:tcPr>
            <w:tcW w:w="9192" w:type="dxa"/>
            <w:tcBorders>
              <w:top w:val="single" w:sz="4" w:space="0" w:color="auto"/>
              <w:left w:val="single" w:sz="4" w:space="0" w:color="auto"/>
              <w:bottom w:val="single" w:sz="4" w:space="0" w:color="auto"/>
              <w:right w:val="single" w:sz="4" w:space="0" w:color="auto"/>
            </w:tcBorders>
          </w:tcPr>
          <w:p w14:paraId="71598D65" w14:textId="19C57491" w:rsidR="006243F9" w:rsidRDefault="0012486E" w:rsidP="00222083">
            <w:pPr>
              <w:spacing w:line="300" w:lineRule="exact"/>
              <w:jc w:val="both"/>
            </w:pPr>
            <w:r>
              <w:t xml:space="preserve">La demande d'assistance technique demandée, en fonction des lacunes et des besoins mentionnés ci-dessus, </w:t>
            </w:r>
            <w:r w:rsidR="000447CD">
              <w:t xml:space="preserve">va permettre de </w:t>
            </w:r>
            <w:r w:rsidR="006243F9">
              <w:t xml:space="preserve">renforcer </w:t>
            </w:r>
            <w:r w:rsidR="00D02A62">
              <w:t>le système</w:t>
            </w:r>
            <w:r w:rsidR="006243F9">
              <w:t xml:space="preserve"> déjà en place et </w:t>
            </w:r>
            <w:r w:rsidR="000447CD">
              <w:t xml:space="preserve">poursuivre les efforts </w:t>
            </w:r>
            <w:r w:rsidR="006243F9">
              <w:t xml:space="preserve">en cours </w:t>
            </w:r>
            <w:r w:rsidR="000447CD">
              <w:t xml:space="preserve">pour les activités de vaccination de routine </w:t>
            </w:r>
            <w:r w:rsidR="006243F9">
              <w:t xml:space="preserve">(communication, gestion des données, renforcement du DHIS2, gestion du stock </w:t>
            </w:r>
            <w:r w:rsidR="008C348A">
              <w:t>des vaccins</w:t>
            </w:r>
            <w:r w:rsidR="006243F9">
              <w:t xml:space="preserve">, formations, etc.). </w:t>
            </w:r>
          </w:p>
          <w:p w14:paraId="55410FF0" w14:textId="49C2B001" w:rsidR="00D02A62" w:rsidRDefault="006243F9" w:rsidP="00222083">
            <w:pPr>
              <w:spacing w:line="300" w:lineRule="exact"/>
              <w:jc w:val="both"/>
            </w:pPr>
            <w:r>
              <w:t>L’assistance technique va</w:t>
            </w:r>
            <w:r w:rsidR="00D02A62">
              <w:t xml:space="preserve"> </w:t>
            </w:r>
            <w:r>
              <w:t xml:space="preserve">permettre </w:t>
            </w:r>
            <w:r w:rsidR="00D02A62">
              <w:t xml:space="preserve">la réalisation </w:t>
            </w:r>
            <w:r>
              <w:t>d</w:t>
            </w:r>
            <w:r w:rsidR="00D02A62">
              <w:t>’é</w:t>
            </w:r>
            <w:r>
              <w:t>tudes (CAP, enquêtes de couverture vaccinale</w:t>
            </w:r>
            <w:r w:rsidR="00D02A62">
              <w:t>) qui vont permettre l’identification et le mapping des enfants zéro dose et sous vaccinés et d’avoir une meilleure visibilité des communautés oubliées.</w:t>
            </w:r>
          </w:p>
          <w:p w14:paraId="2689F064" w14:textId="6C0601E7" w:rsidR="000447CD" w:rsidRPr="006615A7" w:rsidRDefault="00D02A62" w:rsidP="00222083">
            <w:pPr>
              <w:spacing w:line="300" w:lineRule="exact"/>
              <w:jc w:val="both"/>
              <w:rPr>
                <w:color w:val="92D050"/>
              </w:rPr>
            </w:pPr>
            <w:r>
              <w:t xml:space="preserve">Enfin, les </w:t>
            </w:r>
            <w:r w:rsidR="0012486E">
              <w:t>recrutement</w:t>
            </w:r>
            <w:r>
              <w:t>s</w:t>
            </w:r>
            <w:r w:rsidR="0012486E">
              <w:t xml:space="preserve"> de consultants interne</w:t>
            </w:r>
            <w:r>
              <w:t>s</w:t>
            </w:r>
            <w:r w:rsidR="0012486E">
              <w:t xml:space="preserve"> et/ou externes, </w:t>
            </w:r>
            <w:r>
              <w:t xml:space="preserve">vont permettre de renforcer </w:t>
            </w:r>
            <w:r>
              <w:lastRenderedPageBreak/>
              <w:t xml:space="preserve">les compétences </w:t>
            </w:r>
            <w:r w:rsidR="004F08B6" w:rsidRPr="004F08B6">
              <w:t>les services de vaccination de routine et toutes les autres activités de maintien</w:t>
            </w:r>
            <w:r w:rsidR="004F08B6">
              <w:t xml:space="preserve">. </w:t>
            </w:r>
          </w:p>
        </w:tc>
      </w:tr>
      <w:tr w:rsidR="00B87A48" w14:paraId="7CB90E66" w14:textId="77777777" w:rsidTr="007B53D1">
        <w:tc>
          <w:tcPr>
            <w:tcW w:w="9192" w:type="dxa"/>
            <w:tcBorders>
              <w:top w:val="single" w:sz="4" w:space="0" w:color="auto"/>
              <w:bottom w:val="single" w:sz="4" w:space="0" w:color="auto"/>
            </w:tcBorders>
            <w:shd w:val="clear" w:color="auto" w:fill="F2F2F2" w:themeFill="background1" w:themeFillShade="F2"/>
          </w:tcPr>
          <w:p w14:paraId="341DF7D2" w14:textId="21B8147D" w:rsidR="00B87A48" w:rsidRPr="00777960" w:rsidRDefault="00B87A48" w:rsidP="00222083">
            <w:pPr>
              <w:spacing w:line="300" w:lineRule="exact"/>
              <w:jc w:val="both"/>
              <w:rPr>
                <w:bCs/>
                <w:i/>
                <w:iCs/>
                <w:sz w:val="20"/>
                <w:szCs w:val="20"/>
              </w:rPr>
            </w:pPr>
            <w:r>
              <w:rPr>
                <w:b/>
                <w:i/>
                <w:color w:val="000000" w:themeColor="text1"/>
                <w:sz w:val="20"/>
              </w:rPr>
              <w:lastRenderedPageBreak/>
              <w:t>2.5</w:t>
            </w:r>
            <w:r>
              <w:rPr>
                <w:b/>
                <w:i/>
                <w:color w:val="000000" w:themeColor="text1"/>
                <w:sz w:val="20"/>
              </w:rPr>
              <w:tab/>
            </w:r>
            <w:r w:rsidRPr="004C140F">
              <w:rPr>
                <w:b/>
                <w:i/>
                <w:color w:val="000000" w:themeColor="text1"/>
                <w:sz w:val="20"/>
              </w:rPr>
              <w:t>Décrivez</w:t>
            </w:r>
            <w:r>
              <w:rPr>
                <w:b/>
                <w:i/>
                <w:color w:val="000000" w:themeColor="text1"/>
                <w:sz w:val="20"/>
              </w:rPr>
              <w:t xml:space="preserve"> comment l'assistance pays ciblée identifiera ou surmontera les obstacles </w:t>
            </w:r>
            <w:r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B87A48" w14:paraId="251D4101" w14:textId="77777777" w:rsidTr="007B53D1">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61941370" w14:textId="77777777" w:rsidR="009619D0" w:rsidRPr="009619D0" w:rsidRDefault="009619D0" w:rsidP="00222083">
            <w:pPr>
              <w:spacing w:line="300" w:lineRule="exact"/>
              <w:jc w:val="both"/>
              <w:rPr>
                <w:sz w:val="20"/>
                <w:szCs w:val="20"/>
              </w:rPr>
            </w:pPr>
            <w:r w:rsidRPr="009619D0">
              <w:rPr>
                <w:sz w:val="20"/>
                <w:szCs w:val="20"/>
              </w:rPr>
              <w:t>L’assistance technique permettra de spécifier s’il existe ou non des obstacles liés au genre pour les activités de vaccination.</w:t>
            </w:r>
          </w:p>
          <w:p w14:paraId="75550F79" w14:textId="511CB795" w:rsidR="006659AC" w:rsidRDefault="009619D0" w:rsidP="00222083">
            <w:pPr>
              <w:spacing w:line="300" w:lineRule="exact"/>
              <w:jc w:val="both"/>
              <w:rPr>
                <w:sz w:val="20"/>
                <w:szCs w:val="20"/>
              </w:rPr>
            </w:pPr>
            <w:r>
              <w:rPr>
                <w:sz w:val="20"/>
                <w:szCs w:val="20"/>
              </w:rPr>
              <w:t>L’</w:t>
            </w:r>
            <w:r w:rsidRPr="009619D0">
              <w:rPr>
                <w:sz w:val="20"/>
                <w:szCs w:val="20"/>
              </w:rPr>
              <w:t xml:space="preserve">hésitation </w:t>
            </w:r>
            <w:r w:rsidR="006659AC">
              <w:rPr>
                <w:sz w:val="20"/>
                <w:szCs w:val="20"/>
              </w:rPr>
              <w:t xml:space="preserve">vaccinale constitue le principal obstacle. Le spécialiste en communication travaillera en étroite collaboration avec les communautés afin d’être à l’écoute des populations et surmonter le défi constitué par la faible demande. </w:t>
            </w:r>
          </w:p>
          <w:p w14:paraId="626A5A76" w14:textId="164AA949" w:rsidR="009619D0" w:rsidRPr="00CF3BC4" w:rsidRDefault="009619D0" w:rsidP="00222083">
            <w:pPr>
              <w:spacing w:line="300" w:lineRule="exact"/>
              <w:jc w:val="both"/>
              <w:rPr>
                <w:b/>
                <w:bCs/>
                <w:i/>
                <w:iCs/>
                <w:sz w:val="20"/>
                <w:szCs w:val="20"/>
              </w:rPr>
            </w:pPr>
          </w:p>
        </w:tc>
      </w:tr>
      <w:tr w:rsidR="00B87A48" w14:paraId="2605CFC3" w14:textId="77777777" w:rsidTr="007B53D1">
        <w:tc>
          <w:tcPr>
            <w:tcW w:w="9192" w:type="dxa"/>
            <w:tcBorders>
              <w:top w:val="single" w:sz="4" w:space="0" w:color="auto"/>
              <w:bottom w:val="single" w:sz="4" w:space="0" w:color="auto"/>
            </w:tcBorders>
            <w:shd w:val="clear" w:color="auto" w:fill="F2F2F2" w:themeFill="background1" w:themeFillShade="F2"/>
          </w:tcPr>
          <w:p w14:paraId="71D225EC" w14:textId="23CD8FD6" w:rsidR="00B87A48" w:rsidRPr="008C7464" w:rsidRDefault="00B87A48" w:rsidP="00222083">
            <w:pPr>
              <w:spacing w:line="300" w:lineRule="exact"/>
              <w:jc w:val="both"/>
              <w:rPr>
                <w:b/>
                <w:bCs/>
                <w:color w:val="92D050"/>
              </w:rPr>
            </w:pPr>
            <w:r>
              <w:rPr>
                <w:b/>
                <w:i/>
                <w:sz w:val="20"/>
              </w:rPr>
              <w:t>2.6</w:t>
            </w:r>
            <w:r>
              <w:rPr>
                <w:b/>
                <w:i/>
                <w:sz w:val="20"/>
              </w:rPr>
              <w:tab/>
              <w:t>Veuillez décrire comment vous avez hiérarchisé les interventions à soutenir par Gavi dans le cadre de l'assistance pays ciblée requise.</w:t>
            </w:r>
          </w:p>
        </w:tc>
      </w:tr>
      <w:tr w:rsidR="00B87A48" w14:paraId="4C4783D9" w14:textId="77777777" w:rsidTr="007B53D1">
        <w:tc>
          <w:tcPr>
            <w:tcW w:w="9192" w:type="dxa"/>
            <w:tcBorders>
              <w:top w:val="single" w:sz="4" w:space="0" w:color="auto"/>
              <w:left w:val="single" w:sz="4" w:space="0" w:color="auto"/>
              <w:bottom w:val="single" w:sz="4" w:space="0" w:color="auto"/>
              <w:right w:val="single" w:sz="4" w:space="0" w:color="auto"/>
            </w:tcBorders>
          </w:tcPr>
          <w:p w14:paraId="162E289B" w14:textId="2E58E575" w:rsidR="00FE6282" w:rsidRDefault="00AB633A" w:rsidP="00222083">
            <w:pPr>
              <w:spacing w:line="300" w:lineRule="exact"/>
              <w:jc w:val="both"/>
            </w:pPr>
            <w:r>
              <w:t xml:space="preserve">De nombreuses activités ont déjà été menée en vue du renforcement des activités de vaccination. Afin d’éviter les ruptures, la priorité est </w:t>
            </w:r>
            <w:r w:rsidR="00A84CAA">
              <w:t>donnée</w:t>
            </w:r>
            <w:r>
              <w:t xml:space="preserve"> aux </w:t>
            </w:r>
            <w:r w:rsidR="00FE6282">
              <w:t>activités déjà initiée</w:t>
            </w:r>
            <w:r w:rsidR="00D571B9">
              <w:t>s</w:t>
            </w:r>
            <w:r w:rsidR="00FE6282">
              <w:t xml:space="preserve"> à savoir</w:t>
            </w:r>
            <w:r w:rsidR="00D571B9">
              <w:t xml:space="preserve"> : </w:t>
            </w:r>
            <w:r w:rsidR="00FE6282">
              <w:t xml:space="preserve">l’amélioration de la </w:t>
            </w:r>
            <w:r w:rsidR="0012486E">
              <w:t>gestion des données</w:t>
            </w:r>
            <w:r w:rsidR="00FE6282">
              <w:t xml:space="preserve">, la mise en place d’un système informatisé pour la gestion du stock des vaccins, </w:t>
            </w:r>
            <w:r w:rsidR="00A84CAA">
              <w:t xml:space="preserve">le renforcement </w:t>
            </w:r>
            <w:r w:rsidR="00D571B9">
              <w:t xml:space="preserve">de la mobilisation sociale et l’engagement </w:t>
            </w:r>
            <w:r w:rsidR="00A84CAA">
              <w:t>communautaire</w:t>
            </w:r>
            <w:r w:rsidR="00D571B9">
              <w:t xml:space="preserve">. </w:t>
            </w:r>
          </w:p>
          <w:p w14:paraId="07B0C8B1" w14:textId="77777777" w:rsidR="00A84CAA" w:rsidRDefault="00A84CAA" w:rsidP="00222083">
            <w:pPr>
              <w:spacing w:line="300" w:lineRule="exact"/>
              <w:jc w:val="both"/>
            </w:pPr>
          </w:p>
          <w:p w14:paraId="5E9DC0AA" w14:textId="02D1BDF1" w:rsidR="00A84CAA" w:rsidRDefault="00A84CAA" w:rsidP="00222083">
            <w:pPr>
              <w:spacing w:line="300" w:lineRule="exact"/>
              <w:jc w:val="both"/>
            </w:pPr>
            <w:r>
              <w:t xml:space="preserve">Parallèlement, à ces activités déjà en cours et qui doivent être poursuivies, il sera nécessaire de mettre en place l’évaluation de la couverture vaccinale ainsi que l’enquête CAP. Les données de ces enquêtes vont permettre l’identification et le mapping des enfants zéro dose et des communautés oubliées, ainsi que les raisons de non-vaccination et d’abandon. Ces éléments sont importants pour la prise de décision et la programmation des activités y compris la formation et la supervision. </w:t>
            </w:r>
          </w:p>
          <w:p w14:paraId="0C91D4FA" w14:textId="77777777" w:rsidR="00D571B9" w:rsidRDefault="00D571B9" w:rsidP="00222083">
            <w:pPr>
              <w:spacing w:line="300" w:lineRule="exact"/>
              <w:jc w:val="both"/>
            </w:pPr>
          </w:p>
          <w:p w14:paraId="64763B5B" w14:textId="28FCFD65" w:rsidR="00FE6282" w:rsidRDefault="00A84CAA" w:rsidP="00222083">
            <w:pPr>
              <w:spacing w:line="300" w:lineRule="exact"/>
              <w:jc w:val="both"/>
            </w:pPr>
            <w:r>
              <w:t xml:space="preserve">Le suivi des </w:t>
            </w:r>
            <w:r w:rsidR="00FE6282">
              <w:t>MAPI</w:t>
            </w:r>
            <w:r>
              <w:t xml:space="preserve"> reste un élément clé pour le PEV. Aussi l’assistance technique doit être priorisée à ce niveau également. </w:t>
            </w:r>
          </w:p>
          <w:p w14:paraId="1C535E4A" w14:textId="77777777" w:rsidR="00D571B9" w:rsidRDefault="00D571B9" w:rsidP="00222083">
            <w:pPr>
              <w:spacing w:line="300" w:lineRule="exact"/>
              <w:jc w:val="both"/>
            </w:pPr>
          </w:p>
          <w:p w14:paraId="0C82949D" w14:textId="77777777" w:rsidR="00D571B9" w:rsidRDefault="0012486E" w:rsidP="00222083">
            <w:pPr>
              <w:spacing w:line="300" w:lineRule="exact"/>
              <w:jc w:val="both"/>
            </w:pPr>
            <w:r>
              <w:t xml:space="preserve">Il est tout aussi urgent d'améliorer la capacité de </w:t>
            </w:r>
            <w:r w:rsidR="00D571B9">
              <w:t xml:space="preserve">leadership de l’équipe du PEV afin d’assurer une programmation efficace des activités de vaccination et favoriser l’amélioration de la performance du programme. </w:t>
            </w:r>
          </w:p>
          <w:p w14:paraId="277BA699" w14:textId="77777777" w:rsidR="00D571B9" w:rsidRDefault="00D571B9" w:rsidP="00222083">
            <w:pPr>
              <w:spacing w:line="300" w:lineRule="exact"/>
              <w:jc w:val="both"/>
            </w:pPr>
          </w:p>
          <w:p w14:paraId="0CF6D4C1" w14:textId="7A945487" w:rsidR="0012486E" w:rsidRDefault="00D571B9" w:rsidP="00222083">
            <w:pPr>
              <w:spacing w:line="300" w:lineRule="exact"/>
              <w:jc w:val="both"/>
            </w:pPr>
            <w:r>
              <w:t xml:space="preserve">Enfin, le </w:t>
            </w:r>
            <w:r w:rsidR="0012486E">
              <w:t xml:space="preserve">problème de l'insécurité environnementale et du personnel, posé par la capacité d'incinération déficiente des deux incinérateurs mérite également une intervention urgente. </w:t>
            </w:r>
          </w:p>
          <w:p w14:paraId="48003D96" w14:textId="19DCEDA7" w:rsidR="00B87A48" w:rsidRPr="006615A7" w:rsidRDefault="00B87A48" w:rsidP="00222083">
            <w:pPr>
              <w:spacing w:line="300" w:lineRule="exact"/>
              <w:jc w:val="both"/>
              <w:rPr>
                <w:color w:val="92D050"/>
              </w:rPr>
            </w:pPr>
          </w:p>
        </w:tc>
      </w:tr>
    </w:tbl>
    <w:p w14:paraId="4DAF51E8" w14:textId="0B86255A" w:rsidR="007172E8" w:rsidRDefault="007172E8" w:rsidP="00222083">
      <w:pPr>
        <w:jc w:val="both"/>
      </w:pPr>
    </w:p>
    <w:p w14:paraId="058C1B7B" w14:textId="4CE56EFB" w:rsidR="007172E8" w:rsidRPr="00264FC1" w:rsidRDefault="007172E8" w:rsidP="00222083">
      <w:pPr>
        <w:pStyle w:val="ListParagraph"/>
        <w:numPr>
          <w:ilvl w:val="0"/>
          <w:numId w:val="4"/>
        </w:numPr>
        <w:spacing w:line="300" w:lineRule="exact"/>
        <w:ind w:left="426"/>
        <w:jc w:val="both"/>
        <w:rPr>
          <w:b/>
          <w:bCs/>
          <w:color w:val="70AD47" w:themeColor="accent6"/>
          <w:sz w:val="26"/>
          <w:szCs w:val="26"/>
        </w:rPr>
      </w:pPr>
      <w:r>
        <w:rPr>
          <w:b/>
          <w:color w:val="70AD47" w:themeColor="accent6"/>
          <w:sz w:val="26"/>
        </w:rPr>
        <w:t>Diversification des partenaires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0553C62">
        <w:trPr>
          <w:gridAfter w:val="1"/>
          <w:wAfter w:w="22" w:type="dxa"/>
          <w:trHeight w:val="846"/>
        </w:trPr>
        <w:tc>
          <w:tcPr>
            <w:tcW w:w="9170" w:type="dxa"/>
            <w:shd w:val="clear" w:color="auto" w:fill="F2F2F2" w:themeFill="background1" w:themeFillShade="F2"/>
          </w:tcPr>
          <w:p w14:paraId="642D6855" w14:textId="174EA167" w:rsidR="00E80A44" w:rsidRDefault="006D3657" w:rsidP="00222083">
            <w:pPr>
              <w:spacing w:line="300" w:lineRule="exact"/>
              <w:jc w:val="both"/>
              <w:rPr>
                <w:color w:val="92D050"/>
              </w:rPr>
            </w:pPr>
            <w:r>
              <w:rPr>
                <w:b/>
                <w:i/>
                <w:color w:val="000000" w:themeColor="text1"/>
                <w:sz w:val="20"/>
              </w:rPr>
              <w:t>3.1</w:t>
            </w:r>
            <w:r>
              <w:rPr>
                <w:b/>
                <w:i/>
                <w:color w:val="000000" w:themeColor="text1"/>
                <w:sz w:val="20"/>
              </w:rPr>
              <w:tab/>
              <w:t xml:space="preserve">Décrivez quels partenaires vous avez déjà </w:t>
            </w:r>
            <w:r w:rsidR="006615A7">
              <w:rPr>
                <w:b/>
                <w:i/>
                <w:color w:val="000000" w:themeColor="text1"/>
                <w:sz w:val="20"/>
              </w:rPr>
              <w:t>resensé</w:t>
            </w:r>
            <w:r>
              <w:rPr>
                <w:b/>
                <w:i/>
                <w:color w:val="000000" w:themeColor="text1"/>
                <w:sz w:val="20"/>
              </w:rPr>
              <w:t>, y compris les partenaires de l'Alliance et les partenaires élargis (dont les partenaires mondiaux, les partenaires locaux et les OSC), afin de soutenir la mise en œuvre des activités</w:t>
            </w:r>
            <w:r>
              <w:rPr>
                <w:b/>
                <w:i/>
                <w:sz w:val="20"/>
              </w:rPr>
              <w:t xml:space="preserve"> (Référez-vous aux </w:t>
            </w:r>
            <w:hyperlink r:id="rId14" w:history="1">
              <w:r>
                <w:rPr>
                  <w:rStyle w:val="Hyperlink"/>
                  <w:b/>
                  <w:i/>
                  <w:sz w:val="20"/>
                </w:rPr>
                <w:t>Directives sur l'assistance pays ciblée du Cadre d'engagement des partenaires pour la planification pluriannuelle 2022-2025</w:t>
              </w:r>
            </w:hyperlink>
            <w:r>
              <w:rPr>
                <w:b/>
                <w:i/>
                <w:sz w:val="20"/>
              </w:rPr>
              <w:t xml:space="preserve">, pour </w:t>
            </w:r>
            <w:r w:rsidR="00D248D8" w:rsidRPr="00D248D8">
              <w:rPr>
                <w:b/>
                <w:i/>
                <w:sz w:val="20"/>
              </w:rPr>
              <w:t>connaître</w:t>
            </w:r>
            <w:r w:rsidR="00E74843">
              <w:rPr>
                <w:b/>
                <w:i/>
                <w:sz w:val="20"/>
              </w:rPr>
              <w:t xml:space="preserve"> </w:t>
            </w:r>
            <w:r w:rsidR="00D248D8">
              <w:rPr>
                <w:b/>
                <w:i/>
                <w:sz w:val="20"/>
              </w:rPr>
              <w:t xml:space="preserve">le </w:t>
            </w:r>
            <w:r>
              <w:rPr>
                <w:b/>
                <w:i/>
                <w:sz w:val="20"/>
              </w:rPr>
              <w:t>type d'institutions considérées comme des partenaires mondiaux ou locaux et des OSC)</w:t>
            </w:r>
          </w:p>
        </w:tc>
      </w:tr>
      <w:tr w:rsidR="00520598" w14:paraId="62BDF2A5" w14:textId="77777777" w:rsidTr="004B632A">
        <w:tc>
          <w:tcPr>
            <w:tcW w:w="9170" w:type="dxa"/>
            <w:gridSpan w:val="2"/>
            <w:tcBorders>
              <w:top w:val="single" w:sz="4" w:space="0" w:color="auto"/>
              <w:left w:val="single" w:sz="4" w:space="0" w:color="auto"/>
              <w:bottom w:val="single" w:sz="4" w:space="0" w:color="auto"/>
              <w:right w:val="single" w:sz="4" w:space="0" w:color="auto"/>
            </w:tcBorders>
          </w:tcPr>
          <w:p w14:paraId="45BC63BE" w14:textId="246CF04E" w:rsidR="00520598" w:rsidRDefault="0012486E" w:rsidP="00222083">
            <w:pPr>
              <w:spacing w:line="300" w:lineRule="exact"/>
              <w:jc w:val="both"/>
            </w:pPr>
            <w:r>
              <w:lastRenderedPageBreak/>
              <w:t xml:space="preserve">L'UNICEF et l'OMS ont été les principaux partenaires d'assistance et de soutien au programme de vaccination. Il n'y a pas eu d'ONG ayant un profil d’appui </w:t>
            </w:r>
            <w:r w:rsidR="00D571B9">
              <w:t>à</w:t>
            </w:r>
            <w:r>
              <w:t xml:space="preserve"> la vaccination, ainsi que les organisations de la société civile sont très faibles et ne donnent pas des garanties en tant que partenaires. Elles sont habituellement utilisées uniquement </w:t>
            </w:r>
            <w:r w:rsidR="00C03EBB">
              <w:t xml:space="preserve">dans le cadre des </w:t>
            </w:r>
            <w:r>
              <w:t xml:space="preserve">activités de mobilisation </w:t>
            </w:r>
            <w:r w:rsidR="00C03EBB">
              <w:t xml:space="preserve">sociale et engagement </w:t>
            </w:r>
            <w:r>
              <w:t>communautaire</w:t>
            </w:r>
            <w:r w:rsidR="00EF50D0">
              <w:t xml:space="preserve"> à travers le PEV et unicef.</w:t>
            </w:r>
            <w:r w:rsidR="009F690F">
              <w:t xml:space="preserve"> L’OMS est entrain d’appuyer une évaluation du système communautaire sanitaire du pays afin de voir comment l</w:t>
            </w:r>
            <w:r w:rsidR="003D49AB">
              <w:t>a Couverture Santé Universelle pourrait éventuellement s’appuyer dessus. Historiquement et traditionnellement cependant, le pays n’a pas d’organisation communautaire typique de ce qu’on voit dans les autres pays africains. Par exemple, la notion de chef de village, leader communautaire est très peu développé voir inexistante.</w:t>
            </w:r>
            <w:r w:rsidR="00427AFA">
              <w:t xml:space="preserve"> Il y a quelques organisations qui travaillent dans la santé et font parti du CCM et le PEV et les partenaires UNICEF/OMS va renforcer le lien avec eux.</w:t>
            </w:r>
          </w:p>
          <w:p w14:paraId="18AA925F" w14:textId="406AB62C" w:rsidR="006F6C85" w:rsidRPr="00D503D8" w:rsidRDefault="006F6C85" w:rsidP="00222083">
            <w:pPr>
              <w:spacing w:line="300" w:lineRule="exact"/>
              <w:jc w:val="both"/>
            </w:pPr>
            <w:r>
              <w:t>Le pays va également faire appel à des nouveaux acteurs tels que</w:t>
            </w:r>
            <w:r w:rsidR="00E62AB5">
              <w:t xml:space="preserve"> R4D/Universidade de </w:t>
            </w:r>
            <w:r w:rsidR="008C348A">
              <w:t>Goiás</w:t>
            </w:r>
            <w:r w:rsidR="00E62AB5">
              <w:t xml:space="preserve"> (Brazil) </w:t>
            </w:r>
            <w:r>
              <w:t xml:space="preserve">pour la mise en place d’un plan de formation et la Banque Mondiale pour </w:t>
            </w:r>
            <w:r w:rsidR="00EF50D0">
              <w:t>les questions de financement de la santé.</w:t>
            </w:r>
          </w:p>
        </w:tc>
      </w:tr>
      <w:tr w:rsidR="00520598" w14:paraId="72481A8B" w14:textId="77777777" w:rsidTr="00385FED">
        <w:trPr>
          <w:trHeight w:val="620"/>
        </w:trPr>
        <w:tc>
          <w:tcPr>
            <w:tcW w:w="9170" w:type="dxa"/>
            <w:gridSpan w:val="2"/>
            <w:shd w:val="clear" w:color="auto" w:fill="F2F2F2" w:themeFill="background1" w:themeFillShade="F2"/>
          </w:tcPr>
          <w:p w14:paraId="29991F07" w14:textId="6C83A021" w:rsidR="00520598" w:rsidRPr="00520598" w:rsidRDefault="00520598" w:rsidP="00222083">
            <w:pPr>
              <w:spacing w:line="300" w:lineRule="exact"/>
              <w:jc w:val="both"/>
              <w:rPr>
                <w:b/>
                <w:bCs/>
                <w:i/>
                <w:iCs/>
                <w:color w:val="000000" w:themeColor="text1"/>
                <w:sz w:val="20"/>
                <w:szCs w:val="20"/>
              </w:rPr>
            </w:pPr>
            <w:r>
              <w:rPr>
                <w:b/>
                <w:i/>
                <w:sz w:val="20"/>
              </w:rPr>
              <w:t>3.2</w:t>
            </w:r>
            <w:r>
              <w:rPr>
                <w:b/>
                <w:i/>
                <w:sz w:val="20"/>
              </w:rPr>
              <w:tab/>
              <w:t>Veuillez indiquer exactement comment vous envisagez de collaborer avec des partenaires locaux</w:t>
            </w:r>
            <w:r w:rsidR="00996F4A">
              <w:rPr>
                <w:b/>
                <w:i/>
                <w:sz w:val="20"/>
              </w:rPr>
              <w:t>.</w:t>
            </w:r>
          </w:p>
        </w:tc>
      </w:tr>
      <w:tr w:rsidR="00E80A44" w14:paraId="5B4D7083" w14:textId="77777777" w:rsidTr="00D353AF">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6420D9B9" w14:textId="2C0FFA98" w:rsidR="00E80A44" w:rsidRPr="006615A7" w:rsidRDefault="003D49AB" w:rsidP="00222083">
            <w:pPr>
              <w:spacing w:line="300" w:lineRule="exact"/>
              <w:jc w:val="both"/>
              <w:rPr>
                <w:color w:val="92D050"/>
              </w:rPr>
            </w:pPr>
            <w:r>
              <w:t>D</w:t>
            </w:r>
            <w:r w:rsidR="00E3520A">
              <w:t xml:space="preserve">es partenaires locaux </w:t>
            </w:r>
            <w:r>
              <w:t>pourraient être</w:t>
            </w:r>
            <w:r w:rsidR="00E3520A">
              <w:t xml:space="preserve"> recrutés via UNICEF et OMS pour le renforcement de la </w:t>
            </w:r>
            <w:r>
              <w:t>mobilisation</w:t>
            </w:r>
            <w:r w:rsidR="00E3520A">
              <w:t xml:space="preserve"> sociale</w:t>
            </w:r>
            <w:r>
              <w:t xml:space="preserve"> (</w:t>
            </w:r>
            <w:r w:rsidR="00134FB8">
              <w:t xml:space="preserve">$US </w:t>
            </w:r>
            <w:r>
              <w:t>70,000 affectés pour 2023)</w:t>
            </w:r>
            <w:r w:rsidR="00134FB8">
              <w:t xml:space="preserve"> et le changement de comportement ($119,000)</w:t>
            </w:r>
            <w:r>
              <w:t xml:space="preserve"> afin d’atteindre les zero dose et les zero dose rougeole</w:t>
            </w:r>
            <w:r w:rsidR="00E3520A">
              <w:t xml:space="preserve">. A noter que l’environnement des OSC de Sao Tome est extrêmement restreint </w:t>
            </w:r>
            <w:r w:rsidR="009F690F">
              <w:t xml:space="preserve">(on parle de </w:t>
            </w:r>
            <w:r w:rsidR="00134FB8">
              <w:t>2 petites</w:t>
            </w:r>
            <w:r w:rsidR="009F690F">
              <w:t xml:space="preserve"> ONG locales dans la santé non spécifiques à la vaccination avec </w:t>
            </w:r>
            <w:r w:rsidR="002E711A">
              <w:t>Fondation Marapa, C</w:t>
            </w:r>
            <w:r w:rsidR="00766770">
              <w:t>ruz vermelha</w:t>
            </w:r>
            <w:r w:rsidR="009F690F">
              <w:t xml:space="preserve">). </w:t>
            </w:r>
            <w:r>
              <w:t>Ces OSC devront passer les critères de gestion d’OMS et UNICEF pour pouvoir accéder aux fonds.</w:t>
            </w:r>
            <w:r w:rsidR="009F690F">
              <w:t xml:space="preserve"> </w:t>
            </w:r>
          </w:p>
        </w:tc>
      </w:tr>
      <w:tr w:rsidR="38F5364C" w14:paraId="5D1DCA18"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6BC5DA9A" w:rsidR="2F92698C" w:rsidRDefault="3D5C2947" w:rsidP="00222083">
            <w:pPr>
              <w:spacing w:line="300" w:lineRule="exact"/>
              <w:jc w:val="both"/>
              <w:rPr>
                <w:b/>
                <w:bCs/>
                <w:i/>
                <w:iCs/>
                <w:color w:val="000000" w:themeColor="text1"/>
                <w:sz w:val="20"/>
                <w:szCs w:val="20"/>
              </w:rPr>
            </w:pPr>
            <w:r>
              <w:rPr>
                <w:b/>
                <w:i/>
                <w:color w:val="000000" w:themeColor="text1"/>
                <w:sz w:val="20"/>
              </w:rPr>
              <w:t>3.3</w:t>
            </w:r>
            <w:r>
              <w:rPr>
                <w:b/>
                <w:i/>
                <w:color w:val="000000" w:themeColor="text1"/>
                <w:sz w:val="20"/>
              </w:rPr>
              <w:tab/>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Pr>
                <w:i/>
                <w:sz w:val="20"/>
              </w:rPr>
              <w:t xml:space="preserve">Prière de vous reporter à la Section 2.3 (3. </w:t>
            </w:r>
            <w:r w:rsidR="008C348A">
              <w:rPr>
                <w:i/>
                <w:sz w:val="20"/>
              </w:rPr>
              <w:t>Recensement</w:t>
            </w:r>
            <w:r w:rsidR="006615A7">
              <w:rPr>
                <w:i/>
                <w:sz w:val="20"/>
              </w:rPr>
              <w:t xml:space="preserve"> </w:t>
            </w:r>
            <w:r>
              <w:rPr>
                <w:i/>
                <w:sz w:val="20"/>
              </w:rPr>
              <w:t>des partenaires) des Directives de planification de l'assistance pays ciblée du Cadre d'engagement des partenaires pour de plus amples informations.</w:t>
            </w:r>
          </w:p>
        </w:tc>
      </w:tr>
      <w:tr w:rsidR="38F5364C" w:rsidRPr="00766770" w14:paraId="094E763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5CEE0CC3" w14:textId="01F8A1CA" w:rsidR="38F5364C" w:rsidRDefault="00766770" w:rsidP="00222083">
            <w:pPr>
              <w:spacing w:line="300" w:lineRule="exact"/>
              <w:jc w:val="both"/>
            </w:pPr>
            <w:r>
              <w:t xml:space="preserve">Respecter la </w:t>
            </w:r>
            <w:r w:rsidR="00134FB8">
              <w:t xml:space="preserve">norme </w:t>
            </w:r>
            <w:r w:rsidR="00B34A07">
              <w:t>recommand</w:t>
            </w:r>
            <w:r w:rsidR="00134FB8">
              <w:t>ée</w:t>
            </w:r>
            <w:r>
              <w:t xml:space="preserve"> </w:t>
            </w:r>
            <w:r w:rsidR="00586886">
              <w:t xml:space="preserve">de 30% </w:t>
            </w:r>
            <w:r>
              <w:t>pour STP n’est pas possible car historiquement le pays s’appuie sur une forte présence des centres de santé au niveau des districts et non sur les partenaires locaux.</w:t>
            </w:r>
            <w:r w:rsidR="00F618B3">
              <w:t xml:space="preserve"> C’est grâce à un fort système de santé primaire que le pays a atteint 9</w:t>
            </w:r>
            <w:r w:rsidR="000A194C">
              <w:t>7% en DTP1 et 3 et pas avec la mobilisation sociale donc la majorité des fonds devrait aller à renforcer ce système qui est délaissé</w:t>
            </w:r>
            <w:r w:rsidR="00660140">
              <w:t>.</w:t>
            </w:r>
            <w:r>
              <w:t xml:space="preserve"> Ce n’est pas la culture de STP du fait de son histoire</w:t>
            </w:r>
            <w:r w:rsidR="00586886">
              <w:t xml:space="preserve"> notamment coloniale</w:t>
            </w:r>
            <w:r>
              <w:t xml:space="preserve">. Cette </w:t>
            </w:r>
            <w:r w:rsidR="00E3749F">
              <w:t>recommandation</w:t>
            </w:r>
            <w:r>
              <w:t xml:space="preserve"> ne va pas pour </w:t>
            </w:r>
            <w:r w:rsidR="00E57154">
              <w:t>tous les pays notamment pour les petits pays comme STP où les fonds de Gavi sont petits et en transition. Est-ce que Gavi va continuer à appuyer les OSC après la transition ?</w:t>
            </w:r>
          </w:p>
          <w:p w14:paraId="64958F87" w14:textId="788F984F" w:rsidR="00766770" w:rsidRPr="00766770" w:rsidRDefault="00766770" w:rsidP="00222083">
            <w:pPr>
              <w:spacing w:line="300" w:lineRule="exact"/>
              <w:jc w:val="both"/>
            </w:pPr>
            <w:r w:rsidRPr="00766770">
              <w:t xml:space="preserve">Ceci dit, Sao Tome a </w:t>
            </w:r>
            <w:r w:rsidR="00586886" w:rsidRPr="00766770">
              <w:t>i</w:t>
            </w:r>
            <w:r w:rsidR="00586886" w:rsidRPr="00586886">
              <w:t>nclus</w:t>
            </w:r>
            <w:r w:rsidRPr="007244FB">
              <w:t xml:space="preserve"> 70,000</w:t>
            </w:r>
            <w:r w:rsidR="00E3749F">
              <w:t xml:space="preserve"> dolares</w:t>
            </w:r>
            <w:r w:rsidRPr="007244FB">
              <w:t xml:space="preserve"> pou</w:t>
            </w:r>
            <w:r>
              <w:t xml:space="preserve">r la mobilisation communautaire à travers </w:t>
            </w:r>
            <w:r w:rsidR="00C779EC">
              <w:t>les partenaires UNICEF/OMS et aussi près de 130,000 dolares pour le changement de comportement au niveau social.</w:t>
            </w:r>
            <w:r w:rsidR="00660140">
              <w:t xml:space="preserve"> Notamment pour les 3% de Zero dose Gavi DTP et les zero dose rougeole.</w:t>
            </w:r>
            <w:r w:rsidR="00C779EC">
              <w:t xml:space="preserve"> Ça veut dire </w:t>
            </w:r>
            <w:r w:rsidR="00B34A07">
              <w:t>déjà 16%</w:t>
            </w:r>
            <w:r w:rsidR="00660140">
              <w:t xml:space="preserve"> des fonds.</w:t>
            </w:r>
            <w:r w:rsidR="007244FB">
              <w:t xml:space="preserve"> Mais la difficulté va être de former et d’avoir des structures de gestion adéquats pour ces OSC.</w:t>
            </w:r>
          </w:p>
        </w:tc>
      </w:tr>
      <w:tr w:rsidR="009F19F8" w14:paraId="3821C077"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388D7F6F" w:rsidR="009F19F8" w:rsidRDefault="009F19F8" w:rsidP="00222083">
            <w:pPr>
              <w:spacing w:line="300" w:lineRule="exact"/>
              <w:jc w:val="both"/>
              <w:rPr>
                <w:b/>
                <w:bCs/>
                <w:i/>
                <w:iCs/>
                <w:color w:val="000000" w:themeColor="text1"/>
                <w:sz w:val="20"/>
                <w:szCs w:val="20"/>
              </w:rPr>
            </w:pPr>
            <w:r>
              <w:rPr>
                <w:b/>
                <w:i/>
                <w:color w:val="000000" w:themeColor="text1"/>
                <w:sz w:val="20"/>
              </w:rPr>
              <w:lastRenderedPageBreak/>
              <w:t>3.4</w:t>
            </w:r>
            <w:r>
              <w:rPr>
                <w:b/>
                <w:i/>
                <w:color w:val="000000" w:themeColor="text1"/>
                <w:sz w:val="20"/>
              </w:rPr>
              <w:tab/>
            </w:r>
            <w:r w:rsidRPr="00F104A0">
              <w:rPr>
                <w:b/>
                <w:i/>
                <w:color w:val="000000" w:themeColor="text1"/>
                <w:sz w:val="20"/>
              </w:rPr>
              <w:t>Veuillez noter l'allocation</w:t>
            </w:r>
            <w:r w:rsidRPr="00880860">
              <w:rPr>
                <w:b/>
                <w:i/>
                <w:color w:val="000000" w:themeColor="text1"/>
                <w:sz w:val="20"/>
              </w:rPr>
              <w:t xml:space="preserve"> d'assistance</w:t>
            </w:r>
            <w:r>
              <w:rPr>
                <w:b/>
                <w:i/>
                <w:color w:val="000000" w:themeColor="text1"/>
                <w:sz w:val="20"/>
              </w:rPr>
              <w:t xml:space="preserve"> pays ciblée aux OSC uniquement (qu'il s'agisse de partenaires </w:t>
            </w:r>
            <w:r w:rsidR="006E3CBA" w:rsidRPr="006E3CBA">
              <w:rPr>
                <w:b/>
                <w:i/>
                <w:color w:val="000000" w:themeColor="text1"/>
                <w:sz w:val="20"/>
              </w:rPr>
              <w:t>mondiaux</w:t>
            </w:r>
            <w:r w:rsidR="006E3CBA">
              <w:rPr>
                <w:b/>
                <w:i/>
                <w:color w:val="000000" w:themeColor="text1"/>
                <w:sz w:val="20"/>
              </w:rPr>
              <w:t xml:space="preserve"> </w:t>
            </w:r>
            <w:r>
              <w:rPr>
                <w:b/>
                <w:i/>
                <w:color w:val="000000" w:themeColor="text1"/>
                <w:sz w:val="20"/>
              </w:rPr>
              <w:t xml:space="preserve">ou de partenaires </w:t>
            </w:r>
            <w:r w:rsidR="00DC1FD3">
              <w:rPr>
                <w:b/>
                <w:i/>
                <w:color w:val="000000" w:themeColor="text1"/>
                <w:sz w:val="20"/>
              </w:rPr>
              <w:t xml:space="preserve">locaux </w:t>
            </w:r>
            <w:r>
              <w:rPr>
                <w:b/>
                <w:i/>
                <w:color w:val="000000" w:themeColor="text1"/>
                <w:sz w:val="20"/>
              </w:rPr>
              <w:t>élargis) et décrire l'approche que vous utiliserez pour respecter l'exigence d'allouer 10% des plafonds d'assistance pays ciblée, d</w:t>
            </w:r>
            <w:r w:rsidR="006E2C30">
              <w:rPr>
                <w:b/>
                <w:i/>
                <w:color w:val="000000" w:themeColor="text1"/>
                <w:sz w:val="20"/>
              </w:rPr>
              <w:t>u</w:t>
            </w:r>
            <w:r>
              <w:rPr>
                <w:b/>
                <w:i/>
                <w:color w:val="000000" w:themeColor="text1"/>
                <w:sz w:val="20"/>
              </w:rPr>
              <w:t xml:space="preserve"> financement accélérateur de l'équité</w:t>
            </w:r>
            <w:r w:rsidR="0036348B">
              <w:rPr>
                <w:b/>
                <w:i/>
                <w:color w:val="000000" w:themeColor="text1"/>
                <w:sz w:val="20"/>
              </w:rPr>
              <w:t xml:space="preserve"> (EAF)</w:t>
            </w:r>
            <w:r>
              <w:rPr>
                <w:b/>
                <w:i/>
                <w:color w:val="000000" w:themeColor="text1"/>
                <w:sz w:val="20"/>
              </w:rPr>
              <w:t xml:space="preserve"> et d</w:t>
            </w:r>
            <w:r w:rsidR="006E2C30">
              <w:rPr>
                <w:b/>
                <w:i/>
                <w:color w:val="000000" w:themeColor="text1"/>
                <w:sz w:val="20"/>
              </w:rPr>
              <w:t>u</w:t>
            </w:r>
            <w:r>
              <w:rPr>
                <w:b/>
                <w:i/>
                <w:color w:val="000000" w:themeColor="text1"/>
                <w:sz w:val="20"/>
              </w:rPr>
              <w:t xml:space="preserve"> RSS à la mise en œuvre des </w:t>
            </w:r>
            <w:r w:rsidR="006E2C30">
              <w:rPr>
                <w:b/>
                <w:i/>
                <w:color w:val="000000" w:themeColor="text1"/>
                <w:sz w:val="20"/>
              </w:rPr>
              <w:t xml:space="preserve">activités des </w:t>
            </w:r>
            <w:r>
              <w:rPr>
                <w:b/>
                <w:i/>
                <w:color w:val="000000" w:themeColor="text1"/>
                <w:sz w:val="20"/>
              </w:rPr>
              <w:t xml:space="preserve">OSC (p. ex., si moins de 10% du financement de l'assistance pays ciblée </w:t>
            </w:r>
            <w:r w:rsidR="006E2C30">
              <w:rPr>
                <w:b/>
                <w:i/>
                <w:color w:val="000000" w:themeColor="text1"/>
                <w:sz w:val="20"/>
              </w:rPr>
              <w:t xml:space="preserve">est </w:t>
            </w:r>
            <w:r>
              <w:rPr>
                <w:b/>
                <w:i/>
                <w:color w:val="000000" w:themeColor="text1"/>
                <w:sz w:val="20"/>
              </w:rPr>
              <w:t>alloué aux OSC, indiquez comment cela sera compensé aux OSC par l'allocation d</w:t>
            </w:r>
            <w:r w:rsidR="006E2C30">
              <w:rPr>
                <w:b/>
                <w:i/>
                <w:color w:val="000000" w:themeColor="text1"/>
                <w:sz w:val="20"/>
              </w:rPr>
              <w:t>u</w:t>
            </w:r>
            <w:r>
              <w:rPr>
                <w:b/>
                <w:i/>
                <w:color w:val="000000" w:themeColor="text1"/>
                <w:sz w:val="20"/>
              </w:rPr>
              <w:t xml:space="preserve"> RSS et le financement accélérateur de l'équité).  </w:t>
            </w:r>
            <w:r>
              <w:rPr>
                <w:i/>
                <w:sz w:val="20"/>
              </w:rPr>
              <w:t xml:space="preserve">Prière de vous reporter à la Section 2.3 (3. </w:t>
            </w:r>
            <w:r w:rsidR="008C348A">
              <w:rPr>
                <w:i/>
                <w:sz w:val="20"/>
              </w:rPr>
              <w:t>Recensement</w:t>
            </w:r>
            <w:r w:rsidR="006615A7">
              <w:rPr>
                <w:i/>
                <w:sz w:val="20"/>
              </w:rPr>
              <w:t xml:space="preserve"> </w:t>
            </w:r>
            <w:r>
              <w:rPr>
                <w:i/>
                <w:sz w:val="20"/>
              </w:rPr>
              <w:t>des partenaires) des Directives de planification de l'assistance pays ciblée du Cadre d'engagement des partenaires pour de plus amples informations.</w:t>
            </w:r>
          </w:p>
        </w:tc>
      </w:tr>
      <w:tr w:rsidR="009F19F8" w14:paraId="3F43E4A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01E16748" w14:textId="4CAF5F43" w:rsidR="009F19F8" w:rsidRPr="006615A7" w:rsidRDefault="002267A8" w:rsidP="00222083">
            <w:pPr>
              <w:spacing w:line="300" w:lineRule="exact"/>
              <w:jc w:val="both"/>
            </w:pPr>
            <w:r>
              <w:t>L’EAF respectera 10% alloué au</w:t>
            </w:r>
            <w:r w:rsidR="006E0274">
              <w:t>x OSC si elles respectent les conditions de gestion de Gavi. Elles travailleront sur la demande et les communautés manquées.</w:t>
            </w:r>
            <w:r w:rsidR="000F22CB">
              <w:t xml:space="preserve"> L’EAF va commencer en 2023. Aussi la stratégie communautaire pour la vaccination devra s’intégrer avec les autres services de santé préventifs</w:t>
            </w:r>
            <w:r w:rsidR="00035777">
              <w:t xml:space="preserve"> pas seulement la vaccination. Il faut aussi un package qui inclure la prévention des maladies non transmissibles</w:t>
            </w:r>
          </w:p>
        </w:tc>
      </w:tr>
    </w:tbl>
    <w:p w14:paraId="0FF1AB89" w14:textId="696527F3" w:rsidR="001B5003" w:rsidRDefault="001B5003" w:rsidP="00222083">
      <w:pPr>
        <w:pStyle w:val="ListParagraph"/>
        <w:spacing w:line="300" w:lineRule="exact"/>
        <w:ind w:left="0"/>
        <w:jc w:val="both"/>
        <w:rPr>
          <w:b/>
          <w:color w:val="70AD47" w:themeColor="accent6"/>
          <w:sz w:val="26"/>
          <w:szCs w:val="26"/>
        </w:rPr>
      </w:pPr>
    </w:p>
    <w:p w14:paraId="68BA93E7" w14:textId="77777777" w:rsidR="001B5003" w:rsidRDefault="001B5003" w:rsidP="00222083">
      <w:pPr>
        <w:spacing w:after="160" w:line="259" w:lineRule="auto"/>
        <w:jc w:val="both"/>
        <w:rPr>
          <w:b/>
          <w:color w:val="70AD47" w:themeColor="accent6"/>
          <w:sz w:val="26"/>
          <w:szCs w:val="26"/>
        </w:rPr>
      </w:pPr>
      <w:r>
        <w:rPr>
          <w:b/>
          <w:color w:val="70AD47" w:themeColor="accent6"/>
          <w:sz w:val="26"/>
          <w:szCs w:val="26"/>
        </w:rPr>
        <w:br w:type="page"/>
      </w:r>
    </w:p>
    <w:p w14:paraId="5AD99CE7" w14:textId="77777777" w:rsidR="00372D1F" w:rsidRPr="009F19F8" w:rsidRDefault="00372D1F" w:rsidP="00222083">
      <w:pPr>
        <w:pStyle w:val="ListParagraph"/>
        <w:spacing w:line="300" w:lineRule="exact"/>
        <w:ind w:left="0"/>
        <w:jc w:val="both"/>
        <w:rPr>
          <w:b/>
          <w:color w:val="70AD47" w:themeColor="accent6"/>
          <w:sz w:val="26"/>
          <w:szCs w:val="26"/>
        </w:rPr>
      </w:pPr>
    </w:p>
    <w:p w14:paraId="79848434" w14:textId="2932C226" w:rsidR="009F0292" w:rsidRPr="0033192A" w:rsidRDefault="009F0292" w:rsidP="00222083">
      <w:pPr>
        <w:pStyle w:val="ListParagraph"/>
        <w:numPr>
          <w:ilvl w:val="0"/>
          <w:numId w:val="4"/>
        </w:numPr>
        <w:spacing w:line="300" w:lineRule="exact"/>
        <w:jc w:val="both"/>
        <w:rPr>
          <w:b/>
          <w:color w:val="84C650"/>
          <w:sz w:val="26"/>
          <w:szCs w:val="26"/>
        </w:rPr>
      </w:pPr>
      <w:r>
        <w:rPr>
          <w:b/>
          <w:color w:val="70AD47" w:themeColor="accent6"/>
          <w:sz w:val="26"/>
        </w:rPr>
        <w:t xml:space="preserve">Enseignements tirés </w:t>
      </w:r>
      <w:r w:rsidR="00880860" w:rsidRPr="00880860">
        <w:rPr>
          <w:b/>
          <w:color w:val="70AD47" w:themeColor="accent6"/>
          <w:sz w:val="26"/>
        </w:rPr>
        <w:t xml:space="preserve">de l'expérience passée en matière d'assistance technique </w:t>
      </w:r>
      <w:r>
        <w:rPr>
          <w:b/>
          <w:color w:val="70AD47" w:themeColor="accent6"/>
          <w:sz w:val="26"/>
        </w:rPr>
        <w:t>(0,5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72E2BCC0" w:rsidR="009F0292" w:rsidRPr="00B614D7" w:rsidRDefault="0033192A" w:rsidP="00222083">
            <w:pPr>
              <w:spacing w:line="300" w:lineRule="exact"/>
              <w:jc w:val="both"/>
              <w:rPr>
                <w:b/>
                <w:bCs/>
                <w:color w:val="92D050"/>
              </w:rPr>
            </w:pPr>
            <w:r>
              <w:rPr>
                <w:b/>
                <w:i/>
                <w:color w:val="000000" w:themeColor="text1"/>
                <w:sz w:val="20"/>
              </w:rPr>
              <w:t>4.1</w:t>
            </w:r>
            <w:r>
              <w:rPr>
                <w:b/>
                <w:i/>
                <w:color w:val="000000" w:themeColor="text1"/>
                <w:sz w:val="20"/>
              </w:rPr>
              <w:tab/>
              <w:t xml:space="preserve">Veuillez expliquer comment le plan d'assistance pays ciblée s'appuiera sur la performance passée, les enseignements tirés et les meilleures pratiques des activités de votre précédent plan, dont les contributions au programme national et le renforcement des connaissances/capacités, et comment cela a été pris en compte dans la présente planification et hiérarchisation de l'assistance pays ciblée. </w:t>
            </w:r>
            <w:r>
              <w:rPr>
                <w:b/>
                <w:i/>
                <w:sz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6C1E3A1D" w14:textId="0EB09295" w:rsidR="009F0292" w:rsidRDefault="003C5F30" w:rsidP="00222083">
            <w:pPr>
              <w:spacing w:line="300" w:lineRule="exact"/>
              <w:jc w:val="both"/>
            </w:pPr>
            <w:r w:rsidRPr="00D9188F">
              <w:t>L'OMS a mis en place des directives techniques dans tous les domaines de la gestion d</w:t>
            </w:r>
            <w:r>
              <w:t>u</w:t>
            </w:r>
            <w:r w:rsidRPr="00D9188F">
              <w:t xml:space="preserve"> programme, la gestion des données, la surveillance épidémiologique</w:t>
            </w:r>
            <w:r>
              <w:t>,</w:t>
            </w:r>
            <w:r w:rsidRPr="00D9188F">
              <w:t xml:space="preserve"> la formation d</w:t>
            </w:r>
            <w:r>
              <w:t xml:space="preserve">es professionnels de santés et des agents de santé communautaires, le renforcement de la mobilisation sociale et l’engagement communautaire, et la formation </w:t>
            </w:r>
            <w:r w:rsidR="00824A1E">
              <w:t>sur la communication des risques</w:t>
            </w:r>
            <w:r w:rsidRPr="00D9188F">
              <w:t>.</w:t>
            </w:r>
            <w:r w:rsidR="00824A1E">
              <w:t xml:space="preserve"> L’appui technique de l’OMS a été performant et ont produit des résultats dans tous les domaines cités. </w:t>
            </w:r>
          </w:p>
          <w:p w14:paraId="162A92F0" w14:textId="580EDCFB" w:rsidR="00C12956" w:rsidRDefault="00824A1E" w:rsidP="00222083">
            <w:pPr>
              <w:spacing w:line="300" w:lineRule="exact"/>
              <w:jc w:val="both"/>
            </w:pPr>
            <w:r>
              <w:t xml:space="preserve">L’UNICEF </w:t>
            </w:r>
            <w:r w:rsidR="00C12956">
              <w:t xml:space="preserve">a </w:t>
            </w:r>
            <w:r>
              <w:t>apport</w:t>
            </w:r>
            <w:r w:rsidR="00C12956">
              <w:t>é</w:t>
            </w:r>
            <w:r>
              <w:t xml:space="preserve"> son soutien dans les activités liées à l’achat et la logistique des vaccins ce qui a permis au pays de ne pas connaitre d’absence </w:t>
            </w:r>
            <w:r w:rsidRPr="00D9188F">
              <w:t>de rupture de stock de vaccins et leurs accessoires</w:t>
            </w:r>
            <w:r>
              <w:t xml:space="preserve">. L’assistance de l’INICEF a aussi permis </w:t>
            </w:r>
            <w:r w:rsidR="00C12956">
              <w:t xml:space="preserve">d’améliorer entre autres, le transport des vaccins et </w:t>
            </w:r>
            <w:r>
              <w:t>les capacités en stockage</w:t>
            </w:r>
            <w:r w:rsidR="00C12956">
              <w:t xml:space="preserve"> du pays y compris </w:t>
            </w:r>
            <w:r w:rsidR="00C12956" w:rsidRPr="00D9188F">
              <w:t>le renforcement de la chaîne du froid</w:t>
            </w:r>
            <w:r w:rsidR="00C12956">
              <w:t xml:space="preserve">. </w:t>
            </w:r>
          </w:p>
          <w:p w14:paraId="2B3B33BD" w14:textId="23A92793" w:rsidR="00C12956" w:rsidRDefault="00C12956" w:rsidP="00222083">
            <w:pPr>
              <w:spacing w:line="300" w:lineRule="exact"/>
              <w:jc w:val="both"/>
            </w:pPr>
          </w:p>
          <w:p w14:paraId="090852AA" w14:textId="77777777" w:rsidR="003C5F30" w:rsidRDefault="00C12956" w:rsidP="00222083">
            <w:pPr>
              <w:spacing w:line="300" w:lineRule="exact"/>
              <w:jc w:val="both"/>
            </w:pPr>
            <w:r>
              <w:t>S</w:t>
            </w:r>
            <w:r w:rsidRPr="00D9188F">
              <w:t xml:space="preserve">ans ces aides </w:t>
            </w:r>
            <w:r>
              <w:t>probablement</w:t>
            </w:r>
            <w:r w:rsidRPr="00D9188F">
              <w:t xml:space="preserve"> le programme de vaccination en tant que tel n'existerait plus. </w:t>
            </w:r>
          </w:p>
          <w:p w14:paraId="54735EE2" w14:textId="4B1BF177" w:rsidR="00C12956" w:rsidRPr="00C12956" w:rsidRDefault="00C12956" w:rsidP="00222083">
            <w:pPr>
              <w:spacing w:line="300" w:lineRule="exact"/>
              <w:jc w:val="both"/>
            </w:pPr>
            <w:r w:rsidRPr="00C12956">
              <w:t>Basée sur ces expériences passées la distribution des activités par partenaires</w:t>
            </w:r>
            <w:r>
              <w:t xml:space="preserve"> sera faite selon les spécificités de chaque agence. </w:t>
            </w:r>
            <w:r w:rsidRPr="00C12956">
              <w:t xml:space="preserve"> </w:t>
            </w:r>
          </w:p>
        </w:tc>
      </w:tr>
    </w:tbl>
    <w:p w14:paraId="4B96F6BD" w14:textId="77777777" w:rsidR="009F0292" w:rsidRPr="006615A7" w:rsidRDefault="009F0292" w:rsidP="00222083">
      <w:pPr>
        <w:pStyle w:val="ListParagraph"/>
        <w:spacing w:line="300" w:lineRule="exact"/>
        <w:ind w:left="0"/>
        <w:jc w:val="both"/>
        <w:rPr>
          <w:b/>
          <w:color w:val="70AD47" w:themeColor="accent6"/>
          <w:sz w:val="26"/>
          <w:szCs w:val="26"/>
        </w:rPr>
      </w:pPr>
    </w:p>
    <w:p w14:paraId="11BFC6A9" w14:textId="753345FA" w:rsidR="00610D71" w:rsidRPr="00A957C9" w:rsidRDefault="003F0221" w:rsidP="00222083">
      <w:pPr>
        <w:pStyle w:val="ListParagraph"/>
        <w:numPr>
          <w:ilvl w:val="0"/>
          <w:numId w:val="4"/>
        </w:numPr>
        <w:spacing w:line="300" w:lineRule="exact"/>
        <w:jc w:val="both"/>
        <w:rPr>
          <w:b/>
          <w:bCs/>
          <w:color w:val="84C650"/>
          <w:sz w:val="26"/>
          <w:szCs w:val="26"/>
        </w:rPr>
      </w:pPr>
      <w:r>
        <w:rPr>
          <w:b/>
          <w:color w:val="70AD47" w:themeColor="accent6"/>
          <w:sz w:val="26"/>
        </w:rPr>
        <w:t>Harmonisation du plan One TCA avec les investissements de Gavi planifiés pour le futur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6160EFD1" w:rsidR="00A957C9" w:rsidRPr="00CF3BC4" w:rsidRDefault="007476F9" w:rsidP="00222083">
            <w:pPr>
              <w:pStyle w:val="ListParagraph"/>
              <w:spacing w:line="300" w:lineRule="exact"/>
              <w:ind w:left="0"/>
              <w:jc w:val="both"/>
              <w:rPr>
                <w:b/>
                <w:bCs/>
                <w:i/>
                <w:iCs/>
                <w:color w:val="84C650"/>
                <w:sz w:val="26"/>
                <w:szCs w:val="26"/>
              </w:rPr>
            </w:pPr>
            <w:r>
              <w:rPr>
                <w:b/>
                <w:i/>
                <w:sz w:val="20"/>
              </w:rPr>
              <w:t>5.1</w:t>
            </w:r>
            <w:r>
              <w:rPr>
                <w:b/>
                <w:i/>
                <w:sz w:val="20"/>
              </w:rPr>
              <w:tab/>
              <w:t>Veuillez dresser la liste de tous les futurs investissements de Gavi déjà prévus (p. ex. soutien aux</w:t>
            </w:r>
            <w:r w:rsidR="00824777">
              <w:rPr>
                <w:b/>
                <w:i/>
                <w:sz w:val="20"/>
              </w:rPr>
              <w:t xml:space="preserve"> </w:t>
            </w:r>
            <w:r w:rsidR="004927B0" w:rsidRPr="004927B0">
              <w:rPr>
                <w:b/>
                <w:i/>
                <w:sz w:val="20"/>
              </w:rPr>
              <w:t>nouveaux</w:t>
            </w:r>
            <w:r>
              <w:rPr>
                <w:b/>
                <w:i/>
                <w:sz w:val="20"/>
              </w:rPr>
              <w:t xml:space="preserve"> vaccins, </w:t>
            </w:r>
            <w:r w:rsidR="00F04575">
              <w:rPr>
                <w:b/>
                <w:i/>
                <w:sz w:val="20"/>
              </w:rPr>
              <w:t>plateforme d’optimisation de l’équipement de la chaîne du froid</w:t>
            </w:r>
            <w:r w:rsidR="00175E5C">
              <w:rPr>
                <w:b/>
                <w:i/>
                <w:sz w:val="20"/>
              </w:rPr>
              <w:t>,</w:t>
            </w:r>
            <w:r w:rsidR="00F04575">
              <w:rPr>
                <w:b/>
                <w:i/>
                <w:sz w:val="20"/>
              </w:rPr>
              <w:t xml:space="preserve"> </w:t>
            </w:r>
            <w:r>
              <w:rPr>
                <w:b/>
                <w:i/>
                <w:sz w:val="20"/>
              </w:rPr>
              <w:t xml:space="preserve">POECF) qui requerraient un soutien </w:t>
            </w:r>
            <w:r w:rsidR="00175E5C">
              <w:rPr>
                <w:b/>
                <w:i/>
                <w:sz w:val="20"/>
              </w:rPr>
              <w:t xml:space="preserve">en </w:t>
            </w:r>
            <w:r>
              <w:rPr>
                <w:b/>
                <w:i/>
                <w:sz w:val="20"/>
              </w:rPr>
              <w:t>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325BFEB9" w14:textId="2B5E7167" w:rsidR="00497537" w:rsidRPr="00497537" w:rsidRDefault="009F124C" w:rsidP="00222083">
            <w:pPr>
              <w:spacing w:line="300" w:lineRule="exact"/>
              <w:jc w:val="both"/>
            </w:pPr>
            <w:r w:rsidRPr="00497537">
              <w:t xml:space="preserve">Le pays a actuellement introduit le vaccin contre le </w:t>
            </w:r>
            <w:r w:rsidR="00497537" w:rsidRPr="00497537">
              <w:t>HPV</w:t>
            </w:r>
            <w:r w:rsidRPr="00497537">
              <w:t xml:space="preserve"> au mois de novembre </w:t>
            </w:r>
            <w:r w:rsidR="00497537" w:rsidRPr="00497537">
              <w:t xml:space="preserve">2021 </w:t>
            </w:r>
            <w:r w:rsidRPr="00497537">
              <w:t xml:space="preserve">et envisage d'introduire la deuxième dose de </w:t>
            </w:r>
            <w:r w:rsidR="00497537" w:rsidRPr="00497537">
              <w:t xml:space="preserve">VPI </w:t>
            </w:r>
            <w:r w:rsidRPr="00497537">
              <w:t xml:space="preserve">dans le calendrier vaccinal. </w:t>
            </w:r>
            <w:r w:rsidR="00497537" w:rsidRPr="00497537">
              <w:t>Ceci requière un soutien en assistance technique.</w:t>
            </w:r>
          </w:p>
          <w:p w14:paraId="0305C0EE" w14:textId="77777777" w:rsidR="00497537" w:rsidRPr="00497537" w:rsidRDefault="00497537" w:rsidP="00222083">
            <w:pPr>
              <w:spacing w:line="300" w:lineRule="exact"/>
              <w:jc w:val="both"/>
            </w:pPr>
          </w:p>
          <w:p w14:paraId="2033B8FD" w14:textId="3430185F" w:rsidR="00A957C9" w:rsidRPr="00497537" w:rsidRDefault="009F124C" w:rsidP="00222083">
            <w:pPr>
              <w:spacing w:line="300" w:lineRule="exact"/>
              <w:jc w:val="both"/>
            </w:pPr>
            <w:r w:rsidRPr="00497537">
              <w:t xml:space="preserve">Il est prévu d'évaluer et de mettre à jour le Plan Pluri Annuel Complet (PPAC) où seront définis les priorités futures et les besoins supplémentaires en nouveaux vaccins et équipements de la chaîne du </w:t>
            </w:r>
            <w:r w:rsidR="008C348A" w:rsidRPr="00497537">
              <w:t>froid. De</w:t>
            </w:r>
            <w:r w:rsidR="00497537" w:rsidRPr="00497537">
              <w:t xml:space="preserve"> nouveaux besoins d’assistance technique pourraient être identifiés.</w:t>
            </w:r>
          </w:p>
        </w:tc>
      </w:tr>
    </w:tbl>
    <w:p w14:paraId="658606AB" w14:textId="77777777" w:rsidR="0090123D" w:rsidRPr="006615A7" w:rsidRDefault="0090123D" w:rsidP="00222083">
      <w:pPr>
        <w:spacing w:line="300" w:lineRule="exact"/>
        <w:jc w:val="both"/>
        <w:rPr>
          <w:b/>
          <w:color w:val="70AD47" w:themeColor="accent6"/>
          <w:sz w:val="26"/>
          <w:szCs w:val="26"/>
        </w:rPr>
      </w:pPr>
    </w:p>
    <w:p w14:paraId="603C9386" w14:textId="12619D78" w:rsidR="00AB4B2D" w:rsidRPr="006615A7" w:rsidRDefault="00672E21" w:rsidP="00222083">
      <w:pPr>
        <w:pStyle w:val="ListParagraph"/>
        <w:numPr>
          <w:ilvl w:val="0"/>
          <w:numId w:val="4"/>
        </w:numPr>
        <w:spacing w:line="300" w:lineRule="exact"/>
        <w:ind w:left="426"/>
        <w:jc w:val="both"/>
      </w:pPr>
      <w:r>
        <w:rPr>
          <w:b/>
          <w:color w:val="70AD47" w:themeColor="accent6"/>
          <w:sz w:val="26"/>
        </w:rPr>
        <w:t>Suivi de l'assistance pays ciblée (1 page)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5328EEE1" w:rsidR="00AB4B2D" w:rsidRPr="00A957C9" w:rsidRDefault="0023395F" w:rsidP="00222083">
            <w:pPr>
              <w:pStyle w:val="ListParagraph"/>
              <w:spacing w:line="300" w:lineRule="exact"/>
              <w:ind w:left="0"/>
              <w:jc w:val="both"/>
              <w:rPr>
                <w:b/>
                <w:sz w:val="26"/>
                <w:szCs w:val="26"/>
              </w:rPr>
            </w:pPr>
            <w:r>
              <w:rPr>
                <w:b/>
                <w:i/>
                <w:sz w:val="20"/>
              </w:rPr>
              <w:t>6.1</w:t>
            </w:r>
            <w:r>
              <w:rPr>
                <w:b/>
                <w:i/>
                <w:sz w:val="20"/>
              </w:rPr>
              <w:tab/>
              <w:t xml:space="preserve">Veuillez fournir une description du mécanisme national d'assistance pays ciblée pour suivre et retracer les progrès de la mise en œuvre et générer les résultats du plan d'assistance </w:t>
            </w:r>
            <w:r>
              <w:rPr>
                <w:b/>
                <w:i/>
                <w:sz w:val="20"/>
              </w:rPr>
              <w:lastRenderedPageBreak/>
              <w:t xml:space="preserve">pays ciblée dans leur ensemble. Comment ces informations seront-elles </w:t>
            </w:r>
            <w:r>
              <w:rPr>
                <w:b/>
                <w:bCs/>
                <w:i/>
                <w:sz w:val="20"/>
              </w:rPr>
              <w:t>utilisées</w:t>
            </w:r>
            <w:r>
              <w:rPr>
                <w:b/>
                <w:i/>
                <w:sz w:val="20"/>
              </w:rPr>
              <w:t xml:space="preserve"> pour ajuster et améliorer la mise en œuvre du programme ? A quelle fréquence les données s</w:t>
            </w:r>
            <w:r w:rsidR="0012542C">
              <w:rPr>
                <w:b/>
                <w:i/>
                <w:sz w:val="20"/>
              </w:rPr>
              <w:t>er</w:t>
            </w:r>
            <w:r>
              <w:rPr>
                <w:b/>
                <w:i/>
                <w:sz w:val="20"/>
              </w:rPr>
              <w:t xml:space="preserve">ont-elles revues et utilisées et qui sera responsable de garantir que cette revue </w:t>
            </w:r>
            <w:r w:rsidR="008C348A">
              <w:rPr>
                <w:b/>
                <w:i/>
                <w:sz w:val="20"/>
              </w:rPr>
              <w:t>et cet</w:t>
            </w:r>
            <w:r>
              <w:rPr>
                <w:b/>
                <w:i/>
                <w:sz w:val="20"/>
              </w:rPr>
              <w:t xml:space="preserve"> apprentissage </w:t>
            </w:r>
            <w:r w:rsidR="0012542C">
              <w:rPr>
                <w:b/>
                <w:i/>
                <w:sz w:val="20"/>
              </w:rPr>
              <w:t>auront</w:t>
            </w:r>
            <w:r>
              <w:rPr>
                <w:b/>
                <w:i/>
                <w:sz w:val="20"/>
              </w:rPr>
              <w:t xml:space="preserve"> lieu?</w:t>
            </w:r>
          </w:p>
        </w:tc>
      </w:tr>
      <w:tr w:rsidR="009F124C"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668ADA1B" w14:textId="185FAC27" w:rsidR="009F124C" w:rsidRPr="008A360B" w:rsidRDefault="009F124C" w:rsidP="00222083">
            <w:pPr>
              <w:spacing w:line="300" w:lineRule="exact"/>
              <w:jc w:val="both"/>
            </w:pPr>
            <w:r w:rsidRPr="008A360B">
              <w:lastRenderedPageBreak/>
              <w:t>Le suivi du plan d'assistance technique est généralement assuré par le comité technique, qui comprend des partenaires tels que l'OMS, l'U</w:t>
            </w:r>
            <w:r>
              <w:t xml:space="preserve">NICEF </w:t>
            </w:r>
            <w:r w:rsidRPr="008A360B">
              <w:t>​​et le comité de coordination multisectorielle qui est présidé par le ministre de la santé.</w:t>
            </w:r>
          </w:p>
          <w:p w14:paraId="635EF35F" w14:textId="77DE2ECC" w:rsidR="009F124C" w:rsidRPr="006615A7" w:rsidRDefault="009F124C" w:rsidP="00222083">
            <w:pPr>
              <w:spacing w:line="300" w:lineRule="exact"/>
              <w:jc w:val="both"/>
            </w:pPr>
            <w:r w:rsidRPr="008A360B">
              <w:t>Les activités ont lieu tous les trimestres, cependant, selon la situation, des réunions extraordinaires sont convoquées pour résoudre les cas jugés urgents ou extrêmement importants.</w:t>
            </w:r>
          </w:p>
        </w:tc>
      </w:tr>
    </w:tbl>
    <w:p w14:paraId="146AE6CC" w14:textId="77777777" w:rsidR="007612C6" w:rsidRPr="006615A7" w:rsidRDefault="007612C6" w:rsidP="00222083">
      <w:pPr>
        <w:spacing w:line="300" w:lineRule="exact"/>
        <w:jc w:val="both"/>
      </w:pPr>
    </w:p>
    <w:sectPr w:rsidR="007612C6" w:rsidRPr="006615A7"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DE4E" w14:textId="77777777" w:rsidR="005366CD" w:rsidRDefault="005366CD" w:rsidP="00431CA9">
      <w:pPr>
        <w:spacing w:line="240" w:lineRule="auto"/>
      </w:pPr>
      <w:r>
        <w:separator/>
      </w:r>
    </w:p>
  </w:endnote>
  <w:endnote w:type="continuationSeparator" w:id="0">
    <w:p w14:paraId="5D7FA8E3" w14:textId="77777777" w:rsidR="005366CD" w:rsidRDefault="005366CD" w:rsidP="00431CA9">
      <w:pPr>
        <w:spacing w:line="240" w:lineRule="auto"/>
      </w:pPr>
      <w:r>
        <w:continuationSeparator/>
      </w:r>
    </w:p>
  </w:endnote>
  <w:endnote w:type="continuationNotice" w:id="1">
    <w:p w14:paraId="6FF45467" w14:textId="77777777" w:rsidR="005366CD" w:rsidRDefault="005366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5498" w14:textId="77777777" w:rsidR="00843AB1" w:rsidRDefault="00843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32869FC4" w:rsidR="008A79C9" w:rsidRDefault="00356CDE">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sidR="004400CA">
          <w:rPr>
            <w:noProof/>
            <w:sz w:val="20"/>
          </w:rPr>
          <w:t>7</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E5D1" w14:textId="77777777" w:rsidR="00843AB1" w:rsidRDefault="00843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DF56" w14:textId="77777777" w:rsidR="005366CD" w:rsidRDefault="005366CD" w:rsidP="00431CA9">
      <w:pPr>
        <w:spacing w:line="240" w:lineRule="auto"/>
      </w:pPr>
      <w:r>
        <w:separator/>
      </w:r>
    </w:p>
  </w:footnote>
  <w:footnote w:type="continuationSeparator" w:id="0">
    <w:p w14:paraId="10342E66" w14:textId="77777777" w:rsidR="005366CD" w:rsidRDefault="005366CD" w:rsidP="00431CA9">
      <w:pPr>
        <w:spacing w:line="240" w:lineRule="auto"/>
      </w:pPr>
      <w:r>
        <w:continuationSeparator/>
      </w:r>
    </w:p>
  </w:footnote>
  <w:footnote w:type="continuationNotice" w:id="1">
    <w:p w14:paraId="2B31EDA2" w14:textId="77777777" w:rsidR="005366CD" w:rsidRDefault="005366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5789" w14:textId="77777777" w:rsidR="00843AB1" w:rsidRDefault="00843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Pr>
        <w:noProof/>
        <w:lang w:val="pt-PT" w:eastAsia="pt-PT"/>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92432" w:rsidRPr="00C4436D" w:rsidRDefault="00D8419A" w:rsidP="00055BF9">
                          <w:pPr>
                            <w:rPr>
                              <w:color w:val="0070C0"/>
                            </w:rPr>
                          </w:pPr>
                          <w:r>
                            <w:rPr>
                              <w:color w:val="0070C0"/>
                            </w:rPr>
                            <w:t>A</w:t>
                          </w:r>
                          <w:r w:rsidR="00F43296">
                            <w:rPr>
                              <w:color w:val="0070C0"/>
                            </w:rPr>
                            <w:t>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892432" w:rsidRPr="00C4436D" w:rsidRDefault="00D8419A" w:rsidP="00055BF9">
                    <w:pPr>
                      <w:rPr>
                        <w:color w:val="0070C0"/>
                      </w:rPr>
                    </w:pPr>
                    <w:r>
                      <w:rPr>
                        <w:color w:val="0070C0"/>
                      </w:rPr>
                      <w:t>A</w:t>
                    </w:r>
                    <w:r w:rsidR="00F43296">
                      <w:rPr>
                        <w:color w:val="0070C0"/>
                      </w:rPr>
                      <w:t>vril 2022</w:t>
                    </w:r>
                  </w:p>
                </w:txbxContent>
              </v:textbox>
              <w10:wrap anchorx="page" anchory="margin"/>
            </v:shape>
          </w:pict>
        </mc:Fallback>
      </mc:AlternateContent>
    </w:r>
    <w:r>
      <w:rPr>
        <w:noProof/>
        <w:lang w:val="pt-PT" w:eastAsia="pt-PT"/>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B2212B"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Pr>
        <w:noProof/>
        <w:lang w:val="pt-PT" w:eastAsia="pt-PT"/>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Pr>
        <w:noProof/>
        <w:lang w:val="pt-PT" w:eastAsia="pt-PT"/>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27C7" w14:textId="77777777" w:rsidR="00843AB1" w:rsidRDefault="0084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575E"/>
    <w:multiLevelType w:val="multilevel"/>
    <w:tmpl w:val="E3469E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41D12762"/>
    <w:multiLevelType w:val="multilevel"/>
    <w:tmpl w:val="066A5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6" w15:restartNumberingAfterBreak="0">
    <w:nsid w:val="60782795"/>
    <w:multiLevelType w:val="singleLevel"/>
    <w:tmpl w:val="30C43620"/>
    <w:lvl w:ilvl="0">
      <w:start w:val="18"/>
      <w:numFmt w:val="bullet"/>
      <w:lvlText w:val="-"/>
      <w:lvlJc w:val="left"/>
      <w:pPr>
        <w:tabs>
          <w:tab w:val="num" w:pos="360"/>
        </w:tabs>
        <w:ind w:left="360" w:hanging="360"/>
      </w:pPr>
      <w:rPr>
        <w:rFonts w:hint="default"/>
      </w:rPr>
    </w:lvl>
  </w:abstractNum>
  <w:abstractNum w:abstractNumId="7"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2003183">
    <w:abstractNumId w:val="7"/>
  </w:num>
  <w:num w:numId="2" w16cid:durableId="757291507">
    <w:abstractNumId w:val="2"/>
  </w:num>
  <w:num w:numId="3" w16cid:durableId="1992900104">
    <w:abstractNumId w:val="1"/>
  </w:num>
  <w:num w:numId="4" w16cid:durableId="1045252337">
    <w:abstractNumId w:val="3"/>
  </w:num>
  <w:num w:numId="5" w16cid:durableId="1344359635">
    <w:abstractNumId w:val="5"/>
  </w:num>
  <w:num w:numId="6" w16cid:durableId="358551462">
    <w:abstractNumId w:val="6"/>
  </w:num>
  <w:num w:numId="7" w16cid:durableId="490029821">
    <w:abstractNumId w:val="4"/>
  </w:num>
  <w:num w:numId="8" w16cid:durableId="9032251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4180"/>
    <w:rsid w:val="0000542A"/>
    <w:rsid w:val="0000599F"/>
    <w:rsid w:val="00005F0A"/>
    <w:rsid w:val="0000717A"/>
    <w:rsid w:val="00007EAE"/>
    <w:rsid w:val="0001063F"/>
    <w:rsid w:val="00010E63"/>
    <w:rsid w:val="00011B02"/>
    <w:rsid w:val="00011B86"/>
    <w:rsid w:val="0001244B"/>
    <w:rsid w:val="00012FFC"/>
    <w:rsid w:val="00014955"/>
    <w:rsid w:val="00014AFF"/>
    <w:rsid w:val="00014F67"/>
    <w:rsid w:val="00015D31"/>
    <w:rsid w:val="00016A9B"/>
    <w:rsid w:val="00016C3F"/>
    <w:rsid w:val="00017DD0"/>
    <w:rsid w:val="00017FBF"/>
    <w:rsid w:val="00020272"/>
    <w:rsid w:val="00023D98"/>
    <w:rsid w:val="00024F57"/>
    <w:rsid w:val="000251A6"/>
    <w:rsid w:val="00025589"/>
    <w:rsid w:val="00025BBE"/>
    <w:rsid w:val="00025C70"/>
    <w:rsid w:val="00026420"/>
    <w:rsid w:val="00027322"/>
    <w:rsid w:val="00027D74"/>
    <w:rsid w:val="000301CD"/>
    <w:rsid w:val="00030751"/>
    <w:rsid w:val="00030E3E"/>
    <w:rsid w:val="000313E1"/>
    <w:rsid w:val="00031A36"/>
    <w:rsid w:val="0003251B"/>
    <w:rsid w:val="00034931"/>
    <w:rsid w:val="00035777"/>
    <w:rsid w:val="000357F6"/>
    <w:rsid w:val="00036180"/>
    <w:rsid w:val="000369C9"/>
    <w:rsid w:val="00037694"/>
    <w:rsid w:val="000378BB"/>
    <w:rsid w:val="00037B1F"/>
    <w:rsid w:val="000400A6"/>
    <w:rsid w:val="00040A2E"/>
    <w:rsid w:val="00041E9B"/>
    <w:rsid w:val="00042592"/>
    <w:rsid w:val="0004304D"/>
    <w:rsid w:val="000439C4"/>
    <w:rsid w:val="00043A07"/>
    <w:rsid w:val="00044437"/>
    <w:rsid w:val="000447CD"/>
    <w:rsid w:val="000449D1"/>
    <w:rsid w:val="000449DE"/>
    <w:rsid w:val="00045BA3"/>
    <w:rsid w:val="00051114"/>
    <w:rsid w:val="000511DA"/>
    <w:rsid w:val="00051970"/>
    <w:rsid w:val="00052261"/>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03DF"/>
    <w:rsid w:val="00071836"/>
    <w:rsid w:val="00071E35"/>
    <w:rsid w:val="000728A2"/>
    <w:rsid w:val="000728B2"/>
    <w:rsid w:val="00072AFA"/>
    <w:rsid w:val="00072D93"/>
    <w:rsid w:val="000731C0"/>
    <w:rsid w:val="000759BE"/>
    <w:rsid w:val="00076373"/>
    <w:rsid w:val="000779B1"/>
    <w:rsid w:val="00077FE0"/>
    <w:rsid w:val="0008165C"/>
    <w:rsid w:val="0008192A"/>
    <w:rsid w:val="00081C31"/>
    <w:rsid w:val="000820EE"/>
    <w:rsid w:val="00082C7D"/>
    <w:rsid w:val="000840D7"/>
    <w:rsid w:val="0008474E"/>
    <w:rsid w:val="00084999"/>
    <w:rsid w:val="00085506"/>
    <w:rsid w:val="00085C9D"/>
    <w:rsid w:val="0008622F"/>
    <w:rsid w:val="0008629B"/>
    <w:rsid w:val="0008793A"/>
    <w:rsid w:val="00090755"/>
    <w:rsid w:val="00091225"/>
    <w:rsid w:val="000915AC"/>
    <w:rsid w:val="0009314C"/>
    <w:rsid w:val="00094439"/>
    <w:rsid w:val="000A194C"/>
    <w:rsid w:val="000A22D4"/>
    <w:rsid w:val="000A2B1A"/>
    <w:rsid w:val="000A2FAE"/>
    <w:rsid w:val="000A3E9E"/>
    <w:rsid w:val="000A3F37"/>
    <w:rsid w:val="000A4B39"/>
    <w:rsid w:val="000A5C09"/>
    <w:rsid w:val="000A6141"/>
    <w:rsid w:val="000A6514"/>
    <w:rsid w:val="000A6AC3"/>
    <w:rsid w:val="000A6ED2"/>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6A"/>
    <w:rsid w:val="000C6EBF"/>
    <w:rsid w:val="000C7FB1"/>
    <w:rsid w:val="000D0267"/>
    <w:rsid w:val="000D048D"/>
    <w:rsid w:val="000D3849"/>
    <w:rsid w:val="000D4A27"/>
    <w:rsid w:val="000D4C95"/>
    <w:rsid w:val="000D5DEA"/>
    <w:rsid w:val="000D5E7B"/>
    <w:rsid w:val="000D7667"/>
    <w:rsid w:val="000E08AF"/>
    <w:rsid w:val="000E08EA"/>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22CB"/>
    <w:rsid w:val="000F309B"/>
    <w:rsid w:val="000F34D2"/>
    <w:rsid w:val="000F494D"/>
    <w:rsid w:val="000F4B25"/>
    <w:rsid w:val="000F51E0"/>
    <w:rsid w:val="000F62B5"/>
    <w:rsid w:val="000F7405"/>
    <w:rsid w:val="000F74FF"/>
    <w:rsid w:val="000F7CEA"/>
    <w:rsid w:val="0010039E"/>
    <w:rsid w:val="00100A48"/>
    <w:rsid w:val="00102363"/>
    <w:rsid w:val="00102BA3"/>
    <w:rsid w:val="00102D7C"/>
    <w:rsid w:val="00104C56"/>
    <w:rsid w:val="001052BA"/>
    <w:rsid w:val="00105C16"/>
    <w:rsid w:val="0010613E"/>
    <w:rsid w:val="00106608"/>
    <w:rsid w:val="00106CE4"/>
    <w:rsid w:val="001072A0"/>
    <w:rsid w:val="00107D9F"/>
    <w:rsid w:val="00111F9B"/>
    <w:rsid w:val="00112041"/>
    <w:rsid w:val="00112228"/>
    <w:rsid w:val="00112852"/>
    <w:rsid w:val="0011324C"/>
    <w:rsid w:val="0011340A"/>
    <w:rsid w:val="001135FC"/>
    <w:rsid w:val="001151FB"/>
    <w:rsid w:val="00115DB0"/>
    <w:rsid w:val="00116509"/>
    <w:rsid w:val="00120084"/>
    <w:rsid w:val="00120220"/>
    <w:rsid w:val="00120AAE"/>
    <w:rsid w:val="0012478F"/>
    <w:rsid w:val="00124819"/>
    <w:rsid w:val="0012486E"/>
    <w:rsid w:val="0012542C"/>
    <w:rsid w:val="00125F79"/>
    <w:rsid w:val="00131FD5"/>
    <w:rsid w:val="001328C6"/>
    <w:rsid w:val="00133193"/>
    <w:rsid w:val="00134FB8"/>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00"/>
    <w:rsid w:val="00151B12"/>
    <w:rsid w:val="001543AD"/>
    <w:rsid w:val="00155110"/>
    <w:rsid w:val="00160C34"/>
    <w:rsid w:val="00161593"/>
    <w:rsid w:val="00162C55"/>
    <w:rsid w:val="00162F02"/>
    <w:rsid w:val="001634CF"/>
    <w:rsid w:val="00163B04"/>
    <w:rsid w:val="00163F8E"/>
    <w:rsid w:val="0016435C"/>
    <w:rsid w:val="001651AF"/>
    <w:rsid w:val="00166170"/>
    <w:rsid w:val="001665A3"/>
    <w:rsid w:val="00166D25"/>
    <w:rsid w:val="001708D2"/>
    <w:rsid w:val="001711B8"/>
    <w:rsid w:val="0017125B"/>
    <w:rsid w:val="00171B53"/>
    <w:rsid w:val="00171C81"/>
    <w:rsid w:val="00171EBA"/>
    <w:rsid w:val="00171FC5"/>
    <w:rsid w:val="0017292E"/>
    <w:rsid w:val="00173991"/>
    <w:rsid w:val="00174D23"/>
    <w:rsid w:val="00175B5E"/>
    <w:rsid w:val="00175E5C"/>
    <w:rsid w:val="001801AC"/>
    <w:rsid w:val="00180F6B"/>
    <w:rsid w:val="00181B12"/>
    <w:rsid w:val="001821EA"/>
    <w:rsid w:val="001822DB"/>
    <w:rsid w:val="00182F5F"/>
    <w:rsid w:val="00183082"/>
    <w:rsid w:val="00183CE0"/>
    <w:rsid w:val="00184319"/>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78C"/>
    <w:rsid w:val="001A4060"/>
    <w:rsid w:val="001A42A3"/>
    <w:rsid w:val="001A5DC3"/>
    <w:rsid w:val="001A6804"/>
    <w:rsid w:val="001A69D7"/>
    <w:rsid w:val="001A701E"/>
    <w:rsid w:val="001A7D22"/>
    <w:rsid w:val="001B0284"/>
    <w:rsid w:val="001B032E"/>
    <w:rsid w:val="001B0487"/>
    <w:rsid w:val="001B0F6A"/>
    <w:rsid w:val="001B12D7"/>
    <w:rsid w:val="001B197D"/>
    <w:rsid w:val="001B19F2"/>
    <w:rsid w:val="001B24D4"/>
    <w:rsid w:val="001B2DC5"/>
    <w:rsid w:val="001B31AC"/>
    <w:rsid w:val="001B5003"/>
    <w:rsid w:val="001B6156"/>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0E59"/>
    <w:rsid w:val="001E1AB1"/>
    <w:rsid w:val="001E1B7F"/>
    <w:rsid w:val="001E1C11"/>
    <w:rsid w:val="001E1E64"/>
    <w:rsid w:val="001E2306"/>
    <w:rsid w:val="001E3FED"/>
    <w:rsid w:val="001E6363"/>
    <w:rsid w:val="001E7090"/>
    <w:rsid w:val="001E7F8D"/>
    <w:rsid w:val="001F1286"/>
    <w:rsid w:val="001F3298"/>
    <w:rsid w:val="001F4F73"/>
    <w:rsid w:val="001F56B2"/>
    <w:rsid w:val="001F5945"/>
    <w:rsid w:val="001F7004"/>
    <w:rsid w:val="001F7E34"/>
    <w:rsid w:val="001F7F2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083"/>
    <w:rsid w:val="00222B52"/>
    <w:rsid w:val="00222FD0"/>
    <w:rsid w:val="00224526"/>
    <w:rsid w:val="0022530F"/>
    <w:rsid w:val="00225EDA"/>
    <w:rsid w:val="002267A8"/>
    <w:rsid w:val="002274E0"/>
    <w:rsid w:val="002279A5"/>
    <w:rsid w:val="00227BBB"/>
    <w:rsid w:val="0023057A"/>
    <w:rsid w:val="0023071D"/>
    <w:rsid w:val="00230E80"/>
    <w:rsid w:val="00232758"/>
    <w:rsid w:val="0023299A"/>
    <w:rsid w:val="0023395F"/>
    <w:rsid w:val="00235256"/>
    <w:rsid w:val="00235947"/>
    <w:rsid w:val="0023766B"/>
    <w:rsid w:val="002430BB"/>
    <w:rsid w:val="00243A28"/>
    <w:rsid w:val="00244787"/>
    <w:rsid w:val="00244B13"/>
    <w:rsid w:val="002454AF"/>
    <w:rsid w:val="00245E87"/>
    <w:rsid w:val="0024648A"/>
    <w:rsid w:val="00246A98"/>
    <w:rsid w:val="00247618"/>
    <w:rsid w:val="002510AA"/>
    <w:rsid w:val="002518B4"/>
    <w:rsid w:val="00253B51"/>
    <w:rsid w:val="00254FF2"/>
    <w:rsid w:val="00255484"/>
    <w:rsid w:val="00255A57"/>
    <w:rsid w:val="002571F1"/>
    <w:rsid w:val="00257A1B"/>
    <w:rsid w:val="00257A41"/>
    <w:rsid w:val="00260780"/>
    <w:rsid w:val="00261C06"/>
    <w:rsid w:val="00261E2E"/>
    <w:rsid w:val="00262241"/>
    <w:rsid w:val="00262983"/>
    <w:rsid w:val="00263283"/>
    <w:rsid w:val="00263335"/>
    <w:rsid w:val="002639F3"/>
    <w:rsid w:val="00263D91"/>
    <w:rsid w:val="00264286"/>
    <w:rsid w:val="00264C96"/>
    <w:rsid w:val="00264FC1"/>
    <w:rsid w:val="002657FA"/>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4A2"/>
    <w:rsid w:val="00294C50"/>
    <w:rsid w:val="00296E78"/>
    <w:rsid w:val="00297346"/>
    <w:rsid w:val="002977CA"/>
    <w:rsid w:val="00297D0F"/>
    <w:rsid w:val="002A0F02"/>
    <w:rsid w:val="002A2C17"/>
    <w:rsid w:val="002A44A9"/>
    <w:rsid w:val="002A46AE"/>
    <w:rsid w:val="002A4F84"/>
    <w:rsid w:val="002A5CBE"/>
    <w:rsid w:val="002A5CE7"/>
    <w:rsid w:val="002A791F"/>
    <w:rsid w:val="002A7DB5"/>
    <w:rsid w:val="002B0630"/>
    <w:rsid w:val="002B0C61"/>
    <w:rsid w:val="002B1AC5"/>
    <w:rsid w:val="002B1B80"/>
    <w:rsid w:val="002B3ECA"/>
    <w:rsid w:val="002B4DDE"/>
    <w:rsid w:val="002B6243"/>
    <w:rsid w:val="002B63B0"/>
    <w:rsid w:val="002B6D64"/>
    <w:rsid w:val="002B6DCF"/>
    <w:rsid w:val="002C00AC"/>
    <w:rsid w:val="002C0185"/>
    <w:rsid w:val="002C0581"/>
    <w:rsid w:val="002C0F5F"/>
    <w:rsid w:val="002C1CAC"/>
    <w:rsid w:val="002C2EF7"/>
    <w:rsid w:val="002C3C49"/>
    <w:rsid w:val="002C3CE1"/>
    <w:rsid w:val="002C42E8"/>
    <w:rsid w:val="002C64B5"/>
    <w:rsid w:val="002C6AD3"/>
    <w:rsid w:val="002C6F61"/>
    <w:rsid w:val="002C728E"/>
    <w:rsid w:val="002C73F5"/>
    <w:rsid w:val="002D31D5"/>
    <w:rsid w:val="002D3597"/>
    <w:rsid w:val="002D5862"/>
    <w:rsid w:val="002D6BED"/>
    <w:rsid w:val="002D7B91"/>
    <w:rsid w:val="002E03AD"/>
    <w:rsid w:val="002E0882"/>
    <w:rsid w:val="002E0983"/>
    <w:rsid w:val="002E0A55"/>
    <w:rsid w:val="002E1BFC"/>
    <w:rsid w:val="002E3451"/>
    <w:rsid w:val="002E38C1"/>
    <w:rsid w:val="002E5FF8"/>
    <w:rsid w:val="002E652B"/>
    <w:rsid w:val="002E711A"/>
    <w:rsid w:val="002E71FA"/>
    <w:rsid w:val="002F4E7E"/>
    <w:rsid w:val="002F5CD9"/>
    <w:rsid w:val="002F61AD"/>
    <w:rsid w:val="002F620B"/>
    <w:rsid w:val="002F62C0"/>
    <w:rsid w:val="002F6ADA"/>
    <w:rsid w:val="002F736A"/>
    <w:rsid w:val="002F7947"/>
    <w:rsid w:val="002F799C"/>
    <w:rsid w:val="00301307"/>
    <w:rsid w:val="0030149C"/>
    <w:rsid w:val="003036DC"/>
    <w:rsid w:val="003043B2"/>
    <w:rsid w:val="00304ACD"/>
    <w:rsid w:val="003060DE"/>
    <w:rsid w:val="00306D02"/>
    <w:rsid w:val="00306F64"/>
    <w:rsid w:val="00306F8D"/>
    <w:rsid w:val="00307865"/>
    <w:rsid w:val="00307C4A"/>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8D0"/>
    <w:rsid w:val="00330401"/>
    <w:rsid w:val="00331188"/>
    <w:rsid w:val="0033136F"/>
    <w:rsid w:val="00331590"/>
    <w:rsid w:val="0033192A"/>
    <w:rsid w:val="003325BE"/>
    <w:rsid w:val="0033266B"/>
    <w:rsid w:val="00332ACA"/>
    <w:rsid w:val="00332E3F"/>
    <w:rsid w:val="003333A3"/>
    <w:rsid w:val="00334629"/>
    <w:rsid w:val="00334887"/>
    <w:rsid w:val="00334BDE"/>
    <w:rsid w:val="00334F65"/>
    <w:rsid w:val="00336291"/>
    <w:rsid w:val="00336E9A"/>
    <w:rsid w:val="003371DA"/>
    <w:rsid w:val="0034188F"/>
    <w:rsid w:val="003427FA"/>
    <w:rsid w:val="00342EB5"/>
    <w:rsid w:val="003436CF"/>
    <w:rsid w:val="00343A42"/>
    <w:rsid w:val="003449D6"/>
    <w:rsid w:val="00344FEB"/>
    <w:rsid w:val="003452F4"/>
    <w:rsid w:val="00345D80"/>
    <w:rsid w:val="00346234"/>
    <w:rsid w:val="00346802"/>
    <w:rsid w:val="0034776E"/>
    <w:rsid w:val="003503D1"/>
    <w:rsid w:val="00352AE9"/>
    <w:rsid w:val="00352FA5"/>
    <w:rsid w:val="0035354A"/>
    <w:rsid w:val="003536EC"/>
    <w:rsid w:val="00353728"/>
    <w:rsid w:val="0035504E"/>
    <w:rsid w:val="00356B27"/>
    <w:rsid w:val="00356C0F"/>
    <w:rsid w:val="00356CDE"/>
    <w:rsid w:val="00357A29"/>
    <w:rsid w:val="00360703"/>
    <w:rsid w:val="00360B97"/>
    <w:rsid w:val="0036348B"/>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10C"/>
    <w:rsid w:val="003814E6"/>
    <w:rsid w:val="003816F7"/>
    <w:rsid w:val="00381941"/>
    <w:rsid w:val="00381F32"/>
    <w:rsid w:val="003822DF"/>
    <w:rsid w:val="00382DB2"/>
    <w:rsid w:val="00383F2B"/>
    <w:rsid w:val="00385206"/>
    <w:rsid w:val="00385FED"/>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4C2F"/>
    <w:rsid w:val="003B5750"/>
    <w:rsid w:val="003B5C01"/>
    <w:rsid w:val="003B5FC8"/>
    <w:rsid w:val="003B66D3"/>
    <w:rsid w:val="003B6E46"/>
    <w:rsid w:val="003C048B"/>
    <w:rsid w:val="003C13C9"/>
    <w:rsid w:val="003C19A5"/>
    <w:rsid w:val="003C19FE"/>
    <w:rsid w:val="003C5E20"/>
    <w:rsid w:val="003C5F30"/>
    <w:rsid w:val="003C66EE"/>
    <w:rsid w:val="003C6773"/>
    <w:rsid w:val="003C77E0"/>
    <w:rsid w:val="003D0156"/>
    <w:rsid w:val="003D0473"/>
    <w:rsid w:val="003D06ED"/>
    <w:rsid w:val="003D0D8C"/>
    <w:rsid w:val="003D16BF"/>
    <w:rsid w:val="003D2384"/>
    <w:rsid w:val="003D2828"/>
    <w:rsid w:val="003D4323"/>
    <w:rsid w:val="003D49AB"/>
    <w:rsid w:val="003D545D"/>
    <w:rsid w:val="003E289A"/>
    <w:rsid w:val="003E28A0"/>
    <w:rsid w:val="003E3C72"/>
    <w:rsid w:val="003E52F0"/>
    <w:rsid w:val="003E7E25"/>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27AFA"/>
    <w:rsid w:val="0043175C"/>
    <w:rsid w:val="00431CA9"/>
    <w:rsid w:val="004327BC"/>
    <w:rsid w:val="004333D4"/>
    <w:rsid w:val="00433D48"/>
    <w:rsid w:val="00434C26"/>
    <w:rsid w:val="004400C8"/>
    <w:rsid w:val="004400CA"/>
    <w:rsid w:val="004420EE"/>
    <w:rsid w:val="004435AF"/>
    <w:rsid w:val="00444495"/>
    <w:rsid w:val="004445D6"/>
    <w:rsid w:val="00444F75"/>
    <w:rsid w:val="0044714D"/>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59A6"/>
    <w:rsid w:val="00466226"/>
    <w:rsid w:val="00466DBC"/>
    <w:rsid w:val="00467632"/>
    <w:rsid w:val="00470005"/>
    <w:rsid w:val="004718A7"/>
    <w:rsid w:val="00471A7D"/>
    <w:rsid w:val="00471B91"/>
    <w:rsid w:val="00472199"/>
    <w:rsid w:val="00472667"/>
    <w:rsid w:val="00472FB1"/>
    <w:rsid w:val="004745FD"/>
    <w:rsid w:val="004753F3"/>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399"/>
    <w:rsid w:val="00487E95"/>
    <w:rsid w:val="004905F8"/>
    <w:rsid w:val="004927B0"/>
    <w:rsid w:val="00493B22"/>
    <w:rsid w:val="00493FAD"/>
    <w:rsid w:val="00494980"/>
    <w:rsid w:val="00495278"/>
    <w:rsid w:val="00495355"/>
    <w:rsid w:val="004954E9"/>
    <w:rsid w:val="00496961"/>
    <w:rsid w:val="00497537"/>
    <w:rsid w:val="00497815"/>
    <w:rsid w:val="004979CC"/>
    <w:rsid w:val="004A0005"/>
    <w:rsid w:val="004A0816"/>
    <w:rsid w:val="004A2F87"/>
    <w:rsid w:val="004A374E"/>
    <w:rsid w:val="004A4825"/>
    <w:rsid w:val="004A4D76"/>
    <w:rsid w:val="004A6165"/>
    <w:rsid w:val="004B3C6C"/>
    <w:rsid w:val="004B47C0"/>
    <w:rsid w:val="004B4BBC"/>
    <w:rsid w:val="004B632A"/>
    <w:rsid w:val="004B7F95"/>
    <w:rsid w:val="004C0594"/>
    <w:rsid w:val="004C0A98"/>
    <w:rsid w:val="004C140F"/>
    <w:rsid w:val="004C158F"/>
    <w:rsid w:val="004C15D1"/>
    <w:rsid w:val="004C1E1C"/>
    <w:rsid w:val="004C5FEA"/>
    <w:rsid w:val="004C6B53"/>
    <w:rsid w:val="004C7286"/>
    <w:rsid w:val="004C728C"/>
    <w:rsid w:val="004D03B1"/>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E734B"/>
    <w:rsid w:val="004F0591"/>
    <w:rsid w:val="004F08B6"/>
    <w:rsid w:val="004F0A8F"/>
    <w:rsid w:val="004F1203"/>
    <w:rsid w:val="004F37D4"/>
    <w:rsid w:val="004F3B7A"/>
    <w:rsid w:val="004F3C18"/>
    <w:rsid w:val="004F42B6"/>
    <w:rsid w:val="004F450A"/>
    <w:rsid w:val="004F4B1C"/>
    <w:rsid w:val="004F5915"/>
    <w:rsid w:val="004F6829"/>
    <w:rsid w:val="00500509"/>
    <w:rsid w:val="00500E2A"/>
    <w:rsid w:val="0050279C"/>
    <w:rsid w:val="00503BC7"/>
    <w:rsid w:val="00504F79"/>
    <w:rsid w:val="00505896"/>
    <w:rsid w:val="005062C6"/>
    <w:rsid w:val="00506684"/>
    <w:rsid w:val="005067E6"/>
    <w:rsid w:val="00507313"/>
    <w:rsid w:val="005077A3"/>
    <w:rsid w:val="0050784F"/>
    <w:rsid w:val="005101DC"/>
    <w:rsid w:val="005113A3"/>
    <w:rsid w:val="00511402"/>
    <w:rsid w:val="0051199B"/>
    <w:rsid w:val="005134D4"/>
    <w:rsid w:val="00513C55"/>
    <w:rsid w:val="0051418D"/>
    <w:rsid w:val="005141BD"/>
    <w:rsid w:val="0051581E"/>
    <w:rsid w:val="00516796"/>
    <w:rsid w:val="00516B63"/>
    <w:rsid w:val="0051704F"/>
    <w:rsid w:val="00520598"/>
    <w:rsid w:val="00520D45"/>
    <w:rsid w:val="00521DC9"/>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6CD"/>
    <w:rsid w:val="005369FC"/>
    <w:rsid w:val="00536C3A"/>
    <w:rsid w:val="005374BC"/>
    <w:rsid w:val="0053755B"/>
    <w:rsid w:val="00540197"/>
    <w:rsid w:val="00540A06"/>
    <w:rsid w:val="00543846"/>
    <w:rsid w:val="00544D9B"/>
    <w:rsid w:val="00544DBF"/>
    <w:rsid w:val="00545688"/>
    <w:rsid w:val="005463B3"/>
    <w:rsid w:val="005472AB"/>
    <w:rsid w:val="00547752"/>
    <w:rsid w:val="0054784D"/>
    <w:rsid w:val="00547FF6"/>
    <w:rsid w:val="00550B90"/>
    <w:rsid w:val="005516FE"/>
    <w:rsid w:val="00551D5F"/>
    <w:rsid w:val="0055216B"/>
    <w:rsid w:val="00553C62"/>
    <w:rsid w:val="0055427F"/>
    <w:rsid w:val="00554377"/>
    <w:rsid w:val="00554633"/>
    <w:rsid w:val="00554C81"/>
    <w:rsid w:val="00555A71"/>
    <w:rsid w:val="0055632E"/>
    <w:rsid w:val="0056073B"/>
    <w:rsid w:val="00561317"/>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4B8E"/>
    <w:rsid w:val="005757FA"/>
    <w:rsid w:val="00577B41"/>
    <w:rsid w:val="00580063"/>
    <w:rsid w:val="00580F57"/>
    <w:rsid w:val="00581CAA"/>
    <w:rsid w:val="00581E16"/>
    <w:rsid w:val="00582D09"/>
    <w:rsid w:val="0058345B"/>
    <w:rsid w:val="005838AC"/>
    <w:rsid w:val="00583BE6"/>
    <w:rsid w:val="00584D15"/>
    <w:rsid w:val="00584D47"/>
    <w:rsid w:val="005857FE"/>
    <w:rsid w:val="00585AE8"/>
    <w:rsid w:val="00585D4A"/>
    <w:rsid w:val="00585E34"/>
    <w:rsid w:val="0058636E"/>
    <w:rsid w:val="0058661C"/>
    <w:rsid w:val="00586886"/>
    <w:rsid w:val="005876B5"/>
    <w:rsid w:val="0059051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10D"/>
    <w:rsid w:val="005B054F"/>
    <w:rsid w:val="005B0899"/>
    <w:rsid w:val="005B154B"/>
    <w:rsid w:val="005B215B"/>
    <w:rsid w:val="005B2B1A"/>
    <w:rsid w:val="005B2DD9"/>
    <w:rsid w:val="005B340A"/>
    <w:rsid w:val="005B3633"/>
    <w:rsid w:val="005B4209"/>
    <w:rsid w:val="005B4481"/>
    <w:rsid w:val="005B46BB"/>
    <w:rsid w:val="005B5997"/>
    <w:rsid w:val="005C0214"/>
    <w:rsid w:val="005C05D9"/>
    <w:rsid w:val="005C0DFC"/>
    <w:rsid w:val="005C0EB2"/>
    <w:rsid w:val="005C15CE"/>
    <w:rsid w:val="005C22EA"/>
    <w:rsid w:val="005C25AF"/>
    <w:rsid w:val="005C2A9E"/>
    <w:rsid w:val="005C3EFD"/>
    <w:rsid w:val="005C4118"/>
    <w:rsid w:val="005C4ADC"/>
    <w:rsid w:val="005C51D4"/>
    <w:rsid w:val="005C6289"/>
    <w:rsid w:val="005C6506"/>
    <w:rsid w:val="005C72BF"/>
    <w:rsid w:val="005D02A2"/>
    <w:rsid w:val="005D0F9E"/>
    <w:rsid w:val="005D20D8"/>
    <w:rsid w:val="005D23B7"/>
    <w:rsid w:val="005D3A47"/>
    <w:rsid w:val="005D520B"/>
    <w:rsid w:val="005D6304"/>
    <w:rsid w:val="005D694A"/>
    <w:rsid w:val="005D71F0"/>
    <w:rsid w:val="005D752C"/>
    <w:rsid w:val="005E0072"/>
    <w:rsid w:val="005E0593"/>
    <w:rsid w:val="005E0C17"/>
    <w:rsid w:val="005E0E6E"/>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23E"/>
    <w:rsid w:val="005F478A"/>
    <w:rsid w:val="005F59D5"/>
    <w:rsid w:val="005F644C"/>
    <w:rsid w:val="005F6AD5"/>
    <w:rsid w:val="005F77C5"/>
    <w:rsid w:val="005F793E"/>
    <w:rsid w:val="00600378"/>
    <w:rsid w:val="0060363A"/>
    <w:rsid w:val="00603CB9"/>
    <w:rsid w:val="00604BA0"/>
    <w:rsid w:val="006071F2"/>
    <w:rsid w:val="00607CB7"/>
    <w:rsid w:val="00610D71"/>
    <w:rsid w:val="00610E21"/>
    <w:rsid w:val="00610E68"/>
    <w:rsid w:val="00611995"/>
    <w:rsid w:val="00611D39"/>
    <w:rsid w:val="00611F92"/>
    <w:rsid w:val="00613368"/>
    <w:rsid w:val="0061445C"/>
    <w:rsid w:val="00614F7D"/>
    <w:rsid w:val="0061573A"/>
    <w:rsid w:val="00615B5C"/>
    <w:rsid w:val="00617429"/>
    <w:rsid w:val="00620417"/>
    <w:rsid w:val="0062156F"/>
    <w:rsid w:val="00621D99"/>
    <w:rsid w:val="00623B11"/>
    <w:rsid w:val="00623BD7"/>
    <w:rsid w:val="006243F9"/>
    <w:rsid w:val="006251FE"/>
    <w:rsid w:val="006258BD"/>
    <w:rsid w:val="00625987"/>
    <w:rsid w:val="00625E52"/>
    <w:rsid w:val="0062744B"/>
    <w:rsid w:val="00627F55"/>
    <w:rsid w:val="006303D1"/>
    <w:rsid w:val="00630859"/>
    <w:rsid w:val="00630A26"/>
    <w:rsid w:val="00632F5E"/>
    <w:rsid w:val="00634874"/>
    <w:rsid w:val="0063551E"/>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57A31"/>
    <w:rsid w:val="00660140"/>
    <w:rsid w:val="006615A7"/>
    <w:rsid w:val="006615C2"/>
    <w:rsid w:val="00661FAD"/>
    <w:rsid w:val="00662ACF"/>
    <w:rsid w:val="00664DD8"/>
    <w:rsid w:val="00665004"/>
    <w:rsid w:val="006659AC"/>
    <w:rsid w:val="00665CC3"/>
    <w:rsid w:val="00667C35"/>
    <w:rsid w:val="00670384"/>
    <w:rsid w:val="00670738"/>
    <w:rsid w:val="00671D7C"/>
    <w:rsid w:val="00672E21"/>
    <w:rsid w:val="00672E58"/>
    <w:rsid w:val="0067359C"/>
    <w:rsid w:val="00673B0B"/>
    <w:rsid w:val="00673D74"/>
    <w:rsid w:val="00673E18"/>
    <w:rsid w:val="00674346"/>
    <w:rsid w:val="0067510C"/>
    <w:rsid w:val="006753F3"/>
    <w:rsid w:val="00676509"/>
    <w:rsid w:val="006771AB"/>
    <w:rsid w:val="00680245"/>
    <w:rsid w:val="00680F5A"/>
    <w:rsid w:val="00682F34"/>
    <w:rsid w:val="00682FE0"/>
    <w:rsid w:val="00683307"/>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394"/>
    <w:rsid w:val="006B4EDC"/>
    <w:rsid w:val="006B4F8F"/>
    <w:rsid w:val="006B7C73"/>
    <w:rsid w:val="006C01EA"/>
    <w:rsid w:val="006C10B8"/>
    <w:rsid w:val="006C1146"/>
    <w:rsid w:val="006C1ABF"/>
    <w:rsid w:val="006C1E0D"/>
    <w:rsid w:val="006C2E7C"/>
    <w:rsid w:val="006C39BF"/>
    <w:rsid w:val="006C41D0"/>
    <w:rsid w:val="006C47A8"/>
    <w:rsid w:val="006C566A"/>
    <w:rsid w:val="006C598B"/>
    <w:rsid w:val="006C63B1"/>
    <w:rsid w:val="006C6B4C"/>
    <w:rsid w:val="006C700E"/>
    <w:rsid w:val="006D01E1"/>
    <w:rsid w:val="006D1F74"/>
    <w:rsid w:val="006D2DD9"/>
    <w:rsid w:val="006D3657"/>
    <w:rsid w:val="006D37EB"/>
    <w:rsid w:val="006D4530"/>
    <w:rsid w:val="006D49D3"/>
    <w:rsid w:val="006D4F0A"/>
    <w:rsid w:val="006D5892"/>
    <w:rsid w:val="006D647D"/>
    <w:rsid w:val="006D76FF"/>
    <w:rsid w:val="006E0274"/>
    <w:rsid w:val="006E0314"/>
    <w:rsid w:val="006E0645"/>
    <w:rsid w:val="006E0F0D"/>
    <w:rsid w:val="006E2714"/>
    <w:rsid w:val="006E2C30"/>
    <w:rsid w:val="006E3A34"/>
    <w:rsid w:val="006E3CBA"/>
    <w:rsid w:val="006E4402"/>
    <w:rsid w:val="006E44BE"/>
    <w:rsid w:val="006E4D16"/>
    <w:rsid w:val="006E52F6"/>
    <w:rsid w:val="006E7767"/>
    <w:rsid w:val="006E788B"/>
    <w:rsid w:val="006F39D8"/>
    <w:rsid w:val="006F3C12"/>
    <w:rsid w:val="006F61B1"/>
    <w:rsid w:val="006F6339"/>
    <w:rsid w:val="006F6C85"/>
    <w:rsid w:val="00700CC3"/>
    <w:rsid w:val="0070125B"/>
    <w:rsid w:val="00702732"/>
    <w:rsid w:val="00702895"/>
    <w:rsid w:val="00704813"/>
    <w:rsid w:val="0070520E"/>
    <w:rsid w:val="007054E6"/>
    <w:rsid w:val="00706DEC"/>
    <w:rsid w:val="007114C3"/>
    <w:rsid w:val="007122E8"/>
    <w:rsid w:val="007132AB"/>
    <w:rsid w:val="007134F7"/>
    <w:rsid w:val="0071439C"/>
    <w:rsid w:val="007166ED"/>
    <w:rsid w:val="007172E8"/>
    <w:rsid w:val="00717EEB"/>
    <w:rsid w:val="007203BA"/>
    <w:rsid w:val="00722948"/>
    <w:rsid w:val="00722F56"/>
    <w:rsid w:val="00723937"/>
    <w:rsid w:val="00723F80"/>
    <w:rsid w:val="007244FB"/>
    <w:rsid w:val="00725460"/>
    <w:rsid w:val="00725AA6"/>
    <w:rsid w:val="00727B9A"/>
    <w:rsid w:val="00727D92"/>
    <w:rsid w:val="007319F9"/>
    <w:rsid w:val="00731B29"/>
    <w:rsid w:val="007327EA"/>
    <w:rsid w:val="0073302E"/>
    <w:rsid w:val="007330BC"/>
    <w:rsid w:val="0073346B"/>
    <w:rsid w:val="00733895"/>
    <w:rsid w:val="00734900"/>
    <w:rsid w:val="00734C99"/>
    <w:rsid w:val="007353BF"/>
    <w:rsid w:val="00735D79"/>
    <w:rsid w:val="00736B6D"/>
    <w:rsid w:val="0074043C"/>
    <w:rsid w:val="007419F1"/>
    <w:rsid w:val="00741EDB"/>
    <w:rsid w:val="00743B3F"/>
    <w:rsid w:val="007454E0"/>
    <w:rsid w:val="00746130"/>
    <w:rsid w:val="00746E5E"/>
    <w:rsid w:val="007476F9"/>
    <w:rsid w:val="00747950"/>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5788E"/>
    <w:rsid w:val="007609C9"/>
    <w:rsid w:val="00760AA6"/>
    <w:rsid w:val="00760FCB"/>
    <w:rsid w:val="00761232"/>
    <w:rsid w:val="007612C6"/>
    <w:rsid w:val="007612EC"/>
    <w:rsid w:val="00761962"/>
    <w:rsid w:val="0076309A"/>
    <w:rsid w:val="00764768"/>
    <w:rsid w:val="007663ED"/>
    <w:rsid w:val="00766585"/>
    <w:rsid w:val="007665AF"/>
    <w:rsid w:val="00766770"/>
    <w:rsid w:val="007711D9"/>
    <w:rsid w:val="00771DA0"/>
    <w:rsid w:val="00771FC9"/>
    <w:rsid w:val="00773AA4"/>
    <w:rsid w:val="00773F49"/>
    <w:rsid w:val="00773F9D"/>
    <w:rsid w:val="00775AC8"/>
    <w:rsid w:val="00775FA2"/>
    <w:rsid w:val="00776B79"/>
    <w:rsid w:val="007770F8"/>
    <w:rsid w:val="007771F1"/>
    <w:rsid w:val="00777596"/>
    <w:rsid w:val="00777960"/>
    <w:rsid w:val="007779C5"/>
    <w:rsid w:val="00780382"/>
    <w:rsid w:val="00780650"/>
    <w:rsid w:val="007828C0"/>
    <w:rsid w:val="007846BF"/>
    <w:rsid w:val="00785EC4"/>
    <w:rsid w:val="007860B6"/>
    <w:rsid w:val="00786C75"/>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424"/>
    <w:rsid w:val="007A68ED"/>
    <w:rsid w:val="007A7B07"/>
    <w:rsid w:val="007B008C"/>
    <w:rsid w:val="007B0489"/>
    <w:rsid w:val="007B0839"/>
    <w:rsid w:val="007B0B7F"/>
    <w:rsid w:val="007B138C"/>
    <w:rsid w:val="007B1756"/>
    <w:rsid w:val="007B2DAD"/>
    <w:rsid w:val="007B3D50"/>
    <w:rsid w:val="007B4198"/>
    <w:rsid w:val="007B42BF"/>
    <w:rsid w:val="007B4D35"/>
    <w:rsid w:val="007B53D1"/>
    <w:rsid w:val="007B57CE"/>
    <w:rsid w:val="007B6820"/>
    <w:rsid w:val="007B693C"/>
    <w:rsid w:val="007B6CDD"/>
    <w:rsid w:val="007C037E"/>
    <w:rsid w:val="007C0B45"/>
    <w:rsid w:val="007C1739"/>
    <w:rsid w:val="007C1FA0"/>
    <w:rsid w:val="007C31C4"/>
    <w:rsid w:val="007C4006"/>
    <w:rsid w:val="007C4268"/>
    <w:rsid w:val="007C4D1B"/>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E69A1"/>
    <w:rsid w:val="007F0C16"/>
    <w:rsid w:val="007F0EE6"/>
    <w:rsid w:val="007F1297"/>
    <w:rsid w:val="007F129C"/>
    <w:rsid w:val="007F2F8B"/>
    <w:rsid w:val="007F5746"/>
    <w:rsid w:val="007F611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16C4"/>
    <w:rsid w:val="00813F4B"/>
    <w:rsid w:val="00814B4D"/>
    <w:rsid w:val="0081613E"/>
    <w:rsid w:val="00817047"/>
    <w:rsid w:val="008177A2"/>
    <w:rsid w:val="0082176F"/>
    <w:rsid w:val="0082199C"/>
    <w:rsid w:val="00821AEB"/>
    <w:rsid w:val="00821BAC"/>
    <w:rsid w:val="008237C2"/>
    <w:rsid w:val="00823DC0"/>
    <w:rsid w:val="00824777"/>
    <w:rsid w:val="00824A1E"/>
    <w:rsid w:val="008256F7"/>
    <w:rsid w:val="00825A5E"/>
    <w:rsid w:val="00826985"/>
    <w:rsid w:val="00826D88"/>
    <w:rsid w:val="00830620"/>
    <w:rsid w:val="00830B03"/>
    <w:rsid w:val="00830DDC"/>
    <w:rsid w:val="00830E48"/>
    <w:rsid w:val="00831282"/>
    <w:rsid w:val="0083230A"/>
    <w:rsid w:val="008323B2"/>
    <w:rsid w:val="008341B6"/>
    <w:rsid w:val="00834E25"/>
    <w:rsid w:val="00834F37"/>
    <w:rsid w:val="008361E1"/>
    <w:rsid w:val="00836211"/>
    <w:rsid w:val="00836389"/>
    <w:rsid w:val="00836DBC"/>
    <w:rsid w:val="0084111C"/>
    <w:rsid w:val="008416F9"/>
    <w:rsid w:val="0084226D"/>
    <w:rsid w:val="00843074"/>
    <w:rsid w:val="00843AB1"/>
    <w:rsid w:val="00844137"/>
    <w:rsid w:val="008447E6"/>
    <w:rsid w:val="00845548"/>
    <w:rsid w:val="00845CF8"/>
    <w:rsid w:val="0084686E"/>
    <w:rsid w:val="00846A75"/>
    <w:rsid w:val="00847933"/>
    <w:rsid w:val="00847E96"/>
    <w:rsid w:val="0085019F"/>
    <w:rsid w:val="008502A9"/>
    <w:rsid w:val="0085070C"/>
    <w:rsid w:val="0085207D"/>
    <w:rsid w:val="00852796"/>
    <w:rsid w:val="0085341F"/>
    <w:rsid w:val="00853875"/>
    <w:rsid w:val="0085389A"/>
    <w:rsid w:val="008538C1"/>
    <w:rsid w:val="00854111"/>
    <w:rsid w:val="00854489"/>
    <w:rsid w:val="008551A7"/>
    <w:rsid w:val="00855992"/>
    <w:rsid w:val="0085754C"/>
    <w:rsid w:val="00860039"/>
    <w:rsid w:val="008606B9"/>
    <w:rsid w:val="00861752"/>
    <w:rsid w:val="00861B69"/>
    <w:rsid w:val="00861CAF"/>
    <w:rsid w:val="00861D56"/>
    <w:rsid w:val="00862143"/>
    <w:rsid w:val="00863767"/>
    <w:rsid w:val="00863A24"/>
    <w:rsid w:val="00863A71"/>
    <w:rsid w:val="00864404"/>
    <w:rsid w:val="00865136"/>
    <w:rsid w:val="00865910"/>
    <w:rsid w:val="00865EE9"/>
    <w:rsid w:val="008660D4"/>
    <w:rsid w:val="00870E1D"/>
    <w:rsid w:val="00871DA2"/>
    <w:rsid w:val="00871FCF"/>
    <w:rsid w:val="008721B8"/>
    <w:rsid w:val="00875053"/>
    <w:rsid w:val="008750A5"/>
    <w:rsid w:val="00876030"/>
    <w:rsid w:val="008779D5"/>
    <w:rsid w:val="0088037D"/>
    <w:rsid w:val="00880860"/>
    <w:rsid w:val="00881023"/>
    <w:rsid w:val="008810FA"/>
    <w:rsid w:val="00881396"/>
    <w:rsid w:val="00881459"/>
    <w:rsid w:val="0088199F"/>
    <w:rsid w:val="00883710"/>
    <w:rsid w:val="00883783"/>
    <w:rsid w:val="008837F3"/>
    <w:rsid w:val="008839F8"/>
    <w:rsid w:val="00884A05"/>
    <w:rsid w:val="008902E6"/>
    <w:rsid w:val="00890C73"/>
    <w:rsid w:val="00891051"/>
    <w:rsid w:val="00892432"/>
    <w:rsid w:val="00892829"/>
    <w:rsid w:val="008940AB"/>
    <w:rsid w:val="00894285"/>
    <w:rsid w:val="0089522A"/>
    <w:rsid w:val="008966DB"/>
    <w:rsid w:val="008975C2"/>
    <w:rsid w:val="008A13A1"/>
    <w:rsid w:val="008A2804"/>
    <w:rsid w:val="008A41BD"/>
    <w:rsid w:val="008A5244"/>
    <w:rsid w:val="008A79C9"/>
    <w:rsid w:val="008B2F8A"/>
    <w:rsid w:val="008B3B43"/>
    <w:rsid w:val="008B3BA6"/>
    <w:rsid w:val="008B3F7B"/>
    <w:rsid w:val="008B5064"/>
    <w:rsid w:val="008B5523"/>
    <w:rsid w:val="008C2F6D"/>
    <w:rsid w:val="008C343B"/>
    <w:rsid w:val="008C348A"/>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6D22"/>
    <w:rsid w:val="008D7F55"/>
    <w:rsid w:val="008E1249"/>
    <w:rsid w:val="008E14DB"/>
    <w:rsid w:val="008E1B0F"/>
    <w:rsid w:val="008E21D7"/>
    <w:rsid w:val="008E2600"/>
    <w:rsid w:val="008E29B9"/>
    <w:rsid w:val="008E30ED"/>
    <w:rsid w:val="008E3202"/>
    <w:rsid w:val="008E34B8"/>
    <w:rsid w:val="008E517E"/>
    <w:rsid w:val="008E6030"/>
    <w:rsid w:val="008E6274"/>
    <w:rsid w:val="008F3180"/>
    <w:rsid w:val="008F35C0"/>
    <w:rsid w:val="008F3634"/>
    <w:rsid w:val="008F421E"/>
    <w:rsid w:val="008F422C"/>
    <w:rsid w:val="008F50F8"/>
    <w:rsid w:val="008F56BC"/>
    <w:rsid w:val="008F6B3C"/>
    <w:rsid w:val="0090123D"/>
    <w:rsid w:val="009017D7"/>
    <w:rsid w:val="00903D2C"/>
    <w:rsid w:val="00905BB2"/>
    <w:rsid w:val="00906672"/>
    <w:rsid w:val="00906989"/>
    <w:rsid w:val="00907DB1"/>
    <w:rsid w:val="009102E2"/>
    <w:rsid w:val="00911E33"/>
    <w:rsid w:val="009133D1"/>
    <w:rsid w:val="00914FFD"/>
    <w:rsid w:val="00915114"/>
    <w:rsid w:val="009151C0"/>
    <w:rsid w:val="009213AB"/>
    <w:rsid w:val="009217D6"/>
    <w:rsid w:val="0092449D"/>
    <w:rsid w:val="0092482D"/>
    <w:rsid w:val="0092551E"/>
    <w:rsid w:val="00925949"/>
    <w:rsid w:val="00925F5B"/>
    <w:rsid w:val="00925F94"/>
    <w:rsid w:val="009269FC"/>
    <w:rsid w:val="0092713F"/>
    <w:rsid w:val="009304BF"/>
    <w:rsid w:val="009307D7"/>
    <w:rsid w:val="00930E42"/>
    <w:rsid w:val="00930E5E"/>
    <w:rsid w:val="009311BA"/>
    <w:rsid w:val="00931DE6"/>
    <w:rsid w:val="009330ED"/>
    <w:rsid w:val="009342E6"/>
    <w:rsid w:val="00934393"/>
    <w:rsid w:val="00934ACE"/>
    <w:rsid w:val="00935177"/>
    <w:rsid w:val="00936CAE"/>
    <w:rsid w:val="009376F7"/>
    <w:rsid w:val="0094128B"/>
    <w:rsid w:val="009433FD"/>
    <w:rsid w:val="0094347A"/>
    <w:rsid w:val="00943C34"/>
    <w:rsid w:val="00945993"/>
    <w:rsid w:val="0094628D"/>
    <w:rsid w:val="00946312"/>
    <w:rsid w:val="009469F4"/>
    <w:rsid w:val="00946C49"/>
    <w:rsid w:val="0095142E"/>
    <w:rsid w:val="0095370A"/>
    <w:rsid w:val="0095469D"/>
    <w:rsid w:val="00955158"/>
    <w:rsid w:val="009552CA"/>
    <w:rsid w:val="00955361"/>
    <w:rsid w:val="009569EF"/>
    <w:rsid w:val="00957085"/>
    <w:rsid w:val="00960BFD"/>
    <w:rsid w:val="009619D0"/>
    <w:rsid w:val="00963AC6"/>
    <w:rsid w:val="0096492D"/>
    <w:rsid w:val="00964BBB"/>
    <w:rsid w:val="00964C87"/>
    <w:rsid w:val="00965030"/>
    <w:rsid w:val="009651CC"/>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56"/>
    <w:rsid w:val="0098207C"/>
    <w:rsid w:val="009829EE"/>
    <w:rsid w:val="009834B5"/>
    <w:rsid w:val="0098415C"/>
    <w:rsid w:val="00984606"/>
    <w:rsid w:val="00984A76"/>
    <w:rsid w:val="00985BDE"/>
    <w:rsid w:val="00985D25"/>
    <w:rsid w:val="0099084D"/>
    <w:rsid w:val="009912B7"/>
    <w:rsid w:val="009924CF"/>
    <w:rsid w:val="00992659"/>
    <w:rsid w:val="009928DD"/>
    <w:rsid w:val="00993015"/>
    <w:rsid w:val="009933D1"/>
    <w:rsid w:val="0099431C"/>
    <w:rsid w:val="00994470"/>
    <w:rsid w:val="009948E5"/>
    <w:rsid w:val="00994D6A"/>
    <w:rsid w:val="00994E9B"/>
    <w:rsid w:val="00996F4A"/>
    <w:rsid w:val="009A0033"/>
    <w:rsid w:val="009A0CEC"/>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B7EB2"/>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13E"/>
    <w:rsid w:val="009D68F5"/>
    <w:rsid w:val="009D6E90"/>
    <w:rsid w:val="009D7988"/>
    <w:rsid w:val="009D7AE5"/>
    <w:rsid w:val="009E04F1"/>
    <w:rsid w:val="009E1A7E"/>
    <w:rsid w:val="009E251F"/>
    <w:rsid w:val="009E385D"/>
    <w:rsid w:val="009E57DA"/>
    <w:rsid w:val="009E5993"/>
    <w:rsid w:val="009E671B"/>
    <w:rsid w:val="009E67A7"/>
    <w:rsid w:val="009E78AA"/>
    <w:rsid w:val="009F0292"/>
    <w:rsid w:val="009F124C"/>
    <w:rsid w:val="009F1795"/>
    <w:rsid w:val="009F19F8"/>
    <w:rsid w:val="009F3923"/>
    <w:rsid w:val="009F4958"/>
    <w:rsid w:val="009F6873"/>
    <w:rsid w:val="009F690F"/>
    <w:rsid w:val="009F7930"/>
    <w:rsid w:val="00A00119"/>
    <w:rsid w:val="00A00A0A"/>
    <w:rsid w:val="00A0297A"/>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163D6"/>
    <w:rsid w:val="00A204F4"/>
    <w:rsid w:val="00A213CA"/>
    <w:rsid w:val="00A22BA9"/>
    <w:rsid w:val="00A2343F"/>
    <w:rsid w:val="00A236A2"/>
    <w:rsid w:val="00A23E9F"/>
    <w:rsid w:val="00A24EDA"/>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ACE"/>
    <w:rsid w:val="00A36B96"/>
    <w:rsid w:val="00A37A8C"/>
    <w:rsid w:val="00A4007B"/>
    <w:rsid w:val="00A40C69"/>
    <w:rsid w:val="00A42713"/>
    <w:rsid w:val="00A44774"/>
    <w:rsid w:val="00A47FCF"/>
    <w:rsid w:val="00A50132"/>
    <w:rsid w:val="00A516AF"/>
    <w:rsid w:val="00A526FC"/>
    <w:rsid w:val="00A5400A"/>
    <w:rsid w:val="00A546C6"/>
    <w:rsid w:val="00A5480B"/>
    <w:rsid w:val="00A5722F"/>
    <w:rsid w:val="00A5791E"/>
    <w:rsid w:val="00A61551"/>
    <w:rsid w:val="00A61D95"/>
    <w:rsid w:val="00A641D3"/>
    <w:rsid w:val="00A64E34"/>
    <w:rsid w:val="00A7018F"/>
    <w:rsid w:val="00A70C81"/>
    <w:rsid w:val="00A71DFF"/>
    <w:rsid w:val="00A7282C"/>
    <w:rsid w:val="00A73334"/>
    <w:rsid w:val="00A733BF"/>
    <w:rsid w:val="00A7687D"/>
    <w:rsid w:val="00A77372"/>
    <w:rsid w:val="00A80397"/>
    <w:rsid w:val="00A81F6C"/>
    <w:rsid w:val="00A82597"/>
    <w:rsid w:val="00A82901"/>
    <w:rsid w:val="00A8339B"/>
    <w:rsid w:val="00A84CAA"/>
    <w:rsid w:val="00A8620B"/>
    <w:rsid w:val="00A90E6D"/>
    <w:rsid w:val="00A9157A"/>
    <w:rsid w:val="00A919E9"/>
    <w:rsid w:val="00A93EDB"/>
    <w:rsid w:val="00A94C10"/>
    <w:rsid w:val="00A95102"/>
    <w:rsid w:val="00A95621"/>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A72C2"/>
    <w:rsid w:val="00AB3458"/>
    <w:rsid w:val="00AB4AEE"/>
    <w:rsid w:val="00AB4B2D"/>
    <w:rsid w:val="00AB59FF"/>
    <w:rsid w:val="00AB5B93"/>
    <w:rsid w:val="00AB633A"/>
    <w:rsid w:val="00AB6B19"/>
    <w:rsid w:val="00AB7056"/>
    <w:rsid w:val="00AB7F9F"/>
    <w:rsid w:val="00AC1D96"/>
    <w:rsid w:val="00AC1F31"/>
    <w:rsid w:val="00AC3BD9"/>
    <w:rsid w:val="00AC44B0"/>
    <w:rsid w:val="00AC55EB"/>
    <w:rsid w:val="00AC7583"/>
    <w:rsid w:val="00AC783B"/>
    <w:rsid w:val="00AD0A42"/>
    <w:rsid w:val="00AD10CE"/>
    <w:rsid w:val="00AD17F8"/>
    <w:rsid w:val="00AD2EDF"/>
    <w:rsid w:val="00AD4720"/>
    <w:rsid w:val="00AD5447"/>
    <w:rsid w:val="00AD656C"/>
    <w:rsid w:val="00AD69A7"/>
    <w:rsid w:val="00AE07B9"/>
    <w:rsid w:val="00AE2304"/>
    <w:rsid w:val="00AE241B"/>
    <w:rsid w:val="00AE2D4D"/>
    <w:rsid w:val="00AE43EB"/>
    <w:rsid w:val="00AE6DF2"/>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07D5C"/>
    <w:rsid w:val="00B10AB6"/>
    <w:rsid w:val="00B10FF1"/>
    <w:rsid w:val="00B122DF"/>
    <w:rsid w:val="00B127C8"/>
    <w:rsid w:val="00B13769"/>
    <w:rsid w:val="00B1393A"/>
    <w:rsid w:val="00B153E5"/>
    <w:rsid w:val="00B16600"/>
    <w:rsid w:val="00B177EC"/>
    <w:rsid w:val="00B20514"/>
    <w:rsid w:val="00B224F9"/>
    <w:rsid w:val="00B22F29"/>
    <w:rsid w:val="00B247AA"/>
    <w:rsid w:val="00B276DA"/>
    <w:rsid w:val="00B27A76"/>
    <w:rsid w:val="00B27DEC"/>
    <w:rsid w:val="00B29BBB"/>
    <w:rsid w:val="00B30348"/>
    <w:rsid w:val="00B315AD"/>
    <w:rsid w:val="00B330AE"/>
    <w:rsid w:val="00B3364C"/>
    <w:rsid w:val="00B33C79"/>
    <w:rsid w:val="00B34599"/>
    <w:rsid w:val="00B34A07"/>
    <w:rsid w:val="00B36B73"/>
    <w:rsid w:val="00B4070C"/>
    <w:rsid w:val="00B41597"/>
    <w:rsid w:val="00B42E72"/>
    <w:rsid w:val="00B43CE1"/>
    <w:rsid w:val="00B43DEC"/>
    <w:rsid w:val="00B43F39"/>
    <w:rsid w:val="00B4485C"/>
    <w:rsid w:val="00B457FB"/>
    <w:rsid w:val="00B45BEE"/>
    <w:rsid w:val="00B47302"/>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5267"/>
    <w:rsid w:val="00B65B4E"/>
    <w:rsid w:val="00B664EF"/>
    <w:rsid w:val="00B70E7E"/>
    <w:rsid w:val="00B71A5B"/>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492E"/>
    <w:rsid w:val="00B85287"/>
    <w:rsid w:val="00B87772"/>
    <w:rsid w:val="00B87A48"/>
    <w:rsid w:val="00B87DEF"/>
    <w:rsid w:val="00B90616"/>
    <w:rsid w:val="00B91314"/>
    <w:rsid w:val="00B91F37"/>
    <w:rsid w:val="00B920A1"/>
    <w:rsid w:val="00B92180"/>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B31DE"/>
    <w:rsid w:val="00BB3C52"/>
    <w:rsid w:val="00BB46C4"/>
    <w:rsid w:val="00BB4710"/>
    <w:rsid w:val="00BB4D47"/>
    <w:rsid w:val="00BB59CD"/>
    <w:rsid w:val="00BB5A9F"/>
    <w:rsid w:val="00BB600C"/>
    <w:rsid w:val="00BB6BB7"/>
    <w:rsid w:val="00BB7DFC"/>
    <w:rsid w:val="00BB7F65"/>
    <w:rsid w:val="00BC022A"/>
    <w:rsid w:val="00BC14BC"/>
    <w:rsid w:val="00BC1F75"/>
    <w:rsid w:val="00BC22F0"/>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32A"/>
    <w:rsid w:val="00BD5EF9"/>
    <w:rsid w:val="00BD62EA"/>
    <w:rsid w:val="00BD6671"/>
    <w:rsid w:val="00BD7134"/>
    <w:rsid w:val="00BE01DD"/>
    <w:rsid w:val="00BE0DA0"/>
    <w:rsid w:val="00BE2AB1"/>
    <w:rsid w:val="00BE411F"/>
    <w:rsid w:val="00BE4270"/>
    <w:rsid w:val="00BE5C69"/>
    <w:rsid w:val="00BE66F8"/>
    <w:rsid w:val="00BE715D"/>
    <w:rsid w:val="00BE7CDD"/>
    <w:rsid w:val="00BF003B"/>
    <w:rsid w:val="00BF04C1"/>
    <w:rsid w:val="00BF1F9F"/>
    <w:rsid w:val="00BF26E3"/>
    <w:rsid w:val="00BF2ABC"/>
    <w:rsid w:val="00BF431C"/>
    <w:rsid w:val="00BF442C"/>
    <w:rsid w:val="00BF4A4B"/>
    <w:rsid w:val="00BF4D04"/>
    <w:rsid w:val="00BF6818"/>
    <w:rsid w:val="00BF6BFF"/>
    <w:rsid w:val="00C007F4"/>
    <w:rsid w:val="00C01C22"/>
    <w:rsid w:val="00C01ECC"/>
    <w:rsid w:val="00C03EBB"/>
    <w:rsid w:val="00C058BA"/>
    <w:rsid w:val="00C06BE6"/>
    <w:rsid w:val="00C078E2"/>
    <w:rsid w:val="00C07B99"/>
    <w:rsid w:val="00C1185B"/>
    <w:rsid w:val="00C12956"/>
    <w:rsid w:val="00C12C54"/>
    <w:rsid w:val="00C14E8F"/>
    <w:rsid w:val="00C15122"/>
    <w:rsid w:val="00C1617F"/>
    <w:rsid w:val="00C20064"/>
    <w:rsid w:val="00C21057"/>
    <w:rsid w:val="00C21920"/>
    <w:rsid w:val="00C21E0A"/>
    <w:rsid w:val="00C21F4F"/>
    <w:rsid w:val="00C2241D"/>
    <w:rsid w:val="00C22B50"/>
    <w:rsid w:val="00C235A7"/>
    <w:rsid w:val="00C24068"/>
    <w:rsid w:val="00C24424"/>
    <w:rsid w:val="00C245E7"/>
    <w:rsid w:val="00C25AE2"/>
    <w:rsid w:val="00C26435"/>
    <w:rsid w:val="00C26A7F"/>
    <w:rsid w:val="00C26B13"/>
    <w:rsid w:val="00C27604"/>
    <w:rsid w:val="00C30EA5"/>
    <w:rsid w:val="00C311B4"/>
    <w:rsid w:val="00C31E67"/>
    <w:rsid w:val="00C327B6"/>
    <w:rsid w:val="00C32FE5"/>
    <w:rsid w:val="00C33B48"/>
    <w:rsid w:val="00C33DB7"/>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174"/>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389"/>
    <w:rsid w:val="00C74683"/>
    <w:rsid w:val="00C75F46"/>
    <w:rsid w:val="00C777B6"/>
    <w:rsid w:val="00C779EC"/>
    <w:rsid w:val="00C77EAA"/>
    <w:rsid w:val="00C77FC2"/>
    <w:rsid w:val="00C824AD"/>
    <w:rsid w:val="00C8328F"/>
    <w:rsid w:val="00C8352F"/>
    <w:rsid w:val="00C8399B"/>
    <w:rsid w:val="00C86A98"/>
    <w:rsid w:val="00C8734B"/>
    <w:rsid w:val="00C905CF"/>
    <w:rsid w:val="00C90697"/>
    <w:rsid w:val="00C90AA3"/>
    <w:rsid w:val="00C9109A"/>
    <w:rsid w:val="00C932C9"/>
    <w:rsid w:val="00C934B5"/>
    <w:rsid w:val="00C93788"/>
    <w:rsid w:val="00C9453B"/>
    <w:rsid w:val="00C95FE6"/>
    <w:rsid w:val="00C96033"/>
    <w:rsid w:val="00C97F61"/>
    <w:rsid w:val="00CA07E1"/>
    <w:rsid w:val="00CA07EB"/>
    <w:rsid w:val="00CA0EF5"/>
    <w:rsid w:val="00CA2465"/>
    <w:rsid w:val="00CA3612"/>
    <w:rsid w:val="00CA3E7A"/>
    <w:rsid w:val="00CA4D5E"/>
    <w:rsid w:val="00CA6AF9"/>
    <w:rsid w:val="00CA6B8C"/>
    <w:rsid w:val="00CB111D"/>
    <w:rsid w:val="00CB1544"/>
    <w:rsid w:val="00CB1764"/>
    <w:rsid w:val="00CB1BE3"/>
    <w:rsid w:val="00CB1F78"/>
    <w:rsid w:val="00CB2E8F"/>
    <w:rsid w:val="00CB38A5"/>
    <w:rsid w:val="00CB3F26"/>
    <w:rsid w:val="00CB4531"/>
    <w:rsid w:val="00CB4A35"/>
    <w:rsid w:val="00CB5C26"/>
    <w:rsid w:val="00CB6930"/>
    <w:rsid w:val="00CB6C2D"/>
    <w:rsid w:val="00CB6D26"/>
    <w:rsid w:val="00CB72C7"/>
    <w:rsid w:val="00CB7C93"/>
    <w:rsid w:val="00CC05EA"/>
    <w:rsid w:val="00CC2B39"/>
    <w:rsid w:val="00CC33F7"/>
    <w:rsid w:val="00CC34D7"/>
    <w:rsid w:val="00CC4071"/>
    <w:rsid w:val="00CC46A3"/>
    <w:rsid w:val="00CC6703"/>
    <w:rsid w:val="00CC6960"/>
    <w:rsid w:val="00CC726B"/>
    <w:rsid w:val="00CD0801"/>
    <w:rsid w:val="00CD099E"/>
    <w:rsid w:val="00CD166C"/>
    <w:rsid w:val="00CD1A34"/>
    <w:rsid w:val="00CD1C0A"/>
    <w:rsid w:val="00CD1F99"/>
    <w:rsid w:val="00CD22E7"/>
    <w:rsid w:val="00CD323D"/>
    <w:rsid w:val="00CD3E63"/>
    <w:rsid w:val="00CD4C26"/>
    <w:rsid w:val="00CD54EB"/>
    <w:rsid w:val="00CD5833"/>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0171"/>
    <w:rsid w:val="00CF3BC4"/>
    <w:rsid w:val="00CF47BD"/>
    <w:rsid w:val="00CF5598"/>
    <w:rsid w:val="00CF60FF"/>
    <w:rsid w:val="00D00CCD"/>
    <w:rsid w:val="00D02684"/>
    <w:rsid w:val="00D02A57"/>
    <w:rsid w:val="00D02A62"/>
    <w:rsid w:val="00D04EFA"/>
    <w:rsid w:val="00D05B3C"/>
    <w:rsid w:val="00D05D50"/>
    <w:rsid w:val="00D06096"/>
    <w:rsid w:val="00D066A2"/>
    <w:rsid w:val="00D06BCA"/>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49"/>
    <w:rsid w:val="00D312C1"/>
    <w:rsid w:val="00D31784"/>
    <w:rsid w:val="00D3328E"/>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7702"/>
    <w:rsid w:val="00D503CB"/>
    <w:rsid w:val="00D503D8"/>
    <w:rsid w:val="00D5081F"/>
    <w:rsid w:val="00D533B6"/>
    <w:rsid w:val="00D53E62"/>
    <w:rsid w:val="00D542F2"/>
    <w:rsid w:val="00D5485E"/>
    <w:rsid w:val="00D54AE9"/>
    <w:rsid w:val="00D5635A"/>
    <w:rsid w:val="00D5697F"/>
    <w:rsid w:val="00D571B9"/>
    <w:rsid w:val="00D57494"/>
    <w:rsid w:val="00D5762C"/>
    <w:rsid w:val="00D57AF5"/>
    <w:rsid w:val="00D57F9D"/>
    <w:rsid w:val="00D5C6D6"/>
    <w:rsid w:val="00D60262"/>
    <w:rsid w:val="00D603BC"/>
    <w:rsid w:val="00D60E8C"/>
    <w:rsid w:val="00D634C1"/>
    <w:rsid w:val="00D67985"/>
    <w:rsid w:val="00D706E5"/>
    <w:rsid w:val="00D71E33"/>
    <w:rsid w:val="00D72665"/>
    <w:rsid w:val="00D72AF2"/>
    <w:rsid w:val="00D739D5"/>
    <w:rsid w:val="00D740FF"/>
    <w:rsid w:val="00D7410B"/>
    <w:rsid w:val="00D77BD9"/>
    <w:rsid w:val="00D810A9"/>
    <w:rsid w:val="00D812A2"/>
    <w:rsid w:val="00D81EE2"/>
    <w:rsid w:val="00D8344B"/>
    <w:rsid w:val="00D8419A"/>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564E"/>
    <w:rsid w:val="00DA6323"/>
    <w:rsid w:val="00DA650B"/>
    <w:rsid w:val="00DA777C"/>
    <w:rsid w:val="00DA7E56"/>
    <w:rsid w:val="00DB14B3"/>
    <w:rsid w:val="00DB2D75"/>
    <w:rsid w:val="00DB3EDA"/>
    <w:rsid w:val="00DB41DD"/>
    <w:rsid w:val="00DB594A"/>
    <w:rsid w:val="00DB6CFE"/>
    <w:rsid w:val="00DB7620"/>
    <w:rsid w:val="00DC0C9D"/>
    <w:rsid w:val="00DC1A8D"/>
    <w:rsid w:val="00DC1FD3"/>
    <w:rsid w:val="00DC26D7"/>
    <w:rsid w:val="00DC271B"/>
    <w:rsid w:val="00DC2D5A"/>
    <w:rsid w:val="00DC3133"/>
    <w:rsid w:val="00DC403E"/>
    <w:rsid w:val="00DC4D30"/>
    <w:rsid w:val="00DC7614"/>
    <w:rsid w:val="00DC791F"/>
    <w:rsid w:val="00DD045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4592"/>
    <w:rsid w:val="00DE4627"/>
    <w:rsid w:val="00DE4BB0"/>
    <w:rsid w:val="00DE4D0F"/>
    <w:rsid w:val="00DE4D1D"/>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26EB"/>
    <w:rsid w:val="00E13397"/>
    <w:rsid w:val="00E14236"/>
    <w:rsid w:val="00E14E31"/>
    <w:rsid w:val="00E152B4"/>
    <w:rsid w:val="00E165B4"/>
    <w:rsid w:val="00E20111"/>
    <w:rsid w:val="00E21200"/>
    <w:rsid w:val="00E2368E"/>
    <w:rsid w:val="00E27DDF"/>
    <w:rsid w:val="00E301B9"/>
    <w:rsid w:val="00E31CCA"/>
    <w:rsid w:val="00E334DD"/>
    <w:rsid w:val="00E3372F"/>
    <w:rsid w:val="00E350B1"/>
    <w:rsid w:val="00E3520A"/>
    <w:rsid w:val="00E35401"/>
    <w:rsid w:val="00E36C1A"/>
    <w:rsid w:val="00E3749F"/>
    <w:rsid w:val="00E40D15"/>
    <w:rsid w:val="00E411A6"/>
    <w:rsid w:val="00E41678"/>
    <w:rsid w:val="00E42186"/>
    <w:rsid w:val="00E42B24"/>
    <w:rsid w:val="00E443F4"/>
    <w:rsid w:val="00E4535E"/>
    <w:rsid w:val="00E45644"/>
    <w:rsid w:val="00E45B47"/>
    <w:rsid w:val="00E45BF0"/>
    <w:rsid w:val="00E4643C"/>
    <w:rsid w:val="00E47C81"/>
    <w:rsid w:val="00E47E48"/>
    <w:rsid w:val="00E50185"/>
    <w:rsid w:val="00E50D7D"/>
    <w:rsid w:val="00E5302A"/>
    <w:rsid w:val="00E5405A"/>
    <w:rsid w:val="00E54974"/>
    <w:rsid w:val="00E54F0E"/>
    <w:rsid w:val="00E5596D"/>
    <w:rsid w:val="00E559E2"/>
    <w:rsid w:val="00E55CFA"/>
    <w:rsid w:val="00E560BA"/>
    <w:rsid w:val="00E57154"/>
    <w:rsid w:val="00E57E81"/>
    <w:rsid w:val="00E6011C"/>
    <w:rsid w:val="00E612D0"/>
    <w:rsid w:val="00E62AB5"/>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1B5A"/>
    <w:rsid w:val="00E82CF0"/>
    <w:rsid w:val="00E85E40"/>
    <w:rsid w:val="00E86A94"/>
    <w:rsid w:val="00E870AB"/>
    <w:rsid w:val="00E87819"/>
    <w:rsid w:val="00E90265"/>
    <w:rsid w:val="00E90615"/>
    <w:rsid w:val="00E91C65"/>
    <w:rsid w:val="00E940B9"/>
    <w:rsid w:val="00E9452A"/>
    <w:rsid w:val="00E94841"/>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1DE1"/>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1563"/>
    <w:rsid w:val="00EE1F25"/>
    <w:rsid w:val="00EE2AA0"/>
    <w:rsid w:val="00EE4729"/>
    <w:rsid w:val="00EE4A6A"/>
    <w:rsid w:val="00EE566A"/>
    <w:rsid w:val="00EE5EF0"/>
    <w:rsid w:val="00EE6C9B"/>
    <w:rsid w:val="00EF03AD"/>
    <w:rsid w:val="00EF113D"/>
    <w:rsid w:val="00EF2334"/>
    <w:rsid w:val="00EF23F6"/>
    <w:rsid w:val="00EF2FBD"/>
    <w:rsid w:val="00EF41C8"/>
    <w:rsid w:val="00EF4894"/>
    <w:rsid w:val="00EF50D0"/>
    <w:rsid w:val="00EF52EE"/>
    <w:rsid w:val="00EF56A6"/>
    <w:rsid w:val="00EF6E05"/>
    <w:rsid w:val="00EF7B57"/>
    <w:rsid w:val="00F005FE"/>
    <w:rsid w:val="00F00D89"/>
    <w:rsid w:val="00F02CD4"/>
    <w:rsid w:val="00F04575"/>
    <w:rsid w:val="00F05612"/>
    <w:rsid w:val="00F0655E"/>
    <w:rsid w:val="00F10203"/>
    <w:rsid w:val="00F104A0"/>
    <w:rsid w:val="00F10DE4"/>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3E9"/>
    <w:rsid w:val="00F35D4E"/>
    <w:rsid w:val="00F362F4"/>
    <w:rsid w:val="00F36B32"/>
    <w:rsid w:val="00F3721F"/>
    <w:rsid w:val="00F43296"/>
    <w:rsid w:val="00F43C6C"/>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074"/>
    <w:rsid w:val="00F574D5"/>
    <w:rsid w:val="00F60448"/>
    <w:rsid w:val="00F605F9"/>
    <w:rsid w:val="00F6082D"/>
    <w:rsid w:val="00F61481"/>
    <w:rsid w:val="00F618B3"/>
    <w:rsid w:val="00F61C33"/>
    <w:rsid w:val="00F62B1B"/>
    <w:rsid w:val="00F62E65"/>
    <w:rsid w:val="00F634C9"/>
    <w:rsid w:val="00F634ED"/>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1B6"/>
    <w:rsid w:val="00F75612"/>
    <w:rsid w:val="00F76935"/>
    <w:rsid w:val="00F76A64"/>
    <w:rsid w:val="00F80A5F"/>
    <w:rsid w:val="00F80A7D"/>
    <w:rsid w:val="00F80C96"/>
    <w:rsid w:val="00F82AF0"/>
    <w:rsid w:val="00F83574"/>
    <w:rsid w:val="00F847FF"/>
    <w:rsid w:val="00F84AE8"/>
    <w:rsid w:val="00F85295"/>
    <w:rsid w:val="00F90A8A"/>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282"/>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20F86B"/>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6FD8509"/>
    <w:rsid w:val="075533B5"/>
    <w:rsid w:val="077D115B"/>
    <w:rsid w:val="07F90ED3"/>
    <w:rsid w:val="0828BE6B"/>
    <w:rsid w:val="083F98C7"/>
    <w:rsid w:val="08473C56"/>
    <w:rsid w:val="0861878D"/>
    <w:rsid w:val="08783D74"/>
    <w:rsid w:val="0911EAEB"/>
    <w:rsid w:val="09367DE7"/>
    <w:rsid w:val="096C65D7"/>
    <w:rsid w:val="09752946"/>
    <w:rsid w:val="09A0FF0A"/>
    <w:rsid w:val="09BE687E"/>
    <w:rsid w:val="0AF88E2F"/>
    <w:rsid w:val="0B103690"/>
    <w:rsid w:val="0B1054CB"/>
    <w:rsid w:val="0C391661"/>
    <w:rsid w:val="0CE6C6D2"/>
    <w:rsid w:val="0D172931"/>
    <w:rsid w:val="0D2BFA75"/>
    <w:rsid w:val="0D440878"/>
    <w:rsid w:val="0DF1DC61"/>
    <w:rsid w:val="0E3F1FAF"/>
    <w:rsid w:val="0EC0BC2F"/>
    <w:rsid w:val="0ED6ABD6"/>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B3CC48"/>
    <w:rsid w:val="16C06816"/>
    <w:rsid w:val="176ED2C7"/>
    <w:rsid w:val="184080AA"/>
    <w:rsid w:val="1840E64C"/>
    <w:rsid w:val="1866ACA6"/>
    <w:rsid w:val="18779747"/>
    <w:rsid w:val="188FB6D3"/>
    <w:rsid w:val="18943C20"/>
    <w:rsid w:val="1924054C"/>
    <w:rsid w:val="19DD8404"/>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A54861"/>
    <w:rsid w:val="23BCAC80"/>
    <w:rsid w:val="23BFBAD3"/>
    <w:rsid w:val="23DF278E"/>
    <w:rsid w:val="2429D5E3"/>
    <w:rsid w:val="250C2A66"/>
    <w:rsid w:val="2516F8EC"/>
    <w:rsid w:val="252924B2"/>
    <w:rsid w:val="25639E99"/>
    <w:rsid w:val="25AE62FB"/>
    <w:rsid w:val="261A631F"/>
    <w:rsid w:val="26333270"/>
    <w:rsid w:val="26A179E0"/>
    <w:rsid w:val="272CB665"/>
    <w:rsid w:val="273E812F"/>
    <w:rsid w:val="27B0A8D9"/>
    <w:rsid w:val="27CA4ED3"/>
    <w:rsid w:val="27D4A41C"/>
    <w:rsid w:val="27D4B8B2"/>
    <w:rsid w:val="280C3370"/>
    <w:rsid w:val="28ED1264"/>
    <w:rsid w:val="291D19D4"/>
    <w:rsid w:val="293C868F"/>
    <w:rsid w:val="298F0E45"/>
    <w:rsid w:val="29B2029C"/>
    <w:rsid w:val="2AFBC1F9"/>
    <w:rsid w:val="2B7DB66D"/>
    <w:rsid w:val="2BA4AF15"/>
    <w:rsid w:val="2BB2273D"/>
    <w:rsid w:val="2C6D92E9"/>
    <w:rsid w:val="2CB22C93"/>
    <w:rsid w:val="2CE28EF2"/>
    <w:rsid w:val="2D4DBAEA"/>
    <w:rsid w:val="2D53791D"/>
    <w:rsid w:val="2DBFE9CA"/>
    <w:rsid w:val="2DD127E1"/>
    <w:rsid w:val="2DECACDD"/>
    <w:rsid w:val="2E4AA436"/>
    <w:rsid w:val="2E626AD2"/>
    <w:rsid w:val="2F013E8A"/>
    <w:rsid w:val="2F0F00E9"/>
    <w:rsid w:val="2F1B7178"/>
    <w:rsid w:val="2F3ECA62"/>
    <w:rsid w:val="2F829A74"/>
    <w:rsid w:val="2F92698C"/>
    <w:rsid w:val="2FA6FAD3"/>
    <w:rsid w:val="2FBA86FB"/>
    <w:rsid w:val="2FD46499"/>
    <w:rsid w:val="3004A8BD"/>
    <w:rsid w:val="30FA96BF"/>
    <w:rsid w:val="313196FF"/>
    <w:rsid w:val="317034FA"/>
    <w:rsid w:val="31BCC1B9"/>
    <w:rsid w:val="320BA99E"/>
    <w:rsid w:val="3228E1AD"/>
    <w:rsid w:val="3257E760"/>
    <w:rsid w:val="32818005"/>
    <w:rsid w:val="32A6E661"/>
    <w:rsid w:val="32C492C3"/>
    <w:rsid w:val="32C64423"/>
    <w:rsid w:val="32DC4290"/>
    <w:rsid w:val="32FA64E2"/>
    <w:rsid w:val="3323B89A"/>
    <w:rsid w:val="334A73EE"/>
    <w:rsid w:val="334F0760"/>
    <w:rsid w:val="337AB4A9"/>
    <w:rsid w:val="33FA254B"/>
    <w:rsid w:val="348BB948"/>
    <w:rsid w:val="34D5F597"/>
    <w:rsid w:val="351CFC39"/>
    <w:rsid w:val="35251529"/>
    <w:rsid w:val="353FA472"/>
    <w:rsid w:val="35772A0E"/>
    <w:rsid w:val="35A43028"/>
    <w:rsid w:val="35AD6F2B"/>
    <w:rsid w:val="35AE58AD"/>
    <w:rsid w:val="35D3FC2F"/>
    <w:rsid w:val="35D690E4"/>
    <w:rsid w:val="364610DD"/>
    <w:rsid w:val="36484DB1"/>
    <w:rsid w:val="364D96BF"/>
    <w:rsid w:val="3684DEAC"/>
    <w:rsid w:val="369A68DD"/>
    <w:rsid w:val="36F6E7B3"/>
    <w:rsid w:val="3720DB47"/>
    <w:rsid w:val="3738652F"/>
    <w:rsid w:val="373F886C"/>
    <w:rsid w:val="37907C02"/>
    <w:rsid w:val="379D2EB9"/>
    <w:rsid w:val="37F08D6B"/>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9E9E7C"/>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5AD08B"/>
    <w:rsid w:val="42AA5FDB"/>
    <w:rsid w:val="42EC4CDC"/>
    <w:rsid w:val="4368BE89"/>
    <w:rsid w:val="43ADCA0E"/>
    <w:rsid w:val="43C7895C"/>
    <w:rsid w:val="4464B56E"/>
    <w:rsid w:val="44A640D6"/>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0BF7A0"/>
    <w:rsid w:val="4B6BE3E3"/>
    <w:rsid w:val="4C07D5A0"/>
    <w:rsid w:val="4C0CB4D8"/>
    <w:rsid w:val="4C122AE9"/>
    <w:rsid w:val="4C33BF82"/>
    <w:rsid w:val="4C64C5FC"/>
    <w:rsid w:val="4D1920AB"/>
    <w:rsid w:val="4D255023"/>
    <w:rsid w:val="4D7A5F71"/>
    <w:rsid w:val="4D8A977F"/>
    <w:rsid w:val="4D9F5029"/>
    <w:rsid w:val="4E0D1B47"/>
    <w:rsid w:val="4E4DD800"/>
    <w:rsid w:val="4E53A0F5"/>
    <w:rsid w:val="4E6BC79A"/>
    <w:rsid w:val="4E7D5954"/>
    <w:rsid w:val="4EAA4240"/>
    <w:rsid w:val="4F791A6C"/>
    <w:rsid w:val="4FDAA9F5"/>
    <w:rsid w:val="4FF4508E"/>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5D97163"/>
    <w:rsid w:val="563B4058"/>
    <w:rsid w:val="5641A138"/>
    <w:rsid w:val="56B7E395"/>
    <w:rsid w:val="56BAC590"/>
    <w:rsid w:val="571F3DD0"/>
    <w:rsid w:val="5743EE7C"/>
    <w:rsid w:val="574C3B52"/>
    <w:rsid w:val="575F896E"/>
    <w:rsid w:val="576BA80D"/>
    <w:rsid w:val="5783D44B"/>
    <w:rsid w:val="57913241"/>
    <w:rsid w:val="57C08CD4"/>
    <w:rsid w:val="57ED5785"/>
    <w:rsid w:val="57F3D7E7"/>
    <w:rsid w:val="5842BCAC"/>
    <w:rsid w:val="590951B3"/>
    <w:rsid w:val="59760802"/>
    <w:rsid w:val="599806A7"/>
    <w:rsid w:val="599A63B8"/>
    <w:rsid w:val="599FACC6"/>
    <w:rsid w:val="5A871CB4"/>
    <w:rsid w:val="5B41B7E0"/>
    <w:rsid w:val="5B61249B"/>
    <w:rsid w:val="5B613931"/>
    <w:rsid w:val="5B75EBFC"/>
    <w:rsid w:val="5BCB9128"/>
    <w:rsid w:val="5C7273AF"/>
    <w:rsid w:val="5C91BF21"/>
    <w:rsid w:val="5C984008"/>
    <w:rsid w:val="5CEEB28B"/>
    <w:rsid w:val="5D125766"/>
    <w:rsid w:val="5D1B8EC4"/>
    <w:rsid w:val="5D3AFB7F"/>
    <w:rsid w:val="5E06CCB9"/>
    <w:rsid w:val="5E1E4FF7"/>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4B71862"/>
    <w:rsid w:val="6508E4F1"/>
    <w:rsid w:val="651F76D7"/>
    <w:rsid w:val="656ED8A1"/>
    <w:rsid w:val="65BF7CB9"/>
    <w:rsid w:val="65E467DF"/>
    <w:rsid w:val="667195E1"/>
    <w:rsid w:val="669E9402"/>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3EA688"/>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9C59FC"/>
    <w:rsid w:val="78AA4B8D"/>
    <w:rsid w:val="78B23DE6"/>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7C1828"/>
    <w:rsid w:val="7BC12847"/>
    <w:rsid w:val="7BDCE014"/>
    <w:rsid w:val="7C116F33"/>
    <w:rsid w:val="7CDEF500"/>
    <w:rsid w:val="7CF18FFC"/>
    <w:rsid w:val="7E93CDE7"/>
    <w:rsid w:val="7EB33AA2"/>
    <w:rsid w:val="7ED346FA"/>
    <w:rsid w:val="7F0B9B80"/>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docId w15:val="{640C4E14-1893-4ACD-8645-9B4ADF44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5B2D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eastAsia="en-GB"/>
    </w:rPr>
  </w:style>
  <w:style w:type="paragraph" w:styleId="FootnoteText">
    <w:name w:val="footnote text"/>
    <w:basedOn w:val="Normal"/>
    <w:link w:val="FootnoteTextChar"/>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semiHidden/>
    <w:unhideWhenUsed/>
    <w:rsid w:val="00D77BD9"/>
    <w:rPr>
      <w:vertAlign w:val="superscript"/>
    </w:rPr>
  </w:style>
  <w:style w:type="character" w:customStyle="1" w:styleId="Heading2Char">
    <w:name w:val="Heading 2 Char"/>
    <w:basedOn w:val="DefaultParagraphFont"/>
    <w:link w:val="Heading2"/>
    <w:uiPriority w:val="9"/>
    <w:semiHidden/>
    <w:rsid w:val="005B2DD9"/>
    <w:rPr>
      <w:rFonts w:asciiTheme="majorHAnsi" w:eastAsiaTheme="majorEastAsia" w:hAnsiTheme="majorHAnsi" w:cstheme="majorBidi"/>
      <w:color w:val="2F5496" w:themeColor="accent1" w:themeShade="BF"/>
      <w:sz w:val="26"/>
      <w:szCs w:val="26"/>
      <w:lang w:eastAsia="en-GB"/>
    </w:rPr>
  </w:style>
  <w:style w:type="paragraph" w:styleId="BalloonText">
    <w:name w:val="Balloon Text"/>
    <w:basedOn w:val="Normal"/>
    <w:link w:val="BalloonTextChar"/>
    <w:uiPriority w:val="99"/>
    <w:semiHidden/>
    <w:unhideWhenUsed/>
    <w:rsid w:val="002220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083"/>
    <w:rPr>
      <w:rFonts w:ascii="Tahoma" w:eastAsia="Arial"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5215">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571816172">
      <w:bodyDiv w:val="1"/>
      <w:marLeft w:val="0"/>
      <w:marRight w:val="0"/>
      <w:marTop w:val="0"/>
      <w:marBottom w:val="0"/>
      <w:divBdr>
        <w:top w:val="none" w:sz="0" w:space="0" w:color="auto"/>
        <w:left w:val="none" w:sz="0" w:space="0" w:color="auto"/>
        <w:bottom w:val="none" w:sz="0" w:space="0" w:color="auto"/>
        <w:right w:val="none" w:sz="0" w:space="0" w:color="auto"/>
      </w:divBdr>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656614726">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867447347">
      <w:bodyDiv w:val="1"/>
      <w:marLeft w:val="0"/>
      <w:marRight w:val="0"/>
      <w:marTop w:val="0"/>
      <w:marBottom w:val="0"/>
      <w:divBdr>
        <w:top w:val="none" w:sz="0" w:space="0" w:color="auto"/>
        <w:left w:val="none" w:sz="0" w:space="0" w:color="auto"/>
        <w:bottom w:val="none" w:sz="0" w:space="0" w:color="auto"/>
        <w:right w:val="none" w:sz="0" w:space="0" w:color="auto"/>
      </w:divBdr>
    </w:div>
    <w:div w:id="873226674">
      <w:bodyDiv w:val="1"/>
      <w:marLeft w:val="0"/>
      <w:marRight w:val="0"/>
      <w:marTop w:val="0"/>
      <w:marBottom w:val="0"/>
      <w:divBdr>
        <w:top w:val="none" w:sz="0" w:space="0" w:color="auto"/>
        <w:left w:val="none" w:sz="0" w:space="0" w:color="auto"/>
        <w:bottom w:val="none" w:sz="0" w:space="0" w:color="auto"/>
        <w:right w:val="none" w:sz="0" w:space="0" w:color="auto"/>
      </w:divBdr>
    </w:div>
    <w:div w:id="1298993490">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93170">
      <w:bodyDiv w:val="1"/>
      <w:marLeft w:val="0"/>
      <w:marRight w:val="0"/>
      <w:marTop w:val="0"/>
      <w:marBottom w:val="0"/>
      <w:divBdr>
        <w:top w:val="none" w:sz="0" w:space="0" w:color="auto"/>
        <w:left w:val="none" w:sz="0" w:space="0" w:color="auto"/>
        <w:bottom w:val="none" w:sz="0" w:space="0" w:color="auto"/>
        <w:right w:val="none" w:sz="0" w:space="0" w:color="auto"/>
      </w:divBdr>
    </w:div>
    <w:div w:id="1666397156">
      <w:bodyDiv w:val="1"/>
      <w:marLeft w:val="0"/>
      <w:marRight w:val="0"/>
      <w:marTop w:val="0"/>
      <w:marBottom w:val="0"/>
      <w:divBdr>
        <w:top w:val="none" w:sz="0" w:space="0" w:color="auto"/>
        <w:left w:val="none" w:sz="0" w:space="0" w:color="auto"/>
        <w:bottom w:val="none" w:sz="0" w:space="0" w:color="auto"/>
        <w:right w:val="none" w:sz="0" w:space="0" w:color="auto"/>
      </w:divBdr>
      <w:divsChild>
        <w:div w:id="1621034601">
          <w:marLeft w:val="0"/>
          <w:marRight w:val="0"/>
          <w:marTop w:val="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5392">
      <w:bodyDiv w:val="1"/>
      <w:marLeft w:val="0"/>
      <w:marRight w:val="0"/>
      <w:marTop w:val="0"/>
      <w:marBottom w:val="0"/>
      <w:divBdr>
        <w:top w:val="none" w:sz="0" w:space="0" w:color="auto"/>
        <w:left w:val="none" w:sz="0" w:space="0" w:color="auto"/>
        <w:bottom w:val="none" w:sz="0" w:space="0" w:color="auto"/>
        <w:right w:val="none" w:sz="0" w:space="0" w:color="auto"/>
      </w:divBdr>
    </w:div>
    <w:div w:id="1895192265">
      <w:bodyDiv w:val="1"/>
      <w:marLeft w:val="0"/>
      <w:marRight w:val="0"/>
      <w:marTop w:val="0"/>
      <w:marBottom w:val="0"/>
      <w:divBdr>
        <w:top w:val="none" w:sz="0" w:space="0" w:color="auto"/>
        <w:left w:val="none" w:sz="0" w:space="0" w:color="auto"/>
        <w:bottom w:val="none" w:sz="0" w:space="0" w:color="auto"/>
        <w:right w:val="none" w:sz="0" w:space="0" w:color="auto"/>
      </w:divBdr>
      <w:divsChild>
        <w:div w:id="1488981156">
          <w:marLeft w:val="0"/>
          <w:marRight w:val="0"/>
          <w:marTop w:val="0"/>
          <w:marBottom w:val="0"/>
          <w:divBdr>
            <w:top w:val="none" w:sz="0" w:space="0" w:color="auto"/>
            <w:left w:val="none" w:sz="0" w:space="0" w:color="auto"/>
            <w:bottom w:val="none" w:sz="0" w:space="0" w:color="auto"/>
            <w:right w:val="none" w:sz="0" w:space="0" w:color="auto"/>
          </w:divBdr>
        </w:div>
      </w:divsChild>
    </w:div>
    <w:div w:id="2046711430">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GAVI-438364776-957573</_dlc_DocId>
    <_dlc_DocIdUrl xmlns="55894003-98dc-4f3e-8669-85b90bdbcc8c">
      <Url>https://gavinet.sharepoint.com/teams/PAP/srp/_layouts/15/DocIdRedir.aspx?ID=GAVI-438364776-957573</Url>
      <Description>GAVI-438364776-957573</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2.xml><?xml version="1.0" encoding="utf-8"?>
<ds:datastoreItem xmlns:ds="http://schemas.openxmlformats.org/officeDocument/2006/customXml" ds:itemID="{443ABCCA-2525-4A32-B18C-E44E28EFC753}">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a0d399e1-4586-4335-9383-7d9098bfc9ba"/>
    <ds:schemaRef ds:uri="http://www.w3.org/XML/1998/namespace"/>
    <ds:schemaRef ds:uri="d0706217-df7c-4bf4-936d-b09aa3b837af"/>
    <ds:schemaRef ds:uri="700359ba-e36c-422a-9925-ddada98091a9"/>
    <ds:schemaRef ds:uri="http://schemas.microsoft.com/office/2006/metadata/properties"/>
    <ds:schemaRef ds:uri="55894003-98dc-4f3e-8669-85b90bdbcc8c"/>
  </ds:schemaRefs>
</ds:datastoreItem>
</file>

<file path=customXml/itemProps3.xml><?xml version="1.0" encoding="utf-8"?>
<ds:datastoreItem xmlns:ds="http://schemas.openxmlformats.org/officeDocument/2006/customXml" ds:itemID="{9610D38D-4859-485F-AC97-22C466A06DC1}"/>
</file>

<file path=customXml/itemProps4.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5.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6.xml><?xml version="1.0" encoding="utf-8"?>
<ds:datastoreItem xmlns:ds="http://schemas.openxmlformats.org/officeDocument/2006/customXml" ds:itemID="{5549999E-AD2E-4FEB-B4D1-0C178297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6238</Words>
  <Characters>35560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seeee</vt:lpstr>
    </vt:vector>
  </TitlesOfParts>
  <Company>Hewlett-Packard Company</Company>
  <LinksUpToDate>false</LinksUpToDate>
  <CharactersWithSpaces>41715</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creator>Stephanie Phipps (Consultant)</dc:creator>
  <cp:lastModifiedBy>Aichatou Cisse</cp:lastModifiedBy>
  <cp:revision>6</cp:revision>
  <cp:lastPrinted>2022-04-21T18:22:00Z</cp:lastPrinted>
  <dcterms:created xsi:type="dcterms:W3CDTF">2022-05-31T07:27:00Z</dcterms:created>
  <dcterms:modified xsi:type="dcterms:W3CDTF">2022-05-31T07:30:00Z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e852d31e-84e6-4590-a4cf-c8514239ab42</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