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5041" w14:textId="0D4939FA" w:rsidR="59D9957C" w:rsidRDefault="59D9957C" w:rsidP="59D9957C">
      <w:pPr>
        <w:spacing w:line="300" w:lineRule="exact"/>
        <w:jc w:val="center"/>
        <w:rPr>
          <w:b/>
          <w:bCs/>
          <w:color w:val="4472C4" w:themeColor="accent1"/>
          <w:sz w:val="32"/>
          <w:szCs w:val="32"/>
          <w:lang w:val="en-GB"/>
        </w:rPr>
      </w:pPr>
      <w:r w:rsidRPr="59D9957C">
        <w:rPr>
          <w:b/>
          <w:bCs/>
          <w:color w:val="4472C4" w:themeColor="accent1"/>
          <w:sz w:val="32"/>
          <w:szCs w:val="32"/>
          <w:lang w:val="en-GB"/>
        </w:rPr>
        <w:t>Lesotho</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24226B2F">
        <w:tc>
          <w:tcPr>
            <w:tcW w:w="2185" w:type="dxa"/>
            <w:shd w:val="clear" w:color="auto" w:fill="DEEAF6" w:themeFill="accent5" w:themeFillTint="33"/>
          </w:tcPr>
          <w:p w14:paraId="7BD2C001" w14:textId="20F00943" w:rsidR="00FB048D" w:rsidRPr="00372D1F" w:rsidRDefault="00FB048D" w:rsidP="00FC4A11">
            <w:pPr>
              <w:spacing w:line="300" w:lineRule="exact"/>
              <w:rPr>
                <w:b/>
                <w:lang w:val="en-GB"/>
              </w:rPr>
            </w:pPr>
            <w:r w:rsidRPr="00372D1F">
              <w:rPr>
                <w:b/>
                <w:lang w:val="en-GB"/>
              </w:rPr>
              <w:t>Total Envelope</w:t>
            </w:r>
          </w:p>
        </w:tc>
        <w:tc>
          <w:tcPr>
            <w:tcW w:w="5748" w:type="dxa"/>
            <w:gridSpan w:val="2"/>
            <w:shd w:val="clear" w:color="auto" w:fill="DEEAF6" w:themeFill="accent5" w:themeFillTint="33"/>
          </w:tcPr>
          <w:p w14:paraId="5F1CD927" w14:textId="6426DCE3" w:rsidR="00FB048D" w:rsidRPr="00372D1F" w:rsidRDefault="00FB048D" w:rsidP="00FC4A11">
            <w:pPr>
              <w:spacing w:line="300" w:lineRule="exact"/>
              <w:rPr>
                <w:b/>
                <w:lang w:val="en-GB"/>
              </w:rPr>
            </w:pPr>
            <w:r w:rsidRPr="00372D1F">
              <w:rPr>
                <w:b/>
                <w:lang w:val="en-GB"/>
              </w:rPr>
              <w:t>Indicative allocation per 2022-2025</w:t>
            </w:r>
          </w:p>
        </w:tc>
        <w:tc>
          <w:tcPr>
            <w:tcW w:w="1134" w:type="dxa"/>
            <w:shd w:val="clear" w:color="auto" w:fill="DEEAF6" w:themeFill="accent5" w:themeFillTint="33"/>
          </w:tcPr>
          <w:p w14:paraId="7640021E" w14:textId="0969877A" w:rsidR="00FB048D" w:rsidRPr="00372D1F" w:rsidRDefault="00FB048D" w:rsidP="00FC4A11">
            <w:pPr>
              <w:spacing w:line="300" w:lineRule="exact"/>
              <w:rPr>
                <w:b/>
                <w:lang w:val="en-GB"/>
              </w:rPr>
            </w:pPr>
            <w:r>
              <w:rPr>
                <w:b/>
                <w:lang w:val="en-GB"/>
              </w:rPr>
              <w:t>%</w:t>
            </w:r>
          </w:p>
        </w:tc>
      </w:tr>
      <w:tr w:rsidR="00FB048D" w14:paraId="150C4E2A" w14:textId="117ACA42" w:rsidTr="24226B2F">
        <w:tc>
          <w:tcPr>
            <w:tcW w:w="2185" w:type="dxa"/>
            <w:vMerge w:val="restart"/>
            <w:shd w:val="clear" w:color="auto" w:fill="FFFFFF" w:themeFill="background1"/>
          </w:tcPr>
          <w:p w14:paraId="731ED098" w14:textId="4E0B465C" w:rsidR="00FB048D" w:rsidRDefault="00FB048D" w:rsidP="24226B2F">
            <w:pPr>
              <w:spacing w:line="300" w:lineRule="exact"/>
              <w:rPr>
                <w:color w:val="808080" w:themeColor="background1" w:themeShade="80"/>
                <w:lang w:val="en-GB"/>
              </w:rPr>
            </w:pPr>
            <w:r w:rsidRPr="24226B2F">
              <w:rPr>
                <w:color w:val="808080" w:themeColor="background1" w:themeShade="80"/>
                <w:lang w:val="en-GB"/>
              </w:rPr>
              <w:t>$</w:t>
            </w:r>
            <w:r w:rsidR="24226B2F" w:rsidRPr="24226B2F">
              <w:rPr>
                <w:color w:val="808080" w:themeColor="background1" w:themeShade="80"/>
                <w:lang w:val="en-GB"/>
              </w:rPr>
              <w:t>2,731,992</w:t>
            </w:r>
          </w:p>
        </w:tc>
        <w:tc>
          <w:tcPr>
            <w:tcW w:w="787" w:type="dxa"/>
            <w:shd w:val="clear" w:color="auto" w:fill="E2EFD9" w:themeFill="accent6" w:themeFillTint="33"/>
          </w:tcPr>
          <w:p w14:paraId="7CFDAA42" w14:textId="1406FB5F" w:rsidR="00FB048D" w:rsidRPr="007530C5" w:rsidRDefault="00FB048D" w:rsidP="24226B2F">
            <w:pPr>
              <w:spacing w:line="300" w:lineRule="exact"/>
              <w:rPr>
                <w:b/>
                <w:bCs/>
                <w:lang w:val="en-GB"/>
              </w:rPr>
            </w:pPr>
            <w:r w:rsidRPr="24226B2F">
              <w:rPr>
                <w:b/>
                <w:bCs/>
                <w:lang w:val="en-GB"/>
              </w:rPr>
              <w:t>2022</w:t>
            </w:r>
          </w:p>
        </w:tc>
        <w:tc>
          <w:tcPr>
            <w:tcW w:w="4961" w:type="dxa"/>
            <w:shd w:val="clear" w:color="auto" w:fill="E2EFD9" w:themeFill="accent6" w:themeFillTint="33"/>
          </w:tcPr>
          <w:p w14:paraId="43FE07BB" w14:textId="677D8ED0" w:rsidR="00FB048D" w:rsidRPr="003F1471" w:rsidRDefault="00FB048D" w:rsidP="24226B2F">
            <w:pPr>
              <w:spacing w:line="300" w:lineRule="exact"/>
              <w:rPr>
                <w:color w:val="808080" w:themeColor="background1" w:themeShade="80"/>
                <w:lang w:val="en-GB"/>
              </w:rPr>
            </w:pPr>
            <w:r w:rsidRPr="24226B2F">
              <w:rPr>
                <w:color w:val="808080" w:themeColor="background1" w:themeShade="80"/>
                <w:lang w:val="en-GB"/>
              </w:rPr>
              <w:t>$</w:t>
            </w:r>
            <w:r w:rsidR="24226B2F" w:rsidRPr="24226B2F">
              <w:rPr>
                <w:color w:val="808080" w:themeColor="background1" w:themeShade="80"/>
                <w:lang w:val="en-GB"/>
              </w:rPr>
              <w:t>617,349</w:t>
            </w:r>
          </w:p>
          <w:p w14:paraId="00353A5A" w14:textId="21E534DA" w:rsidR="00FB048D" w:rsidRPr="003F1471" w:rsidRDefault="00FB048D" w:rsidP="24226B2F">
            <w:pPr>
              <w:spacing w:line="300" w:lineRule="exact"/>
              <w:rPr>
                <w:color w:val="808080" w:themeColor="background1" w:themeShade="80"/>
                <w:lang w:val="en-GB"/>
              </w:rPr>
            </w:pPr>
          </w:p>
        </w:tc>
        <w:tc>
          <w:tcPr>
            <w:tcW w:w="1134" w:type="dxa"/>
            <w:shd w:val="clear" w:color="auto" w:fill="E2EFD9" w:themeFill="accent6" w:themeFillTint="33"/>
          </w:tcPr>
          <w:p w14:paraId="2EADFDF3" w14:textId="6856F6AD" w:rsidR="00FB048D" w:rsidRDefault="24226B2F" w:rsidP="24226B2F">
            <w:pPr>
              <w:spacing w:line="300" w:lineRule="exact"/>
              <w:rPr>
                <w:color w:val="808080" w:themeColor="background1" w:themeShade="80"/>
                <w:lang w:val="en-GB"/>
              </w:rPr>
            </w:pPr>
            <w:r w:rsidRPr="24226B2F">
              <w:rPr>
                <w:color w:val="808080" w:themeColor="background1" w:themeShade="80"/>
                <w:lang w:val="en-GB"/>
              </w:rPr>
              <w:t>22.6</w:t>
            </w:r>
          </w:p>
        </w:tc>
      </w:tr>
      <w:tr w:rsidR="00FB048D" w14:paraId="3A3CDB53" w14:textId="7AF48707" w:rsidTr="24226B2F">
        <w:tc>
          <w:tcPr>
            <w:tcW w:w="2185" w:type="dxa"/>
            <w:vMerge/>
          </w:tcPr>
          <w:p w14:paraId="0CA26921"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2F76FA56" w:rsidR="00FB048D" w:rsidRPr="007530C5" w:rsidRDefault="00FB048D" w:rsidP="24226B2F">
            <w:pPr>
              <w:spacing w:line="300" w:lineRule="exact"/>
              <w:rPr>
                <w:b/>
                <w:bCs/>
                <w:lang w:val="en-GB"/>
              </w:rPr>
            </w:pPr>
            <w:r w:rsidRPr="24226B2F">
              <w:rPr>
                <w:b/>
                <w:bCs/>
                <w:lang w:val="en-GB"/>
              </w:rPr>
              <w:t>2023</w:t>
            </w:r>
          </w:p>
        </w:tc>
        <w:tc>
          <w:tcPr>
            <w:tcW w:w="4961" w:type="dxa"/>
            <w:shd w:val="clear" w:color="auto" w:fill="E2EFD9" w:themeFill="accent6" w:themeFillTint="33"/>
          </w:tcPr>
          <w:p w14:paraId="46F72DE8" w14:textId="6C911423" w:rsidR="00FB048D" w:rsidRPr="003F1471" w:rsidRDefault="00FB048D" w:rsidP="24226B2F">
            <w:pPr>
              <w:spacing w:line="300" w:lineRule="exact"/>
              <w:rPr>
                <w:color w:val="808080" w:themeColor="background1" w:themeShade="80"/>
                <w:lang w:val="en-GB"/>
              </w:rPr>
            </w:pPr>
            <w:r w:rsidRPr="24226B2F">
              <w:rPr>
                <w:color w:val="808080" w:themeColor="background1" w:themeShade="80"/>
                <w:lang w:val="en-GB"/>
              </w:rPr>
              <w:t>$</w:t>
            </w:r>
            <w:r w:rsidR="24226B2F" w:rsidRPr="24226B2F">
              <w:rPr>
                <w:color w:val="808080" w:themeColor="background1" w:themeShade="80"/>
                <w:lang w:val="en-GB"/>
              </w:rPr>
              <w:t>704,881</w:t>
            </w:r>
          </w:p>
          <w:p w14:paraId="4DA7D255" w14:textId="2FF52D8F" w:rsidR="00FB048D" w:rsidRPr="003F1471" w:rsidRDefault="00FB048D" w:rsidP="24226B2F">
            <w:pPr>
              <w:spacing w:line="300" w:lineRule="exact"/>
              <w:rPr>
                <w:color w:val="808080" w:themeColor="background1" w:themeShade="80"/>
                <w:lang w:val="en-GB"/>
              </w:rPr>
            </w:pPr>
          </w:p>
        </w:tc>
        <w:tc>
          <w:tcPr>
            <w:tcW w:w="1134" w:type="dxa"/>
            <w:shd w:val="clear" w:color="auto" w:fill="E2EFD9" w:themeFill="accent6" w:themeFillTint="33"/>
          </w:tcPr>
          <w:p w14:paraId="11ED1C8B" w14:textId="7E793EBA" w:rsidR="00FB048D" w:rsidRDefault="24226B2F" w:rsidP="24226B2F">
            <w:pPr>
              <w:spacing w:line="300" w:lineRule="exact"/>
              <w:rPr>
                <w:color w:val="808080" w:themeColor="background1" w:themeShade="80"/>
                <w:lang w:val="en-GB"/>
              </w:rPr>
            </w:pPr>
            <w:r w:rsidRPr="24226B2F">
              <w:rPr>
                <w:color w:val="808080" w:themeColor="background1" w:themeShade="80"/>
                <w:lang w:val="en-GB"/>
              </w:rPr>
              <w:t>25.8%</w:t>
            </w:r>
          </w:p>
        </w:tc>
      </w:tr>
      <w:tr w:rsidR="00FB048D" w14:paraId="2B41AF6E" w14:textId="32236133" w:rsidTr="24226B2F">
        <w:tc>
          <w:tcPr>
            <w:tcW w:w="2185" w:type="dxa"/>
            <w:vMerge/>
          </w:tcPr>
          <w:p w14:paraId="738943EB"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28C528DF" w14:textId="4AE7C869" w:rsidR="00FB048D" w:rsidRPr="007530C5" w:rsidRDefault="00FB048D" w:rsidP="24226B2F">
            <w:pPr>
              <w:spacing w:line="300" w:lineRule="exact"/>
              <w:rPr>
                <w:b/>
                <w:bCs/>
                <w:lang w:val="en-GB"/>
              </w:rPr>
            </w:pPr>
            <w:r w:rsidRPr="24226B2F">
              <w:rPr>
                <w:b/>
                <w:bCs/>
                <w:lang w:val="en-GB"/>
              </w:rPr>
              <w:t>2024</w:t>
            </w:r>
          </w:p>
        </w:tc>
        <w:tc>
          <w:tcPr>
            <w:tcW w:w="4961" w:type="dxa"/>
            <w:shd w:val="clear" w:color="auto" w:fill="E2EFD9" w:themeFill="accent6" w:themeFillTint="33"/>
          </w:tcPr>
          <w:p w14:paraId="75476E24" w14:textId="55D33387" w:rsidR="00FB048D" w:rsidRPr="003F1471" w:rsidRDefault="00FB048D" w:rsidP="24226B2F">
            <w:pPr>
              <w:spacing w:line="300" w:lineRule="exact"/>
              <w:rPr>
                <w:color w:val="808080" w:themeColor="background1" w:themeShade="80"/>
                <w:lang w:val="en-GB"/>
              </w:rPr>
            </w:pPr>
            <w:r w:rsidRPr="24226B2F">
              <w:rPr>
                <w:color w:val="808080" w:themeColor="background1" w:themeShade="80"/>
                <w:lang w:val="en-GB"/>
              </w:rPr>
              <w:t>$</w:t>
            </w:r>
            <w:r w:rsidR="24226B2F" w:rsidRPr="24226B2F">
              <w:rPr>
                <w:color w:val="808080" w:themeColor="background1" w:themeShade="80"/>
                <w:lang w:val="en-GB"/>
              </w:rPr>
              <w:t>704,881</w:t>
            </w:r>
          </w:p>
          <w:p w14:paraId="73FF7BEA" w14:textId="29C2EDB0" w:rsidR="00FB048D" w:rsidRPr="003F1471" w:rsidRDefault="00FB048D" w:rsidP="24226B2F">
            <w:pPr>
              <w:spacing w:line="300" w:lineRule="exact"/>
              <w:rPr>
                <w:color w:val="808080" w:themeColor="background1" w:themeShade="80"/>
                <w:lang w:val="en-GB"/>
              </w:rPr>
            </w:pPr>
          </w:p>
        </w:tc>
        <w:tc>
          <w:tcPr>
            <w:tcW w:w="1134" w:type="dxa"/>
            <w:shd w:val="clear" w:color="auto" w:fill="E2EFD9" w:themeFill="accent6" w:themeFillTint="33"/>
          </w:tcPr>
          <w:p w14:paraId="1C78703A" w14:textId="7E793EBA" w:rsidR="00FB048D" w:rsidRDefault="24226B2F" w:rsidP="24226B2F">
            <w:pPr>
              <w:spacing w:line="300" w:lineRule="exact"/>
              <w:rPr>
                <w:color w:val="808080" w:themeColor="background1" w:themeShade="80"/>
                <w:lang w:val="en-GB"/>
              </w:rPr>
            </w:pPr>
            <w:r w:rsidRPr="24226B2F">
              <w:rPr>
                <w:color w:val="808080" w:themeColor="background1" w:themeShade="80"/>
                <w:lang w:val="en-GB"/>
              </w:rPr>
              <w:t>25.8%</w:t>
            </w:r>
          </w:p>
          <w:p w14:paraId="1254B287" w14:textId="79E18296" w:rsidR="00FB048D" w:rsidRDefault="00FB048D" w:rsidP="24226B2F">
            <w:pPr>
              <w:spacing w:line="300" w:lineRule="exact"/>
              <w:rPr>
                <w:color w:val="808080" w:themeColor="background1" w:themeShade="80"/>
                <w:lang w:val="en-GB"/>
              </w:rPr>
            </w:pPr>
          </w:p>
        </w:tc>
      </w:tr>
      <w:tr w:rsidR="00FB048D" w14:paraId="73C20E40" w14:textId="35835C83" w:rsidTr="24226B2F">
        <w:tc>
          <w:tcPr>
            <w:tcW w:w="2185" w:type="dxa"/>
            <w:vMerge/>
          </w:tcPr>
          <w:p w14:paraId="18EF2475" w14:textId="77777777" w:rsidR="00FB048D" w:rsidRDefault="00FB048D" w:rsidP="00FC4A11">
            <w:pPr>
              <w:spacing w:line="300" w:lineRule="exact"/>
              <w:rPr>
                <w:bCs/>
                <w:color w:val="808080" w:themeColor="background1" w:themeShade="80"/>
                <w:lang w:val="en-GB"/>
              </w:rPr>
            </w:pPr>
          </w:p>
        </w:tc>
        <w:tc>
          <w:tcPr>
            <w:tcW w:w="787" w:type="dxa"/>
            <w:shd w:val="clear" w:color="auto" w:fill="E2EFD9" w:themeFill="accent6" w:themeFillTint="33"/>
          </w:tcPr>
          <w:p w14:paraId="0B5FF449" w14:textId="369B0CA3" w:rsidR="00FB048D" w:rsidRPr="007530C5" w:rsidRDefault="00FB048D" w:rsidP="24226B2F">
            <w:pPr>
              <w:spacing w:line="300" w:lineRule="exact"/>
              <w:rPr>
                <w:b/>
                <w:bCs/>
                <w:lang w:val="en-GB"/>
              </w:rPr>
            </w:pPr>
            <w:r w:rsidRPr="24226B2F">
              <w:rPr>
                <w:b/>
                <w:bCs/>
                <w:lang w:val="en-GB"/>
              </w:rPr>
              <w:t>2025</w:t>
            </w:r>
          </w:p>
        </w:tc>
        <w:tc>
          <w:tcPr>
            <w:tcW w:w="4961" w:type="dxa"/>
            <w:shd w:val="clear" w:color="auto" w:fill="E2EFD9" w:themeFill="accent6" w:themeFillTint="33"/>
          </w:tcPr>
          <w:p w14:paraId="784DEB9A" w14:textId="69C091AC" w:rsidR="00FB048D" w:rsidRPr="003F1471" w:rsidRDefault="00FB048D" w:rsidP="24226B2F">
            <w:pPr>
              <w:spacing w:line="300" w:lineRule="exact"/>
              <w:rPr>
                <w:color w:val="808080" w:themeColor="background1" w:themeShade="80"/>
                <w:lang w:val="en-GB"/>
              </w:rPr>
            </w:pPr>
            <w:r w:rsidRPr="24226B2F">
              <w:rPr>
                <w:color w:val="808080" w:themeColor="background1" w:themeShade="80"/>
                <w:lang w:val="en-GB"/>
              </w:rPr>
              <w:t>$</w:t>
            </w:r>
            <w:r w:rsidR="24226B2F" w:rsidRPr="24226B2F">
              <w:rPr>
                <w:color w:val="808080" w:themeColor="background1" w:themeShade="80"/>
                <w:lang w:val="en-GB"/>
              </w:rPr>
              <w:t>704,881</w:t>
            </w:r>
          </w:p>
          <w:p w14:paraId="29566DE1" w14:textId="68C0A035" w:rsidR="00FB048D" w:rsidRPr="003F1471" w:rsidRDefault="00FB048D" w:rsidP="24226B2F">
            <w:pPr>
              <w:spacing w:line="300" w:lineRule="exact"/>
              <w:rPr>
                <w:color w:val="808080" w:themeColor="background1" w:themeShade="80"/>
                <w:lang w:val="en-GB"/>
              </w:rPr>
            </w:pPr>
          </w:p>
        </w:tc>
        <w:tc>
          <w:tcPr>
            <w:tcW w:w="1134" w:type="dxa"/>
            <w:shd w:val="clear" w:color="auto" w:fill="E2EFD9" w:themeFill="accent6" w:themeFillTint="33"/>
          </w:tcPr>
          <w:p w14:paraId="2E1AAE39" w14:textId="7E793EBA" w:rsidR="00FB048D" w:rsidRDefault="24226B2F" w:rsidP="24226B2F">
            <w:pPr>
              <w:spacing w:line="300" w:lineRule="exact"/>
              <w:rPr>
                <w:color w:val="808080" w:themeColor="background1" w:themeShade="80"/>
                <w:lang w:val="en-GB"/>
              </w:rPr>
            </w:pPr>
            <w:r w:rsidRPr="24226B2F">
              <w:rPr>
                <w:color w:val="808080" w:themeColor="background1" w:themeShade="80"/>
                <w:lang w:val="en-GB"/>
              </w:rPr>
              <w:t>25.8%</w:t>
            </w:r>
          </w:p>
          <w:p w14:paraId="0B80D2E7" w14:textId="6328E4CB" w:rsidR="00FB048D" w:rsidRDefault="00FB048D" w:rsidP="24226B2F">
            <w:pPr>
              <w:spacing w:line="300" w:lineRule="exact"/>
              <w:rPr>
                <w:color w:val="808080" w:themeColor="background1" w:themeShade="80"/>
                <w:lang w:val="en-GB"/>
              </w:rPr>
            </w:pP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14:paraId="4DE8D376" w14:textId="77777777" w:rsidTr="0C69E5CD">
        <w:tc>
          <w:tcPr>
            <w:tcW w:w="9192" w:type="dxa"/>
            <w:tcBorders>
              <w:bottom w:val="single" w:sz="6" w:space="0" w:color="auto"/>
            </w:tcBorders>
            <w:shd w:val="clear" w:color="auto" w:fill="F2F2F2" w:themeFill="background1" w:themeFillShade="F2"/>
          </w:tcPr>
          <w:p w14:paraId="7976640A" w14:textId="70A33093"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C721A1">
              <w:rPr>
                <w:b/>
                <w:bCs/>
                <w:i/>
                <w:iCs/>
                <w:sz w:val="20"/>
                <w:szCs w:val="20"/>
              </w:rPr>
              <w:t xml:space="preserve">Please note any country context that </w:t>
            </w:r>
            <w:r w:rsidR="00483273" w:rsidRPr="00C721A1">
              <w:rPr>
                <w:b/>
                <w:bCs/>
                <w:i/>
                <w:iCs/>
                <w:sz w:val="20"/>
                <w:szCs w:val="20"/>
              </w:rPr>
              <w:t>is</w:t>
            </w:r>
            <w:r w:rsidRPr="00C721A1">
              <w:rPr>
                <w:b/>
                <w:bCs/>
                <w:i/>
                <w:iCs/>
                <w:sz w:val="20"/>
                <w:szCs w:val="20"/>
              </w:rPr>
              <w:t xml:space="preserve"> significant to understanding the country</w:t>
            </w:r>
            <w:r w:rsidR="00483273" w:rsidRPr="00C721A1">
              <w:rPr>
                <w:b/>
                <w:bCs/>
                <w:i/>
                <w:iCs/>
                <w:sz w:val="20"/>
                <w:szCs w:val="20"/>
              </w:rPr>
              <w:t>'s</w:t>
            </w:r>
            <w:r w:rsidRPr="00C721A1">
              <w:rPr>
                <w:b/>
                <w:bCs/>
                <w:i/>
                <w:iCs/>
                <w:sz w:val="20"/>
                <w:szCs w:val="20"/>
              </w:rPr>
              <w:t xml:space="preserve"> vision and request</w:t>
            </w:r>
            <w:r w:rsidRPr="008C7464">
              <w:rPr>
                <w:b/>
                <w:bCs/>
                <w:i/>
                <w:iCs/>
                <w:sz w:val="20"/>
                <w:szCs w:val="20"/>
              </w:rPr>
              <w:t xml:space="preserve"> for Gavi TCA support. What specific effects do these factors have on the national immunisation programme</w:t>
            </w:r>
            <w:r w:rsidR="003036DC">
              <w:rPr>
                <w:b/>
                <w:bCs/>
                <w:i/>
                <w:iCs/>
                <w:sz w:val="20"/>
                <w:szCs w:val="20"/>
              </w:rPr>
              <w:t>?</w:t>
            </w:r>
          </w:p>
        </w:tc>
      </w:tr>
      <w:tr w:rsidR="00650EB6" w14:paraId="79578C2F" w14:textId="77777777" w:rsidTr="0C69E5CD">
        <w:tc>
          <w:tcPr>
            <w:tcW w:w="9192" w:type="dxa"/>
            <w:tcBorders>
              <w:top w:val="single" w:sz="6" w:space="0" w:color="auto"/>
              <w:left w:val="single" w:sz="6" w:space="0" w:color="auto"/>
              <w:bottom w:val="single" w:sz="6" w:space="0" w:color="auto"/>
              <w:right w:val="single" w:sz="6" w:space="0" w:color="auto"/>
            </w:tcBorders>
          </w:tcPr>
          <w:p w14:paraId="24F2E8DD" w14:textId="7A15EAE7" w:rsidR="005D0847" w:rsidRDefault="005D0847" w:rsidP="00357AEB">
            <w:pPr>
              <w:spacing w:line="300" w:lineRule="exact"/>
              <w:jc w:val="both"/>
              <w:rPr>
                <w:rFonts w:ascii="Calibri" w:hAnsi="Calibri"/>
              </w:rPr>
            </w:pPr>
            <w:r w:rsidRPr="0C69E5CD">
              <w:rPr>
                <w:rFonts w:ascii="Calibri" w:hAnsi="Calibri"/>
              </w:rPr>
              <w:t xml:space="preserve">Lesotho gained independence from the United Kingdom on 4th </w:t>
            </w:r>
            <w:proofErr w:type="gramStart"/>
            <w:r w:rsidRPr="0C69E5CD">
              <w:rPr>
                <w:rFonts w:ascii="Calibri" w:hAnsi="Calibri"/>
              </w:rPr>
              <w:t>October,</w:t>
            </w:r>
            <w:proofErr w:type="gramEnd"/>
            <w:r w:rsidRPr="0C69E5CD">
              <w:rPr>
                <w:rFonts w:ascii="Calibri" w:hAnsi="Calibri"/>
              </w:rPr>
              <w:t xml:space="preserve"> 1966. It is a mountainous, landlocked country surrounded by the Republic of South Africa. The population is just over 2 million people. About 61% of the population is between the ages of 15-46 years whilst 34% are under the age of 15 years.</w:t>
            </w:r>
            <w:r w:rsidR="00357AEB" w:rsidRPr="0C69E5CD">
              <w:rPr>
                <w:rFonts w:ascii="Calibri" w:hAnsi="Calibri"/>
              </w:rPr>
              <w:t xml:space="preserve"> The rural and hard to reach areas, in which ~70% of the population </w:t>
            </w:r>
            <w:proofErr w:type="gramStart"/>
            <w:r w:rsidR="00357AEB" w:rsidRPr="0C69E5CD">
              <w:rPr>
                <w:rFonts w:ascii="Calibri" w:hAnsi="Calibri"/>
              </w:rPr>
              <w:t>resides,  are</w:t>
            </w:r>
            <w:proofErr w:type="gramEnd"/>
            <w:r w:rsidR="00357AEB" w:rsidRPr="0C69E5CD">
              <w:rPr>
                <w:rFonts w:ascii="Calibri" w:hAnsi="Calibri"/>
              </w:rPr>
              <w:t xml:space="preserve"> home to the majority of the poor, and income distribution remains skewed in </w:t>
            </w:r>
            <w:proofErr w:type="spellStart"/>
            <w:r w:rsidR="00357AEB" w:rsidRPr="0C69E5CD">
              <w:rPr>
                <w:rFonts w:ascii="Calibri" w:hAnsi="Calibri"/>
              </w:rPr>
              <w:t>favour</w:t>
            </w:r>
            <w:proofErr w:type="spellEnd"/>
            <w:r w:rsidR="00357AEB" w:rsidRPr="0C69E5CD">
              <w:rPr>
                <w:rFonts w:ascii="Calibri" w:hAnsi="Calibri"/>
              </w:rPr>
              <w:t xml:space="preserve"> of the urban areas. Three quarters of the unemployed live in rural areas and include mostly the youth. These rural and hard to reach areas are characterized by a </w:t>
            </w:r>
            <w:r w:rsidR="00F55AF1" w:rsidRPr="0C69E5CD">
              <w:rPr>
                <w:rFonts w:ascii="Calibri" w:hAnsi="Calibri"/>
              </w:rPr>
              <w:t xml:space="preserve">mountainous and </w:t>
            </w:r>
            <w:r w:rsidR="00357AEB" w:rsidRPr="0C69E5CD">
              <w:rPr>
                <w:rFonts w:ascii="Calibri" w:hAnsi="Calibri"/>
              </w:rPr>
              <w:t>rugged terrain, long distances between facilities and from villages to facilities, and very harsh winters</w:t>
            </w:r>
            <w:r w:rsidR="00F55AF1" w:rsidRPr="0C69E5CD">
              <w:rPr>
                <w:rFonts w:ascii="Calibri" w:hAnsi="Calibri"/>
              </w:rPr>
              <w:t xml:space="preserve">. </w:t>
            </w:r>
          </w:p>
          <w:p w14:paraId="2BB6AFC7" w14:textId="77777777" w:rsidR="005D0847" w:rsidRDefault="005D0847" w:rsidP="005D0847">
            <w:pPr>
              <w:spacing w:line="300" w:lineRule="exact"/>
              <w:jc w:val="both"/>
              <w:rPr>
                <w:rFonts w:ascii="Calibri" w:hAnsi="Calibri"/>
              </w:rPr>
            </w:pPr>
          </w:p>
          <w:p w14:paraId="73DD6987" w14:textId="577B8A3F" w:rsidR="00C721A1" w:rsidRDefault="00C721A1" w:rsidP="005D0847">
            <w:pPr>
              <w:spacing w:line="300" w:lineRule="exact"/>
              <w:jc w:val="both"/>
              <w:rPr>
                <w:rFonts w:ascii="Calibri" w:hAnsi="Calibri"/>
              </w:rPr>
            </w:pPr>
            <w:proofErr w:type="spellStart"/>
            <w:r>
              <w:rPr>
                <w:rFonts w:ascii="Calibri" w:hAnsi="Calibri"/>
              </w:rPr>
              <w:t>Implementaiton</w:t>
            </w:r>
            <w:proofErr w:type="spellEnd"/>
            <w:r>
              <w:rPr>
                <w:rFonts w:ascii="Calibri" w:hAnsi="Calibri"/>
              </w:rPr>
              <w:t xml:space="preserve"> of he</w:t>
            </w:r>
            <w:r w:rsidR="00357AEB">
              <w:rPr>
                <w:rFonts w:ascii="Calibri" w:hAnsi="Calibri"/>
              </w:rPr>
              <w:t>alth</w:t>
            </w:r>
            <w:r>
              <w:rPr>
                <w:rFonts w:ascii="Calibri" w:hAnsi="Calibri"/>
              </w:rPr>
              <w:t xml:space="preserve"> </w:t>
            </w:r>
            <w:proofErr w:type="spellStart"/>
            <w:r>
              <w:rPr>
                <w:rFonts w:ascii="Calibri" w:hAnsi="Calibri"/>
              </w:rPr>
              <w:t>programmes</w:t>
            </w:r>
            <w:proofErr w:type="spellEnd"/>
            <w:r>
              <w:rPr>
                <w:rFonts w:ascii="Calibri" w:hAnsi="Calibri"/>
              </w:rPr>
              <w:t xml:space="preserve"> in Lesotho is guided by the National Health Strategic Plan (NHSP) (2017 – 2022). </w:t>
            </w:r>
            <w:r w:rsidRPr="00C721A1">
              <w:rPr>
                <w:rFonts w:ascii="Calibri" w:hAnsi="Calibri"/>
              </w:rPr>
              <w:t>The shared vision of th</w:t>
            </w:r>
            <w:r>
              <w:rPr>
                <w:rFonts w:ascii="Calibri" w:hAnsi="Calibri"/>
              </w:rPr>
              <w:t>e</w:t>
            </w:r>
            <w:r w:rsidRPr="00C721A1">
              <w:rPr>
                <w:rFonts w:ascii="Calibri" w:hAnsi="Calibri"/>
              </w:rPr>
              <w:t xml:space="preserve"> strategy is a global vision that seeks to achieve Universal</w:t>
            </w:r>
            <w:r>
              <w:rPr>
                <w:rFonts w:ascii="Calibri" w:hAnsi="Calibri"/>
              </w:rPr>
              <w:t xml:space="preserve"> </w:t>
            </w:r>
            <w:r w:rsidRPr="00C721A1">
              <w:rPr>
                <w:rFonts w:ascii="Calibri" w:hAnsi="Calibri"/>
              </w:rPr>
              <w:t>Health Coverage for all people of all ages. This strategy was developed within the</w:t>
            </w:r>
            <w:r w:rsidR="005D0847">
              <w:rPr>
                <w:rFonts w:ascii="Calibri" w:hAnsi="Calibri"/>
              </w:rPr>
              <w:t xml:space="preserve"> </w:t>
            </w:r>
            <w:r w:rsidRPr="00C721A1">
              <w:rPr>
                <w:rFonts w:ascii="Calibri" w:hAnsi="Calibri"/>
              </w:rPr>
              <w:t>context of global health</w:t>
            </w:r>
            <w:r>
              <w:rPr>
                <w:rFonts w:ascii="Calibri" w:hAnsi="Calibri"/>
              </w:rPr>
              <w:t xml:space="preserve">. </w:t>
            </w:r>
            <w:r w:rsidR="005D0847">
              <w:rPr>
                <w:rFonts w:ascii="Calibri" w:hAnsi="Calibri"/>
              </w:rPr>
              <w:t xml:space="preserve">The NHSP derives its focus from the country’s </w:t>
            </w:r>
            <w:r w:rsidR="005D0847" w:rsidRPr="005D0847">
              <w:rPr>
                <w:rFonts w:ascii="Calibri" w:hAnsi="Calibri"/>
              </w:rPr>
              <w:t xml:space="preserve">Constitution </w:t>
            </w:r>
            <w:r w:rsidR="005D0847">
              <w:rPr>
                <w:rFonts w:ascii="Calibri" w:hAnsi="Calibri"/>
              </w:rPr>
              <w:t xml:space="preserve">which </w:t>
            </w:r>
            <w:r w:rsidR="005D0847" w:rsidRPr="005D0847">
              <w:rPr>
                <w:rFonts w:ascii="Calibri" w:hAnsi="Calibri"/>
              </w:rPr>
              <w:t>promotes health gain as a social gain</w:t>
            </w:r>
            <w:r w:rsidR="005D0847">
              <w:rPr>
                <w:rFonts w:ascii="Calibri" w:hAnsi="Calibri"/>
              </w:rPr>
              <w:t xml:space="preserve">. </w:t>
            </w:r>
            <w:r w:rsidR="005D0847" w:rsidRPr="005D0847">
              <w:rPr>
                <w:rFonts w:ascii="Calibri" w:hAnsi="Calibri"/>
              </w:rPr>
              <w:t>Th</w:t>
            </w:r>
            <w:r w:rsidR="005D0847">
              <w:rPr>
                <w:rFonts w:ascii="Calibri" w:hAnsi="Calibri"/>
              </w:rPr>
              <w:t xml:space="preserve">e NHSP </w:t>
            </w:r>
            <w:r w:rsidR="005D0847" w:rsidRPr="005D0847">
              <w:rPr>
                <w:rFonts w:ascii="Calibri" w:hAnsi="Calibri"/>
              </w:rPr>
              <w:t xml:space="preserve">is </w:t>
            </w:r>
            <w:proofErr w:type="spellStart"/>
            <w:r w:rsidR="005D0847" w:rsidRPr="005D0847">
              <w:rPr>
                <w:rFonts w:ascii="Calibri" w:hAnsi="Calibri"/>
              </w:rPr>
              <w:t>centred</w:t>
            </w:r>
            <w:proofErr w:type="spellEnd"/>
            <w:r w:rsidR="005D0847" w:rsidRPr="005D0847">
              <w:rPr>
                <w:rFonts w:ascii="Calibri" w:hAnsi="Calibri"/>
              </w:rPr>
              <w:t xml:space="preserve"> on a whole-system approach to tackling health in Lesotho. It</w:t>
            </w:r>
            <w:r w:rsidR="005D0847">
              <w:rPr>
                <w:rFonts w:ascii="Calibri" w:hAnsi="Calibri"/>
              </w:rPr>
              <w:t xml:space="preserve"> </w:t>
            </w:r>
            <w:r w:rsidR="005D0847" w:rsidRPr="005D0847">
              <w:rPr>
                <w:rFonts w:ascii="Calibri" w:hAnsi="Calibri"/>
              </w:rPr>
              <w:t>goes beyond the traditional concept of 'health services'. It is about developing a</w:t>
            </w:r>
            <w:r w:rsidR="005D0847">
              <w:rPr>
                <w:rFonts w:ascii="Calibri" w:hAnsi="Calibri"/>
              </w:rPr>
              <w:t xml:space="preserve"> </w:t>
            </w:r>
            <w:r w:rsidR="005D0847" w:rsidRPr="005D0847">
              <w:rPr>
                <w:rFonts w:ascii="Calibri" w:hAnsi="Calibri"/>
              </w:rPr>
              <w:t>system in which health and social well-being are valued and supported. The context</w:t>
            </w:r>
            <w:r w:rsidR="005D0847">
              <w:rPr>
                <w:rFonts w:ascii="Calibri" w:hAnsi="Calibri"/>
              </w:rPr>
              <w:t xml:space="preserve"> </w:t>
            </w:r>
            <w:r w:rsidR="005D0847" w:rsidRPr="005D0847">
              <w:rPr>
                <w:rFonts w:ascii="Calibri" w:hAnsi="Calibri"/>
              </w:rPr>
              <w:t>of the health system includes both public and private providers of health services. It</w:t>
            </w:r>
            <w:r w:rsidR="005D0847">
              <w:rPr>
                <w:rFonts w:ascii="Calibri" w:hAnsi="Calibri"/>
              </w:rPr>
              <w:t xml:space="preserve"> </w:t>
            </w:r>
            <w:r w:rsidR="005D0847" w:rsidRPr="005D0847">
              <w:rPr>
                <w:rFonts w:ascii="Calibri" w:hAnsi="Calibri"/>
              </w:rPr>
              <w:t>also includes every person and institution with an influence on, or a role to play in,</w:t>
            </w:r>
            <w:r w:rsidR="005D0847">
              <w:rPr>
                <w:rFonts w:ascii="Calibri" w:hAnsi="Calibri"/>
              </w:rPr>
              <w:t xml:space="preserve"> </w:t>
            </w:r>
            <w:r w:rsidR="005D0847" w:rsidRPr="005D0847">
              <w:rPr>
                <w:rFonts w:ascii="Calibri" w:hAnsi="Calibri"/>
              </w:rPr>
              <w:t xml:space="preserve">the health of individuals, groups, </w:t>
            </w:r>
            <w:proofErr w:type="gramStart"/>
            <w:r w:rsidR="005D0847" w:rsidRPr="005D0847">
              <w:rPr>
                <w:rFonts w:ascii="Calibri" w:hAnsi="Calibri"/>
              </w:rPr>
              <w:t>communities</w:t>
            </w:r>
            <w:proofErr w:type="gramEnd"/>
            <w:r w:rsidR="005D0847" w:rsidRPr="005D0847">
              <w:rPr>
                <w:rFonts w:ascii="Calibri" w:hAnsi="Calibri"/>
              </w:rPr>
              <w:t xml:space="preserve"> and society at large. In describing the</w:t>
            </w:r>
            <w:r w:rsidR="005D0847">
              <w:rPr>
                <w:rFonts w:ascii="Calibri" w:hAnsi="Calibri"/>
              </w:rPr>
              <w:t xml:space="preserve"> </w:t>
            </w:r>
            <w:r w:rsidR="005D0847" w:rsidRPr="005D0847">
              <w:rPr>
                <w:rFonts w:ascii="Calibri" w:hAnsi="Calibri"/>
              </w:rPr>
              <w:t>strategic direction for the future, th</w:t>
            </w:r>
            <w:r w:rsidR="005D0847">
              <w:rPr>
                <w:rFonts w:ascii="Calibri" w:hAnsi="Calibri"/>
              </w:rPr>
              <w:t xml:space="preserve">e </w:t>
            </w:r>
            <w:r w:rsidR="005D0847" w:rsidRPr="005D0847">
              <w:rPr>
                <w:rFonts w:ascii="Calibri" w:hAnsi="Calibri"/>
              </w:rPr>
              <w:t xml:space="preserve">Strategy incorporates a shared vision </w:t>
            </w:r>
            <w:proofErr w:type="gramStart"/>
            <w:r w:rsidR="005D0847" w:rsidRPr="005D0847">
              <w:rPr>
                <w:rFonts w:ascii="Calibri" w:hAnsi="Calibri"/>
              </w:rPr>
              <w:t>in order to</w:t>
            </w:r>
            <w:proofErr w:type="gramEnd"/>
            <w:r w:rsidR="005D0847">
              <w:rPr>
                <w:rFonts w:ascii="Calibri" w:hAnsi="Calibri"/>
              </w:rPr>
              <w:t xml:space="preserve"> </w:t>
            </w:r>
            <w:r w:rsidR="005D0847" w:rsidRPr="005D0847">
              <w:rPr>
                <w:rFonts w:ascii="Calibri" w:hAnsi="Calibri"/>
              </w:rPr>
              <w:t>deliver a healthier wealthier population.</w:t>
            </w:r>
          </w:p>
          <w:p w14:paraId="5ABB0E72" w14:textId="55261091" w:rsidR="00C721A1" w:rsidRDefault="00C721A1" w:rsidP="00C721A1">
            <w:pPr>
              <w:spacing w:line="300" w:lineRule="exact"/>
              <w:jc w:val="both"/>
              <w:rPr>
                <w:rFonts w:ascii="Calibri" w:hAnsi="Calibri"/>
              </w:rPr>
            </w:pPr>
          </w:p>
          <w:p w14:paraId="78052B35" w14:textId="073442A8" w:rsidR="00650EB6" w:rsidRPr="00C721A1" w:rsidRDefault="00C721A1" w:rsidP="00C721A1">
            <w:pPr>
              <w:spacing w:line="300" w:lineRule="exact"/>
              <w:jc w:val="both"/>
              <w:rPr>
                <w:rFonts w:ascii="Calibri" w:hAnsi="Calibri"/>
              </w:rPr>
            </w:pPr>
            <w:r w:rsidRPr="00C721A1">
              <w:rPr>
                <w:rFonts w:ascii="Calibri" w:hAnsi="Calibri"/>
              </w:rPr>
              <w:t xml:space="preserve">According to the DHS (2014), more than two-thirds (68.6%) of the children aged 12-23 months had received all the basic vaccinations. Vulnerable groups regarding vaccination were children living in the </w:t>
            </w:r>
            <w:proofErr w:type="spellStart"/>
            <w:r w:rsidRPr="00C721A1">
              <w:rPr>
                <w:rFonts w:ascii="Calibri" w:hAnsi="Calibri"/>
              </w:rPr>
              <w:t>Mokhotlong</w:t>
            </w:r>
            <w:proofErr w:type="spellEnd"/>
            <w:r w:rsidR="00F55AF1">
              <w:rPr>
                <w:rFonts w:ascii="Calibri" w:hAnsi="Calibri"/>
              </w:rPr>
              <w:t xml:space="preserve"> </w:t>
            </w:r>
            <w:r w:rsidR="00F55AF1" w:rsidRPr="00F55AF1">
              <w:rPr>
                <w:rFonts w:ascii="Calibri" w:hAnsi="Calibri"/>
                <w:i/>
                <w:iCs/>
              </w:rPr>
              <w:t>(a district with very hard to reach areas)</w:t>
            </w:r>
            <w:r w:rsidRPr="00C721A1">
              <w:rPr>
                <w:rFonts w:ascii="Calibri" w:hAnsi="Calibri"/>
              </w:rPr>
              <w:t xml:space="preserve"> district (only 47.5% had received all the basic vaccinations according to DHS, 2014) and the lowest wealth quintile (59.7%). Children of mothers with no education were less likely to receive vitamin A supplements (52.7%). Deworming medication was given to only 22.2% of the under-five children at the national level, although this was more than twice the number in 2009. In some districts, such as </w:t>
            </w:r>
            <w:proofErr w:type="spellStart"/>
            <w:r w:rsidRPr="00C721A1">
              <w:rPr>
                <w:rFonts w:ascii="Calibri" w:hAnsi="Calibri"/>
              </w:rPr>
              <w:t>Qacha’s</w:t>
            </w:r>
            <w:proofErr w:type="spellEnd"/>
            <w:r w:rsidRPr="00C721A1">
              <w:rPr>
                <w:rFonts w:ascii="Calibri" w:hAnsi="Calibri"/>
              </w:rPr>
              <w:t xml:space="preserve"> Nek (10.8%) and </w:t>
            </w:r>
            <w:proofErr w:type="spellStart"/>
            <w:r w:rsidRPr="00C721A1">
              <w:rPr>
                <w:rFonts w:ascii="Calibri" w:hAnsi="Calibri"/>
              </w:rPr>
              <w:t>Quthing</w:t>
            </w:r>
            <w:proofErr w:type="spellEnd"/>
            <w:r w:rsidRPr="00C721A1">
              <w:rPr>
                <w:rFonts w:ascii="Calibri" w:hAnsi="Calibri"/>
              </w:rPr>
              <w:t xml:space="preserve"> (14.2%), this remains a challenge. There was no significant difference between children from urban or rural areas or between children from the highest or the lowest wealth quintile in terms of seeking advice or treatment </w:t>
            </w:r>
            <w:r>
              <w:rPr>
                <w:rFonts w:ascii="Calibri" w:hAnsi="Calibri"/>
              </w:rPr>
              <w:t>i</w:t>
            </w:r>
            <w:r w:rsidRPr="00C721A1">
              <w:rPr>
                <w:rFonts w:ascii="Calibri" w:hAnsi="Calibri"/>
              </w:rPr>
              <w:t>n the presence of signs of danger, but the level of education of the mother had an impact on child health practices.</w:t>
            </w:r>
          </w:p>
        </w:tc>
      </w:tr>
    </w:tbl>
    <w:p w14:paraId="434C7691" w14:textId="77777777" w:rsidR="000759BE" w:rsidRDefault="000759BE" w:rsidP="00FC4A11">
      <w:pPr>
        <w:spacing w:line="300" w:lineRule="exact"/>
        <w:rPr>
          <w:bCs/>
          <w:color w:val="808080" w:themeColor="background1" w:themeShade="80"/>
          <w:lang w:val="en-GB"/>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77777777" w:rsidR="007F2F8B" w:rsidRDefault="007F2F8B" w:rsidP="00372D1F">
      <w:pPr>
        <w:pStyle w:val="ListParagraph"/>
        <w:spacing w:line="300" w:lineRule="exact"/>
        <w:ind w:left="426"/>
        <w:rPr>
          <w:i/>
          <w:color w:val="808080" w:themeColor="background1" w:themeShade="80"/>
          <w:lang w:val="en-GB"/>
        </w:rPr>
      </w:pPr>
    </w:p>
    <w:p w14:paraId="1D079834" w14:textId="3BFFF507" w:rsidR="00655D56" w:rsidRPr="006C63B1" w:rsidRDefault="00372D1F" w:rsidP="00372D1F">
      <w:pPr>
        <w:pStyle w:val="ListParagraph"/>
        <w:spacing w:line="300" w:lineRule="exact"/>
        <w:ind w:left="426"/>
        <w:rPr>
          <w:i/>
          <w:color w:val="808080" w:themeColor="background1" w:themeShade="80"/>
          <w:lang w:val="en-GB"/>
        </w:rPr>
      </w:pPr>
      <w:r w:rsidRPr="0065351E">
        <w:rPr>
          <w:i/>
          <w:color w:val="808080" w:themeColor="background1" w:themeShade="80"/>
          <w:lang w:val="en-GB"/>
        </w:rPr>
        <w:t>(Please feel free to add lines as needed)</w:t>
      </w:r>
    </w:p>
    <w:tbl>
      <w:tblPr>
        <w:tblStyle w:val="TableGrid"/>
        <w:tblW w:w="9900" w:type="dxa"/>
        <w:tblInd w:w="-5" w:type="dxa"/>
        <w:tblLook w:val="04A0" w:firstRow="1" w:lastRow="0" w:firstColumn="1" w:lastColumn="0" w:noHBand="0" w:noVBand="1"/>
      </w:tblPr>
      <w:tblGrid>
        <w:gridCol w:w="1620"/>
        <w:gridCol w:w="5490"/>
        <w:gridCol w:w="1553"/>
        <w:gridCol w:w="1237"/>
      </w:tblGrid>
      <w:tr w:rsidR="004D0C16" w14:paraId="4754848F" w14:textId="2B3AF5AA" w:rsidTr="0C69E5CD">
        <w:trPr>
          <w:trHeight w:val="298"/>
        </w:trPr>
        <w:tc>
          <w:tcPr>
            <w:tcW w:w="7110" w:type="dxa"/>
            <w:gridSpan w:val="2"/>
            <w:shd w:val="clear" w:color="auto" w:fill="DEEAF6" w:themeFill="accent5" w:themeFillTint="33"/>
          </w:tcPr>
          <w:p w14:paraId="60978116" w14:textId="77777777" w:rsidR="004D0C16" w:rsidRPr="00372D1F" w:rsidRDefault="004D0C16" w:rsidP="00871FCF">
            <w:pPr>
              <w:spacing w:line="300" w:lineRule="exact"/>
              <w:rPr>
                <w:b/>
                <w:lang w:val="en-GB"/>
              </w:rPr>
            </w:pPr>
            <w:r>
              <w:rPr>
                <w:b/>
                <w:lang w:val="en-GB"/>
              </w:rPr>
              <w:t>High-level Plan</w:t>
            </w:r>
          </w:p>
        </w:tc>
        <w:tc>
          <w:tcPr>
            <w:tcW w:w="1553" w:type="dxa"/>
            <w:shd w:val="clear" w:color="auto" w:fill="DEEAF6" w:themeFill="accent5" w:themeFillTint="33"/>
          </w:tcPr>
          <w:p w14:paraId="2F400D8C" w14:textId="754228F6" w:rsidR="004D0C16" w:rsidRPr="00372D1F" w:rsidRDefault="004D0C16" w:rsidP="00871FCF">
            <w:pPr>
              <w:spacing w:line="300" w:lineRule="exact"/>
              <w:rPr>
                <w:b/>
                <w:color w:val="808080" w:themeColor="background1" w:themeShade="80"/>
                <w:lang w:val="en-GB"/>
              </w:rPr>
            </w:pPr>
            <w:r w:rsidRPr="00372D1F">
              <w:rPr>
                <w:b/>
                <w:lang w:val="en-GB"/>
              </w:rPr>
              <w:t>Budget (USD)</w:t>
            </w:r>
          </w:p>
        </w:tc>
        <w:tc>
          <w:tcPr>
            <w:tcW w:w="1237" w:type="dxa"/>
            <w:shd w:val="clear" w:color="auto" w:fill="DEEAF6" w:themeFill="accent5" w:themeFillTint="33"/>
          </w:tcPr>
          <w:p w14:paraId="0FEF51FA" w14:textId="32409750" w:rsidR="004D0C16" w:rsidRPr="00372D1F" w:rsidRDefault="00131FD5" w:rsidP="00871FCF">
            <w:pPr>
              <w:spacing w:line="300" w:lineRule="exact"/>
              <w:rPr>
                <w:b/>
                <w:lang w:val="en-GB"/>
              </w:rPr>
            </w:pPr>
            <w:r>
              <w:rPr>
                <w:b/>
                <w:lang w:val="en-GB"/>
              </w:rPr>
              <w:t>%</w:t>
            </w:r>
          </w:p>
        </w:tc>
      </w:tr>
      <w:tr w:rsidR="004D0C16" w14:paraId="65B29F5B" w14:textId="129D73A5" w:rsidTr="0C69E5CD">
        <w:trPr>
          <w:trHeight w:val="315"/>
        </w:trPr>
        <w:tc>
          <w:tcPr>
            <w:tcW w:w="7110" w:type="dxa"/>
            <w:gridSpan w:val="2"/>
            <w:shd w:val="clear" w:color="auto" w:fill="E2EFD9" w:themeFill="accent6" w:themeFillTint="33"/>
          </w:tcPr>
          <w:p w14:paraId="106E2D7B" w14:textId="77777777" w:rsidR="004D0C16" w:rsidRPr="00372D1F" w:rsidRDefault="004D0C16" w:rsidP="00871FCF">
            <w:pPr>
              <w:spacing w:line="300" w:lineRule="exact"/>
              <w:jc w:val="right"/>
              <w:rPr>
                <w:b/>
                <w:color w:val="808080" w:themeColor="background1" w:themeShade="80"/>
                <w:lang w:val="en-GB"/>
              </w:rPr>
            </w:pPr>
            <w:r w:rsidRPr="00372D1F">
              <w:rPr>
                <w:b/>
                <w:lang w:val="en-GB"/>
              </w:rPr>
              <w:t>2022</w:t>
            </w:r>
          </w:p>
        </w:tc>
        <w:tc>
          <w:tcPr>
            <w:tcW w:w="1553" w:type="dxa"/>
            <w:shd w:val="clear" w:color="auto" w:fill="E2EFD9" w:themeFill="accent6" w:themeFillTint="33"/>
          </w:tcPr>
          <w:p w14:paraId="6DD37EC1" w14:textId="4607C2A6" w:rsidR="004D0C16" w:rsidRDefault="5CD2F3BA" w:rsidP="5CD2F3BA">
            <w:pPr>
              <w:spacing w:line="300" w:lineRule="exact"/>
              <w:jc w:val="right"/>
              <w:rPr>
                <w:color w:val="808080" w:themeColor="background1" w:themeShade="80"/>
                <w:lang w:val="en-GB"/>
              </w:rPr>
            </w:pPr>
            <w:r w:rsidRPr="5CD2F3BA">
              <w:rPr>
                <w:color w:val="808080" w:themeColor="background1" w:themeShade="80"/>
                <w:lang w:val="en-GB"/>
              </w:rPr>
              <w:t>617,349.00</w:t>
            </w:r>
          </w:p>
        </w:tc>
        <w:tc>
          <w:tcPr>
            <w:tcW w:w="1237" w:type="dxa"/>
            <w:shd w:val="clear" w:color="auto" w:fill="E2EFD9" w:themeFill="accent6" w:themeFillTint="33"/>
          </w:tcPr>
          <w:p w14:paraId="3D6A3C6F" w14:textId="77777777" w:rsidR="004D0C16" w:rsidRDefault="004D0C16" w:rsidP="00871FCF">
            <w:pPr>
              <w:spacing w:line="300" w:lineRule="exact"/>
              <w:jc w:val="right"/>
              <w:rPr>
                <w:bCs/>
                <w:color w:val="808080" w:themeColor="background1" w:themeShade="80"/>
                <w:lang w:val="en-GB"/>
              </w:rPr>
            </w:pPr>
          </w:p>
        </w:tc>
      </w:tr>
      <w:tr w:rsidR="004D0C16" w14:paraId="113A41E1" w14:textId="1B4A5F63" w:rsidTr="0C69E5CD">
        <w:trPr>
          <w:trHeight w:val="1788"/>
        </w:trPr>
        <w:tc>
          <w:tcPr>
            <w:tcW w:w="1620" w:type="dxa"/>
            <w:shd w:val="clear" w:color="auto" w:fill="FFFFFF" w:themeFill="background1"/>
          </w:tcPr>
          <w:p w14:paraId="10985FF8" w14:textId="06C1E939" w:rsidR="004D0C16" w:rsidRDefault="00F24FF0" w:rsidP="00BD0046">
            <w:pPr>
              <w:spacing w:line="300" w:lineRule="exact"/>
              <w:rPr>
                <w:bCs/>
                <w:color w:val="808080" w:themeColor="background1" w:themeShade="80"/>
                <w:lang w:val="en-GB"/>
              </w:rPr>
            </w:pPr>
            <w:r>
              <w:rPr>
                <w:bCs/>
                <w:color w:val="808080" w:themeColor="background1" w:themeShade="80"/>
                <w:lang w:val="en-GB"/>
              </w:rPr>
              <w:t>Service Delivery</w:t>
            </w:r>
          </w:p>
        </w:tc>
        <w:tc>
          <w:tcPr>
            <w:tcW w:w="5490" w:type="dxa"/>
            <w:shd w:val="clear" w:color="auto" w:fill="FFFFFF" w:themeFill="background1"/>
          </w:tcPr>
          <w:p w14:paraId="40A674E0" w14:textId="5B734E4E" w:rsidR="004D0C16" w:rsidRDefault="002D5DFD" w:rsidP="00BD0046">
            <w:pPr>
              <w:spacing w:line="300" w:lineRule="exact"/>
              <w:rPr>
                <w:bCs/>
                <w:color w:val="808080" w:themeColor="background1" w:themeShade="80"/>
                <w:lang w:val="en-GB"/>
              </w:rPr>
            </w:pPr>
            <w:r w:rsidRPr="002D5DFD">
              <w:rPr>
                <w:bCs/>
                <w:color w:val="808080" w:themeColor="background1" w:themeShade="80"/>
                <w:lang w:val="en-GB"/>
              </w:rPr>
              <w:t xml:space="preserve">To Improve immunization coverage and equity in the </w:t>
            </w:r>
            <w:r>
              <w:rPr>
                <w:bCs/>
                <w:color w:val="808080" w:themeColor="background1" w:themeShade="80"/>
                <w:lang w:val="en-GB"/>
              </w:rPr>
              <w:t xml:space="preserve">in all </w:t>
            </w:r>
            <w:r w:rsidRPr="002D5DFD">
              <w:rPr>
                <w:bCs/>
                <w:color w:val="808080" w:themeColor="background1" w:themeShade="80"/>
                <w:lang w:val="en-GB"/>
              </w:rPr>
              <w:t xml:space="preserve">districts using the second year of life vaccinations approach, </w:t>
            </w:r>
            <w:r>
              <w:rPr>
                <w:bCs/>
                <w:color w:val="808080" w:themeColor="background1" w:themeShade="80"/>
                <w:lang w:val="en-GB"/>
              </w:rPr>
              <w:t xml:space="preserve">mapping of zero-dose children, </w:t>
            </w:r>
            <w:r w:rsidRPr="002D5DFD">
              <w:rPr>
                <w:bCs/>
                <w:color w:val="808080" w:themeColor="background1" w:themeShade="80"/>
                <w:lang w:val="en-GB"/>
              </w:rPr>
              <w:t xml:space="preserve">and build capacity of old and </w:t>
            </w:r>
            <w:proofErr w:type="gramStart"/>
            <w:r w:rsidRPr="002D5DFD">
              <w:rPr>
                <w:bCs/>
                <w:color w:val="808080" w:themeColor="background1" w:themeShade="80"/>
                <w:lang w:val="en-GB"/>
              </w:rPr>
              <w:t>incoming  frontline</w:t>
            </w:r>
            <w:proofErr w:type="gramEnd"/>
            <w:r w:rsidRPr="002D5DFD">
              <w:rPr>
                <w:bCs/>
                <w:color w:val="808080" w:themeColor="background1" w:themeShade="80"/>
                <w:lang w:val="en-GB"/>
              </w:rPr>
              <w:t xml:space="preserve"> health workers in all districts through onsite mentorship and e-learning  for immunization and PHC service delivery in Lesotho by 2025</w:t>
            </w:r>
            <w:r w:rsidRPr="002D5DFD">
              <w:rPr>
                <w:bCs/>
                <w:color w:val="808080" w:themeColor="background1" w:themeShade="80"/>
                <w:lang w:val="en-GB"/>
              </w:rPr>
              <w:tab/>
            </w:r>
          </w:p>
        </w:tc>
        <w:tc>
          <w:tcPr>
            <w:tcW w:w="1553" w:type="dxa"/>
            <w:shd w:val="clear" w:color="auto" w:fill="FFFFFF" w:themeFill="background1"/>
          </w:tcPr>
          <w:p w14:paraId="227E454E" w14:textId="77777777" w:rsidR="00C30F9C" w:rsidRPr="00C30F9C" w:rsidRDefault="00C30F9C" w:rsidP="00C30F9C">
            <w:pPr>
              <w:spacing w:line="240" w:lineRule="auto"/>
              <w:jc w:val="right"/>
              <w:rPr>
                <w:bCs/>
                <w:color w:val="808080" w:themeColor="background1" w:themeShade="80"/>
                <w:lang w:val="en-GB"/>
              </w:rPr>
            </w:pPr>
            <w:r w:rsidRPr="00C30F9C">
              <w:rPr>
                <w:bCs/>
                <w:color w:val="808080" w:themeColor="background1" w:themeShade="80"/>
                <w:lang w:val="en-GB"/>
              </w:rPr>
              <w:t xml:space="preserve">$308,675 </w:t>
            </w:r>
          </w:p>
          <w:p w14:paraId="4CDE8FAA" w14:textId="77777777" w:rsidR="004D0C16" w:rsidRDefault="004D0C16" w:rsidP="00BD0046">
            <w:pPr>
              <w:spacing w:line="300" w:lineRule="exact"/>
              <w:jc w:val="right"/>
              <w:rPr>
                <w:bCs/>
                <w:color w:val="808080" w:themeColor="background1" w:themeShade="80"/>
                <w:lang w:val="en-GB"/>
              </w:rPr>
            </w:pPr>
          </w:p>
        </w:tc>
        <w:tc>
          <w:tcPr>
            <w:tcW w:w="1237" w:type="dxa"/>
            <w:shd w:val="clear" w:color="auto" w:fill="FFFFFF" w:themeFill="background1"/>
          </w:tcPr>
          <w:p w14:paraId="0F3A2B8A" w14:textId="6D9376E7" w:rsidR="004D0C16" w:rsidRDefault="00F43D0F" w:rsidP="00BD0046">
            <w:pPr>
              <w:spacing w:line="300" w:lineRule="exact"/>
              <w:jc w:val="right"/>
              <w:rPr>
                <w:bCs/>
                <w:color w:val="808080" w:themeColor="background1" w:themeShade="80"/>
                <w:lang w:val="en-GB"/>
              </w:rPr>
            </w:pPr>
            <w:r>
              <w:rPr>
                <w:bCs/>
                <w:color w:val="808080" w:themeColor="background1" w:themeShade="80"/>
                <w:lang w:val="en-GB"/>
              </w:rPr>
              <w:t>50%</w:t>
            </w:r>
          </w:p>
        </w:tc>
      </w:tr>
      <w:tr w:rsidR="004D0C16" w14:paraId="795A975C" w14:textId="61E0C5F4" w:rsidTr="0C69E5CD">
        <w:trPr>
          <w:trHeight w:val="1754"/>
        </w:trPr>
        <w:tc>
          <w:tcPr>
            <w:tcW w:w="1620" w:type="dxa"/>
            <w:shd w:val="clear" w:color="auto" w:fill="FFFFFF" w:themeFill="background1"/>
          </w:tcPr>
          <w:p w14:paraId="7D18CAD2" w14:textId="0B8C76B1" w:rsidR="00F24FF0" w:rsidRPr="00F24FF0" w:rsidRDefault="00F24FF0" w:rsidP="00F24FF0">
            <w:pPr>
              <w:spacing w:line="300" w:lineRule="exact"/>
              <w:rPr>
                <w:bCs/>
                <w:color w:val="808080" w:themeColor="background1" w:themeShade="80"/>
                <w:lang w:val="en-GB"/>
              </w:rPr>
            </w:pPr>
            <w:r w:rsidRPr="00F24FF0">
              <w:rPr>
                <w:bCs/>
                <w:color w:val="808080" w:themeColor="background1" w:themeShade="80"/>
                <w:lang w:val="en-GB"/>
              </w:rPr>
              <w:t xml:space="preserve">Health information systems and monitoring </w:t>
            </w:r>
          </w:p>
          <w:p w14:paraId="02FE1568" w14:textId="00FE5603" w:rsidR="004D0C16" w:rsidRDefault="00F24FF0" w:rsidP="00F24FF0">
            <w:pPr>
              <w:spacing w:line="300" w:lineRule="exact"/>
              <w:rPr>
                <w:bCs/>
                <w:color w:val="808080" w:themeColor="background1" w:themeShade="80"/>
                <w:lang w:val="en-GB"/>
              </w:rPr>
            </w:pPr>
            <w:r w:rsidRPr="00F24FF0">
              <w:rPr>
                <w:bCs/>
                <w:color w:val="808080" w:themeColor="background1" w:themeShade="80"/>
                <w:lang w:val="en-GB"/>
              </w:rPr>
              <w:t>and learning</w:t>
            </w:r>
          </w:p>
        </w:tc>
        <w:tc>
          <w:tcPr>
            <w:tcW w:w="5490" w:type="dxa"/>
            <w:shd w:val="clear" w:color="auto" w:fill="FFFFFF" w:themeFill="background1"/>
          </w:tcPr>
          <w:p w14:paraId="6887E0E4" w14:textId="48F6266B" w:rsidR="004D0C16" w:rsidRDefault="002D5DFD" w:rsidP="002901E0">
            <w:pPr>
              <w:spacing w:line="300" w:lineRule="exact"/>
              <w:rPr>
                <w:bCs/>
                <w:color w:val="808080" w:themeColor="background1" w:themeShade="80"/>
                <w:lang w:val="en-GB"/>
              </w:rPr>
            </w:pPr>
            <w:r w:rsidRPr="002D5DFD">
              <w:rPr>
                <w:bCs/>
                <w:color w:val="808080" w:themeColor="background1" w:themeShade="80"/>
                <w:lang w:val="en-GB"/>
              </w:rPr>
              <w:t>To improve EPI’s monitoring and evaluation for a more responsive, timely, and effective health system that could be used in planning, monitoring, and resource mobilization for immunization services at all levels in Lesotho by 2025</w:t>
            </w:r>
            <w:r w:rsidRPr="002D5DFD">
              <w:rPr>
                <w:bCs/>
                <w:color w:val="808080" w:themeColor="background1" w:themeShade="80"/>
                <w:lang w:val="en-GB"/>
              </w:rPr>
              <w:tab/>
            </w:r>
            <w:r w:rsidRPr="002D5DFD">
              <w:rPr>
                <w:bCs/>
                <w:color w:val="808080" w:themeColor="background1" w:themeShade="80"/>
                <w:lang w:val="en-GB"/>
              </w:rPr>
              <w:tab/>
            </w:r>
            <w:r w:rsidRPr="002D5DFD">
              <w:rPr>
                <w:bCs/>
                <w:color w:val="808080" w:themeColor="background1" w:themeShade="80"/>
                <w:lang w:val="en-GB"/>
              </w:rPr>
              <w:tab/>
            </w:r>
            <w:r w:rsidRPr="002D5DFD">
              <w:rPr>
                <w:bCs/>
                <w:color w:val="808080" w:themeColor="background1" w:themeShade="80"/>
                <w:lang w:val="en-GB"/>
              </w:rPr>
              <w:tab/>
            </w:r>
            <w:r w:rsidRPr="002D5DFD">
              <w:rPr>
                <w:bCs/>
                <w:color w:val="808080" w:themeColor="background1" w:themeShade="80"/>
                <w:lang w:val="en-GB"/>
              </w:rPr>
              <w:tab/>
            </w:r>
            <w:r w:rsidRPr="002D5DFD">
              <w:rPr>
                <w:bCs/>
                <w:color w:val="808080" w:themeColor="background1" w:themeShade="80"/>
                <w:lang w:val="en-GB"/>
              </w:rPr>
              <w:tab/>
            </w:r>
            <w:r w:rsidRPr="002D5DFD">
              <w:rPr>
                <w:bCs/>
                <w:color w:val="808080" w:themeColor="background1" w:themeShade="80"/>
                <w:lang w:val="en-GB"/>
              </w:rPr>
              <w:tab/>
            </w:r>
          </w:p>
        </w:tc>
        <w:tc>
          <w:tcPr>
            <w:tcW w:w="1553" w:type="dxa"/>
            <w:shd w:val="clear" w:color="auto" w:fill="FFFFFF" w:themeFill="background1"/>
          </w:tcPr>
          <w:p w14:paraId="3F684678" w14:textId="77777777" w:rsidR="00C30F9C" w:rsidRDefault="00C30F9C" w:rsidP="00C30F9C">
            <w:pPr>
              <w:spacing w:line="240" w:lineRule="auto"/>
              <w:jc w:val="right"/>
              <w:rPr>
                <w:rFonts w:ascii="Calibri" w:eastAsia="Times New Roman" w:hAnsi="Calibri" w:cs="Calibri"/>
                <w:color w:val="000000"/>
                <w:lang w:val="en-US" w:eastAsia="en-US"/>
              </w:rPr>
            </w:pPr>
            <w:r w:rsidRPr="00C30F9C">
              <w:rPr>
                <w:bCs/>
                <w:color w:val="808080" w:themeColor="background1" w:themeShade="80"/>
                <w:lang w:val="en-GB"/>
              </w:rPr>
              <w:t>$123,470</w:t>
            </w:r>
            <w:r>
              <w:rPr>
                <w:rFonts w:ascii="Calibri" w:hAnsi="Calibri" w:cs="Calibri"/>
                <w:color w:val="000000"/>
              </w:rPr>
              <w:t xml:space="preserve"> </w:t>
            </w:r>
          </w:p>
          <w:p w14:paraId="3FCB67D1" w14:textId="77777777" w:rsidR="004D0C16" w:rsidRDefault="004D0C16" w:rsidP="002901E0">
            <w:pPr>
              <w:spacing w:line="300" w:lineRule="exact"/>
              <w:jc w:val="right"/>
              <w:rPr>
                <w:bCs/>
                <w:color w:val="808080" w:themeColor="background1" w:themeShade="80"/>
                <w:lang w:val="en-GB"/>
              </w:rPr>
            </w:pPr>
          </w:p>
        </w:tc>
        <w:tc>
          <w:tcPr>
            <w:tcW w:w="1237" w:type="dxa"/>
            <w:shd w:val="clear" w:color="auto" w:fill="FFFFFF" w:themeFill="background1"/>
          </w:tcPr>
          <w:p w14:paraId="07171017" w14:textId="41CBE26B" w:rsidR="004D0C16" w:rsidRDefault="00F43D0F" w:rsidP="002901E0">
            <w:pPr>
              <w:spacing w:line="300" w:lineRule="exact"/>
              <w:jc w:val="right"/>
              <w:rPr>
                <w:bCs/>
                <w:color w:val="808080" w:themeColor="background1" w:themeShade="80"/>
                <w:lang w:val="en-GB"/>
              </w:rPr>
            </w:pPr>
            <w:r>
              <w:rPr>
                <w:bCs/>
                <w:color w:val="808080" w:themeColor="background1" w:themeShade="80"/>
                <w:lang w:val="en-GB"/>
              </w:rPr>
              <w:t>20%</w:t>
            </w:r>
          </w:p>
        </w:tc>
      </w:tr>
      <w:tr w:rsidR="002D5DFD" w14:paraId="30B2D9D3" w14:textId="77777777" w:rsidTr="0C69E5CD">
        <w:trPr>
          <w:trHeight w:val="1646"/>
        </w:trPr>
        <w:tc>
          <w:tcPr>
            <w:tcW w:w="1620" w:type="dxa"/>
            <w:shd w:val="clear" w:color="auto" w:fill="FFFFFF" w:themeFill="background1"/>
          </w:tcPr>
          <w:p w14:paraId="6F6ED97F" w14:textId="668416EA" w:rsidR="002D5DFD" w:rsidRDefault="00F24FF0" w:rsidP="002901E0">
            <w:pPr>
              <w:spacing w:line="300" w:lineRule="exact"/>
              <w:rPr>
                <w:bCs/>
                <w:color w:val="808080" w:themeColor="background1" w:themeShade="80"/>
                <w:lang w:val="en-GB"/>
              </w:rPr>
            </w:pPr>
            <w:r>
              <w:rPr>
                <w:bCs/>
                <w:color w:val="808080" w:themeColor="background1" w:themeShade="80"/>
                <w:lang w:val="en-GB"/>
              </w:rPr>
              <w:t>Supply chain</w:t>
            </w:r>
          </w:p>
        </w:tc>
        <w:tc>
          <w:tcPr>
            <w:tcW w:w="5490" w:type="dxa"/>
            <w:shd w:val="clear" w:color="auto" w:fill="FFFFFF" w:themeFill="background1"/>
          </w:tcPr>
          <w:p w14:paraId="0A9AC6F0" w14:textId="3F1C8ED4" w:rsidR="002D5DFD" w:rsidRPr="002D5DFD" w:rsidRDefault="00984E5F" w:rsidP="002901E0">
            <w:pPr>
              <w:spacing w:line="300" w:lineRule="exact"/>
              <w:rPr>
                <w:bCs/>
                <w:color w:val="808080" w:themeColor="background1" w:themeShade="80"/>
                <w:lang w:val="en-GB"/>
              </w:rPr>
            </w:pPr>
            <w:r w:rsidRPr="00984E5F">
              <w:rPr>
                <w:bCs/>
                <w:color w:val="808080" w:themeColor="background1" w:themeShade="80"/>
                <w:lang w:val="en-GB"/>
              </w:rPr>
              <w:t>To strengthen the immunization Supply Chain Management (ISCM) through capacity and vaccines supply Infrastructure optimization to meet EPI program requirements, and to enable the availability of quality vaccines and other commodities by 2025</w:t>
            </w:r>
          </w:p>
        </w:tc>
        <w:tc>
          <w:tcPr>
            <w:tcW w:w="1553" w:type="dxa"/>
            <w:shd w:val="clear" w:color="auto" w:fill="FFFFFF" w:themeFill="background1"/>
          </w:tcPr>
          <w:p w14:paraId="1E8CA3B3" w14:textId="13EA5C32" w:rsidR="00C30F9C" w:rsidRPr="00C30F9C" w:rsidRDefault="00C30F9C" w:rsidP="5CD2F3BA">
            <w:pPr>
              <w:spacing w:line="240" w:lineRule="auto"/>
              <w:jc w:val="right"/>
              <w:rPr>
                <w:color w:val="808080" w:themeColor="background1" w:themeShade="80"/>
                <w:lang w:val="en-GB"/>
              </w:rPr>
            </w:pPr>
            <w:r w:rsidRPr="5CD2F3BA">
              <w:rPr>
                <w:color w:val="808080" w:themeColor="background1" w:themeShade="80"/>
                <w:lang w:val="en-GB"/>
              </w:rPr>
              <w:t>$185,204</w:t>
            </w:r>
          </w:p>
          <w:p w14:paraId="6ECEAAF1" w14:textId="77777777" w:rsidR="002D5DFD" w:rsidRDefault="002D5DFD" w:rsidP="002901E0">
            <w:pPr>
              <w:spacing w:line="300" w:lineRule="exact"/>
              <w:jc w:val="right"/>
              <w:rPr>
                <w:bCs/>
                <w:color w:val="808080" w:themeColor="background1" w:themeShade="80"/>
                <w:lang w:val="en-GB"/>
              </w:rPr>
            </w:pPr>
          </w:p>
        </w:tc>
        <w:tc>
          <w:tcPr>
            <w:tcW w:w="1237" w:type="dxa"/>
            <w:shd w:val="clear" w:color="auto" w:fill="FFFFFF" w:themeFill="background1"/>
          </w:tcPr>
          <w:p w14:paraId="0980E3E1" w14:textId="631B6873" w:rsidR="002D5DFD" w:rsidRDefault="00F43D0F" w:rsidP="002901E0">
            <w:pPr>
              <w:spacing w:line="300" w:lineRule="exact"/>
              <w:jc w:val="right"/>
              <w:rPr>
                <w:bCs/>
                <w:color w:val="808080" w:themeColor="background1" w:themeShade="80"/>
                <w:lang w:val="en-GB"/>
              </w:rPr>
            </w:pPr>
            <w:r>
              <w:rPr>
                <w:bCs/>
                <w:color w:val="808080" w:themeColor="background1" w:themeShade="80"/>
                <w:lang w:val="en-GB"/>
              </w:rPr>
              <w:t>30%</w:t>
            </w:r>
          </w:p>
        </w:tc>
      </w:tr>
      <w:tr w:rsidR="004D0C16" w14:paraId="722EF4AE" w14:textId="037364C4" w:rsidTr="0C69E5CD">
        <w:trPr>
          <w:trHeight w:val="298"/>
        </w:trPr>
        <w:tc>
          <w:tcPr>
            <w:tcW w:w="7110" w:type="dxa"/>
            <w:gridSpan w:val="2"/>
            <w:shd w:val="clear" w:color="auto" w:fill="E2EFD9" w:themeFill="accent6" w:themeFillTint="33"/>
          </w:tcPr>
          <w:p w14:paraId="43F4301D" w14:textId="77777777" w:rsidR="004D0C16" w:rsidRPr="00372D1F" w:rsidRDefault="004D0C16" w:rsidP="002901E0">
            <w:pPr>
              <w:spacing w:line="300" w:lineRule="exact"/>
              <w:jc w:val="right"/>
              <w:rPr>
                <w:b/>
                <w:lang w:val="en-GB"/>
              </w:rPr>
            </w:pPr>
            <w:r w:rsidRPr="00372D1F">
              <w:rPr>
                <w:b/>
                <w:lang w:val="en-GB"/>
              </w:rPr>
              <w:t>2023</w:t>
            </w:r>
          </w:p>
        </w:tc>
        <w:tc>
          <w:tcPr>
            <w:tcW w:w="1553" w:type="dxa"/>
            <w:shd w:val="clear" w:color="auto" w:fill="E2EFD9" w:themeFill="accent6" w:themeFillTint="33"/>
          </w:tcPr>
          <w:p w14:paraId="470D5C28" w14:textId="2EB1BC41" w:rsidR="004D0C16" w:rsidRPr="00372D1F" w:rsidRDefault="5CD2F3BA" w:rsidP="5CD2F3BA">
            <w:pPr>
              <w:spacing w:line="300" w:lineRule="exact"/>
              <w:jc w:val="right"/>
              <w:rPr>
                <w:b/>
                <w:bCs/>
                <w:lang w:val="en-GB"/>
              </w:rPr>
            </w:pPr>
            <w:r w:rsidRPr="5CD2F3BA">
              <w:rPr>
                <w:b/>
                <w:bCs/>
                <w:lang w:val="en-GB"/>
              </w:rPr>
              <w:t>704,881.00</w:t>
            </w:r>
          </w:p>
          <w:p w14:paraId="09E6B15D" w14:textId="406A8BAB" w:rsidR="004D0C16" w:rsidRPr="00372D1F" w:rsidRDefault="004D0C16" w:rsidP="5CD2F3BA">
            <w:pPr>
              <w:spacing w:line="300" w:lineRule="exact"/>
              <w:jc w:val="right"/>
              <w:rPr>
                <w:b/>
                <w:bCs/>
                <w:lang w:val="en-GB"/>
              </w:rPr>
            </w:pPr>
          </w:p>
        </w:tc>
        <w:tc>
          <w:tcPr>
            <w:tcW w:w="1237" w:type="dxa"/>
            <w:shd w:val="clear" w:color="auto" w:fill="E2EFD9" w:themeFill="accent6" w:themeFillTint="33"/>
          </w:tcPr>
          <w:p w14:paraId="7CED7596" w14:textId="77777777" w:rsidR="004D0C16" w:rsidRPr="00372D1F" w:rsidRDefault="004D0C16" w:rsidP="002901E0">
            <w:pPr>
              <w:spacing w:line="300" w:lineRule="exact"/>
              <w:jc w:val="right"/>
              <w:rPr>
                <w:b/>
                <w:lang w:val="en-GB"/>
              </w:rPr>
            </w:pPr>
          </w:p>
        </w:tc>
      </w:tr>
      <w:tr w:rsidR="004D0C16" w14:paraId="22897710" w14:textId="2350D58E" w:rsidTr="0C69E5CD">
        <w:trPr>
          <w:trHeight w:val="2204"/>
        </w:trPr>
        <w:tc>
          <w:tcPr>
            <w:tcW w:w="1620" w:type="dxa"/>
            <w:shd w:val="clear" w:color="auto" w:fill="FFFFFF" w:themeFill="background1"/>
          </w:tcPr>
          <w:p w14:paraId="0E6DA463" w14:textId="737F9830" w:rsidR="004D0C16" w:rsidRDefault="00F24FF0" w:rsidP="00BD0046">
            <w:pPr>
              <w:spacing w:line="300" w:lineRule="exact"/>
              <w:rPr>
                <w:bCs/>
                <w:color w:val="808080" w:themeColor="background1" w:themeShade="80"/>
                <w:lang w:val="en-GB"/>
              </w:rPr>
            </w:pPr>
            <w:r>
              <w:rPr>
                <w:bCs/>
                <w:color w:val="808080" w:themeColor="background1" w:themeShade="80"/>
                <w:lang w:val="en-GB"/>
              </w:rPr>
              <w:t xml:space="preserve">Service Delivery </w:t>
            </w:r>
          </w:p>
        </w:tc>
        <w:tc>
          <w:tcPr>
            <w:tcW w:w="5490" w:type="dxa"/>
            <w:shd w:val="clear" w:color="auto" w:fill="FFFFFF" w:themeFill="background1"/>
          </w:tcPr>
          <w:p w14:paraId="1F48101B" w14:textId="3AFA5240" w:rsidR="004D0C16" w:rsidRDefault="00984E5F" w:rsidP="00BD0046">
            <w:pPr>
              <w:spacing w:line="300" w:lineRule="exact"/>
              <w:rPr>
                <w:bCs/>
                <w:color w:val="808080" w:themeColor="background1" w:themeShade="80"/>
                <w:lang w:val="en-GB"/>
              </w:rPr>
            </w:pPr>
            <w:r w:rsidRPr="002D5DFD">
              <w:rPr>
                <w:bCs/>
                <w:color w:val="808080" w:themeColor="background1" w:themeShade="80"/>
                <w:lang w:val="en-GB"/>
              </w:rPr>
              <w:t xml:space="preserve">To Improve immunization coverage and equity in the six </w:t>
            </w:r>
            <w:r>
              <w:rPr>
                <w:bCs/>
                <w:color w:val="808080" w:themeColor="background1" w:themeShade="80"/>
                <w:lang w:val="en-GB"/>
              </w:rPr>
              <w:t xml:space="preserve">in all </w:t>
            </w:r>
            <w:r w:rsidRPr="002D5DFD">
              <w:rPr>
                <w:bCs/>
                <w:color w:val="808080" w:themeColor="background1" w:themeShade="80"/>
                <w:lang w:val="en-GB"/>
              </w:rPr>
              <w:t xml:space="preserve">districts using the second year of life vaccinations approach, </w:t>
            </w:r>
            <w:r>
              <w:rPr>
                <w:bCs/>
                <w:color w:val="808080" w:themeColor="background1" w:themeShade="80"/>
                <w:lang w:val="en-GB"/>
              </w:rPr>
              <w:t xml:space="preserve">mapping of zero-dose children, </w:t>
            </w:r>
            <w:r w:rsidRPr="002D5DFD">
              <w:rPr>
                <w:bCs/>
                <w:color w:val="808080" w:themeColor="background1" w:themeShade="80"/>
                <w:lang w:val="en-GB"/>
              </w:rPr>
              <w:t xml:space="preserve">and build capacity of old and </w:t>
            </w:r>
            <w:proofErr w:type="gramStart"/>
            <w:r w:rsidRPr="002D5DFD">
              <w:rPr>
                <w:bCs/>
                <w:color w:val="808080" w:themeColor="background1" w:themeShade="80"/>
                <w:lang w:val="en-GB"/>
              </w:rPr>
              <w:t>incoming  frontline</w:t>
            </w:r>
            <w:proofErr w:type="gramEnd"/>
            <w:r w:rsidRPr="002D5DFD">
              <w:rPr>
                <w:bCs/>
                <w:color w:val="808080" w:themeColor="background1" w:themeShade="80"/>
                <w:lang w:val="en-GB"/>
              </w:rPr>
              <w:t xml:space="preserve"> health workers in all districts through onsite mentorship and e-learning  for immunization and PHC service delivery in Lesotho by 2025</w:t>
            </w:r>
            <w:r w:rsidRPr="002D5DFD">
              <w:rPr>
                <w:bCs/>
                <w:color w:val="808080" w:themeColor="background1" w:themeShade="80"/>
                <w:lang w:val="en-GB"/>
              </w:rPr>
              <w:tab/>
            </w:r>
          </w:p>
        </w:tc>
        <w:tc>
          <w:tcPr>
            <w:tcW w:w="1553" w:type="dxa"/>
            <w:shd w:val="clear" w:color="auto" w:fill="FFFFFF" w:themeFill="background1"/>
          </w:tcPr>
          <w:p w14:paraId="2CF01E1B" w14:textId="77777777" w:rsidR="00C30F9C" w:rsidRPr="00C30F9C" w:rsidRDefault="00C30F9C" w:rsidP="00C30F9C">
            <w:pPr>
              <w:spacing w:line="240" w:lineRule="auto"/>
              <w:jc w:val="right"/>
              <w:rPr>
                <w:bCs/>
                <w:color w:val="808080" w:themeColor="background1" w:themeShade="80"/>
                <w:lang w:val="en-GB"/>
              </w:rPr>
            </w:pPr>
            <w:r w:rsidRPr="00C30F9C">
              <w:rPr>
                <w:bCs/>
                <w:color w:val="808080" w:themeColor="background1" w:themeShade="80"/>
                <w:lang w:val="en-GB"/>
              </w:rPr>
              <w:t xml:space="preserve">$352,441 </w:t>
            </w:r>
          </w:p>
          <w:p w14:paraId="2A9EA0BF" w14:textId="77777777" w:rsidR="004D0C16" w:rsidRDefault="004D0C16" w:rsidP="00BD0046">
            <w:pPr>
              <w:spacing w:line="300" w:lineRule="exact"/>
              <w:jc w:val="right"/>
              <w:rPr>
                <w:bCs/>
                <w:color w:val="808080" w:themeColor="background1" w:themeShade="80"/>
                <w:lang w:val="en-GB"/>
              </w:rPr>
            </w:pPr>
          </w:p>
        </w:tc>
        <w:tc>
          <w:tcPr>
            <w:tcW w:w="1237" w:type="dxa"/>
            <w:shd w:val="clear" w:color="auto" w:fill="FFFFFF" w:themeFill="background1"/>
          </w:tcPr>
          <w:p w14:paraId="6F1D7982" w14:textId="785CCC52" w:rsidR="004D0C16" w:rsidRDefault="00F43D0F" w:rsidP="00BD0046">
            <w:pPr>
              <w:spacing w:line="300" w:lineRule="exact"/>
              <w:jc w:val="right"/>
              <w:rPr>
                <w:bCs/>
                <w:color w:val="808080" w:themeColor="background1" w:themeShade="80"/>
                <w:lang w:val="en-GB"/>
              </w:rPr>
            </w:pPr>
            <w:r>
              <w:rPr>
                <w:bCs/>
                <w:color w:val="808080" w:themeColor="background1" w:themeShade="80"/>
                <w:lang w:val="en-GB"/>
              </w:rPr>
              <w:t>50%</w:t>
            </w:r>
          </w:p>
        </w:tc>
      </w:tr>
      <w:tr w:rsidR="004D0C16" w14:paraId="15111CCA" w14:textId="23068779" w:rsidTr="0C69E5CD">
        <w:trPr>
          <w:trHeight w:val="1610"/>
        </w:trPr>
        <w:tc>
          <w:tcPr>
            <w:tcW w:w="1620" w:type="dxa"/>
            <w:shd w:val="clear" w:color="auto" w:fill="FFFFFF" w:themeFill="background1"/>
          </w:tcPr>
          <w:p w14:paraId="65FDD90F" w14:textId="77777777" w:rsidR="00F24FF0" w:rsidRPr="00F24FF0" w:rsidRDefault="00F24FF0" w:rsidP="00F24FF0">
            <w:pPr>
              <w:spacing w:line="300" w:lineRule="exact"/>
              <w:rPr>
                <w:bCs/>
                <w:color w:val="808080" w:themeColor="background1" w:themeShade="80"/>
                <w:lang w:val="en-GB"/>
              </w:rPr>
            </w:pPr>
            <w:r w:rsidRPr="00F24FF0">
              <w:rPr>
                <w:bCs/>
                <w:color w:val="808080" w:themeColor="background1" w:themeShade="80"/>
                <w:lang w:val="en-GB"/>
              </w:rPr>
              <w:t xml:space="preserve">Health information systems and monitoring </w:t>
            </w:r>
          </w:p>
          <w:p w14:paraId="0EA952B8" w14:textId="567D02AB" w:rsidR="00F24FF0" w:rsidRDefault="00F24FF0" w:rsidP="00F24FF0">
            <w:pPr>
              <w:spacing w:line="300" w:lineRule="exact"/>
              <w:rPr>
                <w:bCs/>
                <w:color w:val="808080" w:themeColor="background1" w:themeShade="80"/>
                <w:lang w:val="en-GB"/>
              </w:rPr>
            </w:pPr>
            <w:r w:rsidRPr="00F24FF0">
              <w:rPr>
                <w:bCs/>
                <w:color w:val="808080" w:themeColor="background1" w:themeShade="80"/>
                <w:lang w:val="en-GB"/>
              </w:rPr>
              <w:t>and learning</w:t>
            </w:r>
          </w:p>
        </w:tc>
        <w:tc>
          <w:tcPr>
            <w:tcW w:w="5490" w:type="dxa"/>
            <w:shd w:val="clear" w:color="auto" w:fill="FFFFFF" w:themeFill="background1"/>
          </w:tcPr>
          <w:p w14:paraId="10D70F46" w14:textId="3A6AF216" w:rsidR="004D0C16" w:rsidRDefault="00984E5F" w:rsidP="00BD0046">
            <w:pPr>
              <w:spacing w:line="300" w:lineRule="exact"/>
              <w:rPr>
                <w:bCs/>
                <w:color w:val="808080" w:themeColor="background1" w:themeShade="80"/>
                <w:lang w:val="en-GB"/>
              </w:rPr>
            </w:pPr>
            <w:r w:rsidRPr="002D5DFD">
              <w:rPr>
                <w:bCs/>
                <w:color w:val="808080" w:themeColor="background1" w:themeShade="80"/>
                <w:lang w:val="en-GB"/>
              </w:rPr>
              <w:t>To improve EPI’s monitoring and evaluation for a more responsive, timely, and effective health system that could be used in planning, monitoring, and resource mobilization for immunization services at all levels in Lesotho by 2025</w:t>
            </w:r>
            <w:r w:rsidRPr="002D5DFD">
              <w:rPr>
                <w:bCs/>
                <w:color w:val="808080" w:themeColor="background1" w:themeShade="80"/>
                <w:lang w:val="en-GB"/>
              </w:rPr>
              <w:tab/>
            </w:r>
          </w:p>
        </w:tc>
        <w:tc>
          <w:tcPr>
            <w:tcW w:w="1553" w:type="dxa"/>
            <w:shd w:val="clear" w:color="auto" w:fill="FFFFFF" w:themeFill="background1"/>
          </w:tcPr>
          <w:p w14:paraId="765981FC" w14:textId="77777777" w:rsidR="00C30F9C" w:rsidRPr="00C30F9C" w:rsidRDefault="00C30F9C" w:rsidP="00C30F9C">
            <w:pPr>
              <w:spacing w:line="240" w:lineRule="auto"/>
              <w:jc w:val="right"/>
              <w:rPr>
                <w:bCs/>
                <w:color w:val="808080" w:themeColor="background1" w:themeShade="80"/>
                <w:lang w:val="en-GB"/>
              </w:rPr>
            </w:pPr>
            <w:r w:rsidRPr="00C30F9C">
              <w:rPr>
                <w:bCs/>
                <w:color w:val="808080" w:themeColor="background1" w:themeShade="80"/>
                <w:lang w:val="en-GB"/>
              </w:rPr>
              <w:t xml:space="preserve">$140,976 </w:t>
            </w:r>
          </w:p>
          <w:p w14:paraId="2571AD46" w14:textId="77777777" w:rsidR="004D0C16" w:rsidRDefault="004D0C16" w:rsidP="00BD0046">
            <w:pPr>
              <w:spacing w:line="300" w:lineRule="exact"/>
              <w:jc w:val="right"/>
              <w:rPr>
                <w:bCs/>
                <w:color w:val="808080" w:themeColor="background1" w:themeShade="80"/>
                <w:lang w:val="en-GB"/>
              </w:rPr>
            </w:pPr>
          </w:p>
        </w:tc>
        <w:tc>
          <w:tcPr>
            <w:tcW w:w="1237" w:type="dxa"/>
            <w:shd w:val="clear" w:color="auto" w:fill="FFFFFF" w:themeFill="background1"/>
          </w:tcPr>
          <w:p w14:paraId="4C87F1AA" w14:textId="61FA1C15" w:rsidR="004D0C16" w:rsidRDefault="00F43D0F" w:rsidP="00BD0046">
            <w:pPr>
              <w:spacing w:line="300" w:lineRule="exact"/>
              <w:jc w:val="right"/>
              <w:rPr>
                <w:bCs/>
                <w:color w:val="808080" w:themeColor="background1" w:themeShade="80"/>
                <w:lang w:val="en-GB"/>
              </w:rPr>
            </w:pPr>
            <w:r>
              <w:rPr>
                <w:bCs/>
                <w:color w:val="808080" w:themeColor="background1" w:themeShade="80"/>
                <w:lang w:val="en-GB"/>
              </w:rPr>
              <w:t>20%</w:t>
            </w:r>
          </w:p>
        </w:tc>
      </w:tr>
      <w:tr w:rsidR="00984E5F" w14:paraId="7EEC7FC6" w14:textId="77777777" w:rsidTr="0C69E5CD">
        <w:trPr>
          <w:trHeight w:val="1490"/>
        </w:trPr>
        <w:tc>
          <w:tcPr>
            <w:tcW w:w="1620" w:type="dxa"/>
            <w:shd w:val="clear" w:color="auto" w:fill="FFFFFF" w:themeFill="background1"/>
          </w:tcPr>
          <w:p w14:paraId="1727B762" w14:textId="3A965242" w:rsidR="00984E5F" w:rsidRDefault="00F24FF0" w:rsidP="00BD0046">
            <w:pPr>
              <w:spacing w:line="300" w:lineRule="exact"/>
              <w:rPr>
                <w:bCs/>
                <w:color w:val="808080" w:themeColor="background1" w:themeShade="80"/>
                <w:lang w:val="en-GB"/>
              </w:rPr>
            </w:pPr>
            <w:r>
              <w:rPr>
                <w:bCs/>
                <w:color w:val="808080" w:themeColor="background1" w:themeShade="80"/>
                <w:lang w:val="en-GB"/>
              </w:rPr>
              <w:t xml:space="preserve">Supply chain </w:t>
            </w:r>
          </w:p>
        </w:tc>
        <w:tc>
          <w:tcPr>
            <w:tcW w:w="5490" w:type="dxa"/>
            <w:shd w:val="clear" w:color="auto" w:fill="FFFFFF" w:themeFill="background1"/>
          </w:tcPr>
          <w:p w14:paraId="69B2E32C" w14:textId="32DA67EF" w:rsidR="00984E5F" w:rsidRDefault="00984E5F" w:rsidP="00BD0046">
            <w:pPr>
              <w:spacing w:line="300" w:lineRule="exact"/>
              <w:rPr>
                <w:bCs/>
                <w:color w:val="808080" w:themeColor="background1" w:themeShade="80"/>
                <w:lang w:val="en-GB"/>
              </w:rPr>
            </w:pPr>
            <w:r w:rsidRPr="00984E5F">
              <w:rPr>
                <w:bCs/>
                <w:color w:val="808080" w:themeColor="background1" w:themeShade="80"/>
                <w:lang w:val="en-GB"/>
              </w:rPr>
              <w:t>To strengthen the immunization Supply Chain Management (ISCM) through capacity and vaccines supply Infrastructure optimization to meet EPI program requirements, and to enable the availability of quality vaccines and other commodities by 2025</w:t>
            </w:r>
          </w:p>
        </w:tc>
        <w:tc>
          <w:tcPr>
            <w:tcW w:w="1553" w:type="dxa"/>
            <w:shd w:val="clear" w:color="auto" w:fill="FFFFFF" w:themeFill="background1"/>
          </w:tcPr>
          <w:p w14:paraId="114643DD" w14:textId="77777777" w:rsidR="00C30F9C" w:rsidRDefault="00C30F9C" w:rsidP="00C30F9C">
            <w:pPr>
              <w:spacing w:line="240" w:lineRule="auto"/>
              <w:jc w:val="right"/>
              <w:rPr>
                <w:rFonts w:ascii="Calibri" w:eastAsia="Times New Roman" w:hAnsi="Calibri" w:cs="Calibri"/>
                <w:color w:val="000000"/>
                <w:lang w:val="en-US" w:eastAsia="en-US"/>
              </w:rPr>
            </w:pPr>
            <w:r w:rsidRPr="00C30F9C">
              <w:rPr>
                <w:bCs/>
                <w:color w:val="808080" w:themeColor="background1" w:themeShade="80"/>
                <w:lang w:val="en-GB"/>
              </w:rPr>
              <w:t>$211,464</w:t>
            </w:r>
            <w:r>
              <w:rPr>
                <w:rFonts w:ascii="Calibri" w:hAnsi="Calibri" w:cs="Calibri"/>
                <w:color w:val="000000"/>
              </w:rPr>
              <w:t xml:space="preserve"> </w:t>
            </w:r>
          </w:p>
          <w:p w14:paraId="0EC1EE26" w14:textId="77777777" w:rsidR="00984E5F" w:rsidRDefault="00984E5F" w:rsidP="00BD0046">
            <w:pPr>
              <w:spacing w:line="300" w:lineRule="exact"/>
              <w:jc w:val="right"/>
              <w:rPr>
                <w:bCs/>
                <w:color w:val="808080" w:themeColor="background1" w:themeShade="80"/>
                <w:lang w:val="en-GB"/>
              </w:rPr>
            </w:pPr>
          </w:p>
        </w:tc>
        <w:tc>
          <w:tcPr>
            <w:tcW w:w="1237" w:type="dxa"/>
            <w:shd w:val="clear" w:color="auto" w:fill="FFFFFF" w:themeFill="background1"/>
          </w:tcPr>
          <w:p w14:paraId="40D9CF24" w14:textId="7F50D19B" w:rsidR="00984E5F" w:rsidRDefault="00F43D0F" w:rsidP="00BD0046">
            <w:pPr>
              <w:spacing w:line="300" w:lineRule="exact"/>
              <w:jc w:val="right"/>
              <w:rPr>
                <w:bCs/>
                <w:color w:val="808080" w:themeColor="background1" w:themeShade="80"/>
                <w:lang w:val="en-GB"/>
              </w:rPr>
            </w:pPr>
            <w:r>
              <w:rPr>
                <w:bCs/>
                <w:color w:val="808080" w:themeColor="background1" w:themeShade="80"/>
                <w:lang w:val="en-GB"/>
              </w:rPr>
              <w:t>30%</w:t>
            </w:r>
          </w:p>
        </w:tc>
      </w:tr>
      <w:tr w:rsidR="004D0C16" w14:paraId="55D2CE0F" w14:textId="22386468" w:rsidTr="0C69E5CD">
        <w:trPr>
          <w:trHeight w:val="298"/>
        </w:trPr>
        <w:tc>
          <w:tcPr>
            <w:tcW w:w="7110" w:type="dxa"/>
            <w:gridSpan w:val="2"/>
            <w:shd w:val="clear" w:color="auto" w:fill="E2EFD9" w:themeFill="accent6" w:themeFillTint="33"/>
          </w:tcPr>
          <w:p w14:paraId="49C25D35" w14:textId="0271E5CE" w:rsidR="004D0C16" w:rsidRPr="00372D1F" w:rsidRDefault="004D0C16" w:rsidP="00BD0046">
            <w:pPr>
              <w:spacing w:line="300" w:lineRule="exact"/>
              <w:jc w:val="right"/>
              <w:rPr>
                <w:b/>
                <w:lang w:val="en-GB"/>
              </w:rPr>
            </w:pPr>
            <w:r>
              <w:rPr>
                <w:b/>
                <w:lang w:val="en-GB"/>
              </w:rPr>
              <w:t>2</w:t>
            </w:r>
            <w:r w:rsidRPr="00372D1F">
              <w:rPr>
                <w:b/>
                <w:lang w:val="en-GB"/>
              </w:rPr>
              <w:t>024</w:t>
            </w:r>
          </w:p>
        </w:tc>
        <w:tc>
          <w:tcPr>
            <w:tcW w:w="1553" w:type="dxa"/>
            <w:shd w:val="clear" w:color="auto" w:fill="E2EFD9" w:themeFill="accent6" w:themeFillTint="33"/>
          </w:tcPr>
          <w:p w14:paraId="407EA6D3" w14:textId="20D33A35" w:rsidR="004D0C16" w:rsidRPr="00372D1F" w:rsidRDefault="5CD2F3BA" w:rsidP="5CD2F3BA">
            <w:pPr>
              <w:spacing w:line="300" w:lineRule="exact"/>
              <w:jc w:val="right"/>
              <w:rPr>
                <w:b/>
                <w:bCs/>
                <w:lang w:val="en-GB"/>
              </w:rPr>
            </w:pPr>
            <w:r w:rsidRPr="5CD2F3BA">
              <w:rPr>
                <w:b/>
                <w:bCs/>
                <w:lang w:val="en-GB"/>
              </w:rPr>
              <w:t>704,881.00</w:t>
            </w:r>
          </w:p>
        </w:tc>
        <w:tc>
          <w:tcPr>
            <w:tcW w:w="1237" w:type="dxa"/>
            <w:shd w:val="clear" w:color="auto" w:fill="E2EFD9" w:themeFill="accent6" w:themeFillTint="33"/>
          </w:tcPr>
          <w:p w14:paraId="6870B156" w14:textId="77777777" w:rsidR="004D0C16" w:rsidRPr="00372D1F" w:rsidRDefault="004D0C16" w:rsidP="00BD0046">
            <w:pPr>
              <w:spacing w:line="300" w:lineRule="exact"/>
              <w:jc w:val="right"/>
              <w:rPr>
                <w:b/>
                <w:lang w:val="en-GB"/>
              </w:rPr>
            </w:pPr>
          </w:p>
        </w:tc>
      </w:tr>
      <w:tr w:rsidR="00984E5F" w14:paraId="7B7A05D5" w14:textId="0485D43C" w:rsidTr="0C69E5CD">
        <w:trPr>
          <w:trHeight w:val="2240"/>
        </w:trPr>
        <w:tc>
          <w:tcPr>
            <w:tcW w:w="1620" w:type="dxa"/>
            <w:shd w:val="clear" w:color="auto" w:fill="FFFFFF" w:themeFill="background1"/>
          </w:tcPr>
          <w:p w14:paraId="1337F463" w14:textId="70DA7501" w:rsidR="00984E5F" w:rsidRDefault="00F24FF0" w:rsidP="00984E5F">
            <w:pPr>
              <w:spacing w:line="300" w:lineRule="exact"/>
              <w:rPr>
                <w:bCs/>
                <w:color w:val="808080" w:themeColor="background1" w:themeShade="80"/>
                <w:lang w:val="en-GB"/>
              </w:rPr>
            </w:pPr>
            <w:r>
              <w:rPr>
                <w:bCs/>
                <w:color w:val="808080" w:themeColor="background1" w:themeShade="80"/>
                <w:lang w:val="en-GB"/>
              </w:rPr>
              <w:t>Service Delivery</w:t>
            </w:r>
          </w:p>
        </w:tc>
        <w:tc>
          <w:tcPr>
            <w:tcW w:w="5490" w:type="dxa"/>
            <w:shd w:val="clear" w:color="auto" w:fill="FFFFFF" w:themeFill="background1"/>
          </w:tcPr>
          <w:p w14:paraId="64A732C2" w14:textId="38A5FC64" w:rsidR="00984E5F" w:rsidRDefault="39F9DFE5" w:rsidP="0C69E5CD">
            <w:pPr>
              <w:spacing w:line="300" w:lineRule="exact"/>
              <w:rPr>
                <w:color w:val="808080" w:themeColor="background1" w:themeShade="80"/>
                <w:lang w:val="en-GB"/>
              </w:rPr>
            </w:pPr>
            <w:r w:rsidRPr="0C69E5CD">
              <w:rPr>
                <w:color w:val="808080" w:themeColor="background1" w:themeShade="80"/>
                <w:lang w:val="en-GB"/>
              </w:rPr>
              <w:t>To Improve immunization coverage and equity in the six in all districts using the second year of life vaccinations approach, mapping of zero-dose children, and build capacity of old and incoming frontline health workers in all districts through onsite mentorship and e-</w:t>
            </w:r>
            <w:proofErr w:type="gramStart"/>
            <w:r w:rsidRPr="0C69E5CD">
              <w:rPr>
                <w:color w:val="808080" w:themeColor="background1" w:themeShade="80"/>
                <w:lang w:val="en-GB"/>
              </w:rPr>
              <w:t>learning  for</w:t>
            </w:r>
            <w:proofErr w:type="gramEnd"/>
            <w:r w:rsidRPr="0C69E5CD">
              <w:rPr>
                <w:color w:val="808080" w:themeColor="background1" w:themeShade="80"/>
                <w:lang w:val="en-GB"/>
              </w:rPr>
              <w:t xml:space="preserve"> immunization and PHC service delivery in Lesotho by 2025</w:t>
            </w:r>
            <w:r w:rsidR="00984E5F">
              <w:tab/>
            </w:r>
          </w:p>
        </w:tc>
        <w:tc>
          <w:tcPr>
            <w:tcW w:w="1553" w:type="dxa"/>
            <w:shd w:val="clear" w:color="auto" w:fill="FFFFFF" w:themeFill="background1"/>
          </w:tcPr>
          <w:p w14:paraId="6E45056A"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$352,441 </w:t>
            </w:r>
          </w:p>
          <w:p w14:paraId="7D533089"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1D2BB679" w14:textId="5A41C630" w:rsidR="00984E5F" w:rsidRDefault="00F43D0F" w:rsidP="00984E5F">
            <w:pPr>
              <w:spacing w:line="300" w:lineRule="exact"/>
              <w:rPr>
                <w:bCs/>
                <w:color w:val="808080" w:themeColor="background1" w:themeShade="80"/>
                <w:lang w:val="en-GB"/>
              </w:rPr>
            </w:pPr>
            <w:r>
              <w:rPr>
                <w:bCs/>
                <w:color w:val="808080" w:themeColor="background1" w:themeShade="80"/>
                <w:lang w:val="en-GB"/>
              </w:rPr>
              <w:t>50%</w:t>
            </w:r>
          </w:p>
        </w:tc>
      </w:tr>
      <w:tr w:rsidR="00984E5F" w14:paraId="0DCEFD24" w14:textId="731D7935" w:rsidTr="0C69E5CD">
        <w:trPr>
          <w:trHeight w:val="1610"/>
        </w:trPr>
        <w:tc>
          <w:tcPr>
            <w:tcW w:w="1620" w:type="dxa"/>
            <w:shd w:val="clear" w:color="auto" w:fill="FFFFFF" w:themeFill="background1"/>
          </w:tcPr>
          <w:p w14:paraId="776418C1" w14:textId="29987E19" w:rsidR="00F24FF0" w:rsidRPr="00F24FF0" w:rsidRDefault="00F24FF0" w:rsidP="00F24FF0">
            <w:pPr>
              <w:spacing w:line="300" w:lineRule="exact"/>
              <w:rPr>
                <w:bCs/>
                <w:color w:val="808080" w:themeColor="background1" w:themeShade="80"/>
                <w:lang w:val="en-GB"/>
              </w:rPr>
            </w:pPr>
            <w:r w:rsidRPr="00F24FF0">
              <w:rPr>
                <w:bCs/>
                <w:color w:val="808080" w:themeColor="background1" w:themeShade="80"/>
                <w:lang w:val="en-GB"/>
              </w:rPr>
              <w:t xml:space="preserve">Health information systems and monitoring </w:t>
            </w:r>
          </w:p>
          <w:p w14:paraId="133EA535" w14:textId="5616A49D" w:rsidR="00984E5F" w:rsidRDefault="00F24FF0" w:rsidP="00F24FF0">
            <w:pPr>
              <w:spacing w:line="300" w:lineRule="exact"/>
              <w:rPr>
                <w:bCs/>
                <w:color w:val="808080" w:themeColor="background1" w:themeShade="80"/>
                <w:lang w:val="en-GB"/>
              </w:rPr>
            </w:pPr>
            <w:r w:rsidRPr="00F24FF0">
              <w:rPr>
                <w:bCs/>
                <w:color w:val="808080" w:themeColor="background1" w:themeShade="80"/>
                <w:lang w:val="en-GB"/>
              </w:rPr>
              <w:t>and learning</w:t>
            </w:r>
          </w:p>
        </w:tc>
        <w:tc>
          <w:tcPr>
            <w:tcW w:w="5490" w:type="dxa"/>
            <w:shd w:val="clear" w:color="auto" w:fill="FFFFFF" w:themeFill="background1"/>
          </w:tcPr>
          <w:p w14:paraId="65549A39" w14:textId="7F697CE5" w:rsidR="00984E5F" w:rsidRDefault="00984E5F" w:rsidP="00984E5F">
            <w:pPr>
              <w:spacing w:line="300" w:lineRule="exact"/>
              <w:rPr>
                <w:bCs/>
                <w:color w:val="808080" w:themeColor="background1" w:themeShade="80"/>
                <w:lang w:val="en-GB"/>
              </w:rPr>
            </w:pPr>
            <w:r w:rsidRPr="002D5DFD">
              <w:rPr>
                <w:bCs/>
                <w:color w:val="808080" w:themeColor="background1" w:themeShade="80"/>
                <w:lang w:val="en-GB"/>
              </w:rPr>
              <w:t>To improve EPI’s monitoring and evaluation for a more responsive, timely, and effective health system that could be used in planning, monitoring, and resource mobilization for immunization services at all levels in Lesotho by 2025</w:t>
            </w:r>
            <w:r w:rsidRPr="002D5DFD">
              <w:rPr>
                <w:bCs/>
                <w:color w:val="808080" w:themeColor="background1" w:themeShade="80"/>
                <w:lang w:val="en-GB"/>
              </w:rPr>
              <w:tab/>
            </w:r>
          </w:p>
        </w:tc>
        <w:tc>
          <w:tcPr>
            <w:tcW w:w="1553" w:type="dxa"/>
            <w:shd w:val="clear" w:color="auto" w:fill="FFFFFF" w:themeFill="background1"/>
          </w:tcPr>
          <w:p w14:paraId="35D81582"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$140,976 </w:t>
            </w:r>
          </w:p>
          <w:p w14:paraId="79AD70D8"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4CBFECC0" w14:textId="054E39DB" w:rsidR="00984E5F" w:rsidRDefault="00F43D0F" w:rsidP="00984E5F">
            <w:pPr>
              <w:spacing w:line="300" w:lineRule="exact"/>
              <w:rPr>
                <w:bCs/>
                <w:color w:val="808080" w:themeColor="background1" w:themeShade="80"/>
                <w:lang w:val="en-GB"/>
              </w:rPr>
            </w:pPr>
            <w:r>
              <w:rPr>
                <w:bCs/>
                <w:color w:val="808080" w:themeColor="background1" w:themeShade="80"/>
                <w:lang w:val="en-GB"/>
              </w:rPr>
              <w:t>20%</w:t>
            </w:r>
          </w:p>
        </w:tc>
      </w:tr>
      <w:tr w:rsidR="00984E5F" w14:paraId="020BF31D" w14:textId="77777777" w:rsidTr="0C69E5CD">
        <w:trPr>
          <w:trHeight w:val="1700"/>
        </w:trPr>
        <w:tc>
          <w:tcPr>
            <w:tcW w:w="1620" w:type="dxa"/>
            <w:shd w:val="clear" w:color="auto" w:fill="FFFFFF" w:themeFill="background1"/>
          </w:tcPr>
          <w:p w14:paraId="4A2D3B42" w14:textId="61A2D4C5" w:rsidR="00984E5F" w:rsidRDefault="00F24FF0" w:rsidP="00984E5F">
            <w:pPr>
              <w:spacing w:line="300" w:lineRule="exact"/>
              <w:rPr>
                <w:bCs/>
                <w:color w:val="808080" w:themeColor="background1" w:themeShade="80"/>
                <w:lang w:val="en-GB"/>
              </w:rPr>
            </w:pPr>
            <w:r>
              <w:rPr>
                <w:bCs/>
                <w:color w:val="808080" w:themeColor="background1" w:themeShade="80"/>
                <w:lang w:val="en-GB"/>
              </w:rPr>
              <w:t xml:space="preserve">Supply Chain </w:t>
            </w:r>
          </w:p>
        </w:tc>
        <w:tc>
          <w:tcPr>
            <w:tcW w:w="5490" w:type="dxa"/>
            <w:shd w:val="clear" w:color="auto" w:fill="FFFFFF" w:themeFill="background1"/>
          </w:tcPr>
          <w:p w14:paraId="4447386E" w14:textId="0CE94A24" w:rsidR="00984E5F" w:rsidRDefault="00984E5F" w:rsidP="00984E5F">
            <w:pPr>
              <w:spacing w:line="300" w:lineRule="exact"/>
              <w:rPr>
                <w:bCs/>
                <w:color w:val="808080" w:themeColor="background1" w:themeShade="80"/>
                <w:lang w:val="en-GB"/>
              </w:rPr>
            </w:pPr>
            <w:r w:rsidRPr="00984E5F">
              <w:rPr>
                <w:bCs/>
                <w:color w:val="808080" w:themeColor="background1" w:themeShade="80"/>
                <w:lang w:val="en-GB"/>
              </w:rPr>
              <w:t>To strengthen the immunization Supply Chain Management (ISCM) through capacity and vaccines supply Infrastructure optimization to meet EPI program requirements, and to enable the availability of quality vaccines and other commodities by 2025</w:t>
            </w:r>
          </w:p>
        </w:tc>
        <w:tc>
          <w:tcPr>
            <w:tcW w:w="1553" w:type="dxa"/>
            <w:shd w:val="clear" w:color="auto" w:fill="FFFFFF" w:themeFill="background1"/>
          </w:tcPr>
          <w:p w14:paraId="637D2C1C"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$211,464 </w:t>
            </w:r>
          </w:p>
          <w:p w14:paraId="7B4CAB8C"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475E2706" w14:textId="66C7FBFB" w:rsidR="00984E5F" w:rsidRDefault="00F43D0F" w:rsidP="00984E5F">
            <w:pPr>
              <w:spacing w:line="300" w:lineRule="exact"/>
              <w:rPr>
                <w:bCs/>
                <w:color w:val="808080" w:themeColor="background1" w:themeShade="80"/>
                <w:lang w:val="en-GB"/>
              </w:rPr>
            </w:pPr>
            <w:r>
              <w:rPr>
                <w:bCs/>
                <w:color w:val="808080" w:themeColor="background1" w:themeShade="80"/>
                <w:lang w:val="en-GB"/>
              </w:rPr>
              <w:t>30%</w:t>
            </w:r>
          </w:p>
        </w:tc>
      </w:tr>
      <w:tr w:rsidR="00984E5F" w14:paraId="18AEA816" w14:textId="33B7DEF6" w:rsidTr="0C69E5CD">
        <w:trPr>
          <w:trHeight w:val="298"/>
        </w:trPr>
        <w:tc>
          <w:tcPr>
            <w:tcW w:w="7110" w:type="dxa"/>
            <w:gridSpan w:val="2"/>
            <w:shd w:val="clear" w:color="auto" w:fill="E2EFD9" w:themeFill="accent6" w:themeFillTint="33"/>
          </w:tcPr>
          <w:p w14:paraId="2D549C3B" w14:textId="77777777" w:rsidR="00984E5F" w:rsidRPr="00372D1F" w:rsidRDefault="00984E5F" w:rsidP="00984E5F">
            <w:pPr>
              <w:spacing w:line="300" w:lineRule="exact"/>
              <w:jc w:val="right"/>
              <w:rPr>
                <w:b/>
                <w:color w:val="808080" w:themeColor="background1" w:themeShade="80"/>
                <w:lang w:val="en-GB"/>
              </w:rPr>
            </w:pPr>
            <w:r w:rsidRPr="00372D1F">
              <w:rPr>
                <w:b/>
                <w:lang w:val="en-GB"/>
              </w:rPr>
              <w:t>2025</w:t>
            </w:r>
          </w:p>
        </w:tc>
        <w:tc>
          <w:tcPr>
            <w:tcW w:w="1553" w:type="dxa"/>
            <w:shd w:val="clear" w:color="auto" w:fill="E2EFD9" w:themeFill="accent6" w:themeFillTint="33"/>
          </w:tcPr>
          <w:p w14:paraId="21FA417A" w14:textId="63754FAB" w:rsidR="00984E5F" w:rsidRDefault="5CD2F3BA" w:rsidP="5CD2F3BA">
            <w:pPr>
              <w:spacing w:line="300" w:lineRule="exact"/>
              <w:jc w:val="right"/>
              <w:rPr>
                <w:b/>
                <w:bCs/>
                <w:lang w:val="en-GB"/>
              </w:rPr>
            </w:pPr>
            <w:r w:rsidRPr="5CD2F3BA">
              <w:rPr>
                <w:b/>
                <w:bCs/>
                <w:lang w:val="en-GB"/>
              </w:rPr>
              <w:t>704,881.00</w:t>
            </w:r>
          </w:p>
        </w:tc>
        <w:tc>
          <w:tcPr>
            <w:tcW w:w="1237" w:type="dxa"/>
            <w:shd w:val="clear" w:color="auto" w:fill="E2EFD9" w:themeFill="accent6" w:themeFillTint="33"/>
          </w:tcPr>
          <w:p w14:paraId="2FF14229" w14:textId="77777777" w:rsidR="00984E5F" w:rsidRDefault="00984E5F" w:rsidP="00984E5F">
            <w:pPr>
              <w:spacing w:line="300" w:lineRule="exact"/>
              <w:jc w:val="right"/>
              <w:rPr>
                <w:bCs/>
                <w:color w:val="808080" w:themeColor="background1" w:themeShade="80"/>
                <w:lang w:val="en-GB"/>
              </w:rPr>
            </w:pPr>
          </w:p>
        </w:tc>
      </w:tr>
      <w:tr w:rsidR="00984E5F" w14:paraId="6E07A077" w14:textId="7EC75C6F" w:rsidTr="0C69E5CD">
        <w:trPr>
          <w:trHeight w:val="2204"/>
        </w:trPr>
        <w:tc>
          <w:tcPr>
            <w:tcW w:w="1620" w:type="dxa"/>
            <w:shd w:val="clear" w:color="auto" w:fill="FFFFFF" w:themeFill="background1"/>
          </w:tcPr>
          <w:p w14:paraId="7F730165" w14:textId="2A16CF18" w:rsidR="00984E5F" w:rsidRDefault="00F24FF0" w:rsidP="00984E5F">
            <w:pPr>
              <w:spacing w:line="300" w:lineRule="exact"/>
              <w:rPr>
                <w:bCs/>
                <w:color w:val="808080" w:themeColor="background1" w:themeShade="80"/>
                <w:lang w:val="en-GB"/>
              </w:rPr>
            </w:pPr>
            <w:r>
              <w:rPr>
                <w:bCs/>
                <w:color w:val="808080" w:themeColor="background1" w:themeShade="80"/>
                <w:lang w:val="en-GB"/>
              </w:rPr>
              <w:t xml:space="preserve">Service Delivery </w:t>
            </w:r>
          </w:p>
        </w:tc>
        <w:tc>
          <w:tcPr>
            <w:tcW w:w="5490" w:type="dxa"/>
            <w:shd w:val="clear" w:color="auto" w:fill="FFFFFF" w:themeFill="background1"/>
          </w:tcPr>
          <w:p w14:paraId="7A0982BD" w14:textId="7E5098EE" w:rsidR="00984E5F" w:rsidRDefault="39F9DFE5" w:rsidP="0C69E5CD">
            <w:pPr>
              <w:spacing w:line="300" w:lineRule="exact"/>
              <w:rPr>
                <w:color w:val="808080" w:themeColor="background1" w:themeShade="80"/>
                <w:lang w:val="en-GB"/>
              </w:rPr>
            </w:pPr>
            <w:r w:rsidRPr="0C69E5CD">
              <w:rPr>
                <w:color w:val="808080" w:themeColor="background1" w:themeShade="80"/>
                <w:lang w:val="en-GB"/>
              </w:rPr>
              <w:t>To Improve immunization coverage and equity in the six in all districts using the second year of life vaccinations approach, mapping of zero-dose children, and build capacity of old and incoming frontline health workers in all districts through onsite mentorship and e-</w:t>
            </w:r>
            <w:proofErr w:type="gramStart"/>
            <w:r w:rsidRPr="0C69E5CD">
              <w:rPr>
                <w:color w:val="808080" w:themeColor="background1" w:themeShade="80"/>
                <w:lang w:val="en-GB"/>
              </w:rPr>
              <w:t>learning  for</w:t>
            </w:r>
            <w:proofErr w:type="gramEnd"/>
            <w:r w:rsidRPr="0C69E5CD">
              <w:rPr>
                <w:color w:val="808080" w:themeColor="background1" w:themeShade="80"/>
                <w:lang w:val="en-GB"/>
              </w:rPr>
              <w:t xml:space="preserve"> immunization and PHC service delivery in Lesotho by 2025</w:t>
            </w:r>
            <w:r w:rsidR="00984E5F">
              <w:tab/>
            </w:r>
          </w:p>
        </w:tc>
        <w:tc>
          <w:tcPr>
            <w:tcW w:w="1553" w:type="dxa"/>
            <w:shd w:val="clear" w:color="auto" w:fill="FFFFFF" w:themeFill="background1"/>
          </w:tcPr>
          <w:p w14:paraId="1DC60CD7"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$352,441 </w:t>
            </w:r>
          </w:p>
          <w:p w14:paraId="59E98106"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413205C3" w14:textId="48EBE5C9" w:rsidR="00984E5F" w:rsidRDefault="00F43D0F" w:rsidP="00984E5F">
            <w:pPr>
              <w:spacing w:line="300" w:lineRule="exact"/>
              <w:rPr>
                <w:bCs/>
                <w:color w:val="808080" w:themeColor="background1" w:themeShade="80"/>
                <w:lang w:val="en-GB"/>
              </w:rPr>
            </w:pPr>
            <w:r>
              <w:rPr>
                <w:bCs/>
                <w:color w:val="808080" w:themeColor="background1" w:themeShade="80"/>
                <w:lang w:val="en-GB"/>
              </w:rPr>
              <w:t>50%</w:t>
            </w:r>
          </w:p>
        </w:tc>
      </w:tr>
      <w:tr w:rsidR="00984E5F" w14:paraId="50BF35C1" w14:textId="5F72284B" w:rsidTr="0C69E5CD">
        <w:trPr>
          <w:trHeight w:val="1490"/>
        </w:trPr>
        <w:tc>
          <w:tcPr>
            <w:tcW w:w="1620" w:type="dxa"/>
            <w:shd w:val="clear" w:color="auto" w:fill="FFFFFF" w:themeFill="background1"/>
          </w:tcPr>
          <w:p w14:paraId="4526873E" w14:textId="77777777" w:rsidR="00F24FF0" w:rsidRPr="00F24FF0" w:rsidRDefault="00F24FF0" w:rsidP="00F24FF0">
            <w:pPr>
              <w:spacing w:line="300" w:lineRule="exact"/>
              <w:rPr>
                <w:bCs/>
                <w:color w:val="808080" w:themeColor="background1" w:themeShade="80"/>
                <w:lang w:val="en-GB"/>
              </w:rPr>
            </w:pPr>
            <w:r w:rsidRPr="00F24FF0">
              <w:rPr>
                <w:bCs/>
                <w:color w:val="808080" w:themeColor="background1" w:themeShade="80"/>
                <w:lang w:val="en-GB"/>
              </w:rPr>
              <w:t xml:space="preserve">Health information systems and monitoring </w:t>
            </w:r>
          </w:p>
          <w:p w14:paraId="35A3D48A" w14:textId="721F21CC" w:rsidR="00984E5F" w:rsidRDefault="00F24FF0" w:rsidP="00F24FF0">
            <w:pPr>
              <w:spacing w:line="300" w:lineRule="exact"/>
              <w:rPr>
                <w:bCs/>
                <w:color w:val="808080" w:themeColor="background1" w:themeShade="80"/>
                <w:lang w:val="en-GB"/>
              </w:rPr>
            </w:pPr>
            <w:r w:rsidRPr="00F24FF0">
              <w:rPr>
                <w:bCs/>
                <w:color w:val="808080" w:themeColor="background1" w:themeShade="80"/>
                <w:lang w:val="en-GB"/>
              </w:rPr>
              <w:t>and learning</w:t>
            </w:r>
          </w:p>
        </w:tc>
        <w:tc>
          <w:tcPr>
            <w:tcW w:w="5490" w:type="dxa"/>
            <w:shd w:val="clear" w:color="auto" w:fill="FFFFFF" w:themeFill="background1"/>
          </w:tcPr>
          <w:p w14:paraId="691D8DC5" w14:textId="7327BCFC" w:rsidR="00984E5F" w:rsidRDefault="00984E5F" w:rsidP="00984E5F">
            <w:pPr>
              <w:spacing w:line="300" w:lineRule="exact"/>
              <w:rPr>
                <w:bCs/>
                <w:color w:val="808080" w:themeColor="background1" w:themeShade="80"/>
                <w:lang w:val="en-GB"/>
              </w:rPr>
            </w:pPr>
            <w:r w:rsidRPr="002D5DFD">
              <w:rPr>
                <w:bCs/>
                <w:color w:val="808080" w:themeColor="background1" w:themeShade="80"/>
                <w:lang w:val="en-GB"/>
              </w:rPr>
              <w:t>To improve EPI’s monitoring and evaluation for a more responsive, timely, and effective health system that could be used in planning, monitoring, and resource mobilization for immunization services at all levels in Lesotho by 2025</w:t>
            </w:r>
            <w:r w:rsidRPr="002D5DFD">
              <w:rPr>
                <w:bCs/>
                <w:color w:val="808080" w:themeColor="background1" w:themeShade="80"/>
                <w:lang w:val="en-GB"/>
              </w:rPr>
              <w:tab/>
            </w:r>
          </w:p>
        </w:tc>
        <w:tc>
          <w:tcPr>
            <w:tcW w:w="1553" w:type="dxa"/>
            <w:shd w:val="clear" w:color="auto" w:fill="FFFFFF" w:themeFill="background1"/>
          </w:tcPr>
          <w:p w14:paraId="7E9892F9"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$140,976 </w:t>
            </w:r>
          </w:p>
          <w:p w14:paraId="2DD49E07"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3980AE25" w14:textId="646F3280" w:rsidR="00984E5F" w:rsidRDefault="00F43D0F" w:rsidP="00984E5F">
            <w:pPr>
              <w:spacing w:line="300" w:lineRule="exact"/>
              <w:rPr>
                <w:bCs/>
                <w:color w:val="808080" w:themeColor="background1" w:themeShade="80"/>
                <w:lang w:val="en-GB"/>
              </w:rPr>
            </w:pPr>
            <w:r>
              <w:rPr>
                <w:bCs/>
                <w:color w:val="808080" w:themeColor="background1" w:themeShade="80"/>
                <w:lang w:val="en-GB"/>
              </w:rPr>
              <w:t>20%</w:t>
            </w:r>
          </w:p>
        </w:tc>
      </w:tr>
      <w:tr w:rsidR="00984E5F" w14:paraId="3ED6ECDE" w14:textId="77777777" w:rsidTr="0C69E5CD">
        <w:trPr>
          <w:trHeight w:val="1538"/>
        </w:trPr>
        <w:tc>
          <w:tcPr>
            <w:tcW w:w="1620" w:type="dxa"/>
            <w:shd w:val="clear" w:color="auto" w:fill="FFFFFF" w:themeFill="background1"/>
          </w:tcPr>
          <w:p w14:paraId="0CC8EF13" w14:textId="61309C59" w:rsidR="00984E5F" w:rsidRDefault="00F24FF0" w:rsidP="00984E5F">
            <w:pPr>
              <w:spacing w:line="300" w:lineRule="exact"/>
              <w:rPr>
                <w:bCs/>
                <w:color w:val="808080" w:themeColor="background1" w:themeShade="80"/>
                <w:lang w:val="en-GB"/>
              </w:rPr>
            </w:pPr>
            <w:r>
              <w:rPr>
                <w:bCs/>
                <w:color w:val="808080" w:themeColor="background1" w:themeShade="80"/>
                <w:lang w:val="en-GB"/>
              </w:rPr>
              <w:t>Supply Chain</w:t>
            </w:r>
          </w:p>
        </w:tc>
        <w:tc>
          <w:tcPr>
            <w:tcW w:w="5490" w:type="dxa"/>
            <w:shd w:val="clear" w:color="auto" w:fill="FFFFFF" w:themeFill="background1"/>
          </w:tcPr>
          <w:p w14:paraId="138875A3" w14:textId="568A076E" w:rsidR="00984E5F" w:rsidRDefault="00984E5F" w:rsidP="00984E5F">
            <w:pPr>
              <w:spacing w:line="300" w:lineRule="exact"/>
              <w:rPr>
                <w:bCs/>
                <w:color w:val="808080" w:themeColor="background1" w:themeShade="80"/>
                <w:lang w:val="en-GB"/>
              </w:rPr>
            </w:pPr>
            <w:r w:rsidRPr="00984E5F">
              <w:rPr>
                <w:bCs/>
                <w:color w:val="808080" w:themeColor="background1" w:themeShade="80"/>
                <w:lang w:val="en-GB"/>
              </w:rPr>
              <w:t>To strengthen the immunization Supply Chain Management (ISCM) through capacity and vaccines supply Infrastructure optimization to meet EPI program requirements, and to enable the availability of quality vaccines and other commodities by 2025</w:t>
            </w:r>
          </w:p>
        </w:tc>
        <w:tc>
          <w:tcPr>
            <w:tcW w:w="1553" w:type="dxa"/>
            <w:shd w:val="clear" w:color="auto" w:fill="FFFFFF" w:themeFill="background1"/>
          </w:tcPr>
          <w:p w14:paraId="0AEB0580" w14:textId="77777777" w:rsidR="00C30F9C" w:rsidRPr="00C30F9C" w:rsidRDefault="00C30F9C" w:rsidP="00C30F9C">
            <w:pPr>
              <w:spacing w:line="240" w:lineRule="auto"/>
              <w:rPr>
                <w:bCs/>
                <w:color w:val="808080" w:themeColor="background1" w:themeShade="80"/>
                <w:lang w:val="en-GB"/>
              </w:rPr>
            </w:pPr>
            <w:r w:rsidRPr="00C30F9C">
              <w:rPr>
                <w:bCs/>
                <w:color w:val="808080" w:themeColor="background1" w:themeShade="80"/>
                <w:lang w:val="en-GB"/>
              </w:rPr>
              <w:t xml:space="preserve">$211,464 </w:t>
            </w:r>
          </w:p>
          <w:p w14:paraId="7515977F" w14:textId="77777777" w:rsidR="00984E5F" w:rsidRDefault="00984E5F" w:rsidP="00984E5F">
            <w:pPr>
              <w:spacing w:line="300" w:lineRule="exact"/>
              <w:rPr>
                <w:bCs/>
                <w:color w:val="808080" w:themeColor="background1" w:themeShade="80"/>
                <w:lang w:val="en-GB"/>
              </w:rPr>
            </w:pPr>
          </w:p>
        </w:tc>
        <w:tc>
          <w:tcPr>
            <w:tcW w:w="1237" w:type="dxa"/>
            <w:shd w:val="clear" w:color="auto" w:fill="FFFFFF" w:themeFill="background1"/>
          </w:tcPr>
          <w:p w14:paraId="5861E68F" w14:textId="520EFC9B" w:rsidR="00984E5F" w:rsidRDefault="00F43D0F" w:rsidP="00984E5F">
            <w:pPr>
              <w:spacing w:line="300" w:lineRule="exact"/>
              <w:rPr>
                <w:bCs/>
                <w:color w:val="808080" w:themeColor="background1" w:themeShade="80"/>
                <w:lang w:val="en-GB"/>
              </w:rPr>
            </w:pPr>
            <w:r>
              <w:rPr>
                <w:bCs/>
                <w:color w:val="808080" w:themeColor="background1" w:themeShade="80"/>
                <w:lang w:val="en-GB"/>
              </w:rPr>
              <w:t>30%</w:t>
            </w:r>
          </w:p>
        </w:tc>
      </w:tr>
    </w:tbl>
    <w:p w14:paraId="62A44A29" w14:textId="77777777" w:rsidR="00372D1F" w:rsidRDefault="00372D1F"/>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C69E5CD">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C69E5CD">
        <w:tc>
          <w:tcPr>
            <w:tcW w:w="9192" w:type="dxa"/>
            <w:tcBorders>
              <w:top w:val="single" w:sz="4" w:space="0" w:color="auto"/>
              <w:left w:val="single" w:sz="4" w:space="0" w:color="auto"/>
              <w:bottom w:val="single" w:sz="4" w:space="0" w:color="auto"/>
              <w:right w:val="single" w:sz="4" w:space="0" w:color="auto"/>
            </w:tcBorders>
          </w:tcPr>
          <w:p w14:paraId="470A6C8E" w14:textId="5E733429" w:rsidR="00372D1F" w:rsidRDefault="00B12307" w:rsidP="00B12307">
            <w:pPr>
              <w:spacing w:before="60" w:after="60" w:line="259" w:lineRule="auto"/>
              <w:jc w:val="both"/>
              <w:rPr>
                <w:rFonts w:ascii="Calibri" w:hAnsi="Calibri"/>
              </w:rPr>
            </w:pPr>
            <w:r>
              <w:rPr>
                <w:rFonts w:ascii="Calibri" w:hAnsi="Calibri"/>
              </w:rPr>
              <w:t xml:space="preserve">The goal of the Expanded Programme on Immunization (EPI) is to see the country having at least 95% of children fully protected from vaccine preventable diseases through the delivery of quality immunization services in an equitable manner by 2025. This implies that there should be improved acceptability and accessibility of immunization services, improved data quality and performance measurement of the health system strengthening interventions </w:t>
            </w:r>
            <w:r w:rsidRPr="004B151C">
              <w:rPr>
                <w:rFonts w:ascii="Calibri" w:hAnsi="Calibri"/>
                <w:i/>
                <w:iCs/>
              </w:rPr>
              <w:t>(funded by both government and partners)</w:t>
            </w:r>
            <w:r>
              <w:rPr>
                <w:rFonts w:ascii="Calibri" w:hAnsi="Calibri"/>
              </w:rPr>
              <w:t xml:space="preserve">, and a strong functioning vaccine supply and cold chain system to ensure vaccines are available in the right quantities, in the right </w:t>
            </w:r>
            <w:r w:rsidR="00CB302C">
              <w:rPr>
                <w:rFonts w:ascii="Calibri" w:hAnsi="Calibri"/>
              </w:rPr>
              <w:t>place</w:t>
            </w:r>
            <w:r>
              <w:rPr>
                <w:rFonts w:ascii="Calibri" w:hAnsi="Calibri"/>
              </w:rPr>
              <w:t xml:space="preserve">, and at the right time for all age-eligible children. </w:t>
            </w:r>
          </w:p>
          <w:p w14:paraId="1E6EB01F" w14:textId="496EBA4E" w:rsidR="00B12307" w:rsidRDefault="00B12307" w:rsidP="00B12307">
            <w:pPr>
              <w:spacing w:before="60" w:after="60" w:line="259" w:lineRule="auto"/>
              <w:jc w:val="both"/>
              <w:rPr>
                <w:rFonts w:ascii="Calibri" w:hAnsi="Calibri"/>
              </w:rPr>
            </w:pPr>
            <w:r>
              <w:rPr>
                <w:rFonts w:ascii="Calibri" w:hAnsi="Calibri"/>
              </w:rPr>
              <w:t xml:space="preserve">As a departure point in realizing the goal, </w:t>
            </w:r>
            <w:r w:rsidR="004B151C">
              <w:rPr>
                <w:rFonts w:ascii="Calibri" w:hAnsi="Calibri"/>
              </w:rPr>
              <w:t xml:space="preserve">in 2020 </w:t>
            </w:r>
            <w:r>
              <w:rPr>
                <w:rFonts w:ascii="Calibri" w:hAnsi="Calibri"/>
              </w:rPr>
              <w:t xml:space="preserve">EPI developed a theory of change </w:t>
            </w:r>
            <w:r w:rsidR="00D158FB">
              <w:rPr>
                <w:rFonts w:ascii="Calibri" w:hAnsi="Calibri"/>
              </w:rPr>
              <w:t>with the following targeted outcomes:</w:t>
            </w:r>
          </w:p>
          <w:p w14:paraId="31110516" w14:textId="5737231D" w:rsidR="00D158FB" w:rsidRDefault="4C49FC4E" w:rsidP="00D158FB">
            <w:pPr>
              <w:pStyle w:val="ListParagraph"/>
              <w:numPr>
                <w:ilvl w:val="0"/>
                <w:numId w:val="6"/>
              </w:numPr>
              <w:spacing w:before="60" w:after="60" w:line="259" w:lineRule="auto"/>
              <w:jc w:val="both"/>
              <w:rPr>
                <w:rFonts w:ascii="Calibri" w:hAnsi="Calibri"/>
              </w:rPr>
            </w:pPr>
            <w:r w:rsidRPr="0C69E5CD">
              <w:rPr>
                <w:rFonts w:ascii="Calibri" w:hAnsi="Calibri"/>
              </w:rPr>
              <w:t>Improved acceptability, accessibility, and utilization of immunization services, and capacitated health workers providing quality immunization services</w:t>
            </w:r>
          </w:p>
          <w:p w14:paraId="73664D89" w14:textId="77777777" w:rsidR="00D158FB" w:rsidRDefault="00D158FB" w:rsidP="00D158FB">
            <w:pPr>
              <w:pStyle w:val="ListParagraph"/>
              <w:numPr>
                <w:ilvl w:val="0"/>
                <w:numId w:val="6"/>
              </w:numPr>
              <w:spacing w:before="60" w:after="60" w:line="259" w:lineRule="auto"/>
              <w:jc w:val="both"/>
              <w:rPr>
                <w:rFonts w:ascii="Calibri" w:hAnsi="Calibri"/>
              </w:rPr>
            </w:pPr>
            <w:r>
              <w:rPr>
                <w:rFonts w:ascii="Calibri" w:hAnsi="Calibri"/>
              </w:rPr>
              <w:t>Improved data quality and performance measurement of health system strengthening interventions</w:t>
            </w:r>
          </w:p>
          <w:p w14:paraId="792256CC" w14:textId="3F1D052E" w:rsidR="00D158FB" w:rsidRDefault="4C49FC4E" w:rsidP="00D158FB">
            <w:pPr>
              <w:pStyle w:val="ListParagraph"/>
              <w:numPr>
                <w:ilvl w:val="0"/>
                <w:numId w:val="6"/>
              </w:numPr>
              <w:spacing w:before="60" w:after="60" w:line="259" w:lineRule="auto"/>
              <w:jc w:val="both"/>
              <w:rPr>
                <w:rFonts w:ascii="Calibri" w:hAnsi="Calibri"/>
              </w:rPr>
            </w:pPr>
            <w:r w:rsidRPr="0C69E5CD">
              <w:rPr>
                <w:rFonts w:ascii="Calibri" w:hAnsi="Calibri"/>
              </w:rPr>
              <w:t>Vaccines are available in the right</w:t>
            </w:r>
            <w:r w:rsidR="2BCF3DD7" w:rsidRPr="0C69E5CD">
              <w:rPr>
                <w:rFonts w:ascii="Calibri" w:hAnsi="Calibri"/>
              </w:rPr>
              <w:t xml:space="preserve"> time, and in the right place</w:t>
            </w:r>
            <w:r w:rsidRPr="0C69E5CD">
              <w:rPr>
                <w:rFonts w:ascii="Calibri" w:hAnsi="Calibri"/>
              </w:rPr>
              <w:t xml:space="preserve"> for all age-eligible children</w:t>
            </w:r>
          </w:p>
          <w:p w14:paraId="1F62DCB5" w14:textId="77777777" w:rsidR="001C40EE" w:rsidRDefault="001C40EE" w:rsidP="00D158FB">
            <w:pPr>
              <w:spacing w:before="60" w:after="60" w:line="259" w:lineRule="auto"/>
              <w:jc w:val="both"/>
              <w:rPr>
                <w:rFonts w:ascii="Calibri" w:hAnsi="Calibri"/>
              </w:rPr>
            </w:pPr>
          </w:p>
          <w:p w14:paraId="311477B4" w14:textId="77D1A22E" w:rsidR="00D158FB" w:rsidRDefault="00D158FB" w:rsidP="00D158FB">
            <w:pPr>
              <w:spacing w:before="60" w:after="60" w:line="259" w:lineRule="auto"/>
              <w:jc w:val="both"/>
              <w:rPr>
                <w:rFonts w:ascii="Calibri" w:hAnsi="Calibri"/>
              </w:rPr>
            </w:pPr>
            <w:r>
              <w:rPr>
                <w:rFonts w:ascii="Calibri" w:hAnsi="Calibri"/>
              </w:rPr>
              <w:t>For these targeted outcomes above, the interventions</w:t>
            </w:r>
            <w:r w:rsidR="008A0362">
              <w:rPr>
                <w:rFonts w:ascii="Calibri" w:hAnsi="Calibri"/>
              </w:rPr>
              <w:t xml:space="preserve"> by EPI</w:t>
            </w:r>
            <w:r>
              <w:rPr>
                <w:rFonts w:ascii="Calibri" w:hAnsi="Calibri"/>
              </w:rPr>
              <w:t xml:space="preserve"> are as follows:</w:t>
            </w:r>
          </w:p>
          <w:p w14:paraId="64E9E857" w14:textId="4C0EE8D6" w:rsidR="00D158FB" w:rsidRDefault="4C49FC4E" w:rsidP="00D158FB">
            <w:pPr>
              <w:pStyle w:val="ListParagraph"/>
              <w:numPr>
                <w:ilvl w:val="0"/>
                <w:numId w:val="7"/>
              </w:numPr>
              <w:spacing w:before="60" w:after="60" w:line="259" w:lineRule="auto"/>
              <w:jc w:val="both"/>
              <w:rPr>
                <w:rFonts w:ascii="Calibri" w:hAnsi="Calibri"/>
              </w:rPr>
            </w:pPr>
            <w:r w:rsidRPr="0C69E5CD">
              <w:rPr>
                <w:rFonts w:ascii="Calibri" w:hAnsi="Calibri"/>
              </w:rPr>
              <w:t xml:space="preserve">To achieve the first outcome, EPI is working on strengthening the </w:t>
            </w:r>
            <w:r w:rsidR="60073BE8" w:rsidRPr="0C69E5CD">
              <w:rPr>
                <w:rFonts w:ascii="Calibri" w:hAnsi="Calibri"/>
              </w:rPr>
              <w:t>mapping</w:t>
            </w:r>
            <w:r w:rsidRPr="0C69E5CD">
              <w:rPr>
                <w:rFonts w:ascii="Calibri" w:hAnsi="Calibri"/>
              </w:rPr>
              <w:t xml:space="preserve"> of zero dose children and continuously missed </w:t>
            </w:r>
            <w:proofErr w:type="gramStart"/>
            <w:r w:rsidRPr="0C69E5CD">
              <w:rPr>
                <w:rFonts w:ascii="Calibri" w:hAnsi="Calibri"/>
              </w:rPr>
              <w:t>communities ,</w:t>
            </w:r>
            <w:proofErr w:type="gramEnd"/>
            <w:r w:rsidRPr="0C69E5CD">
              <w:rPr>
                <w:rFonts w:ascii="Calibri" w:hAnsi="Calibri"/>
              </w:rPr>
              <w:t xml:space="preserve"> and </w:t>
            </w:r>
            <w:r w:rsidR="50598685" w:rsidRPr="0C69E5CD">
              <w:rPr>
                <w:rFonts w:ascii="Calibri" w:hAnsi="Calibri"/>
              </w:rPr>
              <w:t xml:space="preserve">strengthening of the second year of life vaccinations with an emphasis on equity. </w:t>
            </w:r>
            <w:r w:rsidR="60073BE8" w:rsidRPr="0C69E5CD">
              <w:rPr>
                <w:rFonts w:ascii="Calibri" w:hAnsi="Calibri"/>
              </w:rPr>
              <w:t xml:space="preserve">Mapping of the zero dose children will be complemented by the registration of the children through the flow-up digital application. To leverage on the advancement of digital platforms within the public health sector, EPI is looking at advocating for linking of the MoH HMIS with the Civil Registration and Vital Statistics (CRVS). </w:t>
            </w:r>
            <w:r w:rsidR="50598685" w:rsidRPr="0C69E5CD">
              <w:rPr>
                <w:rFonts w:ascii="Calibri" w:hAnsi="Calibri"/>
              </w:rPr>
              <w:t>Furthermore, EPI is working on the adaptatio</w:t>
            </w:r>
            <w:r w:rsidR="4D812A09" w:rsidRPr="0C69E5CD">
              <w:rPr>
                <w:rFonts w:ascii="Calibri" w:hAnsi="Calibri"/>
              </w:rPr>
              <w:t>n</w:t>
            </w:r>
            <w:r w:rsidR="50598685" w:rsidRPr="0C69E5CD">
              <w:rPr>
                <w:rFonts w:ascii="Calibri" w:hAnsi="Calibri"/>
              </w:rPr>
              <w:t xml:space="preserve"> of immunization service </w:t>
            </w:r>
            <w:proofErr w:type="gramStart"/>
            <w:r w:rsidR="50598685" w:rsidRPr="0C69E5CD">
              <w:rPr>
                <w:rFonts w:ascii="Calibri" w:hAnsi="Calibri"/>
              </w:rPr>
              <w:t>delivery, and</w:t>
            </w:r>
            <w:proofErr w:type="gramEnd"/>
            <w:r w:rsidR="50598685" w:rsidRPr="0C69E5CD">
              <w:rPr>
                <w:rFonts w:ascii="Calibri" w:hAnsi="Calibri"/>
              </w:rPr>
              <w:t xml:space="preserve"> improving routine social mobilization and community engagement</w:t>
            </w:r>
            <w:r w:rsidR="4D812A09" w:rsidRPr="0C69E5CD">
              <w:rPr>
                <w:rFonts w:ascii="Calibri" w:hAnsi="Calibri"/>
              </w:rPr>
              <w:t>.</w:t>
            </w:r>
            <w:r w:rsidR="36B6B303" w:rsidRPr="0C69E5CD">
              <w:rPr>
                <w:rFonts w:ascii="Calibri" w:hAnsi="Calibri"/>
              </w:rPr>
              <w:t xml:space="preserve"> In addition, improvement in service delivery cannot occur if the services are not planned and delivered by capacitated health workers. This therefore positions health worker capacity building through mid</w:t>
            </w:r>
            <w:r w:rsidR="2BCF3DD7" w:rsidRPr="0C69E5CD">
              <w:rPr>
                <w:rFonts w:ascii="Calibri" w:hAnsi="Calibri"/>
              </w:rPr>
              <w:t>-level</w:t>
            </w:r>
            <w:r w:rsidR="36B6B303" w:rsidRPr="0C69E5CD">
              <w:rPr>
                <w:rFonts w:ascii="Calibri" w:hAnsi="Calibri"/>
              </w:rPr>
              <w:t xml:space="preserve"> management trainings and </w:t>
            </w:r>
            <w:proofErr w:type="gramStart"/>
            <w:r w:rsidR="36B6B303" w:rsidRPr="0C69E5CD">
              <w:rPr>
                <w:rFonts w:ascii="Calibri" w:hAnsi="Calibri"/>
              </w:rPr>
              <w:t>on site</w:t>
            </w:r>
            <w:proofErr w:type="gramEnd"/>
            <w:r w:rsidR="36B6B303" w:rsidRPr="0C69E5CD">
              <w:rPr>
                <w:rFonts w:ascii="Calibri" w:hAnsi="Calibri"/>
              </w:rPr>
              <w:t xml:space="preserve"> mentoring as a critical component in achieving th</w:t>
            </w:r>
            <w:r w:rsidR="388C302C" w:rsidRPr="0C69E5CD">
              <w:rPr>
                <w:rFonts w:ascii="Calibri" w:hAnsi="Calibri"/>
              </w:rPr>
              <w:t>is</w:t>
            </w:r>
            <w:r w:rsidR="36B6B303" w:rsidRPr="0C69E5CD">
              <w:rPr>
                <w:rFonts w:ascii="Calibri" w:hAnsi="Calibri"/>
              </w:rPr>
              <w:t xml:space="preserve"> first </w:t>
            </w:r>
            <w:r w:rsidR="388C302C" w:rsidRPr="0C69E5CD">
              <w:rPr>
                <w:rFonts w:ascii="Calibri" w:hAnsi="Calibri"/>
              </w:rPr>
              <w:t xml:space="preserve">targeted </w:t>
            </w:r>
            <w:r w:rsidR="36B6B303" w:rsidRPr="0C69E5CD">
              <w:rPr>
                <w:rFonts w:ascii="Calibri" w:hAnsi="Calibri"/>
              </w:rPr>
              <w:t xml:space="preserve">outcome. </w:t>
            </w:r>
          </w:p>
          <w:p w14:paraId="595F7AF2" w14:textId="6DFB8D7B" w:rsidR="0091404C" w:rsidRDefault="50598685" w:rsidP="00D158FB">
            <w:pPr>
              <w:pStyle w:val="ListParagraph"/>
              <w:numPr>
                <w:ilvl w:val="0"/>
                <w:numId w:val="7"/>
              </w:numPr>
              <w:spacing w:before="60" w:after="60" w:line="259" w:lineRule="auto"/>
              <w:jc w:val="both"/>
              <w:rPr>
                <w:rFonts w:ascii="Calibri" w:hAnsi="Calibri"/>
              </w:rPr>
            </w:pPr>
            <w:r w:rsidRPr="0C69E5CD">
              <w:rPr>
                <w:rFonts w:ascii="Calibri" w:hAnsi="Calibri"/>
              </w:rPr>
              <w:t>To achieve the second outcome, EPI will under the second HSS grant work on developing and operationalizing of an EPI M&amp;E framework which draws from the health sector wide M&amp;E framework. In addition, EPI is working on strengthening the effective functioning of the Data Quality Improvement (DIT) team to lead data management and surveillance strengthening interventions</w:t>
            </w:r>
            <w:r w:rsidR="4CA970EF" w:rsidRPr="0C69E5CD">
              <w:rPr>
                <w:rFonts w:ascii="Calibri" w:hAnsi="Calibri"/>
              </w:rPr>
              <w:t xml:space="preserve">, and work on strengthening health worker capacity to conduct data </w:t>
            </w:r>
            <w:proofErr w:type="gramStart"/>
            <w:r w:rsidR="4CA970EF" w:rsidRPr="0C69E5CD">
              <w:rPr>
                <w:rFonts w:ascii="Calibri" w:hAnsi="Calibri"/>
              </w:rPr>
              <w:t>analysis, and</w:t>
            </w:r>
            <w:proofErr w:type="gramEnd"/>
            <w:r w:rsidR="4CA970EF" w:rsidRPr="0C69E5CD">
              <w:rPr>
                <w:rFonts w:ascii="Calibri" w:hAnsi="Calibri"/>
              </w:rPr>
              <w:t xml:space="preserve"> using data for decision making. </w:t>
            </w:r>
            <w:r w:rsidR="4CDB7101" w:rsidRPr="0C69E5CD">
              <w:rPr>
                <w:rFonts w:ascii="Calibri" w:hAnsi="Calibri"/>
              </w:rPr>
              <w:t xml:space="preserve">In addition, focus on the COVID-19 vaccine delivery by health workers and data clerks at the health facility level has slightly deviated the focus from routine immunization data management, and EPI is </w:t>
            </w:r>
            <w:r w:rsidR="2BCF3DD7" w:rsidRPr="0C69E5CD">
              <w:rPr>
                <w:rFonts w:ascii="Calibri" w:hAnsi="Calibri"/>
              </w:rPr>
              <w:t>planning</w:t>
            </w:r>
            <w:r w:rsidR="4CDB7101" w:rsidRPr="0C69E5CD">
              <w:rPr>
                <w:rFonts w:ascii="Calibri" w:hAnsi="Calibri"/>
              </w:rPr>
              <w:t xml:space="preserve"> </w:t>
            </w:r>
            <w:r w:rsidR="216CB011" w:rsidRPr="0C69E5CD">
              <w:rPr>
                <w:rFonts w:ascii="Calibri" w:hAnsi="Calibri"/>
              </w:rPr>
              <w:t xml:space="preserve">on </w:t>
            </w:r>
            <w:r w:rsidR="4CDB7101" w:rsidRPr="0C69E5CD">
              <w:rPr>
                <w:rFonts w:ascii="Calibri" w:hAnsi="Calibri"/>
              </w:rPr>
              <w:t xml:space="preserve">conducting an EPI coverage survey to determine the coverage estimate for a sub-set of vaccines </w:t>
            </w:r>
            <w:r w:rsidR="79DE5487" w:rsidRPr="0C69E5CD">
              <w:rPr>
                <w:rFonts w:ascii="Calibri" w:hAnsi="Calibri"/>
              </w:rPr>
              <w:t>to enable effective analysis of the routine immunization data particularly for 2020 and 2021</w:t>
            </w:r>
            <w:r w:rsidR="2BCF3DD7" w:rsidRPr="0C69E5CD">
              <w:rPr>
                <w:rFonts w:ascii="Calibri" w:hAnsi="Calibri"/>
              </w:rPr>
              <w:t>, and develop routine immunization data improvement plan</w:t>
            </w:r>
            <w:r w:rsidR="79DE5487" w:rsidRPr="0C69E5CD">
              <w:rPr>
                <w:rFonts w:ascii="Calibri" w:hAnsi="Calibri"/>
              </w:rPr>
              <w:t xml:space="preserve">. </w:t>
            </w:r>
          </w:p>
          <w:p w14:paraId="410D1C55" w14:textId="78FD520C" w:rsidR="0091404C" w:rsidRDefault="50598685" w:rsidP="00D158FB">
            <w:pPr>
              <w:pStyle w:val="ListParagraph"/>
              <w:numPr>
                <w:ilvl w:val="0"/>
                <w:numId w:val="7"/>
              </w:numPr>
              <w:spacing w:before="60" w:after="60" w:line="259" w:lineRule="auto"/>
              <w:jc w:val="both"/>
              <w:rPr>
                <w:rFonts w:ascii="Calibri" w:hAnsi="Calibri"/>
              </w:rPr>
            </w:pPr>
            <w:r w:rsidRPr="0C69E5CD">
              <w:rPr>
                <w:rFonts w:ascii="Calibri" w:hAnsi="Calibri"/>
              </w:rPr>
              <w:t xml:space="preserve">To achieve the third outcome, EPI is working on </w:t>
            </w:r>
            <w:r w:rsidR="2BCF3DD7" w:rsidRPr="0C69E5CD">
              <w:rPr>
                <w:rFonts w:ascii="Calibri" w:hAnsi="Calibri"/>
              </w:rPr>
              <w:t xml:space="preserve">strengthening </w:t>
            </w:r>
            <w:r w:rsidRPr="0C69E5CD">
              <w:rPr>
                <w:rFonts w:ascii="Calibri" w:hAnsi="Calibri"/>
              </w:rPr>
              <w:t>supply chain management including vaccine wastage monitoring and management</w:t>
            </w:r>
            <w:r w:rsidR="5300F34D" w:rsidRPr="0C69E5CD">
              <w:rPr>
                <w:rFonts w:ascii="Calibri" w:hAnsi="Calibri"/>
              </w:rPr>
              <w:t>, and through the second HSS grant, establishment of a predictable last mile distribution system</w:t>
            </w:r>
            <w:r w:rsidR="4C10A7C3" w:rsidRPr="0C69E5CD">
              <w:rPr>
                <w:rFonts w:ascii="Calibri" w:hAnsi="Calibri"/>
              </w:rPr>
              <w:t xml:space="preserve">, and </w:t>
            </w:r>
            <w:r w:rsidR="2BCF3DD7" w:rsidRPr="0C69E5CD">
              <w:rPr>
                <w:rFonts w:ascii="Calibri" w:hAnsi="Calibri"/>
              </w:rPr>
              <w:t>regular reviews of</w:t>
            </w:r>
            <w:r w:rsidR="4C10A7C3" w:rsidRPr="0C69E5CD">
              <w:rPr>
                <w:rFonts w:ascii="Calibri" w:hAnsi="Calibri"/>
              </w:rPr>
              <w:t xml:space="preserve"> districts EVM </w:t>
            </w:r>
            <w:r w:rsidR="2BCF3DD7" w:rsidRPr="0C69E5CD">
              <w:rPr>
                <w:rFonts w:ascii="Calibri" w:hAnsi="Calibri"/>
              </w:rPr>
              <w:t>improvement plans</w:t>
            </w:r>
            <w:r w:rsidR="4D812A09" w:rsidRPr="0C69E5CD">
              <w:rPr>
                <w:rFonts w:ascii="Calibri" w:hAnsi="Calibri"/>
              </w:rPr>
              <w:t>.</w:t>
            </w:r>
            <w:r w:rsidR="4CA970EF" w:rsidRPr="0C69E5CD">
              <w:rPr>
                <w:rFonts w:ascii="Calibri" w:hAnsi="Calibri"/>
              </w:rPr>
              <w:t xml:space="preserve"> Furthermore, health workers will be capacitated on vaccine management through trainings and onsite mentoring. </w:t>
            </w:r>
            <w:r w:rsidR="2A171313" w:rsidRPr="0C69E5CD">
              <w:rPr>
                <w:rFonts w:ascii="Calibri" w:hAnsi="Calibri"/>
              </w:rPr>
              <w:t>Getting vaccines to the last mile in the right efficacy cannot happen without adequate and well-functioning cold chain equipment</w:t>
            </w:r>
            <w:r w:rsidR="7B96FCCB" w:rsidRPr="0C69E5CD">
              <w:rPr>
                <w:rFonts w:ascii="Calibri" w:hAnsi="Calibri"/>
              </w:rPr>
              <w:t>, and an effective temperature monitoring system</w:t>
            </w:r>
            <w:r w:rsidR="2A171313" w:rsidRPr="0C69E5CD">
              <w:rPr>
                <w:rFonts w:ascii="Calibri" w:hAnsi="Calibri"/>
              </w:rPr>
              <w:t>. To this end EPI will leverage the CCEOP processes under Gavi 5.0 to determine the cold chain sufficiency and close existing gaps</w:t>
            </w:r>
            <w:r w:rsidR="7B96FCCB" w:rsidRPr="0C69E5CD">
              <w:rPr>
                <w:rFonts w:ascii="Calibri" w:hAnsi="Calibri"/>
              </w:rPr>
              <w:t>, and capacity building of health workers in temperature monitoring</w:t>
            </w:r>
            <w:r w:rsidR="2A171313" w:rsidRPr="0C69E5CD">
              <w:rPr>
                <w:rFonts w:ascii="Calibri" w:hAnsi="Calibri"/>
              </w:rPr>
              <w:t xml:space="preserve">. </w:t>
            </w:r>
          </w:p>
          <w:p w14:paraId="7D9A0BA9" w14:textId="2166C3BE" w:rsidR="006C16FF" w:rsidRPr="00B7255A" w:rsidRDefault="16CC9081" w:rsidP="00B7255A">
            <w:pPr>
              <w:spacing w:before="60" w:after="60" w:line="259" w:lineRule="auto"/>
              <w:jc w:val="both"/>
              <w:rPr>
                <w:rFonts w:ascii="Calibri" w:hAnsi="Calibri"/>
              </w:rPr>
            </w:pPr>
            <w:r w:rsidRPr="0C69E5CD">
              <w:rPr>
                <w:rFonts w:ascii="Calibri" w:hAnsi="Calibri"/>
              </w:rPr>
              <w:t>Lesotho has over the years aligned its technical assistant requirements with the goals and objective</w:t>
            </w:r>
            <w:r w:rsidR="2BCF3DD7" w:rsidRPr="0C69E5CD">
              <w:rPr>
                <w:rFonts w:ascii="Calibri" w:hAnsi="Calibri"/>
              </w:rPr>
              <w:t>s</w:t>
            </w:r>
            <w:r w:rsidRPr="0C69E5CD">
              <w:rPr>
                <w:rFonts w:ascii="Calibri" w:hAnsi="Calibri"/>
              </w:rPr>
              <w:t xml:space="preserve"> of the immunization programme, to complement available EPI capacity and to advance agreed upon interventions aimed at achieving these objectives. </w:t>
            </w:r>
            <w:r w:rsidR="0ACDA26C" w:rsidRPr="0C69E5CD">
              <w:rPr>
                <w:rFonts w:ascii="Calibri" w:hAnsi="Calibri"/>
              </w:rPr>
              <w:t xml:space="preserve">The technical assistance needs provided ensures that there </w:t>
            </w:r>
            <w:proofErr w:type="gramStart"/>
            <w:r w:rsidR="0ACDA26C" w:rsidRPr="0C69E5CD">
              <w:rPr>
                <w:rFonts w:ascii="Calibri" w:hAnsi="Calibri"/>
              </w:rPr>
              <w:t>is</w:t>
            </w:r>
            <w:proofErr w:type="gramEnd"/>
            <w:r w:rsidR="0ACDA26C" w:rsidRPr="0C69E5CD">
              <w:rPr>
                <w:rFonts w:ascii="Calibri" w:hAnsi="Calibri"/>
              </w:rPr>
              <w:t xml:space="preserve"> adequate skills transfers, enhancement of competency and capacity for sustained quality programme implementation. </w:t>
            </w:r>
            <w:r w:rsidR="5A53ABD5" w:rsidRPr="0C69E5CD">
              <w:rPr>
                <w:rFonts w:ascii="Calibri" w:hAnsi="Calibri"/>
              </w:rPr>
              <w:t xml:space="preserve">The requested TCA support outlined in this document is targeted at complementing EPI capacity and supporting the development of strategies and systems in tackling the implementation of the proposed interventions. </w:t>
            </w:r>
          </w:p>
        </w:tc>
      </w:tr>
      <w:tr w:rsidR="0071439C" w14:paraId="0D9AF231" w14:textId="77777777" w:rsidTr="0C69E5CD">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CF3BC4">
              <w:rPr>
                <w:b/>
                <w:bCs/>
                <w:i/>
                <w:iCs/>
                <w:sz w:val="20"/>
                <w:szCs w:val="20"/>
              </w:rPr>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 xml:space="preserve">and </w:t>
            </w:r>
            <w:proofErr w:type="gramStart"/>
            <w:r w:rsidR="002C0185">
              <w:rPr>
                <w:b/>
                <w:bCs/>
                <w:i/>
                <w:iCs/>
                <w:sz w:val="20"/>
                <w:szCs w:val="20"/>
              </w:rPr>
              <w:t>communities</w:t>
            </w:r>
            <w:r w:rsidRPr="00544D9B">
              <w:rPr>
                <w:b/>
                <w:bCs/>
                <w:i/>
                <w:iCs/>
                <w:sz w:val="20"/>
                <w:szCs w:val="20"/>
              </w:rPr>
              <w:t>;</w:t>
            </w:r>
            <w:proofErr w:type="gramEnd"/>
          </w:p>
          <w:p w14:paraId="6B56EB6C"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 xml:space="preserve">stock reporting and vaccine management at sub-national </w:t>
            </w:r>
            <w:proofErr w:type="gramStart"/>
            <w:r w:rsidR="00316DE0">
              <w:rPr>
                <w:b/>
                <w:bCs/>
                <w:i/>
                <w:iCs/>
                <w:sz w:val="20"/>
                <w:szCs w:val="20"/>
              </w:rPr>
              <w:t>level</w:t>
            </w:r>
            <w:r w:rsidRPr="00544D9B">
              <w:rPr>
                <w:b/>
                <w:bCs/>
                <w:i/>
                <w:iCs/>
                <w:sz w:val="20"/>
                <w:szCs w:val="20"/>
              </w:rPr>
              <w:t>;</w:t>
            </w:r>
            <w:proofErr w:type="gramEnd"/>
          </w:p>
          <w:p w14:paraId="009281C7"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xml:space="preserve">, including use of data for </w:t>
            </w:r>
            <w:proofErr w:type="gramStart"/>
            <w:r w:rsidRPr="00544D9B">
              <w:rPr>
                <w:b/>
                <w:bCs/>
                <w:i/>
                <w:iCs/>
                <w:sz w:val="20"/>
                <w:szCs w:val="20"/>
              </w:rPr>
              <w:t>decision-making;</w:t>
            </w:r>
            <w:proofErr w:type="gramEnd"/>
          </w:p>
          <w:p w14:paraId="35EE3F38" w14:textId="26D1B6E5" w:rsidR="00532C23" w:rsidRPr="00532C23" w:rsidRDefault="605D38DB" w:rsidP="0C69E5CD">
            <w:pPr>
              <w:pStyle w:val="ListParagraph"/>
              <w:numPr>
                <w:ilvl w:val="0"/>
                <w:numId w:val="5"/>
              </w:numPr>
              <w:spacing w:line="300" w:lineRule="exact"/>
              <w:ind w:left="741"/>
              <w:rPr>
                <w:b/>
                <w:bCs/>
                <w:i/>
                <w:iCs/>
                <w:sz w:val="20"/>
                <w:szCs w:val="20"/>
              </w:rPr>
            </w:pPr>
            <w:r w:rsidRPr="0C69E5CD">
              <w:rPr>
                <w:b/>
                <w:bCs/>
                <w:i/>
                <w:iCs/>
                <w:sz w:val="20"/>
                <w:szCs w:val="20"/>
              </w:rPr>
              <w:t xml:space="preserve">introduction and scale up of </w:t>
            </w:r>
            <w:proofErr w:type="gramStart"/>
            <w:r w:rsidR="35D66FAC" w:rsidRPr="0C69E5CD">
              <w:rPr>
                <w:b/>
                <w:bCs/>
                <w:i/>
                <w:iCs/>
                <w:sz w:val="20"/>
                <w:szCs w:val="20"/>
              </w:rPr>
              <w:t>vaccines</w:t>
            </w:r>
            <w:r w:rsidR="0B4A51B7" w:rsidRPr="0C69E5CD">
              <w:rPr>
                <w:b/>
                <w:bCs/>
                <w:i/>
                <w:iCs/>
                <w:sz w:val="20"/>
                <w:szCs w:val="20"/>
              </w:rPr>
              <w:t>;</w:t>
            </w:r>
            <w:proofErr w:type="gramEnd"/>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C69E5CD">
        <w:tc>
          <w:tcPr>
            <w:tcW w:w="9192" w:type="dxa"/>
            <w:tcBorders>
              <w:top w:val="single" w:sz="4" w:space="0" w:color="auto"/>
              <w:left w:val="single" w:sz="4" w:space="0" w:color="auto"/>
              <w:bottom w:val="single" w:sz="4" w:space="0" w:color="auto"/>
              <w:right w:val="single" w:sz="4" w:space="0" w:color="auto"/>
            </w:tcBorders>
          </w:tcPr>
          <w:p w14:paraId="5E5553CE" w14:textId="3B7C727A" w:rsidR="0071439C" w:rsidRPr="00A7349C" w:rsidRDefault="00A7349C" w:rsidP="007B53D1">
            <w:pPr>
              <w:spacing w:line="300" w:lineRule="exact"/>
              <w:rPr>
                <w:rFonts w:ascii="Calibri" w:hAnsi="Calibri"/>
                <w:b/>
                <w:bCs/>
                <w:i/>
                <w:iCs/>
              </w:rPr>
            </w:pPr>
            <w:r w:rsidRPr="00A7349C">
              <w:rPr>
                <w:rFonts w:ascii="Calibri" w:hAnsi="Calibri"/>
                <w:b/>
                <w:bCs/>
                <w:i/>
                <w:iCs/>
              </w:rPr>
              <w:t xml:space="preserve">Identifying and reaching zero-dose and consistently missed children and communities </w:t>
            </w:r>
          </w:p>
          <w:p w14:paraId="6DA471B8" w14:textId="3632D55F" w:rsidR="00771FF7" w:rsidRPr="00771FF7" w:rsidRDefault="00A7349C" w:rsidP="002C1D77">
            <w:pPr>
              <w:pStyle w:val="ListParagraph"/>
              <w:numPr>
                <w:ilvl w:val="0"/>
                <w:numId w:val="8"/>
              </w:numPr>
              <w:spacing w:line="300" w:lineRule="exact"/>
              <w:jc w:val="both"/>
              <w:rPr>
                <w:rFonts w:ascii="Calibri" w:hAnsi="Calibri"/>
                <w:b/>
                <w:bCs/>
                <w:i/>
                <w:iCs/>
              </w:rPr>
            </w:pPr>
            <w:r w:rsidRPr="00771FF7">
              <w:rPr>
                <w:rFonts w:ascii="Calibri" w:hAnsi="Calibri"/>
              </w:rPr>
              <w:t xml:space="preserve">The first targeted outcome by EPI speaks to leaving no child behind, and the targeted 95% is based on country contextual factors. </w:t>
            </w:r>
            <w:r w:rsidR="002F7E6C" w:rsidRPr="00771FF7">
              <w:rPr>
                <w:rFonts w:ascii="Calibri" w:hAnsi="Calibri"/>
              </w:rPr>
              <w:t xml:space="preserve">Although Lesotho has attained high Penta 1 coverage, there is need to map the missing children and those </w:t>
            </w:r>
            <w:proofErr w:type="gramStart"/>
            <w:r w:rsidR="002F7E6C" w:rsidRPr="00771FF7">
              <w:rPr>
                <w:rFonts w:ascii="Calibri" w:hAnsi="Calibri"/>
              </w:rPr>
              <w:t>communities  which</w:t>
            </w:r>
            <w:proofErr w:type="gramEnd"/>
            <w:r w:rsidR="002F7E6C" w:rsidRPr="00771FF7">
              <w:rPr>
                <w:rFonts w:ascii="Calibri" w:hAnsi="Calibri"/>
              </w:rPr>
              <w:t xml:space="preserve"> have been consistently being missed. </w:t>
            </w:r>
            <w:r w:rsidR="00771FF7" w:rsidRPr="00771FF7">
              <w:rPr>
                <w:rFonts w:ascii="Calibri" w:hAnsi="Calibri"/>
              </w:rPr>
              <w:t xml:space="preserve">Identifying and accounting for children and communities that are not accessing immunization services due to multiple factors such as location, disabilities, religious backgrounds </w:t>
            </w:r>
            <w:proofErr w:type="spellStart"/>
            <w:r w:rsidR="00771FF7" w:rsidRPr="00771FF7">
              <w:rPr>
                <w:rFonts w:ascii="Calibri" w:hAnsi="Calibri"/>
              </w:rPr>
              <w:t>etc</w:t>
            </w:r>
            <w:proofErr w:type="spellEnd"/>
            <w:r w:rsidR="00771FF7" w:rsidRPr="00771FF7">
              <w:rPr>
                <w:rFonts w:ascii="Calibri" w:hAnsi="Calibri"/>
              </w:rPr>
              <w:t xml:space="preserve">, is imperative. </w:t>
            </w:r>
            <w:r w:rsidR="00C35EE9" w:rsidRPr="00771FF7">
              <w:rPr>
                <w:rFonts w:ascii="Calibri" w:hAnsi="Calibri"/>
              </w:rPr>
              <w:t>Mapping of zero dose</w:t>
            </w:r>
            <w:r w:rsidR="002F7E6C" w:rsidRPr="00771FF7">
              <w:rPr>
                <w:rFonts w:ascii="Calibri" w:hAnsi="Calibri"/>
              </w:rPr>
              <w:t xml:space="preserve"> and under-immunized </w:t>
            </w:r>
            <w:r w:rsidR="00C35EE9" w:rsidRPr="00771FF7">
              <w:rPr>
                <w:rFonts w:ascii="Calibri" w:hAnsi="Calibri"/>
              </w:rPr>
              <w:t>children</w:t>
            </w:r>
            <w:r w:rsidR="00771FF7" w:rsidRPr="00771FF7">
              <w:rPr>
                <w:rFonts w:ascii="Calibri" w:hAnsi="Calibri"/>
              </w:rPr>
              <w:t xml:space="preserve"> to understand the </w:t>
            </w:r>
            <w:proofErr w:type="gramStart"/>
            <w:r w:rsidR="00771FF7" w:rsidRPr="00771FF7">
              <w:rPr>
                <w:rFonts w:ascii="Calibri" w:hAnsi="Calibri"/>
              </w:rPr>
              <w:t>distribution, and</w:t>
            </w:r>
            <w:proofErr w:type="gramEnd"/>
            <w:r w:rsidR="00771FF7" w:rsidRPr="00771FF7">
              <w:rPr>
                <w:rFonts w:ascii="Calibri" w:hAnsi="Calibri"/>
              </w:rPr>
              <w:t xml:space="preserve"> </w:t>
            </w:r>
            <w:r w:rsidR="00C35EE9" w:rsidRPr="00771FF7">
              <w:rPr>
                <w:rFonts w:ascii="Calibri" w:hAnsi="Calibri"/>
              </w:rPr>
              <w:t xml:space="preserve">understanding </w:t>
            </w:r>
            <w:r w:rsidR="002F7E6C" w:rsidRPr="00771FF7">
              <w:rPr>
                <w:rFonts w:ascii="Calibri" w:hAnsi="Calibri"/>
              </w:rPr>
              <w:t>their</w:t>
            </w:r>
            <w:r w:rsidR="00C35EE9" w:rsidRPr="00771FF7">
              <w:rPr>
                <w:rFonts w:ascii="Calibri" w:hAnsi="Calibri"/>
              </w:rPr>
              <w:t xml:space="preserve"> access barriers</w:t>
            </w:r>
            <w:r w:rsidR="002F7E6C" w:rsidRPr="00771FF7">
              <w:rPr>
                <w:rFonts w:ascii="Calibri" w:hAnsi="Calibri"/>
              </w:rPr>
              <w:t xml:space="preserve"> will enable EPI to develop</w:t>
            </w:r>
            <w:r w:rsidR="00771FF7" w:rsidRPr="00771FF7">
              <w:rPr>
                <w:rFonts w:ascii="Calibri" w:hAnsi="Calibri"/>
              </w:rPr>
              <w:t xml:space="preserve"> targeted mitigation strategies to bridge the existing coverage gap.  </w:t>
            </w:r>
            <w:r w:rsidR="00771FF7">
              <w:rPr>
                <w:rFonts w:ascii="Calibri" w:hAnsi="Calibri"/>
              </w:rPr>
              <w:t xml:space="preserve">Furthermore, </w:t>
            </w:r>
            <w:r w:rsidR="00D85B43">
              <w:rPr>
                <w:rFonts w:ascii="Calibri" w:hAnsi="Calibri"/>
              </w:rPr>
              <w:t xml:space="preserve">undertaking of an immunization coverage survey will complete the </w:t>
            </w:r>
            <w:proofErr w:type="gramStart"/>
            <w:r w:rsidR="00D85B43">
              <w:rPr>
                <w:rFonts w:ascii="Calibri" w:hAnsi="Calibri"/>
              </w:rPr>
              <w:t>above mentioned</w:t>
            </w:r>
            <w:proofErr w:type="gramEnd"/>
            <w:r w:rsidR="00D85B43">
              <w:rPr>
                <w:rFonts w:ascii="Calibri" w:hAnsi="Calibri"/>
              </w:rPr>
              <w:t xml:space="preserve"> interventions. </w:t>
            </w:r>
          </w:p>
          <w:p w14:paraId="2594EB32" w14:textId="206A9D11" w:rsidR="00A7349C" w:rsidRPr="00771FF7" w:rsidRDefault="04E7BFBD" w:rsidP="0C69E5CD">
            <w:pPr>
              <w:spacing w:line="300" w:lineRule="exact"/>
              <w:jc w:val="both"/>
              <w:rPr>
                <w:rFonts w:ascii="Calibri" w:hAnsi="Calibri"/>
                <w:b/>
                <w:bCs/>
                <w:i/>
                <w:iCs/>
              </w:rPr>
            </w:pPr>
            <w:r w:rsidRPr="0C69E5CD">
              <w:rPr>
                <w:rFonts w:ascii="Calibri" w:hAnsi="Calibri"/>
                <w:b/>
                <w:bCs/>
                <w:i/>
                <w:iCs/>
              </w:rPr>
              <w:t>Improving stock reporting and vacci</w:t>
            </w:r>
            <w:r w:rsidR="26E555FA" w:rsidRPr="0C69E5CD">
              <w:rPr>
                <w:rFonts w:ascii="Calibri" w:hAnsi="Calibri"/>
                <w:b/>
                <w:bCs/>
                <w:i/>
                <w:iCs/>
              </w:rPr>
              <w:t>ne</w:t>
            </w:r>
            <w:r w:rsidRPr="0C69E5CD">
              <w:rPr>
                <w:rFonts w:ascii="Calibri" w:hAnsi="Calibri"/>
                <w:b/>
                <w:bCs/>
                <w:i/>
                <w:iCs/>
              </w:rPr>
              <w:t xml:space="preserve"> </w:t>
            </w:r>
            <w:proofErr w:type="spellStart"/>
            <w:r w:rsidRPr="0C69E5CD">
              <w:rPr>
                <w:rFonts w:ascii="Calibri" w:hAnsi="Calibri"/>
                <w:b/>
                <w:bCs/>
                <w:i/>
                <w:iCs/>
              </w:rPr>
              <w:t>managment</w:t>
            </w:r>
            <w:proofErr w:type="spellEnd"/>
            <w:r w:rsidRPr="0C69E5CD">
              <w:rPr>
                <w:rFonts w:ascii="Calibri" w:hAnsi="Calibri"/>
                <w:b/>
                <w:bCs/>
                <w:i/>
                <w:iCs/>
              </w:rPr>
              <w:t xml:space="preserve"> at sub-national level </w:t>
            </w:r>
          </w:p>
          <w:p w14:paraId="644DE46F" w14:textId="39C5E220" w:rsidR="00B223C8" w:rsidRPr="00614286" w:rsidRDefault="325C3B5E" w:rsidP="002C1D77">
            <w:pPr>
              <w:pStyle w:val="ListParagraph"/>
              <w:numPr>
                <w:ilvl w:val="0"/>
                <w:numId w:val="8"/>
              </w:numPr>
              <w:spacing w:line="300" w:lineRule="exact"/>
              <w:jc w:val="both"/>
              <w:rPr>
                <w:rFonts w:ascii="Calibri" w:hAnsi="Calibri"/>
              </w:rPr>
            </w:pPr>
            <w:r w:rsidRPr="0C69E5CD">
              <w:rPr>
                <w:rFonts w:ascii="Calibri" w:hAnsi="Calibri"/>
              </w:rPr>
              <w:t xml:space="preserve">EPI is pursuing the vaccine supply chain goal of ensuring </w:t>
            </w:r>
            <w:r w:rsidR="4D7FB60A" w:rsidRPr="0C69E5CD">
              <w:rPr>
                <w:rFonts w:ascii="Calibri" w:hAnsi="Calibri"/>
              </w:rPr>
              <w:t>that vaccines are available in the right quantities, in the right efficacy, and the right time. For this to be possible, EPI will work on increasing visibility of supply chain data and improvement of stock reporting</w:t>
            </w:r>
            <w:r w:rsidR="45844237" w:rsidRPr="0C69E5CD">
              <w:rPr>
                <w:rFonts w:ascii="Calibri" w:hAnsi="Calibri"/>
              </w:rPr>
              <w:t xml:space="preserve"> </w:t>
            </w:r>
            <w:r w:rsidR="45844237" w:rsidRPr="0C69E5CD">
              <w:rPr>
                <w:rFonts w:ascii="Calibri" w:hAnsi="Calibri"/>
                <w:i/>
                <w:iCs/>
              </w:rPr>
              <w:t xml:space="preserve">(including vaccine wastage </w:t>
            </w:r>
            <w:proofErr w:type="spellStart"/>
            <w:r w:rsidR="45844237" w:rsidRPr="0C69E5CD">
              <w:rPr>
                <w:rFonts w:ascii="Calibri" w:hAnsi="Calibri"/>
                <w:i/>
                <w:iCs/>
              </w:rPr>
              <w:t>reporing</w:t>
            </w:r>
            <w:proofErr w:type="spellEnd"/>
            <w:r w:rsidR="45844237" w:rsidRPr="0C69E5CD">
              <w:rPr>
                <w:rFonts w:ascii="Calibri" w:hAnsi="Calibri"/>
                <w:i/>
                <w:iCs/>
              </w:rPr>
              <w:t>)</w:t>
            </w:r>
            <w:r w:rsidR="4D7FB60A" w:rsidRPr="0C69E5CD">
              <w:rPr>
                <w:rFonts w:ascii="Calibri" w:hAnsi="Calibri"/>
              </w:rPr>
              <w:t xml:space="preserve"> through entry of the supply chain data into DHIS</w:t>
            </w:r>
            <w:r w:rsidR="2BCF3DD7" w:rsidRPr="0C69E5CD">
              <w:rPr>
                <w:rFonts w:ascii="Calibri" w:hAnsi="Calibri"/>
              </w:rPr>
              <w:t>/</w:t>
            </w:r>
            <w:proofErr w:type="spellStart"/>
            <w:r w:rsidR="2BCF3DD7" w:rsidRPr="0C69E5CD">
              <w:rPr>
                <w:rFonts w:ascii="Calibri" w:hAnsi="Calibri"/>
              </w:rPr>
              <w:t>eLMIS</w:t>
            </w:r>
            <w:proofErr w:type="spellEnd"/>
            <w:r w:rsidRPr="0C69E5CD">
              <w:rPr>
                <w:rFonts w:ascii="Calibri" w:hAnsi="Calibri"/>
              </w:rPr>
              <w:t xml:space="preserve"> at the health facility level</w:t>
            </w:r>
            <w:r w:rsidR="2BCF3DD7" w:rsidRPr="0C69E5CD">
              <w:rPr>
                <w:rFonts w:ascii="Calibri" w:hAnsi="Calibri"/>
              </w:rPr>
              <w:t>, while SMT is implemented at the national and district level</w:t>
            </w:r>
            <w:r w:rsidR="4D7FB60A" w:rsidRPr="0C69E5CD">
              <w:rPr>
                <w:rFonts w:ascii="Calibri" w:hAnsi="Calibri"/>
              </w:rPr>
              <w:t xml:space="preserve">. This will enable </w:t>
            </w:r>
            <w:r w:rsidRPr="0C69E5CD">
              <w:rPr>
                <w:rFonts w:ascii="Calibri" w:hAnsi="Calibri"/>
              </w:rPr>
              <w:t>data visibility on stock reporting, accuracy, and discrepancies.  This supply chain data visibility by the national level will enable the development of tailored made mitigation strategies to address the challenges and build capacity of health workers in vaccine’s management. Furthermore, the training of health workers in vaccine management</w:t>
            </w:r>
            <w:r w:rsidR="03FA117D" w:rsidRPr="0C69E5CD">
              <w:rPr>
                <w:rFonts w:ascii="Calibri" w:hAnsi="Calibri"/>
              </w:rPr>
              <w:t>, and the annual M&amp;E EPI reviews for all health facilities</w:t>
            </w:r>
            <w:r w:rsidRPr="0C69E5CD">
              <w:rPr>
                <w:rFonts w:ascii="Calibri" w:hAnsi="Calibri"/>
              </w:rPr>
              <w:t xml:space="preserve"> is targeted at </w:t>
            </w:r>
            <w:r w:rsidR="03FA117D" w:rsidRPr="0C69E5CD">
              <w:rPr>
                <w:rFonts w:ascii="Calibri" w:hAnsi="Calibri"/>
              </w:rPr>
              <w:t xml:space="preserve">enhancing sub-national level capacity in vaccine stock management and reporting. Furthermore, enhancing of health worker capacity will positively impact the establishment of </w:t>
            </w:r>
            <w:proofErr w:type="gramStart"/>
            <w:r w:rsidR="03FA117D" w:rsidRPr="0C69E5CD">
              <w:rPr>
                <w:rFonts w:ascii="Calibri" w:hAnsi="Calibri"/>
              </w:rPr>
              <w:t>the a</w:t>
            </w:r>
            <w:proofErr w:type="gramEnd"/>
            <w:r w:rsidR="03FA117D" w:rsidRPr="0C69E5CD">
              <w:rPr>
                <w:rFonts w:ascii="Calibri" w:hAnsi="Calibri"/>
              </w:rPr>
              <w:t xml:space="preserve"> predictable last mile distribution system. Technical assistance will therefore be required to support EPI in the above proposed interventions. </w:t>
            </w:r>
          </w:p>
          <w:p w14:paraId="503AC5E0" w14:textId="4FCBABB7" w:rsidR="00A7349C" w:rsidRPr="004069F3" w:rsidRDefault="00A7349C" w:rsidP="007B53D1">
            <w:pPr>
              <w:spacing w:line="300" w:lineRule="exact"/>
              <w:rPr>
                <w:rFonts w:ascii="Calibri" w:hAnsi="Calibri"/>
                <w:b/>
                <w:bCs/>
                <w:i/>
                <w:iCs/>
              </w:rPr>
            </w:pPr>
            <w:r w:rsidRPr="004069F3">
              <w:rPr>
                <w:rFonts w:ascii="Calibri" w:hAnsi="Calibri"/>
                <w:b/>
                <w:bCs/>
                <w:i/>
                <w:iCs/>
              </w:rPr>
              <w:t xml:space="preserve">Enhancing strong leadership, </w:t>
            </w:r>
            <w:proofErr w:type="gramStart"/>
            <w:r w:rsidRPr="004069F3">
              <w:rPr>
                <w:rFonts w:ascii="Calibri" w:hAnsi="Calibri"/>
                <w:b/>
                <w:bCs/>
                <w:i/>
                <w:iCs/>
              </w:rPr>
              <w:t>management</w:t>
            </w:r>
            <w:proofErr w:type="gramEnd"/>
            <w:r w:rsidRPr="004069F3">
              <w:rPr>
                <w:rFonts w:ascii="Calibri" w:hAnsi="Calibri"/>
                <w:b/>
                <w:bCs/>
                <w:i/>
                <w:iCs/>
              </w:rPr>
              <w:t xml:space="preserve"> and coordination, and including use of data for decision-making</w:t>
            </w:r>
          </w:p>
          <w:p w14:paraId="53877521" w14:textId="3C81E30E" w:rsidR="001D6137" w:rsidRPr="004069F3" w:rsidRDefault="5DAEA4EE" w:rsidP="00D84981">
            <w:pPr>
              <w:pStyle w:val="ListParagraph"/>
              <w:numPr>
                <w:ilvl w:val="0"/>
                <w:numId w:val="8"/>
              </w:numPr>
              <w:spacing w:line="300" w:lineRule="exact"/>
              <w:jc w:val="both"/>
              <w:rPr>
                <w:rFonts w:ascii="Calibri" w:hAnsi="Calibri"/>
              </w:rPr>
            </w:pPr>
            <w:r w:rsidRPr="0C69E5CD">
              <w:rPr>
                <w:rFonts w:ascii="Calibri" w:hAnsi="Calibri"/>
              </w:rPr>
              <w:t>Capacity building of the people responsible for organizing and delivering health services is among the key interventions of reaching the goal set by the EPI programme of achieving a</w:t>
            </w:r>
            <w:r w:rsidR="4E77BC52" w:rsidRPr="0C69E5CD">
              <w:rPr>
                <w:rFonts w:ascii="Calibri" w:hAnsi="Calibri"/>
              </w:rPr>
              <w:t>t least a</w:t>
            </w:r>
            <w:r w:rsidRPr="0C69E5CD">
              <w:rPr>
                <w:rFonts w:ascii="Calibri" w:hAnsi="Calibri"/>
              </w:rPr>
              <w:t xml:space="preserve"> 95% coverage of fully immunized children. </w:t>
            </w:r>
            <w:r w:rsidR="4E77BC52" w:rsidRPr="0C69E5CD">
              <w:rPr>
                <w:rFonts w:ascii="Calibri" w:hAnsi="Calibri"/>
              </w:rPr>
              <w:t>The goal pursued with capacity building is to ensure strong leadership and management of the EPI programme</w:t>
            </w:r>
            <w:r w:rsidR="0F9F0AA3" w:rsidRPr="0C69E5CD">
              <w:rPr>
                <w:rFonts w:ascii="Calibri" w:hAnsi="Calibri"/>
              </w:rPr>
              <w:t>, with leaders and managers who</w:t>
            </w:r>
            <w:r w:rsidR="4E77BC52" w:rsidRPr="0C69E5CD">
              <w:rPr>
                <w:rFonts w:ascii="Calibri" w:hAnsi="Calibri"/>
              </w:rPr>
              <w:t xml:space="preserve"> use data for decision making at the national and district level</w:t>
            </w:r>
            <w:r w:rsidR="0F9F0AA3" w:rsidRPr="0C69E5CD">
              <w:rPr>
                <w:rFonts w:ascii="Calibri" w:hAnsi="Calibri"/>
              </w:rPr>
              <w:t>.</w:t>
            </w:r>
            <w:r w:rsidR="0BEE3165" w:rsidRPr="0C69E5CD">
              <w:rPr>
                <w:rFonts w:ascii="Calibri" w:hAnsi="Calibri"/>
              </w:rPr>
              <w:t xml:space="preserve"> To further enhance the use of data for decision making, the approved second HSS grant comprises of an </w:t>
            </w:r>
            <w:proofErr w:type="gramStart"/>
            <w:r w:rsidR="0BEE3165" w:rsidRPr="0C69E5CD">
              <w:rPr>
                <w:rFonts w:ascii="Calibri" w:hAnsi="Calibri"/>
              </w:rPr>
              <w:t>annual M&amp;E workshops</w:t>
            </w:r>
            <w:proofErr w:type="gramEnd"/>
            <w:r w:rsidR="0BEE3165" w:rsidRPr="0C69E5CD">
              <w:rPr>
                <w:rFonts w:ascii="Calibri" w:hAnsi="Calibri"/>
              </w:rPr>
              <w:t xml:space="preserve"> to be held for all districts to</w:t>
            </w:r>
            <w:r w:rsidR="216CB011" w:rsidRPr="0C69E5CD">
              <w:rPr>
                <w:rFonts w:ascii="Calibri" w:hAnsi="Calibri"/>
              </w:rPr>
              <w:t xml:space="preserve"> monitor and evaluate</w:t>
            </w:r>
            <w:r w:rsidR="0BEE3165" w:rsidRPr="0C69E5CD">
              <w:rPr>
                <w:rFonts w:ascii="Calibri" w:hAnsi="Calibri"/>
              </w:rPr>
              <w:t xml:space="preserve"> at all the EPI areas; management, supply chain, data management etc. </w:t>
            </w:r>
            <w:r w:rsidR="0F9F0AA3" w:rsidRPr="0C69E5CD">
              <w:rPr>
                <w:rFonts w:ascii="Calibri" w:hAnsi="Calibri"/>
              </w:rPr>
              <w:t xml:space="preserve">Furthermore, to pursue the realization </w:t>
            </w:r>
            <w:r w:rsidR="4E77BC52" w:rsidRPr="0C69E5CD">
              <w:rPr>
                <w:rFonts w:ascii="Calibri" w:hAnsi="Calibri"/>
              </w:rPr>
              <w:t xml:space="preserve">effective coordination of available resources, and partners supporting EPI. The middle managers training, vaccine management trainings for all levels, and on-site mentoring at the district and health facility level are targeted at enhancing the EPI programme leadership and management at all levels of the health system. </w:t>
            </w:r>
            <w:r w:rsidR="633078DE" w:rsidRPr="0C69E5CD">
              <w:rPr>
                <w:rFonts w:ascii="Calibri" w:hAnsi="Calibri"/>
              </w:rPr>
              <w:t xml:space="preserve">Technical assistance will be required to support EPI in the delivery of the proposed trainings and on-site mentoring, and institutionalizing using data for decision making. </w:t>
            </w:r>
          </w:p>
          <w:p w14:paraId="558D14C4" w14:textId="15130126" w:rsidR="008A0362" w:rsidRPr="00657B8B" w:rsidRDefault="00C83C7E" w:rsidP="007B53D1">
            <w:pPr>
              <w:spacing w:line="300" w:lineRule="exact"/>
              <w:rPr>
                <w:rFonts w:ascii="Calibri" w:hAnsi="Calibri"/>
                <w:b/>
                <w:bCs/>
                <w:i/>
                <w:iCs/>
              </w:rPr>
            </w:pPr>
            <w:r w:rsidRPr="00657B8B">
              <w:rPr>
                <w:rFonts w:ascii="Calibri" w:hAnsi="Calibri"/>
                <w:b/>
                <w:bCs/>
                <w:i/>
                <w:iCs/>
              </w:rPr>
              <w:t>Introduction and scale up of vaccines</w:t>
            </w:r>
          </w:p>
          <w:p w14:paraId="1D54F505" w14:textId="1FDE8B57" w:rsidR="00A7349C" w:rsidRDefault="65AF6C3E" w:rsidP="007B53D1">
            <w:pPr>
              <w:pStyle w:val="ListParagraph"/>
              <w:numPr>
                <w:ilvl w:val="0"/>
                <w:numId w:val="8"/>
              </w:numPr>
              <w:spacing w:line="300" w:lineRule="exact"/>
              <w:jc w:val="both"/>
              <w:rPr>
                <w:rFonts w:ascii="Calibri" w:hAnsi="Calibri"/>
              </w:rPr>
            </w:pPr>
            <w:r w:rsidRPr="0C69E5CD">
              <w:rPr>
                <w:rFonts w:ascii="Calibri" w:hAnsi="Calibri"/>
              </w:rPr>
              <w:t xml:space="preserve">As the next step in towards complete OPV withdrawal as recommended by </w:t>
            </w:r>
            <w:hyperlink r:id="rId14">
              <w:r w:rsidRPr="0C69E5CD">
                <w:rPr>
                  <w:rStyle w:val="Hyperlink"/>
                  <w:rFonts w:ascii="Calibri" w:hAnsi="Calibri"/>
                </w:rPr>
                <w:t>WHO</w:t>
              </w:r>
            </w:hyperlink>
            <w:r w:rsidRPr="0C69E5CD">
              <w:rPr>
                <w:rFonts w:ascii="Calibri" w:hAnsi="Calibri"/>
              </w:rPr>
              <w:t xml:space="preserve">, </w:t>
            </w:r>
            <w:r w:rsidR="7A4C8DEE" w:rsidRPr="0C69E5CD">
              <w:rPr>
                <w:rFonts w:ascii="Calibri" w:hAnsi="Calibri"/>
              </w:rPr>
              <w:t>Lesotho is looking at introducing the second dose of IPV into the routine schedule</w:t>
            </w:r>
            <w:r w:rsidRPr="0C69E5CD">
              <w:rPr>
                <w:rFonts w:ascii="Calibri" w:hAnsi="Calibri"/>
              </w:rPr>
              <w:t xml:space="preserve">. EPI will present the intention of introducing the second dose of IPV to the Lesotho National Immunization Technical Advisory Group (NITAG) </w:t>
            </w:r>
            <w:r w:rsidR="14C90251" w:rsidRPr="0C69E5CD">
              <w:rPr>
                <w:rFonts w:ascii="Calibri" w:hAnsi="Calibri"/>
              </w:rPr>
              <w:t xml:space="preserve">to provide their independent and evidence-informed recommendations </w:t>
            </w:r>
            <w:r w:rsidR="14C90251" w:rsidRPr="0C69E5CD">
              <w:rPr>
                <w:rFonts w:ascii="Calibri" w:hAnsi="Calibri"/>
                <w:i/>
                <w:iCs/>
              </w:rPr>
              <w:t>(on feasibility, sustainability, and proposed schedule)</w:t>
            </w:r>
            <w:r w:rsidR="14C90251" w:rsidRPr="0C69E5CD">
              <w:rPr>
                <w:rFonts w:ascii="Calibri" w:hAnsi="Calibri"/>
              </w:rPr>
              <w:t xml:space="preserve"> to the presented intention. Furthermore, while the introduction of IPV 2</w:t>
            </w:r>
            <w:r w:rsidR="18D58C16" w:rsidRPr="0C69E5CD">
              <w:rPr>
                <w:rFonts w:ascii="Calibri" w:hAnsi="Calibri"/>
              </w:rPr>
              <w:t xml:space="preserve"> may not be regarded as a new vaccine introduction, lessons learnt from previous introductions of new vaccine formulations, change in vaccination schedules </w:t>
            </w:r>
            <w:proofErr w:type="spellStart"/>
            <w:r w:rsidR="18D58C16" w:rsidRPr="0C69E5CD">
              <w:rPr>
                <w:rFonts w:ascii="Calibri" w:hAnsi="Calibri"/>
              </w:rPr>
              <w:t>etc</w:t>
            </w:r>
            <w:proofErr w:type="spellEnd"/>
            <w:r w:rsidR="18D58C16" w:rsidRPr="0C69E5CD">
              <w:rPr>
                <w:rFonts w:ascii="Calibri" w:hAnsi="Calibri"/>
              </w:rPr>
              <w:t xml:space="preserve">, has indicated that demand generation and promotion activities </w:t>
            </w:r>
            <w:r w:rsidR="18D58C16" w:rsidRPr="0C69E5CD">
              <w:rPr>
                <w:rFonts w:ascii="Calibri" w:hAnsi="Calibri"/>
                <w:i/>
                <w:iCs/>
              </w:rPr>
              <w:t>(with emphasis of health education targeted at parents and care givers</w:t>
            </w:r>
            <w:r w:rsidR="18D58C16" w:rsidRPr="0C69E5CD">
              <w:rPr>
                <w:rFonts w:ascii="Calibri" w:hAnsi="Calibri"/>
              </w:rPr>
              <w:t xml:space="preserve">), health worker trainings </w:t>
            </w:r>
            <w:proofErr w:type="spellStart"/>
            <w:r w:rsidR="18D58C16" w:rsidRPr="0C69E5CD">
              <w:rPr>
                <w:rFonts w:ascii="Calibri" w:hAnsi="Calibri"/>
              </w:rPr>
              <w:t>etc</w:t>
            </w:r>
            <w:proofErr w:type="spellEnd"/>
            <w:r w:rsidR="18D58C16" w:rsidRPr="0C69E5CD">
              <w:rPr>
                <w:rFonts w:ascii="Calibri" w:hAnsi="Calibri"/>
              </w:rPr>
              <w:t xml:space="preserve"> are critical components. Technical assistance will thus be needed to support EPI in implementing this activity as part of the Polio Endgame Strategy (2019 – 2023). </w:t>
            </w:r>
          </w:p>
          <w:p w14:paraId="10E3A314" w14:textId="77777777" w:rsidR="00E97ABD" w:rsidRPr="00E97ABD" w:rsidRDefault="00E97ABD" w:rsidP="00E97ABD">
            <w:pPr>
              <w:spacing w:line="300" w:lineRule="exact"/>
              <w:jc w:val="both"/>
              <w:rPr>
                <w:rFonts w:ascii="Calibri" w:hAnsi="Calibri"/>
                <w:b/>
                <w:bCs/>
                <w:i/>
                <w:iCs/>
              </w:rPr>
            </w:pPr>
            <w:r w:rsidRPr="00CB4ACB">
              <w:rPr>
                <w:rFonts w:ascii="Calibri" w:hAnsi="Calibri"/>
                <w:b/>
                <w:bCs/>
                <w:i/>
                <w:iCs/>
              </w:rPr>
              <w:t>Programme</w:t>
            </w:r>
            <w:r w:rsidRPr="00E97ABD">
              <w:rPr>
                <w:rFonts w:ascii="Calibri" w:hAnsi="Calibri"/>
                <w:b/>
                <w:bCs/>
                <w:i/>
                <w:iCs/>
              </w:rPr>
              <w:t xml:space="preserve"> sustainability</w:t>
            </w:r>
          </w:p>
          <w:p w14:paraId="4528BB7F" w14:textId="374057E1" w:rsidR="00F41928" w:rsidRDefault="4D7FB60A" w:rsidP="00E97ABD">
            <w:pPr>
              <w:pStyle w:val="ListParagraph"/>
              <w:numPr>
                <w:ilvl w:val="0"/>
                <w:numId w:val="8"/>
              </w:numPr>
              <w:spacing w:line="300" w:lineRule="exact"/>
              <w:jc w:val="both"/>
              <w:rPr>
                <w:rFonts w:ascii="Calibri" w:hAnsi="Calibri"/>
              </w:rPr>
            </w:pPr>
            <w:r w:rsidRPr="00E97ABD">
              <w:rPr>
                <w:rFonts w:ascii="Calibri" w:hAnsi="Calibri"/>
              </w:rPr>
              <w:t>The delivery of the COVID-19 vaccine</w:t>
            </w:r>
            <w:r w:rsidR="00E97ABD">
              <w:rPr>
                <w:rStyle w:val="FootnoteReference"/>
                <w:rFonts w:ascii="Calibri" w:hAnsi="Calibri"/>
              </w:rPr>
              <w:footnoteReference w:id="2"/>
            </w:r>
            <w:r w:rsidR="79DE5487">
              <w:rPr>
                <w:rFonts w:ascii="Calibri" w:hAnsi="Calibri"/>
              </w:rPr>
              <w:t xml:space="preserve"> </w:t>
            </w:r>
            <w:r w:rsidRPr="00E97ABD">
              <w:rPr>
                <w:rFonts w:ascii="Calibri" w:hAnsi="Calibri"/>
              </w:rPr>
              <w:t xml:space="preserve">with the HPV vaccine during the HPV vaccine launch at schools provided </w:t>
            </w:r>
            <w:r w:rsidR="431DDC44">
              <w:rPr>
                <w:rFonts w:ascii="Calibri" w:hAnsi="Calibri"/>
              </w:rPr>
              <w:t>EPI with an opportunity of experiencing the parallel delivery of new vaccines. The lessons learnt from the experience is that effective health worker training is required, there is need for the development of SOPs to guide the process, and effective supply and cold chain management</w:t>
            </w:r>
            <w:r w:rsidR="5F603073">
              <w:rPr>
                <w:rFonts w:ascii="Calibri" w:hAnsi="Calibri"/>
              </w:rPr>
              <w:t xml:space="preserve"> is needed</w:t>
            </w:r>
            <w:r w:rsidR="431DDC44">
              <w:rPr>
                <w:rFonts w:ascii="Calibri" w:hAnsi="Calibri"/>
              </w:rPr>
              <w:t xml:space="preserve"> throughout the process. EPI is working on determining how the COVID-19 vaccine can be integrated into existing health services. Most of the population that had received the vaccine access the services through outreaches. This model has however proved to be costly and more sustainable service models are required. </w:t>
            </w:r>
          </w:p>
          <w:p w14:paraId="0C49E76B" w14:textId="63C20C36" w:rsidR="00E97ABD" w:rsidRPr="00E97ABD" w:rsidRDefault="431DDC44" w:rsidP="00E97ABD">
            <w:pPr>
              <w:pStyle w:val="ListParagraph"/>
              <w:numPr>
                <w:ilvl w:val="0"/>
                <w:numId w:val="8"/>
              </w:numPr>
              <w:spacing w:line="300" w:lineRule="exact"/>
              <w:jc w:val="both"/>
              <w:rPr>
                <w:rFonts w:ascii="Calibri" w:hAnsi="Calibri"/>
              </w:rPr>
            </w:pPr>
            <w:r w:rsidRPr="0C69E5CD">
              <w:rPr>
                <w:rFonts w:ascii="Calibri" w:hAnsi="Calibri"/>
              </w:rPr>
              <w:t>Enhancing the capacity of sub-national managers and community leadership has proven to contribute towards programme sustainability. EPI is targeting the continuous capacity building of District Immunization Steering Committees (DISCs) to achieve the sustainability goal.</w:t>
            </w:r>
          </w:p>
        </w:tc>
      </w:tr>
      <w:tr w:rsidR="002E0882" w14:paraId="733DCE72" w14:textId="77777777" w:rsidTr="0C69E5CD">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6A272B" w14:paraId="3B0C1B4D" w14:textId="77777777" w:rsidTr="0C69E5CD">
        <w:tc>
          <w:tcPr>
            <w:tcW w:w="9192" w:type="dxa"/>
            <w:tcBorders>
              <w:top w:val="single" w:sz="4" w:space="0" w:color="auto"/>
              <w:left w:val="single" w:sz="4" w:space="0" w:color="auto"/>
              <w:bottom w:val="single" w:sz="4" w:space="0" w:color="auto"/>
              <w:right w:val="single" w:sz="4" w:space="0" w:color="auto"/>
            </w:tcBorders>
          </w:tcPr>
          <w:p w14:paraId="0CF8E3B7" w14:textId="03C67166" w:rsidR="00D57937" w:rsidRDefault="2EEEC208" w:rsidP="00823432">
            <w:pPr>
              <w:spacing w:line="300" w:lineRule="exact"/>
              <w:jc w:val="both"/>
              <w:rPr>
                <w:rFonts w:ascii="Calibri" w:hAnsi="Calibri"/>
              </w:rPr>
            </w:pPr>
            <w:r w:rsidRPr="0C69E5CD">
              <w:rPr>
                <w:rFonts w:ascii="Calibri" w:hAnsi="Calibri"/>
              </w:rPr>
              <w:t xml:space="preserve">Any new vaccine introduction or campaign provides a country with </w:t>
            </w:r>
            <w:r w:rsidR="5F603073" w:rsidRPr="0C69E5CD">
              <w:rPr>
                <w:rFonts w:ascii="Calibri" w:hAnsi="Calibri"/>
              </w:rPr>
              <w:t xml:space="preserve">a </w:t>
            </w:r>
            <w:r w:rsidRPr="0C69E5CD">
              <w:rPr>
                <w:rFonts w:ascii="Calibri" w:hAnsi="Calibri"/>
              </w:rPr>
              <w:t>good opportunity to render refresher trainings on effective microplanning processes, supply and cold chain management, effective analysis of coverage data, using of data for decision making to develop mitigation strategies</w:t>
            </w:r>
            <w:r w:rsidR="5F603073" w:rsidRPr="0C69E5CD">
              <w:rPr>
                <w:rFonts w:ascii="Calibri" w:hAnsi="Calibri"/>
              </w:rPr>
              <w:t xml:space="preserve"> in instances of challenges</w:t>
            </w:r>
            <w:r w:rsidRPr="0C69E5CD">
              <w:rPr>
                <w:rFonts w:ascii="Calibri" w:hAnsi="Calibri"/>
              </w:rPr>
              <w:t>, conducting of community level surveillance</w:t>
            </w:r>
            <w:r w:rsidR="14702EC2" w:rsidRPr="0C69E5CD">
              <w:rPr>
                <w:rFonts w:ascii="Calibri" w:hAnsi="Calibri"/>
              </w:rPr>
              <w:t>, and demand generation and promotion</w:t>
            </w:r>
            <w:r w:rsidRPr="0C69E5CD">
              <w:rPr>
                <w:rFonts w:ascii="Calibri" w:hAnsi="Calibri"/>
              </w:rPr>
              <w:t xml:space="preserve"> among others. </w:t>
            </w:r>
            <w:r w:rsidR="14702EC2" w:rsidRPr="0C69E5CD">
              <w:rPr>
                <w:rFonts w:ascii="Calibri" w:hAnsi="Calibri"/>
              </w:rPr>
              <w:t>To follow are examples</w:t>
            </w:r>
            <w:r w:rsidR="5F603073" w:rsidRPr="0C69E5CD">
              <w:rPr>
                <w:rFonts w:ascii="Calibri" w:hAnsi="Calibri"/>
              </w:rPr>
              <w:t>, through experience,</w:t>
            </w:r>
            <w:r w:rsidR="14702EC2" w:rsidRPr="0C69E5CD">
              <w:rPr>
                <w:rFonts w:ascii="Calibri" w:hAnsi="Calibri"/>
              </w:rPr>
              <w:t xml:space="preserve"> of how Lesotho uses new vaccine introductions and campaigns to strengthen the immunization service delivery.</w:t>
            </w:r>
          </w:p>
          <w:p w14:paraId="377FFC46" w14:textId="4D0B6715" w:rsidR="00D57937" w:rsidRPr="00AC305C" w:rsidRDefault="00D57937" w:rsidP="00823432">
            <w:pPr>
              <w:spacing w:line="300" w:lineRule="exact"/>
              <w:jc w:val="both"/>
              <w:rPr>
                <w:rFonts w:ascii="Calibri" w:hAnsi="Calibri"/>
                <w:b/>
                <w:bCs/>
                <w:i/>
                <w:iCs/>
              </w:rPr>
            </w:pPr>
            <w:r w:rsidRPr="00AC305C">
              <w:rPr>
                <w:rFonts w:ascii="Calibri" w:hAnsi="Calibri"/>
                <w:b/>
                <w:bCs/>
                <w:i/>
                <w:iCs/>
              </w:rPr>
              <w:t>Trainings and microplanning</w:t>
            </w:r>
          </w:p>
          <w:p w14:paraId="0E588944" w14:textId="0D2865E7" w:rsidR="00C85867" w:rsidRDefault="00C85867" w:rsidP="00D57937">
            <w:pPr>
              <w:pStyle w:val="ListParagraph"/>
              <w:numPr>
                <w:ilvl w:val="0"/>
                <w:numId w:val="8"/>
              </w:numPr>
              <w:spacing w:line="300" w:lineRule="exact"/>
              <w:jc w:val="both"/>
              <w:rPr>
                <w:rFonts w:ascii="Calibri" w:hAnsi="Calibri"/>
              </w:rPr>
            </w:pPr>
            <w:r w:rsidRPr="00D57937">
              <w:rPr>
                <w:rFonts w:ascii="Calibri" w:hAnsi="Calibri"/>
              </w:rPr>
              <w:t xml:space="preserve">Lesotho uses vaccine introduction and vaccine campaign trainings to provide refreshers on all the afore mentioned components. For example, EPI leveraged on the introduction of the COVID-19 vaccine </w:t>
            </w:r>
            <w:r w:rsidR="00AA6128" w:rsidRPr="00D57937">
              <w:rPr>
                <w:rFonts w:ascii="Calibri" w:hAnsi="Calibri"/>
              </w:rPr>
              <w:t xml:space="preserve">to mentor Public Health Nurses and EPI Child Health Officers (CHO) in effective vaccine supply management principles such as reporting and cold chain management </w:t>
            </w:r>
            <w:r w:rsidR="00AA6128" w:rsidRPr="007E151C">
              <w:rPr>
                <w:rFonts w:ascii="Calibri" w:hAnsi="Calibri"/>
                <w:i/>
                <w:iCs/>
              </w:rPr>
              <w:t>(particularly since the vaccines do not come with VVM stickers</w:t>
            </w:r>
            <w:r w:rsidR="007E151C" w:rsidRPr="007E151C">
              <w:rPr>
                <w:rFonts w:ascii="Calibri" w:hAnsi="Calibri"/>
                <w:i/>
                <w:iCs/>
              </w:rPr>
              <w:t>)</w:t>
            </w:r>
            <w:r w:rsidR="00AA6128" w:rsidRPr="007E151C">
              <w:rPr>
                <w:rFonts w:ascii="Calibri" w:hAnsi="Calibri"/>
                <w:i/>
                <w:iCs/>
              </w:rPr>
              <w:t>.</w:t>
            </w:r>
            <w:r w:rsidR="00AA6128" w:rsidRPr="00D57937">
              <w:rPr>
                <w:rFonts w:ascii="Calibri" w:hAnsi="Calibri"/>
              </w:rPr>
              <w:t xml:space="preserve"> Furthermore,</w:t>
            </w:r>
            <w:r w:rsidRPr="00D57937">
              <w:rPr>
                <w:rFonts w:ascii="Calibri" w:hAnsi="Calibri"/>
              </w:rPr>
              <w:t xml:space="preserve"> EPI conducted an audit of the COVID-19 supply chain data in all the 10 district vaccine stores</w:t>
            </w:r>
            <w:r w:rsidR="00AA6128" w:rsidRPr="00D57937">
              <w:rPr>
                <w:rFonts w:ascii="Calibri" w:hAnsi="Calibri"/>
              </w:rPr>
              <w:t xml:space="preserve"> in April 2022 to determine the accuracy of the monthly reported data by the districts. </w:t>
            </w:r>
          </w:p>
          <w:p w14:paraId="089832E3" w14:textId="097F8DE1" w:rsidR="00B23A48" w:rsidRPr="00B23A48" w:rsidRDefault="092EFC09" w:rsidP="00B23A48">
            <w:pPr>
              <w:pStyle w:val="ListParagraph"/>
              <w:numPr>
                <w:ilvl w:val="0"/>
                <w:numId w:val="8"/>
              </w:numPr>
              <w:jc w:val="both"/>
              <w:rPr>
                <w:rFonts w:ascii="Calibri" w:hAnsi="Calibri"/>
              </w:rPr>
            </w:pPr>
            <w:r w:rsidRPr="0C69E5CD">
              <w:rPr>
                <w:rFonts w:ascii="Calibri" w:hAnsi="Calibri"/>
              </w:rPr>
              <w:t xml:space="preserve">Every new vaccine introduction is in addition used </w:t>
            </w:r>
            <w:r w:rsidR="5F603073" w:rsidRPr="0C69E5CD">
              <w:rPr>
                <w:rFonts w:ascii="Calibri" w:hAnsi="Calibri"/>
              </w:rPr>
              <w:t xml:space="preserve">as a continuous learning for health workers on </w:t>
            </w:r>
            <w:r w:rsidRPr="0C69E5CD">
              <w:rPr>
                <w:rFonts w:ascii="Calibri" w:hAnsi="Calibri"/>
              </w:rPr>
              <w:t xml:space="preserve">EPI’s microplanning process to map the target populations, defining the characteristics of the targeted population for the development of targeted demand generation and promotion activities, and the develop strategies on how to reach the identified target populations.  </w:t>
            </w:r>
            <w:r w:rsidR="1657D7B8" w:rsidRPr="0C69E5CD">
              <w:rPr>
                <w:rFonts w:ascii="Calibri" w:hAnsi="Calibri"/>
              </w:rPr>
              <w:t xml:space="preserve">Additionally, new vaccine introduction presents an opportunity for use of new innovations such as GIS-based digital </w:t>
            </w:r>
            <w:proofErr w:type="spellStart"/>
            <w:r w:rsidR="1657D7B8" w:rsidRPr="0C69E5CD">
              <w:rPr>
                <w:rFonts w:ascii="Calibri" w:hAnsi="Calibri"/>
              </w:rPr>
              <w:t>microplans</w:t>
            </w:r>
            <w:proofErr w:type="spellEnd"/>
            <w:r w:rsidR="1657D7B8" w:rsidRPr="0C69E5CD">
              <w:rPr>
                <w:rFonts w:ascii="Calibri" w:hAnsi="Calibri"/>
              </w:rPr>
              <w:t xml:space="preserve"> which ensure all populations are accounted for, identify gaps in population equitable access to care, and optimize planning for outreach activities to ensure equitability and reach of services.</w:t>
            </w:r>
          </w:p>
          <w:p w14:paraId="6A97ABA1" w14:textId="51E4E3AA" w:rsidR="00AC305C" w:rsidRPr="00B23A48" w:rsidRDefault="00AC305C" w:rsidP="00B23A48">
            <w:pPr>
              <w:spacing w:line="300" w:lineRule="exact"/>
              <w:ind w:left="360"/>
              <w:jc w:val="both"/>
              <w:rPr>
                <w:rFonts w:ascii="Calibri" w:hAnsi="Calibri"/>
              </w:rPr>
            </w:pPr>
          </w:p>
          <w:p w14:paraId="283AAE3F" w14:textId="2B91E391" w:rsidR="00AA6128" w:rsidRPr="00AC305C" w:rsidRDefault="00AA6128" w:rsidP="00823432">
            <w:pPr>
              <w:spacing w:line="300" w:lineRule="exact"/>
              <w:jc w:val="both"/>
              <w:rPr>
                <w:rFonts w:ascii="Calibri" w:hAnsi="Calibri"/>
                <w:b/>
                <w:bCs/>
                <w:i/>
                <w:iCs/>
              </w:rPr>
            </w:pPr>
            <w:r w:rsidRPr="00AC305C">
              <w:rPr>
                <w:rFonts w:ascii="Calibri" w:hAnsi="Calibri"/>
                <w:b/>
                <w:bCs/>
                <w:i/>
                <w:iCs/>
              </w:rPr>
              <w:t>Using data for decision making</w:t>
            </w:r>
          </w:p>
          <w:p w14:paraId="16D407EC" w14:textId="248916EB" w:rsidR="00AA6128" w:rsidRPr="00823432" w:rsidRDefault="1E9B80FB" w:rsidP="00823432">
            <w:pPr>
              <w:pStyle w:val="ListParagraph"/>
              <w:numPr>
                <w:ilvl w:val="0"/>
                <w:numId w:val="8"/>
              </w:numPr>
              <w:spacing w:line="300" w:lineRule="exact"/>
              <w:jc w:val="both"/>
              <w:rPr>
                <w:rFonts w:ascii="Calibri" w:hAnsi="Calibri"/>
              </w:rPr>
            </w:pPr>
            <w:r w:rsidRPr="00823432">
              <w:rPr>
                <w:rFonts w:ascii="Calibri" w:hAnsi="Calibri"/>
              </w:rPr>
              <w:t xml:space="preserve">For the recent HPV vaccine introduction, EPI held a meeting with all 10 districts to analyse the performance of each district. The objective of the meeting was to </w:t>
            </w:r>
            <w:r w:rsidR="17F281AF" w:rsidRPr="00823432">
              <w:rPr>
                <w:rFonts w:ascii="Calibri" w:hAnsi="Calibri"/>
              </w:rPr>
              <w:t xml:space="preserve">present the coverage data to the districts, and for districts to discuss the success and challenges experienced in the two weeks of the HPV vaccine campaign. Furthermore, the meeting reached a resolution that new plans will be developed to target reaching those that were not reached during the two weeks of the campaign and mop-up activities. </w:t>
            </w:r>
            <w:r w:rsidR="346910F8">
              <w:rPr>
                <w:rFonts w:ascii="Calibri" w:hAnsi="Calibri"/>
              </w:rPr>
              <w:t>The timely review of data collectively by all districts enforces the accountability that is borne by the PHNs and EPI CHOs of managing their respective health facilities and reporting on the performance of their districts. In addition, m</w:t>
            </w:r>
            <w:r w:rsidR="14702EC2">
              <w:rPr>
                <w:rFonts w:ascii="Calibri" w:hAnsi="Calibri"/>
              </w:rPr>
              <w:t>eetings for all ten District Immunization Steering Committees</w:t>
            </w:r>
            <w:r w:rsidR="00D57937" w:rsidRPr="00661394">
              <w:rPr>
                <w:vertAlign w:val="superscript"/>
              </w:rPr>
              <w:footnoteReference w:id="3"/>
            </w:r>
            <w:r w:rsidR="7C340E3D" w:rsidRPr="00661394">
              <w:rPr>
                <w:rFonts w:ascii="Calibri" w:hAnsi="Calibri"/>
                <w:vertAlign w:val="superscript"/>
              </w:rPr>
              <w:t xml:space="preserve"> </w:t>
            </w:r>
            <w:r w:rsidR="17F281AF">
              <w:rPr>
                <w:rFonts w:ascii="Calibri" w:hAnsi="Calibri"/>
              </w:rPr>
              <w:t xml:space="preserve">is targeted in the month of June with the objective of reviewing the HPV vaccination data for each district, and compiling a report on lessons learnt, and recommended mitigation strategies for the delivery of the second HPV vaccine dose. </w:t>
            </w:r>
          </w:p>
          <w:p w14:paraId="7473F0C7" w14:textId="438D0821" w:rsidR="00823432" w:rsidRPr="00AC305C" w:rsidRDefault="00823432" w:rsidP="00823432">
            <w:pPr>
              <w:spacing w:line="300" w:lineRule="exact"/>
              <w:jc w:val="both"/>
              <w:rPr>
                <w:rFonts w:ascii="Calibri" w:hAnsi="Calibri"/>
                <w:b/>
                <w:bCs/>
                <w:i/>
                <w:iCs/>
              </w:rPr>
            </w:pPr>
            <w:r w:rsidRPr="00AC305C">
              <w:rPr>
                <w:rFonts w:ascii="Calibri" w:hAnsi="Calibri"/>
                <w:b/>
                <w:bCs/>
                <w:i/>
                <w:iCs/>
              </w:rPr>
              <w:t>Demand generation and promotion</w:t>
            </w:r>
          </w:p>
          <w:p w14:paraId="2E32D1E6" w14:textId="02B1E0AC" w:rsidR="002E0882" w:rsidRPr="00AC305C" w:rsidRDefault="00073D59" w:rsidP="00823432">
            <w:pPr>
              <w:pStyle w:val="ListParagraph"/>
              <w:numPr>
                <w:ilvl w:val="0"/>
                <w:numId w:val="8"/>
              </w:numPr>
              <w:spacing w:line="300" w:lineRule="exact"/>
              <w:jc w:val="both"/>
              <w:rPr>
                <w:rFonts w:ascii="Calibri" w:hAnsi="Calibri"/>
              </w:rPr>
            </w:pPr>
            <w:r w:rsidRPr="00823432">
              <w:rPr>
                <w:rFonts w:ascii="Calibri" w:hAnsi="Calibri"/>
              </w:rPr>
              <w:t xml:space="preserve">The introduction of the COVID-19 vaccine in March 2021 and the reintroduction of the HPV vaccine in April 2022 has provided Lesotho with an opportunity to educate the population on immunization </w:t>
            </w:r>
            <w:r w:rsidR="007E151C">
              <w:rPr>
                <w:rFonts w:ascii="Calibri" w:hAnsi="Calibri"/>
              </w:rPr>
              <w:t xml:space="preserve">as </w:t>
            </w:r>
            <w:proofErr w:type="gramStart"/>
            <w:r w:rsidR="007E151C">
              <w:rPr>
                <w:rFonts w:ascii="Calibri" w:hAnsi="Calibri"/>
              </w:rPr>
              <w:t xml:space="preserve">a  </w:t>
            </w:r>
            <w:r w:rsidRPr="00823432">
              <w:rPr>
                <w:rFonts w:ascii="Calibri" w:hAnsi="Calibri"/>
              </w:rPr>
              <w:t>life</w:t>
            </w:r>
            <w:proofErr w:type="gramEnd"/>
            <w:r w:rsidRPr="00823432">
              <w:rPr>
                <w:rFonts w:ascii="Calibri" w:hAnsi="Calibri"/>
              </w:rPr>
              <w:t xml:space="preserve">-course approach. Traditionally vaccination services in Lesotho were only seen as services targeted to under 5. In conducting the demand generation and promotion for the afore mentioned vaccines, communities were educated on vaccines; how vaccines work, benefits of vaccines with evidence, </w:t>
            </w:r>
            <w:r w:rsidR="00C85867" w:rsidRPr="00823432">
              <w:rPr>
                <w:rFonts w:ascii="Calibri" w:hAnsi="Calibri"/>
              </w:rPr>
              <w:t>and adverse effects following immunization.</w:t>
            </w:r>
            <w:r w:rsidR="00C85867" w:rsidRPr="00AC305C">
              <w:rPr>
                <w:rFonts w:ascii="Calibri" w:hAnsi="Calibri"/>
              </w:rPr>
              <w:t xml:space="preserve"> </w:t>
            </w:r>
          </w:p>
          <w:p w14:paraId="2525ED44" w14:textId="1B8BBBF7" w:rsidR="00AC305C" w:rsidRPr="00AC305C" w:rsidRDefault="00AC305C" w:rsidP="00AC305C">
            <w:pPr>
              <w:spacing w:line="300" w:lineRule="exact"/>
              <w:jc w:val="both"/>
              <w:rPr>
                <w:rFonts w:ascii="Calibri" w:hAnsi="Calibri"/>
              </w:rPr>
            </w:pPr>
            <w:r w:rsidRPr="00AC305C">
              <w:rPr>
                <w:rFonts w:ascii="Calibri" w:hAnsi="Calibri"/>
              </w:rPr>
              <w:t xml:space="preserve">As previously indicated, new vaccine introductions and campaigns are used as opportunity for continuous learning on the different EPI components. </w:t>
            </w:r>
          </w:p>
        </w:tc>
      </w:tr>
      <w:tr w:rsidR="00D353AF" w14:paraId="124CC764" w14:textId="77777777" w:rsidTr="0C69E5CD">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C69E5CD">
        <w:tc>
          <w:tcPr>
            <w:tcW w:w="9192" w:type="dxa"/>
            <w:tcBorders>
              <w:top w:val="single" w:sz="4" w:space="0" w:color="auto"/>
              <w:left w:val="single" w:sz="4" w:space="0" w:color="auto"/>
              <w:bottom w:val="single" w:sz="4" w:space="0" w:color="auto"/>
              <w:right w:val="single" w:sz="4" w:space="0" w:color="auto"/>
            </w:tcBorders>
          </w:tcPr>
          <w:p w14:paraId="6B68DFED" w14:textId="3C0675DC" w:rsidR="00D353AF" w:rsidRDefault="30294D60" w:rsidP="007D639D">
            <w:pPr>
              <w:pStyle w:val="ListParagraph"/>
              <w:numPr>
                <w:ilvl w:val="0"/>
                <w:numId w:val="8"/>
              </w:numPr>
              <w:spacing w:line="300" w:lineRule="exact"/>
              <w:jc w:val="both"/>
              <w:rPr>
                <w:rFonts w:ascii="Calibri" w:hAnsi="Calibri"/>
              </w:rPr>
            </w:pPr>
            <w:r w:rsidRPr="0C69E5CD">
              <w:rPr>
                <w:rFonts w:ascii="Calibri" w:hAnsi="Calibri"/>
              </w:rPr>
              <w:t>Mapping</w:t>
            </w:r>
            <w:r w:rsidR="247A7E71" w:rsidRPr="0C69E5CD">
              <w:rPr>
                <w:rFonts w:ascii="Calibri" w:hAnsi="Calibri"/>
              </w:rPr>
              <w:t xml:space="preserve"> of zero dose children and the consistently missed communities, and understanding factors hindering effective access to immunization with the objective of developing targeted mitigation strategies will aid EPI in the restoration and maintenance of the immunization services</w:t>
            </w:r>
          </w:p>
          <w:p w14:paraId="152E0B31" w14:textId="6A159227" w:rsidR="007D639D" w:rsidRDefault="007D639D" w:rsidP="007D639D">
            <w:pPr>
              <w:pStyle w:val="ListParagraph"/>
              <w:numPr>
                <w:ilvl w:val="0"/>
                <w:numId w:val="8"/>
              </w:numPr>
              <w:spacing w:line="300" w:lineRule="exact"/>
              <w:jc w:val="both"/>
              <w:rPr>
                <w:rFonts w:ascii="Calibri" w:hAnsi="Calibri"/>
              </w:rPr>
            </w:pPr>
            <w:r>
              <w:rPr>
                <w:rFonts w:ascii="Calibri" w:hAnsi="Calibri"/>
              </w:rPr>
              <w:t>The coverage survey will be an additional tool to complete the routine immunization data analysis, and it will provide EPI with a clear picture on the impact of the COVID-19 pandemic to the immunization services</w:t>
            </w:r>
          </w:p>
          <w:p w14:paraId="5894C3B9" w14:textId="539E55D9" w:rsidR="007D639D" w:rsidRDefault="007D639D" w:rsidP="007D639D">
            <w:pPr>
              <w:pStyle w:val="ListParagraph"/>
              <w:numPr>
                <w:ilvl w:val="0"/>
                <w:numId w:val="8"/>
              </w:numPr>
              <w:spacing w:line="300" w:lineRule="exact"/>
              <w:jc w:val="both"/>
              <w:rPr>
                <w:rFonts w:ascii="Calibri" w:hAnsi="Calibri"/>
              </w:rPr>
            </w:pPr>
            <w:r>
              <w:rPr>
                <w:rFonts w:ascii="Calibri" w:hAnsi="Calibri"/>
              </w:rPr>
              <w:t xml:space="preserve">The tracking of the vaccine key performance indicators (KPIs) such as </w:t>
            </w:r>
            <w:r w:rsidR="001F004B">
              <w:rPr>
                <w:rFonts w:ascii="Calibri" w:hAnsi="Calibri"/>
              </w:rPr>
              <w:t>stock reporting, stock availability, order fulfilment rates, and stock adequacy among others, was overtaken by the urgency of the COVID-19 vaccine supply managemen</w:t>
            </w:r>
            <w:r w:rsidR="00367B27">
              <w:rPr>
                <w:rFonts w:ascii="Calibri" w:hAnsi="Calibri"/>
              </w:rPr>
              <w:t>t</w:t>
            </w:r>
            <w:r w:rsidR="001F004B">
              <w:rPr>
                <w:rFonts w:ascii="Calibri" w:hAnsi="Calibri"/>
              </w:rPr>
              <w:t xml:space="preserve">. The COVID-19 vaccine supply chain management required active/weekly tracking of the vaccination coverage for all health facilities to determine </w:t>
            </w:r>
            <w:proofErr w:type="gramStart"/>
            <w:r w:rsidR="001F004B">
              <w:rPr>
                <w:rFonts w:ascii="Calibri" w:hAnsi="Calibri"/>
              </w:rPr>
              <w:t>uptake, and</w:t>
            </w:r>
            <w:proofErr w:type="gramEnd"/>
            <w:r w:rsidR="001F004B">
              <w:rPr>
                <w:rFonts w:ascii="Calibri" w:hAnsi="Calibri"/>
              </w:rPr>
              <w:t xml:space="preserve"> arranging the redeployment of vaccine supplies to high volume sites from low volume sites as the vaccines had a short shelf life. The TCA herein proposed will restore this KPI tracking at the sub-national level. </w:t>
            </w:r>
          </w:p>
          <w:p w14:paraId="2689F064" w14:textId="1CFD6C97" w:rsidR="001E6724" w:rsidRPr="00E13AD1" w:rsidRDefault="1D7B6076" w:rsidP="007B53D1">
            <w:pPr>
              <w:pStyle w:val="ListParagraph"/>
              <w:numPr>
                <w:ilvl w:val="0"/>
                <w:numId w:val="8"/>
              </w:numPr>
              <w:spacing w:line="300" w:lineRule="exact"/>
              <w:jc w:val="both"/>
              <w:rPr>
                <w:rFonts w:ascii="Calibri" w:hAnsi="Calibri"/>
              </w:rPr>
            </w:pPr>
            <w:r w:rsidRPr="0C69E5CD">
              <w:rPr>
                <w:rFonts w:ascii="Calibri" w:hAnsi="Calibri"/>
              </w:rPr>
              <w:t xml:space="preserve">The proposed middle managers and vaccine management trainings </w:t>
            </w:r>
            <w:r w:rsidR="5F2058A9" w:rsidRPr="0C69E5CD">
              <w:rPr>
                <w:rFonts w:ascii="Calibri" w:hAnsi="Calibri"/>
              </w:rPr>
              <w:t xml:space="preserve">strengthen the capacity of the sub-national level EPI management in effective service delivery planning and vaccine management. These trainings were last held about 4 years ago. As evidence has indicated, continuous learning </w:t>
            </w:r>
            <w:r w:rsidR="2140E08E" w:rsidRPr="0C69E5CD">
              <w:rPr>
                <w:rFonts w:ascii="Calibri" w:hAnsi="Calibri"/>
              </w:rPr>
              <w:t xml:space="preserve">in the workplace expands personnel skill set, increases skills and knowledge retention, and generates new ideas and perspective on how to </w:t>
            </w:r>
            <w:proofErr w:type="gramStart"/>
            <w:r w:rsidR="2140E08E" w:rsidRPr="0C69E5CD">
              <w:rPr>
                <w:rFonts w:ascii="Calibri" w:hAnsi="Calibri"/>
              </w:rPr>
              <w:t>effectively and efficiently deliver on the targeted outcomes</w:t>
            </w:r>
            <w:proofErr w:type="gramEnd"/>
            <w:r w:rsidR="2140E08E" w:rsidRPr="0C69E5CD">
              <w:rPr>
                <w:rFonts w:ascii="Calibri" w:hAnsi="Calibri"/>
              </w:rPr>
              <w:t xml:space="preserve">. </w:t>
            </w:r>
          </w:p>
        </w:tc>
      </w:tr>
      <w:tr w:rsidR="00D353AF" w14:paraId="7CB90E66" w14:textId="77777777" w:rsidTr="0C69E5CD">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1D0267">
              <w:rPr>
                <w:b/>
                <w:i/>
                <w:iCs/>
                <w:color w:val="000000" w:themeColor="text1"/>
                <w:sz w:val="20"/>
                <w:szCs w:val="20"/>
                <w:lang w:val="en-GB"/>
              </w:rPr>
              <w:t xml:space="preserve">Describe how the TCA </w:t>
            </w:r>
            <w:r w:rsidR="00630A26" w:rsidRPr="001D0267">
              <w:rPr>
                <w:b/>
                <w:i/>
                <w:iCs/>
                <w:color w:val="000000" w:themeColor="text1"/>
                <w:sz w:val="20"/>
                <w:szCs w:val="20"/>
                <w:lang w:val="en-GB"/>
              </w:rPr>
              <w:t>support will</w:t>
            </w:r>
            <w:r w:rsidRPr="001D0267">
              <w:rPr>
                <w:b/>
                <w:i/>
                <w:iCs/>
                <w:color w:val="000000" w:themeColor="text1"/>
                <w:sz w:val="20"/>
                <w:szCs w:val="20"/>
                <w:lang w:val="en-GB"/>
              </w:rPr>
              <w:t xml:space="preserve"> identif</w:t>
            </w:r>
            <w:r w:rsidR="00630A26" w:rsidRPr="001D0267">
              <w:rPr>
                <w:b/>
                <w:i/>
                <w:iCs/>
                <w:color w:val="000000" w:themeColor="text1"/>
                <w:sz w:val="20"/>
                <w:szCs w:val="20"/>
                <w:lang w:val="en-GB"/>
              </w:rPr>
              <w:t>y</w:t>
            </w:r>
            <w:r w:rsidRPr="001D0267">
              <w:rPr>
                <w:b/>
                <w:i/>
                <w:iCs/>
                <w:color w:val="000000" w:themeColor="text1"/>
                <w:sz w:val="20"/>
                <w:szCs w:val="20"/>
                <w:lang w:val="en-GB"/>
              </w:rPr>
              <w:t xml:space="preserve"> and/or overcome already known gender-related or other barriers</w:t>
            </w:r>
            <w:r w:rsidRPr="00777960">
              <w:rPr>
                <w:b/>
                <w:i/>
                <w:iCs/>
                <w:color w:val="000000" w:themeColor="text1"/>
                <w:sz w:val="20"/>
                <w:szCs w:val="20"/>
                <w:lang w:val="en-GB"/>
              </w:rPr>
              <w:t xml:space="preserve">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C69E5CD">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626A5A76" w14:textId="48B82599" w:rsidR="00D353AF" w:rsidRPr="00CF3BC4" w:rsidRDefault="001D0267" w:rsidP="007B53D1">
            <w:pPr>
              <w:spacing w:line="300" w:lineRule="exact"/>
              <w:rPr>
                <w:b/>
                <w:bCs/>
                <w:i/>
                <w:iCs/>
                <w:sz w:val="20"/>
                <w:szCs w:val="20"/>
              </w:rPr>
            </w:pPr>
            <w:r w:rsidRPr="001D0267">
              <w:rPr>
                <w:rFonts w:ascii="Calibri" w:hAnsi="Calibri"/>
              </w:rPr>
              <w:t>In Lesotho, there is no significant difference in immunisation coverage for girls and boys. However, other barriers may deter female caregivers from accessing immunization services; long distances to health facilities and immunization services hours conflicting with their working hours. Women being considered primary caregivers in the communities may mean limited access to immunization services in families where there are no female caregivers, e.g., child-headed families, fathers/male caregivers. These barriers mean children may not receive needed vaccines in a timely manner. TCA support will strengthen outreach services, community engagement and mobilization to encourage immunization uptake and male involvement</w:t>
            </w:r>
            <w:r>
              <w:rPr>
                <w:rFonts w:ascii="Calibri" w:hAnsi="Calibri"/>
              </w:rPr>
              <w:t xml:space="preserve">. </w:t>
            </w:r>
          </w:p>
        </w:tc>
      </w:tr>
      <w:tr w:rsidR="00D353AF" w14:paraId="2605CFC3" w14:textId="77777777" w:rsidTr="0C69E5CD">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 xml:space="preserve">you </w:t>
            </w:r>
            <w:proofErr w:type="spellStart"/>
            <w:r w:rsidRPr="00CF3BC4">
              <w:rPr>
                <w:b/>
                <w:bCs/>
                <w:i/>
                <w:iCs/>
                <w:sz w:val="20"/>
                <w:szCs w:val="20"/>
              </w:rPr>
              <w:t>prioritise</w:t>
            </w:r>
            <w:r>
              <w:rPr>
                <w:b/>
                <w:bCs/>
                <w:i/>
                <w:iCs/>
                <w:sz w:val="20"/>
                <w:szCs w:val="20"/>
              </w:rPr>
              <w:t>d</w:t>
            </w:r>
            <w:proofErr w:type="spellEnd"/>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C69E5CD">
        <w:tc>
          <w:tcPr>
            <w:tcW w:w="9192" w:type="dxa"/>
            <w:tcBorders>
              <w:top w:val="single" w:sz="4" w:space="0" w:color="auto"/>
              <w:left w:val="single" w:sz="4" w:space="0" w:color="auto"/>
              <w:bottom w:val="single" w:sz="4" w:space="0" w:color="auto"/>
              <w:right w:val="single" w:sz="4" w:space="0" w:color="auto"/>
            </w:tcBorders>
          </w:tcPr>
          <w:p w14:paraId="1E3F4619" w14:textId="13560F63" w:rsidR="00D353AF" w:rsidRDefault="00094069" w:rsidP="00422289">
            <w:pPr>
              <w:spacing w:line="300" w:lineRule="exact"/>
              <w:jc w:val="both"/>
              <w:rPr>
                <w:rFonts w:ascii="Calibri" w:hAnsi="Calibri"/>
              </w:rPr>
            </w:pPr>
            <w:r w:rsidRPr="00094069">
              <w:rPr>
                <w:rFonts w:ascii="Calibri" w:hAnsi="Calibri"/>
              </w:rPr>
              <w:t>EPI developed the theory of change in 2020 through consultation of key stakeholders. The TOC was developed in parallel with the second HSS grant.</w:t>
            </w:r>
            <w:r>
              <w:rPr>
                <w:color w:val="92D050"/>
                <w:lang w:val="en-GB"/>
              </w:rPr>
              <w:t xml:space="preserve"> </w:t>
            </w:r>
            <w:r w:rsidR="00422289" w:rsidRPr="00422289">
              <w:rPr>
                <w:rFonts w:ascii="Calibri" w:hAnsi="Calibri"/>
              </w:rPr>
              <w:t xml:space="preserve">Each component of the targeted outcomes was derived from challenges that are faced by EPI as identified in </w:t>
            </w:r>
            <w:proofErr w:type="gramStart"/>
            <w:r w:rsidR="00422289" w:rsidRPr="00422289">
              <w:rPr>
                <w:rFonts w:ascii="Calibri" w:hAnsi="Calibri"/>
              </w:rPr>
              <w:t>a number of</w:t>
            </w:r>
            <w:proofErr w:type="gramEnd"/>
            <w:r w:rsidR="00422289" w:rsidRPr="00422289">
              <w:rPr>
                <w:rFonts w:ascii="Calibri" w:hAnsi="Calibri"/>
              </w:rPr>
              <w:t xml:space="preserve"> assessments, and consultations at the national and sub-national level. The targeted interventions were developed by the following EPI sub-working groups:</w:t>
            </w:r>
          </w:p>
          <w:p w14:paraId="679901FC" w14:textId="77777777" w:rsidR="00C7146F" w:rsidRPr="00422289" w:rsidRDefault="00C7146F" w:rsidP="00422289">
            <w:pPr>
              <w:spacing w:line="300" w:lineRule="exact"/>
              <w:jc w:val="both"/>
              <w:rPr>
                <w:rFonts w:ascii="Calibri" w:hAnsi="Calibri"/>
              </w:rPr>
            </w:pPr>
          </w:p>
          <w:p w14:paraId="79F0C20E" w14:textId="77777777" w:rsidR="00422289" w:rsidRPr="00422289" w:rsidRDefault="00422289" w:rsidP="00422289">
            <w:pPr>
              <w:pStyle w:val="ListParagraph"/>
              <w:numPr>
                <w:ilvl w:val="0"/>
                <w:numId w:val="9"/>
              </w:numPr>
              <w:spacing w:line="300" w:lineRule="exact"/>
              <w:rPr>
                <w:rFonts w:ascii="Calibri" w:hAnsi="Calibri"/>
              </w:rPr>
            </w:pPr>
            <w:r w:rsidRPr="00422289">
              <w:rPr>
                <w:rFonts w:ascii="Calibri" w:hAnsi="Calibri"/>
              </w:rPr>
              <w:t>Leadership, management, and coordination, and service delivery</w:t>
            </w:r>
          </w:p>
          <w:p w14:paraId="6F4C6322" w14:textId="77777777" w:rsidR="00B23A48" w:rsidRDefault="00422289" w:rsidP="002C1D77">
            <w:pPr>
              <w:pStyle w:val="ListParagraph"/>
              <w:numPr>
                <w:ilvl w:val="0"/>
                <w:numId w:val="9"/>
              </w:numPr>
              <w:spacing w:line="300" w:lineRule="exact"/>
              <w:rPr>
                <w:rFonts w:ascii="Calibri" w:hAnsi="Calibri"/>
              </w:rPr>
            </w:pPr>
            <w:r w:rsidRPr="00B23A48">
              <w:rPr>
                <w:rFonts w:ascii="Calibri" w:hAnsi="Calibri"/>
              </w:rPr>
              <w:t xml:space="preserve">Supply </w:t>
            </w:r>
            <w:r w:rsidR="00B23A48" w:rsidRPr="00B23A48">
              <w:rPr>
                <w:rFonts w:ascii="Calibri" w:hAnsi="Calibri"/>
              </w:rPr>
              <w:t xml:space="preserve">chain and logistics team </w:t>
            </w:r>
          </w:p>
          <w:p w14:paraId="46343C38" w14:textId="5AD9C44B" w:rsidR="00422289" w:rsidRPr="00B23A48" w:rsidRDefault="00422289" w:rsidP="002C1D77">
            <w:pPr>
              <w:pStyle w:val="ListParagraph"/>
              <w:numPr>
                <w:ilvl w:val="0"/>
                <w:numId w:val="9"/>
              </w:numPr>
              <w:spacing w:line="300" w:lineRule="exact"/>
              <w:rPr>
                <w:rFonts w:ascii="Calibri" w:hAnsi="Calibri"/>
              </w:rPr>
            </w:pPr>
            <w:r w:rsidRPr="00B23A48">
              <w:rPr>
                <w:rFonts w:ascii="Calibri" w:hAnsi="Calibri"/>
              </w:rPr>
              <w:t>EPI data management and surveillance</w:t>
            </w:r>
          </w:p>
          <w:p w14:paraId="7908AF1B" w14:textId="77777777" w:rsidR="00422289" w:rsidRPr="00422289" w:rsidRDefault="00422289" w:rsidP="00422289">
            <w:pPr>
              <w:pStyle w:val="ListParagraph"/>
              <w:numPr>
                <w:ilvl w:val="0"/>
                <w:numId w:val="9"/>
              </w:numPr>
              <w:spacing w:line="300" w:lineRule="exact"/>
              <w:rPr>
                <w:rFonts w:ascii="Calibri" w:hAnsi="Calibri"/>
              </w:rPr>
            </w:pPr>
            <w:r w:rsidRPr="00422289">
              <w:rPr>
                <w:rFonts w:ascii="Calibri" w:hAnsi="Calibri"/>
              </w:rPr>
              <w:t>Demand generation and promotion</w:t>
            </w:r>
          </w:p>
          <w:p w14:paraId="4A9F58C9" w14:textId="77777777" w:rsidR="00422289" w:rsidRDefault="00422289" w:rsidP="00422289">
            <w:pPr>
              <w:spacing w:line="300" w:lineRule="exact"/>
              <w:jc w:val="both"/>
              <w:rPr>
                <w:rFonts w:ascii="Calibri" w:hAnsi="Calibri"/>
              </w:rPr>
            </w:pPr>
          </w:p>
          <w:p w14:paraId="48003D96" w14:textId="11AED1E3" w:rsidR="00422289" w:rsidRDefault="00422289" w:rsidP="00422289">
            <w:pPr>
              <w:spacing w:line="300" w:lineRule="exact"/>
              <w:jc w:val="both"/>
              <w:rPr>
                <w:color w:val="92D050"/>
                <w:lang w:val="en-GB"/>
              </w:rPr>
            </w:pPr>
            <w:r w:rsidRPr="00422289">
              <w:rPr>
                <w:rFonts w:ascii="Calibri" w:hAnsi="Calibri"/>
              </w:rPr>
              <w:t xml:space="preserve">Representation of the </w:t>
            </w:r>
            <w:proofErr w:type="gramStart"/>
            <w:r w:rsidRPr="00422289">
              <w:rPr>
                <w:rFonts w:ascii="Calibri" w:hAnsi="Calibri"/>
              </w:rPr>
              <w:t>above mentioned</w:t>
            </w:r>
            <w:proofErr w:type="gramEnd"/>
            <w:r w:rsidRPr="00422289">
              <w:rPr>
                <w:rFonts w:ascii="Calibri" w:hAnsi="Calibri"/>
              </w:rPr>
              <w:t xml:space="preserve"> groups comprises of EPI, various MoH departments such as HMIS, planning, and IT, representation from the Christian Health Association of Lesotho (CHAL), representation from Lesotho Red Cross Society (LRCS), the allied and expanded partners (WHO, UNICEF, and CHAI), and other key stakeholders. </w:t>
            </w:r>
            <w:r>
              <w:rPr>
                <w:rFonts w:ascii="Calibri" w:hAnsi="Calibri"/>
              </w:rPr>
              <w:t>This TOC was reviewed in April</w:t>
            </w:r>
            <w:r w:rsidR="001122A2">
              <w:rPr>
                <w:rFonts w:ascii="Calibri" w:hAnsi="Calibri"/>
              </w:rPr>
              <w:t xml:space="preserve"> by the EPI TWG</w:t>
            </w:r>
            <w:r>
              <w:rPr>
                <w:rFonts w:ascii="Calibri" w:hAnsi="Calibri"/>
              </w:rPr>
              <w:t xml:space="preserve"> as part of the EPI review at the national level</w:t>
            </w:r>
            <w:r w:rsidR="001122A2">
              <w:rPr>
                <w:rFonts w:ascii="Calibri" w:hAnsi="Calibri"/>
              </w:rPr>
              <w:t xml:space="preserve"> to update it were necessary. </w:t>
            </w:r>
            <w:r w:rsidR="001122A2" w:rsidRPr="00422289">
              <w:rPr>
                <w:rFonts w:ascii="Calibri" w:hAnsi="Calibri"/>
              </w:rPr>
              <w:t xml:space="preserve">The </w:t>
            </w:r>
            <w:r w:rsidR="001122A2">
              <w:rPr>
                <w:rFonts w:ascii="Calibri" w:hAnsi="Calibri"/>
              </w:rPr>
              <w:t xml:space="preserve">prioritized </w:t>
            </w:r>
            <w:r w:rsidR="001122A2" w:rsidRPr="00422289">
              <w:rPr>
                <w:rFonts w:ascii="Calibri" w:hAnsi="Calibri"/>
              </w:rPr>
              <w:t xml:space="preserve">TCA support requested herein aligns with the developed theory of change by the </w:t>
            </w:r>
            <w:proofErr w:type="gramStart"/>
            <w:r w:rsidR="001122A2" w:rsidRPr="00422289">
              <w:rPr>
                <w:rFonts w:ascii="Calibri" w:hAnsi="Calibri"/>
              </w:rPr>
              <w:t>above mentioned</w:t>
            </w:r>
            <w:proofErr w:type="gramEnd"/>
            <w:r w:rsidR="001122A2" w:rsidRPr="00422289">
              <w:rPr>
                <w:rFonts w:ascii="Calibri" w:hAnsi="Calibri"/>
              </w:rPr>
              <w:t xml:space="preserve"> working groups</w:t>
            </w:r>
            <w:r w:rsidR="001122A2">
              <w:rPr>
                <w:rFonts w:ascii="Calibri" w:hAnsi="Calibri"/>
              </w:rPr>
              <w:t>, and the TWG</w:t>
            </w:r>
            <w:r w:rsidR="001122A2" w:rsidRPr="00422289">
              <w:rPr>
                <w:rFonts w:ascii="Calibri" w:hAnsi="Calibri"/>
              </w:rPr>
              <w:t>.</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C69E5CD">
        <w:trPr>
          <w:gridAfter w:val="1"/>
          <w:wAfter w:w="22" w:type="dxa"/>
          <w:trHeight w:val="846"/>
        </w:trPr>
        <w:tc>
          <w:tcPr>
            <w:tcW w:w="9170" w:type="dxa"/>
            <w:shd w:val="clear" w:color="auto" w:fill="F2F2F2" w:themeFill="background1" w:themeFillShade="F2"/>
          </w:tcPr>
          <w:p w14:paraId="642D6855" w14:textId="18BFF4DA" w:rsidR="00E80A44" w:rsidRDefault="56CFB966" w:rsidP="00E80A44">
            <w:pPr>
              <w:spacing w:line="300" w:lineRule="exact"/>
              <w:rPr>
                <w:color w:val="92D050"/>
                <w:lang w:val="en-GB"/>
              </w:rPr>
            </w:pPr>
            <w:r w:rsidRPr="24226B2F">
              <w:rPr>
                <w:b/>
                <w:bCs/>
                <w:i/>
                <w:iCs/>
                <w:color w:val="000000" w:themeColor="text1"/>
                <w:sz w:val="20"/>
                <w:szCs w:val="20"/>
                <w:lang w:val="en-GB"/>
              </w:rPr>
              <w:t>3.1</w:t>
            </w:r>
            <w:r w:rsidR="477E4135" w:rsidRPr="24226B2F">
              <w:rPr>
                <w:b/>
                <w:bCs/>
                <w:i/>
                <w:iCs/>
                <w:color w:val="000000" w:themeColor="text1"/>
                <w:sz w:val="20"/>
                <w:szCs w:val="20"/>
                <w:lang w:val="en-GB"/>
              </w:rPr>
              <w:t xml:space="preserve"> Describe which partners you have already </w:t>
            </w:r>
            <w:r w:rsidR="7DA29630" w:rsidRPr="24226B2F">
              <w:rPr>
                <w:b/>
                <w:bCs/>
                <w:i/>
                <w:iCs/>
                <w:color w:val="000000" w:themeColor="text1"/>
                <w:sz w:val="20"/>
                <w:szCs w:val="20"/>
                <w:lang w:val="en-GB"/>
              </w:rPr>
              <w:t>mapped</w:t>
            </w:r>
            <w:r w:rsidR="477E4135" w:rsidRPr="24226B2F">
              <w:rPr>
                <w:b/>
                <w:bCs/>
                <w:i/>
                <w:iCs/>
                <w:color w:val="000000" w:themeColor="text1"/>
                <w:sz w:val="20"/>
                <w:szCs w:val="20"/>
                <w:lang w:val="en-GB"/>
              </w:rPr>
              <w:t xml:space="preserve">, including Alliance and Expanded partners </w:t>
            </w:r>
            <w:r w:rsidR="0F3352A7" w:rsidRPr="24226B2F">
              <w:rPr>
                <w:b/>
                <w:bCs/>
                <w:i/>
                <w:iCs/>
                <w:color w:val="000000" w:themeColor="text1"/>
                <w:sz w:val="20"/>
                <w:szCs w:val="20"/>
                <w:lang w:val="en-GB"/>
              </w:rPr>
              <w:t xml:space="preserve">(including </w:t>
            </w:r>
            <w:r w:rsidR="75037D88" w:rsidRPr="24226B2F">
              <w:rPr>
                <w:b/>
                <w:bCs/>
                <w:i/>
                <w:iCs/>
                <w:color w:val="000000" w:themeColor="text1"/>
                <w:sz w:val="20"/>
                <w:szCs w:val="20"/>
                <w:lang w:val="en-GB"/>
              </w:rPr>
              <w:t>Global Partners,</w:t>
            </w:r>
            <w:r w:rsidR="0F3352A7" w:rsidRPr="24226B2F">
              <w:rPr>
                <w:b/>
                <w:bCs/>
                <w:i/>
                <w:iCs/>
                <w:color w:val="000000" w:themeColor="text1"/>
                <w:sz w:val="20"/>
                <w:szCs w:val="20"/>
                <w:lang w:val="en-GB"/>
              </w:rPr>
              <w:t xml:space="preserve"> </w:t>
            </w:r>
            <w:r w:rsidR="477E4135" w:rsidRPr="24226B2F">
              <w:rPr>
                <w:b/>
                <w:bCs/>
                <w:i/>
                <w:iCs/>
                <w:color w:val="000000" w:themeColor="text1"/>
                <w:sz w:val="20"/>
                <w:szCs w:val="20"/>
                <w:lang w:val="en-GB"/>
              </w:rPr>
              <w:t>Local Partners</w:t>
            </w:r>
            <w:r w:rsidR="0F3352A7" w:rsidRPr="24226B2F">
              <w:rPr>
                <w:b/>
                <w:bCs/>
                <w:i/>
                <w:iCs/>
                <w:color w:val="000000" w:themeColor="text1"/>
                <w:sz w:val="20"/>
                <w:szCs w:val="20"/>
                <w:lang w:val="en-GB"/>
              </w:rPr>
              <w:t xml:space="preserve"> and</w:t>
            </w:r>
            <w:r w:rsidR="477E4135" w:rsidRPr="24226B2F">
              <w:rPr>
                <w:b/>
                <w:bCs/>
                <w:i/>
                <w:iCs/>
                <w:color w:val="000000" w:themeColor="text1"/>
                <w:sz w:val="20"/>
                <w:szCs w:val="20"/>
                <w:lang w:val="en-GB"/>
              </w:rPr>
              <w:t xml:space="preserve"> CSOs</w:t>
            </w:r>
            <w:r w:rsidR="0F3352A7" w:rsidRPr="24226B2F">
              <w:rPr>
                <w:b/>
                <w:bCs/>
                <w:i/>
                <w:iCs/>
                <w:color w:val="000000" w:themeColor="text1"/>
                <w:sz w:val="20"/>
                <w:szCs w:val="20"/>
                <w:lang w:val="en-GB"/>
              </w:rPr>
              <w:t>)</w:t>
            </w:r>
            <w:r w:rsidR="477E4135" w:rsidRPr="24226B2F">
              <w:rPr>
                <w:b/>
                <w:bCs/>
                <w:i/>
                <w:iCs/>
                <w:color w:val="000000" w:themeColor="text1"/>
                <w:sz w:val="20"/>
                <w:szCs w:val="20"/>
                <w:lang w:val="en-GB"/>
              </w:rPr>
              <w:t xml:space="preserve"> to support the activit</w:t>
            </w:r>
            <w:r w:rsidR="04610775" w:rsidRPr="24226B2F">
              <w:rPr>
                <w:b/>
                <w:bCs/>
                <w:i/>
                <w:iCs/>
                <w:color w:val="000000" w:themeColor="text1"/>
                <w:sz w:val="20"/>
                <w:szCs w:val="20"/>
                <w:lang w:val="en-GB"/>
              </w:rPr>
              <w:t>ies</w:t>
            </w:r>
            <w:r w:rsidR="477E4135" w:rsidRPr="24226B2F">
              <w:rPr>
                <w:b/>
                <w:bCs/>
                <w:i/>
                <w:iCs/>
                <w:color w:val="000000" w:themeColor="text1"/>
                <w:sz w:val="20"/>
                <w:szCs w:val="20"/>
                <w:lang w:val="en-GB"/>
              </w:rPr>
              <w:t xml:space="preserve"> implementation?</w:t>
            </w:r>
            <w:r w:rsidR="4AC4EC4A" w:rsidRPr="24226B2F">
              <w:rPr>
                <w:b/>
                <w:bCs/>
                <w:i/>
                <w:iCs/>
                <w:sz w:val="20"/>
                <w:szCs w:val="20"/>
                <w:lang w:val="en-GB"/>
              </w:rPr>
              <w:t xml:space="preserve"> (Refer to the</w:t>
            </w:r>
            <w:r w:rsidR="41294046" w:rsidRPr="24226B2F">
              <w:rPr>
                <w:b/>
                <w:bCs/>
                <w:i/>
                <w:iCs/>
                <w:sz w:val="20"/>
                <w:szCs w:val="20"/>
                <w:lang w:val="en-GB"/>
              </w:rPr>
              <w:t xml:space="preserve"> </w:t>
            </w:r>
            <w:hyperlink r:id="rId15">
              <w:r w:rsidR="41294046" w:rsidRPr="24226B2F">
                <w:rPr>
                  <w:rStyle w:val="Hyperlink"/>
                  <w:b/>
                  <w:bCs/>
                  <w:i/>
                  <w:iCs/>
                  <w:sz w:val="20"/>
                  <w:szCs w:val="20"/>
                  <w:lang w:val="en-GB"/>
                </w:rPr>
                <w:t>PEF Targeted Country Assistance (TCA) Guidance for 2022-2025 Multi-Year Planning</w:t>
              </w:r>
            </w:hyperlink>
            <w:r w:rsidR="4AC4EC4A" w:rsidRPr="24226B2F">
              <w:rPr>
                <w:b/>
                <w:bCs/>
                <w:i/>
                <w:iCs/>
                <w:sz w:val="20"/>
                <w:szCs w:val="20"/>
                <w:lang w:val="en-GB"/>
              </w:rPr>
              <w:t xml:space="preserve"> for the type of institutions considered global versus local partners and CSOs.)</w:t>
            </w:r>
          </w:p>
        </w:tc>
      </w:tr>
      <w:tr w:rsidR="00520598" w14:paraId="62BDF2A5" w14:textId="77777777" w:rsidTr="0C69E5CD">
        <w:tc>
          <w:tcPr>
            <w:tcW w:w="9170" w:type="dxa"/>
            <w:gridSpan w:val="2"/>
            <w:tcBorders>
              <w:top w:val="single" w:sz="4" w:space="0" w:color="auto"/>
              <w:left w:val="single" w:sz="4" w:space="0" w:color="auto"/>
              <w:bottom w:val="single" w:sz="4" w:space="0" w:color="auto"/>
              <w:right w:val="single" w:sz="4" w:space="0" w:color="auto"/>
            </w:tcBorders>
          </w:tcPr>
          <w:p w14:paraId="7F6C38CC" w14:textId="19A94C6D" w:rsidR="00173BE8" w:rsidRPr="00BB591C" w:rsidRDefault="1657D7B8" w:rsidP="00BB591C">
            <w:pPr>
              <w:pStyle w:val="ListParagraph"/>
              <w:numPr>
                <w:ilvl w:val="0"/>
                <w:numId w:val="13"/>
              </w:numPr>
              <w:spacing w:line="300" w:lineRule="exact"/>
              <w:jc w:val="both"/>
              <w:rPr>
                <w:rFonts w:ascii="Calibri" w:hAnsi="Calibri"/>
              </w:rPr>
            </w:pPr>
            <w:r w:rsidRPr="0C69E5CD">
              <w:rPr>
                <w:rFonts w:ascii="Calibri" w:hAnsi="Calibri"/>
              </w:rPr>
              <w:t xml:space="preserve">CSOs which actively participate in the </w:t>
            </w:r>
            <w:r w:rsidR="0EF745C7" w:rsidRPr="0C69E5CD">
              <w:rPr>
                <w:rFonts w:ascii="Calibri" w:hAnsi="Calibri"/>
              </w:rPr>
              <w:t>EPI implement</w:t>
            </w:r>
            <w:r w:rsidRPr="0C69E5CD">
              <w:rPr>
                <w:rFonts w:ascii="Calibri" w:hAnsi="Calibri"/>
              </w:rPr>
              <w:t>ation of</w:t>
            </w:r>
            <w:r w:rsidR="0EF745C7" w:rsidRPr="0C69E5CD">
              <w:rPr>
                <w:rFonts w:ascii="Calibri" w:hAnsi="Calibri"/>
              </w:rPr>
              <w:t xml:space="preserve"> immunization activities with Christian Health Association of Lesotho (CHAL), and Lesotho Red Cross Society (LRCS). </w:t>
            </w:r>
            <w:r w:rsidR="1A4697CA" w:rsidRPr="0C69E5CD">
              <w:rPr>
                <w:rFonts w:ascii="Calibri" w:hAnsi="Calibri"/>
              </w:rPr>
              <w:t xml:space="preserve">CHAL provides services to at least 40% of Basotho through their health centers and hospitals that are mostly located in rural and hard to reach areas. All these facilities offer immunization services. The CHAL health workers and district and national level management is included in the designing of immunization services and interventions. Furthermore, the CHAL health workers are included in all EPI trainings and mentoring. All the afore mentioned in addition apply to LRCS. Both CHAL and LRCS are key partners of the Ministry of Health in the implementation of various health </w:t>
            </w:r>
            <w:proofErr w:type="spellStart"/>
            <w:r w:rsidR="1A4697CA" w:rsidRPr="0C69E5CD">
              <w:rPr>
                <w:rFonts w:ascii="Calibri" w:hAnsi="Calibri"/>
              </w:rPr>
              <w:t>programmes</w:t>
            </w:r>
            <w:proofErr w:type="spellEnd"/>
          </w:p>
          <w:p w14:paraId="18AA925F" w14:textId="40807027" w:rsidR="00173BE8" w:rsidRPr="00BB591C" w:rsidRDefault="00173BE8" w:rsidP="00BB591C">
            <w:pPr>
              <w:pStyle w:val="ListParagraph"/>
              <w:numPr>
                <w:ilvl w:val="0"/>
                <w:numId w:val="13"/>
              </w:numPr>
              <w:spacing w:line="300" w:lineRule="exact"/>
              <w:jc w:val="both"/>
              <w:rPr>
                <w:color w:val="92D050"/>
                <w:lang w:val="en-GB"/>
              </w:rPr>
            </w:pPr>
            <w:r w:rsidRPr="00BB591C">
              <w:rPr>
                <w:rFonts w:ascii="Calibri" w:hAnsi="Calibri"/>
              </w:rPr>
              <w:t>EPI is in addition supported by the Alliance (UNICEF and WHO</w:t>
            </w:r>
            <w:proofErr w:type="gramStart"/>
            <w:r w:rsidRPr="00BB591C">
              <w:rPr>
                <w:rFonts w:ascii="Calibri" w:hAnsi="Calibri"/>
              </w:rPr>
              <w:t>), and</w:t>
            </w:r>
            <w:proofErr w:type="gramEnd"/>
            <w:r w:rsidRPr="00BB591C">
              <w:rPr>
                <w:rFonts w:ascii="Calibri" w:hAnsi="Calibri"/>
              </w:rPr>
              <w:t xml:space="preserve"> Expanded (Clinton Health Access Initiative (CHAI) partners</w:t>
            </w:r>
            <w:r w:rsidR="00BB591C" w:rsidRPr="00BB591C">
              <w:rPr>
                <w:rFonts w:ascii="Calibri" w:hAnsi="Calibri"/>
              </w:rPr>
              <w:t>. All partners provide support to EPI in areas of comparative advantage.</w:t>
            </w:r>
            <w:r w:rsidR="00BB591C" w:rsidRPr="00BB591C">
              <w:rPr>
                <w:color w:val="92D050"/>
                <w:lang w:val="en-GB"/>
              </w:rPr>
              <w:t xml:space="preserve"> </w:t>
            </w:r>
            <w:r w:rsidRPr="00BB591C">
              <w:rPr>
                <w:color w:val="92D050"/>
                <w:lang w:val="en-GB"/>
              </w:rPr>
              <w:t xml:space="preserve"> </w:t>
            </w:r>
          </w:p>
        </w:tc>
      </w:tr>
      <w:tr w:rsidR="00520598" w14:paraId="72481A8B" w14:textId="77777777" w:rsidTr="0C69E5CD">
        <w:trPr>
          <w:trHeight w:val="845"/>
        </w:trPr>
        <w:tc>
          <w:tcPr>
            <w:tcW w:w="9170" w:type="dxa"/>
            <w:gridSpan w:val="2"/>
            <w:shd w:val="clear" w:color="auto" w:fill="F2F2F2" w:themeFill="background1" w:themeFillShade="F2"/>
          </w:tcPr>
          <w:p w14:paraId="29991F07" w14:textId="7AC81CE1" w:rsidR="00520598" w:rsidRPr="00520598" w:rsidRDefault="0C6E6FB8" w:rsidP="24226B2F">
            <w:pPr>
              <w:spacing w:line="300" w:lineRule="exact"/>
              <w:rPr>
                <w:b/>
                <w:bCs/>
                <w:i/>
                <w:iCs/>
                <w:color w:val="000000" w:themeColor="text1"/>
                <w:sz w:val="20"/>
                <w:szCs w:val="20"/>
                <w:lang w:val="en-GB"/>
              </w:rPr>
            </w:pPr>
            <w:r w:rsidRPr="24226B2F">
              <w:rPr>
                <w:b/>
                <w:bCs/>
                <w:i/>
                <w:iCs/>
                <w:sz w:val="20"/>
                <w:szCs w:val="20"/>
                <w:lang w:val="en-GB"/>
              </w:rPr>
              <w:t>3.2 Please indicate how exactly you plan to collaborate with Local Partners</w:t>
            </w:r>
            <w:r w:rsidR="5FCEFD23" w:rsidRPr="24226B2F">
              <w:rPr>
                <w:b/>
                <w:bCs/>
                <w:i/>
                <w:iCs/>
                <w:sz w:val="20"/>
                <w:szCs w:val="20"/>
                <w:lang w:val="en-GB"/>
              </w:rPr>
              <w:t>.</w:t>
            </w:r>
          </w:p>
        </w:tc>
      </w:tr>
      <w:tr w:rsidR="00E80A44" w14:paraId="5B4D7083" w14:textId="77777777" w:rsidTr="0C69E5CD">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6420D9B9" w14:textId="01ADE9B6" w:rsidR="00E80A44" w:rsidRDefault="00A27FC9" w:rsidP="00E80A44">
            <w:pPr>
              <w:spacing w:line="300" w:lineRule="exact"/>
              <w:rPr>
                <w:color w:val="92D050"/>
                <w:lang w:val="en-GB"/>
              </w:rPr>
            </w:pPr>
            <w:r w:rsidRPr="007D1F77">
              <w:rPr>
                <w:rFonts w:ascii="Calibri" w:hAnsi="Calibri"/>
              </w:rPr>
              <w:t xml:space="preserve">The Expanded Programme on immunization does engage Local Partners through either the Core Partners for TA, or the Expanded Partner. </w:t>
            </w:r>
            <w:r>
              <w:rPr>
                <w:rFonts w:ascii="Calibri" w:hAnsi="Calibri"/>
              </w:rPr>
              <w:t xml:space="preserve">The engagement of the local partner is activity specific depending on the EPI proposed interventions. For example, local media companies are sub-contracted through the existing EPI partners for development of digital IEC materials, management of some fleet, among others. In addition, Local Partners such as LRCS are sub-contracted in such a manner to support with social mobilization activities. </w:t>
            </w:r>
          </w:p>
        </w:tc>
      </w:tr>
      <w:tr w:rsidR="38F5364C" w14:paraId="5D1DCA18" w14:textId="77777777" w:rsidTr="0C69E5CD">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0C69E5CD">
        <w:tc>
          <w:tcPr>
            <w:tcW w:w="9192" w:type="dxa"/>
            <w:gridSpan w:val="2"/>
            <w:tcBorders>
              <w:top w:val="single" w:sz="4" w:space="0" w:color="auto"/>
              <w:left w:val="single" w:sz="4" w:space="0" w:color="auto"/>
              <w:bottom w:val="single" w:sz="4" w:space="0" w:color="auto"/>
              <w:right w:val="single" w:sz="4" w:space="0" w:color="auto"/>
            </w:tcBorders>
          </w:tcPr>
          <w:p w14:paraId="387488FE" w14:textId="19829C40" w:rsidR="00AA6138" w:rsidRDefault="5BB9E703" w:rsidP="00A27FC9">
            <w:pPr>
              <w:spacing w:line="300" w:lineRule="exact"/>
              <w:jc w:val="both"/>
              <w:rPr>
                <w:rFonts w:ascii="Calibri" w:hAnsi="Calibri"/>
              </w:rPr>
            </w:pPr>
            <w:r w:rsidRPr="0C69E5CD">
              <w:rPr>
                <w:rFonts w:ascii="Calibri" w:hAnsi="Calibri"/>
              </w:rPr>
              <w:t>As mentioned above, local partners are engaged for specific activities. Their engagement will be undertaken through the process of sub-contracting for implementation of some activities under the TCA and the health system strengthening grant.</w:t>
            </w:r>
            <w:r w:rsidR="00B45966">
              <w:rPr>
                <w:rFonts w:ascii="Calibri" w:hAnsi="Calibri"/>
              </w:rPr>
              <w:t xml:space="preserve"> </w:t>
            </w:r>
            <w:r w:rsidR="005C47E5">
              <w:rPr>
                <w:rFonts w:ascii="Calibri" w:hAnsi="Calibri"/>
              </w:rPr>
              <w:t xml:space="preserve">Lesotho will work towards an allocation of 30% </w:t>
            </w:r>
            <w:proofErr w:type="gramStart"/>
            <w:r w:rsidR="005C47E5">
              <w:rPr>
                <w:rFonts w:ascii="Calibri" w:hAnsi="Calibri"/>
              </w:rPr>
              <w:t>TCA  support</w:t>
            </w:r>
            <w:proofErr w:type="gramEnd"/>
            <w:r w:rsidR="005C47E5">
              <w:rPr>
                <w:rFonts w:ascii="Calibri" w:hAnsi="Calibri"/>
              </w:rPr>
              <w:t xml:space="preserve"> to local partners</w:t>
            </w:r>
            <w:r w:rsidR="004155A7">
              <w:rPr>
                <w:rFonts w:ascii="Calibri" w:hAnsi="Calibri"/>
              </w:rPr>
              <w:t xml:space="preserve"> </w:t>
            </w:r>
            <w:r w:rsidR="00AA6138">
              <w:rPr>
                <w:rFonts w:ascii="Calibri" w:hAnsi="Calibri"/>
              </w:rPr>
              <w:t>these partners</w:t>
            </w:r>
            <w:r w:rsidR="00DD7CB2">
              <w:rPr>
                <w:rFonts w:ascii="Calibri" w:hAnsi="Calibri"/>
              </w:rPr>
              <w:t xml:space="preserve"> between 2022-2025.</w:t>
            </w:r>
            <w:r w:rsidR="00AA6138">
              <w:rPr>
                <w:rFonts w:ascii="Calibri" w:hAnsi="Calibri"/>
              </w:rPr>
              <w:t xml:space="preserve"> </w:t>
            </w:r>
            <w:r w:rsidR="00DD7CB2">
              <w:rPr>
                <w:rFonts w:ascii="Calibri" w:hAnsi="Calibri"/>
              </w:rPr>
              <w:t xml:space="preserve">Local partners play a </w:t>
            </w:r>
            <w:proofErr w:type="spellStart"/>
            <w:r w:rsidR="00AA6138">
              <w:rPr>
                <w:rFonts w:ascii="Calibri" w:hAnsi="Calibri"/>
              </w:rPr>
              <w:t>critcial</w:t>
            </w:r>
            <w:proofErr w:type="spellEnd"/>
            <w:r w:rsidR="00AA6138">
              <w:rPr>
                <w:rFonts w:ascii="Calibri" w:hAnsi="Calibri"/>
              </w:rPr>
              <w:t xml:space="preserve"> role in supporting advancement on the zero-dose agenda as they are close to local communities and have a strong understanding of the immunisation </w:t>
            </w:r>
            <w:proofErr w:type="spellStart"/>
            <w:r w:rsidR="00AA6138">
              <w:rPr>
                <w:rFonts w:ascii="Calibri" w:hAnsi="Calibri"/>
              </w:rPr>
              <w:t>relatd</w:t>
            </w:r>
            <w:proofErr w:type="spellEnd"/>
            <w:r w:rsidR="00AA6138">
              <w:rPr>
                <w:rFonts w:ascii="Calibri" w:hAnsi="Calibri"/>
              </w:rPr>
              <w:t xml:space="preserve"> </w:t>
            </w:r>
            <w:proofErr w:type="spellStart"/>
            <w:r w:rsidR="00AA6138">
              <w:rPr>
                <w:rFonts w:ascii="Calibri" w:hAnsi="Calibri"/>
              </w:rPr>
              <w:t>barraiers</w:t>
            </w:r>
            <w:proofErr w:type="spellEnd"/>
            <w:r w:rsidR="00AA6138">
              <w:rPr>
                <w:rFonts w:ascii="Calibri" w:hAnsi="Calibri"/>
              </w:rPr>
              <w:t>.</w:t>
            </w:r>
          </w:p>
          <w:p w14:paraId="64958F87" w14:textId="610C85C4" w:rsidR="38F5364C" w:rsidRPr="007D1F77" w:rsidRDefault="00AA6138" w:rsidP="00A27FC9">
            <w:pPr>
              <w:spacing w:line="300" w:lineRule="exact"/>
              <w:jc w:val="both"/>
              <w:rPr>
                <w:rFonts w:ascii="Calibri" w:hAnsi="Calibri"/>
              </w:rPr>
            </w:pPr>
            <w:r>
              <w:rPr>
                <w:rFonts w:ascii="Calibri" w:hAnsi="Calibri"/>
              </w:rPr>
              <w:t xml:space="preserve"> </w:t>
            </w:r>
            <w:r w:rsidR="005C47E5">
              <w:rPr>
                <w:rFonts w:ascii="Calibri" w:hAnsi="Calibri"/>
              </w:rPr>
              <w:t xml:space="preserve"> </w:t>
            </w:r>
            <w:r w:rsidR="00724773">
              <w:rPr>
                <w:rFonts w:ascii="Calibri" w:hAnsi="Calibri"/>
              </w:rPr>
              <w:t xml:space="preserve"> </w:t>
            </w:r>
            <w:r w:rsidR="5BB9E703" w:rsidRPr="0C69E5CD">
              <w:rPr>
                <w:rFonts w:ascii="Calibri" w:hAnsi="Calibri"/>
              </w:rPr>
              <w:t xml:space="preserve"> </w:t>
            </w:r>
          </w:p>
        </w:tc>
      </w:tr>
      <w:tr w:rsidR="009F19F8" w14:paraId="3821C077" w14:textId="77777777" w:rsidTr="0C69E5CD">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w:t>
            </w:r>
            <w:proofErr w:type="gramStart"/>
            <w:r w:rsidRPr="704B32F1">
              <w:rPr>
                <w:b/>
                <w:bCs/>
                <w:i/>
                <w:iCs/>
                <w:color w:val="000000" w:themeColor="text1"/>
                <w:sz w:val="20"/>
                <w:szCs w:val="20"/>
              </w:rPr>
              <w:t>e.g</w:t>
            </w:r>
            <w:r w:rsidR="00A733BF">
              <w:rPr>
                <w:b/>
                <w:bCs/>
                <w:i/>
                <w:iCs/>
                <w:color w:val="000000" w:themeColor="text1"/>
                <w:sz w:val="20"/>
                <w:szCs w:val="20"/>
              </w:rPr>
              <w:t>.</w:t>
            </w:r>
            <w:proofErr w:type="gramEnd"/>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0C69E5CD">
        <w:tc>
          <w:tcPr>
            <w:tcW w:w="9192" w:type="dxa"/>
            <w:gridSpan w:val="2"/>
            <w:tcBorders>
              <w:top w:val="single" w:sz="4" w:space="0" w:color="auto"/>
              <w:left w:val="single" w:sz="4" w:space="0" w:color="auto"/>
              <w:bottom w:val="single" w:sz="4" w:space="0" w:color="auto"/>
              <w:right w:val="single" w:sz="4" w:space="0" w:color="auto"/>
            </w:tcBorders>
          </w:tcPr>
          <w:p w14:paraId="01E16748" w14:textId="67384D03" w:rsidR="00870896" w:rsidRDefault="60D89929" w:rsidP="00870896">
            <w:pPr>
              <w:spacing w:line="300" w:lineRule="exact"/>
              <w:rPr>
                <w:lang w:val="en-GB"/>
              </w:rPr>
            </w:pPr>
            <w:r w:rsidRPr="5CD2F3BA">
              <w:rPr>
                <w:rFonts w:ascii="Calibri" w:hAnsi="Calibri"/>
              </w:rPr>
              <w:t>Allocation of funding to the CSO is well reflected in the second health system strengthening (HSS2) grant</w:t>
            </w:r>
            <w:r w:rsidR="38ECBED7" w:rsidRPr="5CD2F3BA">
              <w:rPr>
                <w:rFonts w:ascii="Calibri" w:hAnsi="Calibri"/>
              </w:rPr>
              <w:t xml:space="preserve"> </w:t>
            </w:r>
            <w:r w:rsidRPr="5CD2F3BA">
              <w:rPr>
                <w:rFonts w:ascii="Calibri" w:hAnsi="Calibri"/>
              </w:rPr>
              <w:t xml:space="preserve">with an estimated $278, 280 targeted towards CSO engagement for the second year of life </w:t>
            </w:r>
            <w:r w:rsidR="00646A79" w:rsidRPr="5CD2F3BA">
              <w:rPr>
                <w:rFonts w:ascii="Calibri" w:hAnsi="Calibri"/>
              </w:rPr>
              <w:t xml:space="preserve">social </w:t>
            </w:r>
            <w:r w:rsidRPr="5CD2F3BA">
              <w:rPr>
                <w:rFonts w:ascii="Calibri" w:hAnsi="Calibri"/>
              </w:rPr>
              <w:t>mobilization. This figure amounts to 9% of the HSS2 grant.</w:t>
            </w:r>
            <w:r w:rsidR="008B40F9">
              <w:rPr>
                <w:rFonts w:ascii="Calibri" w:hAnsi="Calibri"/>
              </w:rPr>
              <w:t xml:space="preserve">  Lesotho will be developing a standalone EAF application </w:t>
            </w:r>
            <w:proofErr w:type="gramStart"/>
            <w:r w:rsidR="008B40F9">
              <w:rPr>
                <w:rFonts w:ascii="Calibri" w:hAnsi="Calibri"/>
              </w:rPr>
              <w:t>during the course of</w:t>
            </w:r>
            <w:proofErr w:type="gramEnd"/>
            <w:r w:rsidR="008B40F9">
              <w:rPr>
                <w:rFonts w:ascii="Calibri" w:hAnsi="Calibri"/>
              </w:rPr>
              <w:t xml:space="preserve"> 2022, there will be a strong focus on identification of CSOs tha</w:t>
            </w:r>
            <w:r w:rsidR="00D8429B">
              <w:rPr>
                <w:rFonts w:ascii="Calibri" w:hAnsi="Calibri"/>
              </w:rPr>
              <w:t xml:space="preserve">t can support advancement of the ZD agenda and funding will be allocated to CSOs </w:t>
            </w:r>
            <w:proofErr w:type="spellStart"/>
            <w:r w:rsidR="00D8429B">
              <w:rPr>
                <w:rFonts w:ascii="Calibri" w:hAnsi="Calibri"/>
              </w:rPr>
              <w:t>throigh</w:t>
            </w:r>
            <w:proofErr w:type="spellEnd"/>
            <w:r w:rsidR="00D8429B">
              <w:rPr>
                <w:rFonts w:ascii="Calibri" w:hAnsi="Calibri"/>
              </w:rPr>
              <w:t xml:space="preserve"> the EAF application. As outlined in the section above, we will </w:t>
            </w:r>
            <w:proofErr w:type="spellStart"/>
            <w:r w:rsidR="00B24A15">
              <w:rPr>
                <w:rFonts w:ascii="Calibri" w:hAnsi="Calibri"/>
              </w:rPr>
              <w:t>alos</w:t>
            </w:r>
            <w:proofErr w:type="spellEnd"/>
            <w:r w:rsidR="00B24A15">
              <w:rPr>
                <w:rFonts w:ascii="Calibri" w:hAnsi="Calibri"/>
              </w:rPr>
              <w:t xml:space="preserve"> explore sub-contracting arrangements for CSO through the 2022-2025 TCA. </w:t>
            </w:r>
            <w:r w:rsidR="38ECBED7" w:rsidRPr="5CD2F3BA">
              <w:rPr>
                <w:lang w:val="en-GB"/>
              </w:rPr>
              <w:t xml:space="preserve"> </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C69E5CD">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w:t>
            </w:r>
            <w:proofErr w:type="gramStart"/>
            <w:r w:rsidR="00652E87">
              <w:rPr>
                <w:b/>
                <w:bCs/>
                <w:i/>
                <w:iCs/>
                <w:color w:val="000000" w:themeColor="text1"/>
                <w:sz w:val="20"/>
                <w:szCs w:val="20"/>
                <w:lang w:val="en-GB"/>
              </w:rPr>
              <w:t>taken into account</w:t>
            </w:r>
            <w:proofErr w:type="gramEnd"/>
            <w:r w:rsidR="00652E87">
              <w:rPr>
                <w:b/>
                <w:bCs/>
                <w:i/>
                <w:iCs/>
                <w:color w:val="000000" w:themeColor="text1"/>
                <w:sz w:val="20"/>
                <w:szCs w:val="20"/>
                <w:lang w:val="en-GB"/>
              </w:rPr>
              <w:t xml:space="preserve">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C69E5CD">
        <w:tc>
          <w:tcPr>
            <w:tcW w:w="9192" w:type="dxa"/>
            <w:tcBorders>
              <w:top w:val="single" w:sz="4" w:space="0" w:color="auto"/>
              <w:left w:val="single" w:sz="4" w:space="0" w:color="auto"/>
              <w:bottom w:val="single" w:sz="4" w:space="0" w:color="auto"/>
              <w:right w:val="single" w:sz="4" w:space="0" w:color="auto"/>
            </w:tcBorders>
          </w:tcPr>
          <w:p w14:paraId="049CBEF2" w14:textId="5008F275" w:rsidR="00F52E4F" w:rsidRDefault="587569D1" w:rsidP="00BF0503">
            <w:pPr>
              <w:pStyle w:val="ListParagraph"/>
              <w:numPr>
                <w:ilvl w:val="0"/>
                <w:numId w:val="11"/>
              </w:numPr>
              <w:spacing w:line="300" w:lineRule="exact"/>
              <w:jc w:val="both"/>
              <w:rPr>
                <w:rFonts w:ascii="Calibri" w:hAnsi="Calibri"/>
              </w:rPr>
            </w:pPr>
            <w:r w:rsidRPr="0C69E5CD">
              <w:rPr>
                <w:rFonts w:ascii="Calibri" w:hAnsi="Calibri"/>
              </w:rPr>
              <w:t xml:space="preserve">Annual EPI workplan activities have aligned with the National Health Strategic Plan (NHSP) 2017 – 2022, the National Reproductive, and the Maternal, Newborn, Child and Adolescent Health and Nutrition (RMNCAH &amp; N) strategic plan 2017 – 2027. These activities </w:t>
            </w:r>
            <w:r w:rsidR="1434C17D" w:rsidRPr="0C69E5CD">
              <w:rPr>
                <w:rFonts w:ascii="Calibri" w:hAnsi="Calibri"/>
              </w:rPr>
              <w:t>are</w:t>
            </w:r>
            <w:r w:rsidRPr="0C69E5CD">
              <w:rPr>
                <w:rFonts w:ascii="Calibri" w:hAnsi="Calibri"/>
              </w:rPr>
              <w:t xml:space="preserve"> well reflected in the </w:t>
            </w:r>
            <w:proofErr w:type="spellStart"/>
            <w:r w:rsidR="1434C17D" w:rsidRPr="0C69E5CD">
              <w:rPr>
                <w:rFonts w:ascii="Calibri" w:hAnsi="Calibri"/>
              </w:rPr>
              <w:t>t</w:t>
            </w:r>
            <w:r w:rsidRPr="0C69E5CD">
              <w:rPr>
                <w:rFonts w:ascii="Calibri" w:hAnsi="Calibri"/>
              </w:rPr>
              <w:t>he</w:t>
            </w:r>
            <w:proofErr w:type="spellEnd"/>
            <w:r w:rsidRPr="0C69E5CD">
              <w:rPr>
                <w:rFonts w:ascii="Calibri" w:hAnsi="Calibri"/>
              </w:rPr>
              <w:t xml:space="preserve"> comprehensive </w:t>
            </w:r>
            <w:proofErr w:type="gramStart"/>
            <w:r w:rsidRPr="0C69E5CD">
              <w:rPr>
                <w:rFonts w:ascii="Calibri" w:hAnsi="Calibri"/>
              </w:rPr>
              <w:t>Multi-year</w:t>
            </w:r>
            <w:proofErr w:type="gramEnd"/>
            <w:r w:rsidRPr="0C69E5CD">
              <w:rPr>
                <w:rFonts w:ascii="Calibri" w:hAnsi="Calibri"/>
              </w:rPr>
              <w:t xml:space="preserve"> plan (cMYP) (2018 -2022). </w:t>
            </w:r>
            <w:r w:rsidR="3DA0F49D" w:rsidRPr="0C69E5CD">
              <w:rPr>
                <w:rFonts w:ascii="Calibri" w:hAnsi="Calibri"/>
              </w:rPr>
              <w:t xml:space="preserve">The cMYP takes a health system strengthening approach in outlining EPI activities targeted at contributing to the broader EPI goals. </w:t>
            </w:r>
            <w:r w:rsidRPr="0C69E5CD">
              <w:rPr>
                <w:rFonts w:ascii="Calibri" w:hAnsi="Calibri"/>
              </w:rPr>
              <w:t xml:space="preserve">This implies that activities are intentionally </w:t>
            </w:r>
            <w:r w:rsidR="3DA0F49D" w:rsidRPr="0C69E5CD">
              <w:rPr>
                <w:rFonts w:ascii="Calibri" w:hAnsi="Calibri"/>
              </w:rPr>
              <w:t xml:space="preserve">designed to complement each other to work towards that broader goal. For example, </w:t>
            </w:r>
            <w:r w:rsidR="3A2F6C68" w:rsidRPr="0C69E5CD">
              <w:rPr>
                <w:rFonts w:ascii="Calibri" w:hAnsi="Calibri"/>
              </w:rPr>
              <w:t>the establishment of district immunization steering committees (DISCs) in all 10 districts</w:t>
            </w:r>
            <w:r w:rsidR="1116C02B" w:rsidRPr="0C69E5CD">
              <w:rPr>
                <w:rFonts w:ascii="Calibri" w:hAnsi="Calibri"/>
              </w:rPr>
              <w:t xml:space="preserve"> in 2020 </w:t>
            </w:r>
            <w:r w:rsidR="1116C02B" w:rsidRPr="0C69E5CD">
              <w:rPr>
                <w:rFonts w:ascii="Calibri" w:hAnsi="Calibri"/>
                <w:i/>
                <w:iCs/>
              </w:rPr>
              <w:t>(a previous TCA activity)</w:t>
            </w:r>
            <w:r w:rsidR="1116C02B" w:rsidRPr="0C69E5CD">
              <w:rPr>
                <w:rFonts w:ascii="Calibri" w:hAnsi="Calibri"/>
              </w:rPr>
              <w:t xml:space="preserve"> </w:t>
            </w:r>
            <w:r w:rsidR="3A2F6C68" w:rsidRPr="0C69E5CD">
              <w:rPr>
                <w:rFonts w:ascii="Calibri" w:hAnsi="Calibri"/>
              </w:rPr>
              <w:t xml:space="preserve">was part of the roadmap to the HPV vaccine introduction targeted for early 2022. </w:t>
            </w:r>
            <w:r w:rsidR="1116C02B" w:rsidRPr="0C69E5CD">
              <w:rPr>
                <w:rFonts w:ascii="Calibri" w:hAnsi="Calibri"/>
              </w:rPr>
              <w:t>In addition, configuration of the WHO Immunization Application into DHS2 (</w:t>
            </w:r>
            <w:r w:rsidR="1116C02B" w:rsidRPr="0C69E5CD">
              <w:rPr>
                <w:rFonts w:ascii="Calibri" w:hAnsi="Calibri"/>
                <w:i/>
                <w:iCs/>
              </w:rPr>
              <w:t>a previous TCA activity)</w:t>
            </w:r>
            <w:r w:rsidR="1116C02B" w:rsidRPr="0C69E5CD">
              <w:rPr>
                <w:rFonts w:ascii="Calibri" w:hAnsi="Calibri"/>
              </w:rPr>
              <w:t xml:space="preserve"> was building towards the capturing of vaccine supply chain data into DHIS2 </w:t>
            </w:r>
            <w:r w:rsidR="1116C02B" w:rsidRPr="0C69E5CD">
              <w:rPr>
                <w:rFonts w:ascii="Calibri" w:hAnsi="Calibri"/>
                <w:i/>
                <w:iCs/>
              </w:rPr>
              <w:t>(a current TCA activity).</w:t>
            </w:r>
            <w:r w:rsidR="1116C02B" w:rsidRPr="0C69E5CD">
              <w:rPr>
                <w:rFonts w:ascii="Calibri" w:hAnsi="Calibri"/>
              </w:rPr>
              <w:t xml:space="preserve"> EPI has jointly worked with its alliance and expanded partners to ensure that requested TCA builds on previous activities and performance</w:t>
            </w:r>
          </w:p>
          <w:p w14:paraId="394062AA" w14:textId="1609A93F" w:rsidR="008B7133" w:rsidRDefault="5BD566F7" w:rsidP="00871FCF">
            <w:pPr>
              <w:pStyle w:val="ListParagraph"/>
              <w:numPr>
                <w:ilvl w:val="0"/>
                <w:numId w:val="11"/>
              </w:numPr>
              <w:spacing w:line="300" w:lineRule="exact"/>
              <w:jc w:val="both"/>
              <w:rPr>
                <w:rFonts w:ascii="Calibri" w:hAnsi="Calibri"/>
              </w:rPr>
            </w:pPr>
            <w:r w:rsidRPr="0C69E5CD">
              <w:rPr>
                <w:rFonts w:ascii="Calibri" w:hAnsi="Calibri"/>
              </w:rPr>
              <w:t xml:space="preserve">One of the lessons learnt in implementing of TCA support in the previously years is that </w:t>
            </w:r>
            <w:proofErr w:type="gramStart"/>
            <w:r w:rsidRPr="0C69E5CD">
              <w:rPr>
                <w:rFonts w:ascii="Calibri" w:hAnsi="Calibri"/>
              </w:rPr>
              <w:t>in order to</w:t>
            </w:r>
            <w:proofErr w:type="gramEnd"/>
            <w:r w:rsidRPr="0C69E5CD">
              <w:rPr>
                <w:rFonts w:ascii="Calibri" w:hAnsi="Calibri"/>
              </w:rPr>
              <w:t xml:space="preserve"> further enhance the impact of the TCA support, all requested TCA support should align with the broader EPI goal. The afore mentioned was among the reasons for the development of the EPI theory of change in 2020. The theory of change communicates to all stakeholders EPI’s missions and goals, and targeted interventions. This enables for effective monitoring of EPI performance through well-defined challenges, interventions, objectives, and outcomes. In addition, one of the lessons learnt was to </w:t>
            </w:r>
            <w:r w:rsidR="59D7BB9F" w:rsidRPr="0C69E5CD">
              <w:rPr>
                <w:rFonts w:ascii="Calibri" w:hAnsi="Calibri"/>
              </w:rPr>
              <w:t xml:space="preserve">discuss proposed TCA support jointly with EPI and its partners. EPI has been submitting a jointly developed TCA plan since 2018. In developing the TCA support work plan, EPI relied on the comparative advantages of each partner. </w:t>
            </w:r>
          </w:p>
          <w:p w14:paraId="0A4DD802" w14:textId="163C5F24" w:rsidR="009F0292" w:rsidRPr="008B7133" w:rsidRDefault="00F52E4F" w:rsidP="00871FCF">
            <w:pPr>
              <w:pStyle w:val="ListParagraph"/>
              <w:numPr>
                <w:ilvl w:val="0"/>
                <w:numId w:val="11"/>
              </w:numPr>
              <w:spacing w:line="300" w:lineRule="exact"/>
              <w:jc w:val="both"/>
              <w:rPr>
                <w:rFonts w:ascii="Calibri" w:hAnsi="Calibri"/>
              </w:rPr>
            </w:pPr>
            <w:r w:rsidRPr="008B7133">
              <w:rPr>
                <w:rFonts w:ascii="Calibri" w:hAnsi="Calibri"/>
              </w:rPr>
              <w:t>The requested TCA support will complement rather than replace existing EPI capacity</w:t>
            </w:r>
            <w:r w:rsidR="008B7133">
              <w:rPr>
                <w:rFonts w:ascii="Calibri" w:hAnsi="Calibri"/>
              </w:rPr>
              <w:t xml:space="preserve">. This has been a </w:t>
            </w:r>
            <w:proofErr w:type="gramStart"/>
            <w:r w:rsidR="008B7133">
              <w:rPr>
                <w:rFonts w:ascii="Calibri" w:hAnsi="Calibri"/>
              </w:rPr>
              <w:t>long standing</w:t>
            </w:r>
            <w:proofErr w:type="gramEnd"/>
            <w:r w:rsidR="008B7133">
              <w:rPr>
                <w:rFonts w:ascii="Calibri" w:hAnsi="Calibri"/>
              </w:rPr>
              <w:t xml:space="preserve"> practice in which EPI and its partners approach the TCA support. As indicated above, the interventions herein mentioned are targeted at building EPI systems and improving of some cultural practices to ensure programme sustainability. </w:t>
            </w:r>
          </w:p>
          <w:p w14:paraId="54735EE2" w14:textId="1497CE9B" w:rsidR="00B87CD1" w:rsidRDefault="00B87CD1" w:rsidP="00871FCF">
            <w:pPr>
              <w:spacing w:line="300" w:lineRule="exact"/>
              <w:rPr>
                <w:color w:val="92D050"/>
                <w:lang w:val="en-GB"/>
              </w:rPr>
            </w:pP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w:t>
            </w:r>
            <w:r w:rsidR="00A957C9" w:rsidRPr="00AB307B">
              <w:rPr>
                <w:b/>
                <w:bCs/>
                <w:i/>
                <w:iCs/>
                <w:sz w:val="20"/>
                <w:szCs w:val="20"/>
              </w:rPr>
              <w:t>Full Portfolio Planning</w:t>
            </w:r>
            <w:r w:rsidR="00A957C9" w:rsidRPr="00CF3BC4">
              <w:rPr>
                <w:b/>
                <w:bCs/>
                <w:i/>
                <w:iCs/>
                <w:sz w:val="20"/>
                <w:szCs w:val="20"/>
              </w:rPr>
              <w:t xml:space="preserve">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0229455E" w14:textId="1E58F996" w:rsidR="008B2065" w:rsidRPr="003E4CC9" w:rsidRDefault="008B2065" w:rsidP="003E4CC9">
            <w:pPr>
              <w:pStyle w:val="ListParagraph"/>
              <w:numPr>
                <w:ilvl w:val="0"/>
                <w:numId w:val="10"/>
              </w:numPr>
              <w:spacing w:line="300" w:lineRule="exact"/>
              <w:jc w:val="both"/>
              <w:rPr>
                <w:rFonts w:ascii="Calibri" w:hAnsi="Calibri"/>
              </w:rPr>
            </w:pPr>
            <w:r w:rsidRPr="003E4CC9">
              <w:rPr>
                <w:rFonts w:ascii="Calibri" w:hAnsi="Calibri"/>
              </w:rPr>
              <w:t xml:space="preserve">EPI successfully applied for the second HSS grant in 2020, with targeted implementation for 2021 to 2025. The implementation of the HSS2 grant however was delayed due to a focus on the COVID-19 vaccine introduction by the country as one of the ways to tackle the current ongoing global pandemic. The HSS2 grant aligns with the EPI theory of change as detailed above. The requested TCA support subsequently </w:t>
            </w:r>
            <w:r w:rsidR="003E4CC9" w:rsidRPr="003E4CC9">
              <w:rPr>
                <w:rFonts w:ascii="Calibri" w:hAnsi="Calibri"/>
              </w:rPr>
              <w:t xml:space="preserve">aligns with the activities to be implemented under the HSS2 grant: providing additional capacity to EPI to effectively implement the grant, relying on the comparative advantage of the different EPI partners. </w:t>
            </w:r>
            <w:r w:rsidR="002B4D15">
              <w:rPr>
                <w:rFonts w:ascii="Calibri" w:hAnsi="Calibri"/>
              </w:rPr>
              <w:t>As highlighted in the above sections, EPI’s focus on the</w:t>
            </w:r>
            <w:r w:rsidR="00B23A48">
              <w:rPr>
                <w:rFonts w:ascii="Calibri" w:hAnsi="Calibri"/>
              </w:rPr>
              <w:t xml:space="preserve"> tracking of zero-dose children,</w:t>
            </w:r>
            <w:r w:rsidR="002B4D15">
              <w:rPr>
                <w:rFonts w:ascii="Calibri" w:hAnsi="Calibri"/>
              </w:rPr>
              <w:t xml:space="preserve"> second year of life defaulter tracking, strengthening of community level demand generation and promotion </w:t>
            </w:r>
            <w:r w:rsidR="002B4D15" w:rsidRPr="00D420AD">
              <w:rPr>
                <w:rFonts w:ascii="Calibri" w:hAnsi="Calibri"/>
                <w:i/>
                <w:iCs/>
              </w:rPr>
              <w:t>(with priority on health education for parents, care givers, and community leaders)</w:t>
            </w:r>
            <w:r w:rsidR="002B4D15">
              <w:rPr>
                <w:rFonts w:ascii="Calibri" w:hAnsi="Calibri"/>
              </w:rPr>
              <w:t xml:space="preserve">, </w:t>
            </w:r>
            <w:r w:rsidR="00D420AD">
              <w:rPr>
                <w:rFonts w:ascii="Calibri" w:hAnsi="Calibri"/>
              </w:rPr>
              <w:t xml:space="preserve">enhancing the culture of using data for decision making </w:t>
            </w:r>
            <w:proofErr w:type="spellStart"/>
            <w:r w:rsidR="00D420AD">
              <w:rPr>
                <w:rFonts w:ascii="Calibri" w:hAnsi="Calibri"/>
              </w:rPr>
              <w:t>thorugh</w:t>
            </w:r>
            <w:proofErr w:type="spellEnd"/>
            <w:r w:rsidR="00D420AD">
              <w:rPr>
                <w:rFonts w:ascii="Calibri" w:hAnsi="Calibri"/>
              </w:rPr>
              <w:t xml:space="preserve"> annual EPI M&amp;E workshops, and annual district EVM self-assessments are well reflected in the HSS grant and in the requested TCA support. </w:t>
            </w:r>
          </w:p>
          <w:p w14:paraId="703439A4" w14:textId="03A593F1" w:rsidR="00323CC9" w:rsidRPr="00D420AD" w:rsidRDefault="00323CC9" w:rsidP="00D420AD">
            <w:pPr>
              <w:pStyle w:val="ListParagraph"/>
              <w:numPr>
                <w:ilvl w:val="0"/>
                <w:numId w:val="10"/>
              </w:numPr>
              <w:spacing w:line="300" w:lineRule="exact"/>
              <w:jc w:val="both"/>
              <w:rPr>
                <w:rFonts w:ascii="Calibri" w:hAnsi="Calibri"/>
              </w:rPr>
            </w:pPr>
            <w:r w:rsidRPr="00367B27">
              <w:rPr>
                <w:rFonts w:ascii="Calibri" w:hAnsi="Calibri"/>
              </w:rPr>
              <w:t>Lesotho is to apply</w:t>
            </w:r>
            <w:r w:rsidRPr="00D420AD">
              <w:rPr>
                <w:rFonts w:ascii="Calibri" w:hAnsi="Calibri"/>
              </w:rPr>
              <w:t xml:space="preserve"> for the CCEOP within the current Gavi 5.0 strategic period. </w:t>
            </w:r>
            <w:r w:rsidR="002A186C" w:rsidRPr="00D420AD">
              <w:rPr>
                <w:rFonts w:ascii="Calibri" w:hAnsi="Calibri"/>
              </w:rPr>
              <w:t xml:space="preserve">Lesotho would require technical assistance for drafting of the CCEOP application and for determining of the cold chain capacity gaps in the country to inform the application. </w:t>
            </w:r>
          </w:p>
          <w:p w14:paraId="2033B8FD" w14:textId="45B85B7D" w:rsidR="00323CC9" w:rsidRPr="00D420AD" w:rsidRDefault="00D420AD" w:rsidP="004A3332">
            <w:pPr>
              <w:pStyle w:val="ListParagraph"/>
              <w:numPr>
                <w:ilvl w:val="0"/>
                <w:numId w:val="10"/>
              </w:numPr>
              <w:spacing w:line="300" w:lineRule="exact"/>
              <w:jc w:val="both"/>
              <w:rPr>
                <w:lang w:val="en-GB"/>
              </w:rPr>
            </w:pPr>
            <w:r>
              <w:rPr>
                <w:rFonts w:ascii="Calibri" w:hAnsi="Calibri"/>
              </w:rPr>
              <w:t>In introducing the IPV second dose, EPI will require TA support for d</w:t>
            </w:r>
            <w:r w:rsidR="00323CC9" w:rsidRPr="00D420AD">
              <w:rPr>
                <w:rFonts w:ascii="Calibri" w:hAnsi="Calibri"/>
              </w:rPr>
              <w:t>esigning of the IPV second dose introduction</w:t>
            </w:r>
            <w:r>
              <w:rPr>
                <w:rFonts w:ascii="Calibri" w:hAnsi="Calibri"/>
              </w:rPr>
              <w:t xml:space="preserve">: trainings and microplanning, </w:t>
            </w:r>
            <w:r w:rsidR="004A3332">
              <w:rPr>
                <w:rFonts w:ascii="Calibri" w:hAnsi="Calibri"/>
              </w:rPr>
              <w:t xml:space="preserve">determining of the </w:t>
            </w:r>
            <w:r>
              <w:rPr>
                <w:rFonts w:ascii="Calibri" w:hAnsi="Calibri"/>
              </w:rPr>
              <w:t>demand generation and promotion activities, and supply and cold chain</w:t>
            </w:r>
            <w:r w:rsidR="004A3332">
              <w:rPr>
                <w:rFonts w:ascii="Calibri" w:hAnsi="Calibri"/>
              </w:rPr>
              <w:t xml:space="preserve">. </w:t>
            </w:r>
            <w:r w:rsidR="00323CC9" w:rsidRPr="00D420AD">
              <w:rPr>
                <w:lang w:val="en-GB"/>
              </w:rPr>
              <w:t xml:space="preserve"> </w:t>
            </w: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C69E5CD">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 xml:space="preserve">Please provide an outline of the </w:t>
            </w:r>
            <w:proofErr w:type="gramStart"/>
            <w:r w:rsidR="00C47384" w:rsidRPr="00A957C9">
              <w:rPr>
                <w:b/>
                <w:bCs/>
                <w:i/>
                <w:iCs/>
                <w:sz w:val="20"/>
                <w:szCs w:val="20"/>
              </w:rPr>
              <w:t>TCA</w:t>
            </w:r>
            <w:r w:rsidR="0023057A">
              <w:rPr>
                <w:b/>
                <w:bCs/>
                <w:i/>
                <w:iCs/>
                <w:sz w:val="20"/>
                <w:szCs w:val="20"/>
              </w:rPr>
              <w:t xml:space="preserve">  in</w:t>
            </w:r>
            <w:proofErr w:type="gramEnd"/>
            <w:r w:rsidR="0023057A">
              <w:rPr>
                <w:b/>
                <w:bCs/>
                <w:i/>
                <w:iCs/>
                <w:sz w:val="20"/>
                <w:szCs w:val="20"/>
              </w:rPr>
              <w:t>-country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w:t>
            </w:r>
            <w:r w:rsidR="00DD391A" w:rsidRPr="00AB307B">
              <w:rPr>
                <w:b/>
                <w:bCs/>
                <w:i/>
                <w:iCs/>
                <w:sz w:val="20"/>
                <w:szCs w:val="20"/>
              </w:rPr>
              <w:t>and learning</w:t>
            </w:r>
            <w:r w:rsidR="00DD391A" w:rsidRPr="00A957C9">
              <w:rPr>
                <w:b/>
                <w:bCs/>
                <w:i/>
                <w:iCs/>
                <w:sz w:val="20"/>
                <w:szCs w:val="20"/>
              </w:rPr>
              <w:t xml:space="preserve"> occurs?</w:t>
            </w:r>
          </w:p>
        </w:tc>
      </w:tr>
      <w:tr w:rsidR="00A957C9" w:rsidRPr="006A272B" w14:paraId="4CAB625F" w14:textId="77777777" w:rsidTr="0C69E5CD">
        <w:tc>
          <w:tcPr>
            <w:tcW w:w="9214" w:type="dxa"/>
            <w:tcBorders>
              <w:top w:val="single" w:sz="4" w:space="0" w:color="auto"/>
              <w:left w:val="single" w:sz="4" w:space="0" w:color="auto"/>
              <w:bottom w:val="single" w:sz="4" w:space="0" w:color="auto"/>
              <w:right w:val="single" w:sz="4" w:space="0" w:color="auto"/>
            </w:tcBorders>
          </w:tcPr>
          <w:p w14:paraId="06820F26" w14:textId="07ACC827" w:rsidR="004F05E5" w:rsidRDefault="7E6D3EB2" w:rsidP="004F05E5">
            <w:pPr>
              <w:pStyle w:val="ListParagraph"/>
              <w:numPr>
                <w:ilvl w:val="0"/>
                <w:numId w:val="12"/>
              </w:numPr>
              <w:spacing w:line="300" w:lineRule="exact"/>
              <w:jc w:val="both"/>
              <w:rPr>
                <w:rFonts w:ascii="Calibri" w:hAnsi="Calibri"/>
              </w:rPr>
            </w:pPr>
            <w:r w:rsidRPr="0C69E5CD">
              <w:rPr>
                <w:rFonts w:ascii="Calibri" w:hAnsi="Calibri"/>
              </w:rPr>
              <w:t xml:space="preserve">As indicated in section 4 above, EPI develops an annual workplan that is derived from the NHSP 2017 – 2022, the RMNCAH&amp;N strategic plan 2017 – 2027, cMYP, and the TCA workplan.  This annual plan indicates lead persons for implementation within EPI and the supporting partner, implementation time, and funding allocation of the activity. The workplan is reviewed on a quarterly basis by the EPI TWG. The key leads provide progress updates to the TWG, </w:t>
            </w:r>
            <w:r w:rsidR="4BAAF72A" w:rsidRPr="0C69E5CD">
              <w:rPr>
                <w:rFonts w:ascii="Calibri" w:hAnsi="Calibri"/>
              </w:rPr>
              <w:t xml:space="preserve">and in cases of activity delay, mitigation strategies are jointly discussed and action points to expedite implementation are developed. In addition to discussion progress updates, the activities are reviewed to determine if the activity remains adequately defined or the definition needs to be revised based on various contextual factors. </w:t>
            </w:r>
          </w:p>
          <w:p w14:paraId="043D71C6" w14:textId="679F0FD5" w:rsidR="000E0F00" w:rsidRDefault="000E0F00" w:rsidP="004F05E5">
            <w:pPr>
              <w:pStyle w:val="ListParagraph"/>
              <w:numPr>
                <w:ilvl w:val="0"/>
                <w:numId w:val="12"/>
              </w:numPr>
              <w:spacing w:line="300" w:lineRule="exact"/>
              <w:jc w:val="both"/>
              <w:rPr>
                <w:rFonts w:ascii="Calibri" w:hAnsi="Calibri"/>
              </w:rPr>
            </w:pPr>
            <w:r>
              <w:rPr>
                <w:rFonts w:ascii="Calibri" w:hAnsi="Calibri"/>
              </w:rPr>
              <w:t xml:space="preserve">The EPI annual workplan is incorporated in the annual RMNCAH&amp;N work plan. The comprehensive RMNCAH&amp;N work plan is reviewed on an annual basis </w:t>
            </w:r>
          </w:p>
          <w:p w14:paraId="0DC0412E" w14:textId="2A4A2DB9" w:rsidR="000E0F00" w:rsidRPr="004F05E5" w:rsidRDefault="000E0F00" w:rsidP="004F05E5">
            <w:pPr>
              <w:pStyle w:val="ListParagraph"/>
              <w:numPr>
                <w:ilvl w:val="0"/>
                <w:numId w:val="12"/>
              </w:numPr>
              <w:spacing w:line="300" w:lineRule="exact"/>
              <w:jc w:val="both"/>
              <w:rPr>
                <w:rFonts w:ascii="Calibri" w:hAnsi="Calibri"/>
              </w:rPr>
            </w:pPr>
            <w:r>
              <w:rPr>
                <w:rFonts w:ascii="Calibri" w:hAnsi="Calibri"/>
              </w:rPr>
              <w:t xml:space="preserve">The annual EPI M&amp;E workshop that are to be implemented under the HSS2 grant will complete existing M&amp;E reviews of EPI programme performance. </w:t>
            </w:r>
          </w:p>
          <w:p w14:paraId="3F805AA5" w14:textId="0BA08BB9" w:rsidR="00EC16D3" w:rsidRDefault="004F05E5" w:rsidP="004F05E5">
            <w:pPr>
              <w:pStyle w:val="ListParagraph"/>
              <w:numPr>
                <w:ilvl w:val="0"/>
                <w:numId w:val="12"/>
              </w:numPr>
              <w:spacing w:line="300" w:lineRule="exact"/>
              <w:jc w:val="both"/>
              <w:rPr>
                <w:lang w:val="en-GB"/>
              </w:rPr>
            </w:pPr>
            <w:r w:rsidRPr="004F05E5">
              <w:rPr>
                <w:rFonts w:ascii="Calibri" w:hAnsi="Calibri"/>
              </w:rPr>
              <w:t xml:space="preserve">The health system strengthening grant results monitoring is undertaken through a grants performance framework (GPF). As indicated above, the herein requested TCA support aligns greatly with the second HSS grant. </w:t>
            </w:r>
            <w:r>
              <w:rPr>
                <w:rFonts w:ascii="Calibri" w:hAnsi="Calibri"/>
              </w:rPr>
              <w:t xml:space="preserve">The GPF is reviewed on an annual basis during joint reviews or Gavi missions in country. </w:t>
            </w:r>
            <w:r w:rsidR="000E0F00">
              <w:rPr>
                <w:rFonts w:ascii="Calibri" w:hAnsi="Calibri"/>
              </w:rPr>
              <w:t>T</w:t>
            </w:r>
            <w:r w:rsidR="000E0F00" w:rsidRPr="000E0F00">
              <w:rPr>
                <w:rFonts w:ascii="Calibri" w:hAnsi="Calibri"/>
              </w:rPr>
              <w:t xml:space="preserve">he GPF tracks the results of </w:t>
            </w:r>
            <w:proofErr w:type="gramStart"/>
            <w:r w:rsidR="000E0F00" w:rsidRPr="000E0F00">
              <w:rPr>
                <w:rFonts w:ascii="Calibri" w:hAnsi="Calibri"/>
              </w:rPr>
              <w:t>the majorit</w:t>
            </w:r>
            <w:r w:rsidR="00E31395">
              <w:rPr>
                <w:rFonts w:ascii="Calibri" w:hAnsi="Calibri"/>
              </w:rPr>
              <w:t>y</w:t>
            </w:r>
            <w:r w:rsidR="000E0F00" w:rsidRPr="000E0F00">
              <w:rPr>
                <w:rFonts w:ascii="Calibri" w:hAnsi="Calibri"/>
              </w:rPr>
              <w:t xml:space="preserve"> of</w:t>
            </w:r>
            <w:proofErr w:type="gramEnd"/>
            <w:r w:rsidR="000E0F00" w:rsidRPr="000E0F00">
              <w:rPr>
                <w:rFonts w:ascii="Calibri" w:hAnsi="Calibri"/>
              </w:rPr>
              <w:t xml:space="preserve"> TCA activities.</w:t>
            </w:r>
            <w:r w:rsidR="000E0F00">
              <w:rPr>
                <w:lang w:val="en-GB"/>
              </w:rPr>
              <w:t xml:space="preserve">  </w:t>
            </w:r>
          </w:p>
          <w:p w14:paraId="094984D3" w14:textId="77777777" w:rsidR="00843792" w:rsidRDefault="00843792" w:rsidP="00843792">
            <w:pPr>
              <w:spacing w:line="300" w:lineRule="exact"/>
              <w:jc w:val="both"/>
              <w:rPr>
                <w:lang w:val="en-GB"/>
              </w:rPr>
            </w:pPr>
          </w:p>
          <w:p w14:paraId="635EF35F" w14:textId="37E0F82E" w:rsidR="00843792" w:rsidRPr="00843792" w:rsidRDefault="0759C403" w:rsidP="00843792">
            <w:pPr>
              <w:spacing w:line="300" w:lineRule="exact"/>
              <w:jc w:val="both"/>
              <w:rPr>
                <w:lang w:val="en-GB"/>
              </w:rPr>
            </w:pPr>
            <w:r w:rsidRPr="0C69E5CD">
              <w:rPr>
                <w:rFonts w:ascii="Calibri" w:hAnsi="Calibri"/>
              </w:rPr>
              <w:t>The</w:t>
            </w:r>
            <w:r w:rsidR="16F10CBF" w:rsidRPr="0C69E5CD">
              <w:rPr>
                <w:rFonts w:ascii="Calibri" w:hAnsi="Calibri"/>
              </w:rPr>
              <w:t xml:space="preserve"> MoH Planning Unit </w:t>
            </w:r>
            <w:r w:rsidR="2064B7BF" w:rsidRPr="0C69E5CD">
              <w:rPr>
                <w:rFonts w:ascii="Calibri" w:hAnsi="Calibri"/>
              </w:rPr>
              <w:t xml:space="preserve">is </w:t>
            </w:r>
            <w:r w:rsidRPr="0C69E5CD">
              <w:rPr>
                <w:rFonts w:ascii="Calibri" w:hAnsi="Calibri"/>
              </w:rPr>
              <w:t xml:space="preserve">responsible for ensuring that the </w:t>
            </w:r>
            <w:r w:rsidR="16F10CBF" w:rsidRPr="0C69E5CD">
              <w:rPr>
                <w:rFonts w:ascii="Calibri" w:hAnsi="Calibri"/>
              </w:rPr>
              <w:t xml:space="preserve">EPI and RMCAH&amp;N </w:t>
            </w:r>
            <w:r w:rsidRPr="0C69E5CD">
              <w:rPr>
                <w:rFonts w:ascii="Calibri" w:hAnsi="Calibri"/>
              </w:rPr>
              <w:t>work plans are reviewed on a quarterly and annual basis. EPI’s partners are invited to all the reviews being</w:t>
            </w:r>
            <w:r w:rsidRPr="0C69E5CD">
              <w:rPr>
                <w:lang w:val="en-GB"/>
              </w:rPr>
              <w:t xml:space="preserve"> </w:t>
            </w:r>
            <w:r w:rsidR="16F10CBF" w:rsidRPr="0C69E5CD">
              <w:rPr>
                <w:rFonts w:ascii="Calibri" w:hAnsi="Calibri"/>
              </w:rPr>
              <w:t xml:space="preserve">undertaken by both EPI and the Family Health Division through the MoH Planning Unit support. </w:t>
            </w:r>
            <w:r w:rsidR="0EF745C7" w:rsidRPr="0C69E5CD">
              <w:rPr>
                <w:rFonts w:ascii="Calibri" w:hAnsi="Calibri"/>
              </w:rPr>
              <w:t xml:space="preserve">The TCA support is implemented in a way that it complements EPI capacity rather than replacing. Capacity building </w:t>
            </w:r>
            <w:proofErr w:type="gramStart"/>
            <w:r w:rsidR="0EF745C7" w:rsidRPr="0C69E5CD">
              <w:rPr>
                <w:rFonts w:ascii="Calibri" w:hAnsi="Calibri"/>
              </w:rPr>
              <w:t>is  built</w:t>
            </w:r>
            <w:proofErr w:type="gramEnd"/>
            <w:r w:rsidR="0EF745C7" w:rsidRPr="0C69E5CD">
              <w:rPr>
                <w:rFonts w:ascii="Calibri" w:hAnsi="Calibri"/>
              </w:rPr>
              <w:t xml:space="preserve"> into the all TCA supported activities from the outset and this thus informs the entire implementation approach, with the sustainability of capacity a key consideration throughout implementation. </w:t>
            </w:r>
          </w:p>
        </w:tc>
      </w:tr>
    </w:tbl>
    <w:p w14:paraId="146AE6CC" w14:textId="77777777" w:rsidR="007612C6" w:rsidRDefault="007612C6" w:rsidP="00FC4A11">
      <w:pPr>
        <w:spacing w:line="300" w:lineRule="exact"/>
        <w:rPr>
          <w:lang w:val="en-GB"/>
        </w:rPr>
      </w:pPr>
    </w:p>
    <w:sectPr w:rsidR="007612C6" w:rsidSect="007612C6">
      <w:headerReference w:type="even" r:id="rId16"/>
      <w:headerReference w:type="default" r:id="rId17"/>
      <w:footerReference w:type="even" r:id="rId18"/>
      <w:footerReference w:type="default" r:id="rId19"/>
      <w:headerReference w:type="first" r:id="rId20"/>
      <w:footerReference w:type="first" r:id="rId21"/>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059A" w14:textId="77777777" w:rsidR="00997BA7" w:rsidRDefault="00997BA7" w:rsidP="00431CA9">
      <w:pPr>
        <w:spacing w:line="240" w:lineRule="auto"/>
      </w:pPr>
      <w:r>
        <w:separator/>
      </w:r>
    </w:p>
  </w:endnote>
  <w:endnote w:type="continuationSeparator" w:id="0">
    <w:p w14:paraId="17302A98" w14:textId="77777777" w:rsidR="00997BA7" w:rsidRDefault="00997BA7" w:rsidP="00431CA9">
      <w:pPr>
        <w:spacing w:line="240" w:lineRule="auto"/>
      </w:pPr>
      <w:r>
        <w:continuationSeparator/>
      </w:r>
    </w:p>
  </w:endnote>
  <w:endnote w:type="continuationNotice" w:id="1">
    <w:p w14:paraId="5707D2AB" w14:textId="77777777" w:rsidR="00997BA7" w:rsidRDefault="00997B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471" w14:textId="77777777" w:rsidR="00AB7F9F" w:rsidRDefault="00AB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567" w14:textId="77777777" w:rsidR="00AB7F9F" w:rsidRDefault="00AB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7652" w14:textId="77777777" w:rsidR="00997BA7" w:rsidRDefault="00997BA7" w:rsidP="00431CA9">
      <w:pPr>
        <w:spacing w:line="240" w:lineRule="auto"/>
      </w:pPr>
      <w:r>
        <w:separator/>
      </w:r>
    </w:p>
  </w:footnote>
  <w:footnote w:type="continuationSeparator" w:id="0">
    <w:p w14:paraId="60CA0471" w14:textId="77777777" w:rsidR="00997BA7" w:rsidRDefault="00997BA7" w:rsidP="00431CA9">
      <w:pPr>
        <w:spacing w:line="240" w:lineRule="auto"/>
      </w:pPr>
      <w:r>
        <w:continuationSeparator/>
      </w:r>
    </w:p>
  </w:footnote>
  <w:footnote w:type="continuationNotice" w:id="1">
    <w:p w14:paraId="01ABF836" w14:textId="77777777" w:rsidR="00997BA7" w:rsidRDefault="00997BA7">
      <w:pPr>
        <w:spacing w:line="240" w:lineRule="auto"/>
      </w:pPr>
    </w:p>
  </w:footnote>
  <w:footnote w:id="2">
    <w:p w14:paraId="7E060AEC" w14:textId="5112C015" w:rsidR="00E97ABD" w:rsidRPr="00E97ABD" w:rsidRDefault="00E97ABD">
      <w:pPr>
        <w:pStyle w:val="FootnoteText"/>
        <w:rPr>
          <w:lang w:val="en-US"/>
        </w:rPr>
      </w:pPr>
      <w:r>
        <w:rPr>
          <w:rStyle w:val="FootnoteReference"/>
        </w:rPr>
        <w:footnoteRef/>
      </w:r>
      <w:r>
        <w:t xml:space="preserve"> </w:t>
      </w:r>
      <w:r w:rsidRPr="00E97ABD">
        <w:rPr>
          <w:sz w:val="16"/>
          <w:szCs w:val="16"/>
          <w:lang w:val="en-US"/>
        </w:rPr>
        <w:t>The COVID-19 vaccine was not administered to those targeted for the HPV vaccine</w:t>
      </w:r>
    </w:p>
  </w:footnote>
  <w:footnote w:id="3">
    <w:p w14:paraId="2AA0451C" w14:textId="093E0D5D" w:rsidR="00D57937" w:rsidRPr="00D57937" w:rsidRDefault="00D57937">
      <w:pPr>
        <w:pStyle w:val="FootnoteText"/>
        <w:rPr>
          <w:sz w:val="16"/>
          <w:szCs w:val="16"/>
          <w:lang w:val="en-US"/>
        </w:rPr>
      </w:pPr>
      <w:r>
        <w:rPr>
          <w:rStyle w:val="FootnoteReference"/>
        </w:rPr>
        <w:footnoteRef/>
      </w:r>
      <w:r>
        <w:t xml:space="preserve"> </w:t>
      </w:r>
      <w:r w:rsidRPr="00D57937">
        <w:rPr>
          <w:sz w:val="16"/>
          <w:szCs w:val="16"/>
          <w:lang w:val="en-US"/>
        </w:rPr>
        <w:t xml:space="preserve">The District Immunization Steering Committees (DISCs) are sub-national level committees that comprise of the District Health Management Team (DHMT), the District Education Managers (DEMs), the District Administrators (DAs), the District </w:t>
      </w:r>
      <w:proofErr w:type="spellStart"/>
      <w:r w:rsidRPr="00D57937">
        <w:rPr>
          <w:sz w:val="16"/>
          <w:szCs w:val="16"/>
          <w:lang w:val="en-US"/>
        </w:rPr>
        <w:t>Councillors</w:t>
      </w:r>
      <w:proofErr w:type="spellEnd"/>
      <w:r w:rsidRPr="00D57937">
        <w:rPr>
          <w:sz w:val="16"/>
          <w:szCs w:val="16"/>
          <w:lang w:val="en-US"/>
        </w:rPr>
        <w:t xml:space="preserve"> (DCs)</w:t>
      </w:r>
      <w:r>
        <w:rPr>
          <w:sz w:val="16"/>
          <w:szCs w:val="16"/>
          <w:lang w:val="en-US"/>
        </w:rPr>
        <w:t>, and other key district level representation. These committees have been instrumental in the reintroduction planning of the HPV vaccine and its delivery and the delivery of the COVID-19 vaccine</w:t>
      </w:r>
      <w:r w:rsidR="00AC305C">
        <w:rPr>
          <w:sz w:val="16"/>
          <w:szCs w:val="16"/>
          <w:lang w:val="en-US"/>
        </w:rPr>
        <w:t>. The high coverage achieved for the HPV 1</w:t>
      </w:r>
      <w:r w:rsidR="00AC305C" w:rsidRPr="00AC305C">
        <w:rPr>
          <w:sz w:val="16"/>
          <w:szCs w:val="16"/>
          <w:vertAlign w:val="superscript"/>
          <w:lang w:val="en-US"/>
        </w:rPr>
        <w:t>st</w:t>
      </w:r>
      <w:r w:rsidR="00AC305C">
        <w:rPr>
          <w:sz w:val="16"/>
          <w:szCs w:val="16"/>
          <w:lang w:val="en-US"/>
        </w:rPr>
        <w:t xml:space="preserve"> dose can be attributed to the effective functioning of these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08DC" w14:textId="77777777" w:rsidR="00AB7F9F" w:rsidRDefault="00AB7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v:textbox>
              <w10:wrap anchorx="page" anchory="margin"/>
            </v:shape>
          </w:pict>
        </mc:Fallback>
      </mc:AlternateContent>
    </w:r>
    <w:r w:rsidR="00BD4EFD"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dec="http://schemas.microsoft.com/office/drawing/2017/decorative" xmlns:a14="http://schemas.microsoft.com/office/drawing/2010/main" xmlns:a="http://schemas.openxmlformats.org/drawingml/2006/main">
          <w:pict>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15AA3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sidR="004D1017"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sidR="001B6E82"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6" w14:textId="77777777" w:rsidR="00AB7F9F" w:rsidRDefault="00AB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233C"/>
    <w:multiLevelType w:val="hybridMultilevel"/>
    <w:tmpl w:val="AFD88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93C53"/>
    <w:multiLevelType w:val="hybridMultilevel"/>
    <w:tmpl w:val="BC26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624342"/>
    <w:multiLevelType w:val="hybridMultilevel"/>
    <w:tmpl w:val="399ED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3F4D3D25"/>
    <w:multiLevelType w:val="hybridMultilevel"/>
    <w:tmpl w:val="D1D4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54047570"/>
    <w:multiLevelType w:val="hybridMultilevel"/>
    <w:tmpl w:val="59C0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21EC9"/>
    <w:multiLevelType w:val="hybridMultilevel"/>
    <w:tmpl w:val="EAF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31D8D"/>
    <w:multiLevelType w:val="hybridMultilevel"/>
    <w:tmpl w:val="B038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63F9D"/>
    <w:multiLevelType w:val="hybridMultilevel"/>
    <w:tmpl w:val="7082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660171">
    <w:abstractNumId w:val="11"/>
  </w:num>
  <w:num w:numId="2" w16cid:durableId="1473252966">
    <w:abstractNumId w:val="3"/>
  </w:num>
  <w:num w:numId="3" w16cid:durableId="1957634213">
    <w:abstractNumId w:val="2"/>
  </w:num>
  <w:num w:numId="4" w16cid:durableId="1110050204">
    <w:abstractNumId w:val="5"/>
  </w:num>
  <w:num w:numId="5" w16cid:durableId="1117719939">
    <w:abstractNumId w:val="7"/>
  </w:num>
  <w:num w:numId="6" w16cid:durableId="1557818818">
    <w:abstractNumId w:val="4"/>
  </w:num>
  <w:num w:numId="7" w16cid:durableId="888147009">
    <w:abstractNumId w:val="0"/>
  </w:num>
  <w:num w:numId="8" w16cid:durableId="1082680683">
    <w:abstractNumId w:val="1"/>
  </w:num>
  <w:num w:numId="9" w16cid:durableId="2146388138">
    <w:abstractNumId w:val="6"/>
  </w:num>
  <w:num w:numId="10" w16cid:durableId="220554837">
    <w:abstractNumId w:val="9"/>
  </w:num>
  <w:num w:numId="11" w16cid:durableId="1695810727">
    <w:abstractNumId w:val="12"/>
  </w:num>
  <w:num w:numId="12" w16cid:durableId="1929118153">
    <w:abstractNumId w:val="8"/>
  </w:num>
  <w:num w:numId="13" w16cid:durableId="172603113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3826"/>
    <w:rsid w:val="00014AFF"/>
    <w:rsid w:val="00014F67"/>
    <w:rsid w:val="00015D31"/>
    <w:rsid w:val="00016A9B"/>
    <w:rsid w:val="00016C3F"/>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3D59"/>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4069"/>
    <w:rsid w:val="00094439"/>
    <w:rsid w:val="000A22D4"/>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00"/>
    <w:rsid w:val="000E0FA6"/>
    <w:rsid w:val="000E16B2"/>
    <w:rsid w:val="000E28EF"/>
    <w:rsid w:val="000E2A0C"/>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2E3D"/>
    <w:rsid w:val="001052BA"/>
    <w:rsid w:val="0010613E"/>
    <w:rsid w:val="00106608"/>
    <w:rsid w:val="00106CE4"/>
    <w:rsid w:val="001072A0"/>
    <w:rsid w:val="00107D9F"/>
    <w:rsid w:val="00111BBA"/>
    <w:rsid w:val="00112041"/>
    <w:rsid w:val="00112228"/>
    <w:rsid w:val="001122A2"/>
    <w:rsid w:val="00112852"/>
    <w:rsid w:val="0011324C"/>
    <w:rsid w:val="0011340A"/>
    <w:rsid w:val="001135FC"/>
    <w:rsid w:val="001151FB"/>
    <w:rsid w:val="00115DB0"/>
    <w:rsid w:val="00116509"/>
    <w:rsid w:val="00120084"/>
    <w:rsid w:val="00120220"/>
    <w:rsid w:val="00120AAE"/>
    <w:rsid w:val="0012136B"/>
    <w:rsid w:val="0012478F"/>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60C34"/>
    <w:rsid w:val="00161593"/>
    <w:rsid w:val="00161709"/>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3BE8"/>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2E8"/>
    <w:rsid w:val="001A378C"/>
    <w:rsid w:val="001A4060"/>
    <w:rsid w:val="001A42A3"/>
    <w:rsid w:val="001A6804"/>
    <w:rsid w:val="001A69D7"/>
    <w:rsid w:val="001A701E"/>
    <w:rsid w:val="001A7654"/>
    <w:rsid w:val="001B0284"/>
    <w:rsid w:val="001B032E"/>
    <w:rsid w:val="001B0487"/>
    <w:rsid w:val="001B0F6A"/>
    <w:rsid w:val="001B12D7"/>
    <w:rsid w:val="001B197D"/>
    <w:rsid w:val="001B19F2"/>
    <w:rsid w:val="001B2DC5"/>
    <w:rsid w:val="001B31AC"/>
    <w:rsid w:val="001B6E82"/>
    <w:rsid w:val="001B7196"/>
    <w:rsid w:val="001B790D"/>
    <w:rsid w:val="001C1877"/>
    <w:rsid w:val="001C1D82"/>
    <w:rsid w:val="001C2586"/>
    <w:rsid w:val="001C259F"/>
    <w:rsid w:val="001C2745"/>
    <w:rsid w:val="001C3904"/>
    <w:rsid w:val="001C3A94"/>
    <w:rsid w:val="001C3D34"/>
    <w:rsid w:val="001C3EC1"/>
    <w:rsid w:val="001C406E"/>
    <w:rsid w:val="001C40EE"/>
    <w:rsid w:val="001C467D"/>
    <w:rsid w:val="001C4DB8"/>
    <w:rsid w:val="001C77D7"/>
    <w:rsid w:val="001D0267"/>
    <w:rsid w:val="001D1572"/>
    <w:rsid w:val="001D18B0"/>
    <w:rsid w:val="001D3CC6"/>
    <w:rsid w:val="001D4CBA"/>
    <w:rsid w:val="001D540C"/>
    <w:rsid w:val="001D591E"/>
    <w:rsid w:val="001D5ACA"/>
    <w:rsid w:val="001D5C6A"/>
    <w:rsid w:val="001D6137"/>
    <w:rsid w:val="001D6E9E"/>
    <w:rsid w:val="001E1AB1"/>
    <w:rsid w:val="001E1B7F"/>
    <w:rsid w:val="001E1C11"/>
    <w:rsid w:val="001E1E64"/>
    <w:rsid w:val="001E3FED"/>
    <w:rsid w:val="001E6363"/>
    <w:rsid w:val="001E6724"/>
    <w:rsid w:val="001E7090"/>
    <w:rsid w:val="001E7F8D"/>
    <w:rsid w:val="001F004B"/>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E87"/>
    <w:rsid w:val="00246A98"/>
    <w:rsid w:val="002510AA"/>
    <w:rsid w:val="002518B4"/>
    <w:rsid w:val="00253B51"/>
    <w:rsid w:val="00254FF2"/>
    <w:rsid w:val="00255484"/>
    <w:rsid w:val="00255A57"/>
    <w:rsid w:val="002571F1"/>
    <w:rsid w:val="00257A1B"/>
    <w:rsid w:val="002603B0"/>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F02"/>
    <w:rsid w:val="002A186C"/>
    <w:rsid w:val="002A2C17"/>
    <w:rsid w:val="002A44A9"/>
    <w:rsid w:val="002A46AE"/>
    <w:rsid w:val="002A4F84"/>
    <w:rsid w:val="002A5CBE"/>
    <w:rsid w:val="002A5CE7"/>
    <w:rsid w:val="002A791F"/>
    <w:rsid w:val="002B0630"/>
    <w:rsid w:val="002B0C61"/>
    <w:rsid w:val="002B1AC5"/>
    <w:rsid w:val="002B1B80"/>
    <w:rsid w:val="002B3ECA"/>
    <w:rsid w:val="002B4D15"/>
    <w:rsid w:val="002B6243"/>
    <w:rsid w:val="002B63B0"/>
    <w:rsid w:val="002B6D64"/>
    <w:rsid w:val="002B6DCF"/>
    <w:rsid w:val="002C00AC"/>
    <w:rsid w:val="002C0185"/>
    <w:rsid w:val="002C0581"/>
    <w:rsid w:val="002C0F5F"/>
    <w:rsid w:val="002C1CAC"/>
    <w:rsid w:val="002C1D77"/>
    <w:rsid w:val="002C2EF7"/>
    <w:rsid w:val="002C3C49"/>
    <w:rsid w:val="002C42E8"/>
    <w:rsid w:val="002C6AD3"/>
    <w:rsid w:val="002C6F61"/>
    <w:rsid w:val="002C728E"/>
    <w:rsid w:val="002C73F5"/>
    <w:rsid w:val="002D31D5"/>
    <w:rsid w:val="002D5862"/>
    <w:rsid w:val="002D5DFD"/>
    <w:rsid w:val="002D6BED"/>
    <w:rsid w:val="002D7B91"/>
    <w:rsid w:val="002E03AD"/>
    <w:rsid w:val="002E0882"/>
    <w:rsid w:val="002E0983"/>
    <w:rsid w:val="002E0A55"/>
    <w:rsid w:val="002E3451"/>
    <w:rsid w:val="002E38C1"/>
    <w:rsid w:val="002E5FF8"/>
    <w:rsid w:val="002E652B"/>
    <w:rsid w:val="002E6D7F"/>
    <w:rsid w:val="002E71FA"/>
    <w:rsid w:val="002F5CD9"/>
    <w:rsid w:val="002F61AD"/>
    <w:rsid w:val="002F62C0"/>
    <w:rsid w:val="002F736A"/>
    <w:rsid w:val="002F7947"/>
    <w:rsid w:val="002F799C"/>
    <w:rsid w:val="002F7E6C"/>
    <w:rsid w:val="00301307"/>
    <w:rsid w:val="0030149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9B9"/>
    <w:rsid w:val="00323CC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0735"/>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4E"/>
    <w:rsid w:val="00356B27"/>
    <w:rsid w:val="00356C0F"/>
    <w:rsid w:val="00356CDE"/>
    <w:rsid w:val="00357A29"/>
    <w:rsid w:val="00357AEB"/>
    <w:rsid w:val="00360703"/>
    <w:rsid w:val="00360B97"/>
    <w:rsid w:val="00364218"/>
    <w:rsid w:val="003649C6"/>
    <w:rsid w:val="00364C4B"/>
    <w:rsid w:val="003658FC"/>
    <w:rsid w:val="00367AE5"/>
    <w:rsid w:val="00367B27"/>
    <w:rsid w:val="00367BF6"/>
    <w:rsid w:val="003707B5"/>
    <w:rsid w:val="00370B4F"/>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3B6D"/>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D8C"/>
    <w:rsid w:val="003D16BF"/>
    <w:rsid w:val="003D2384"/>
    <w:rsid w:val="003D2828"/>
    <w:rsid w:val="003D4323"/>
    <w:rsid w:val="003D545D"/>
    <w:rsid w:val="003E289A"/>
    <w:rsid w:val="003E28A0"/>
    <w:rsid w:val="003E4CC9"/>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9F3"/>
    <w:rsid w:val="00406DAA"/>
    <w:rsid w:val="0041092A"/>
    <w:rsid w:val="00412BE5"/>
    <w:rsid w:val="004145FE"/>
    <w:rsid w:val="00414627"/>
    <w:rsid w:val="004151A0"/>
    <w:rsid w:val="004155A7"/>
    <w:rsid w:val="004161CC"/>
    <w:rsid w:val="0041751A"/>
    <w:rsid w:val="00420376"/>
    <w:rsid w:val="00421904"/>
    <w:rsid w:val="00422289"/>
    <w:rsid w:val="00423711"/>
    <w:rsid w:val="00423A70"/>
    <w:rsid w:val="00423DFC"/>
    <w:rsid w:val="004240CD"/>
    <w:rsid w:val="00424360"/>
    <w:rsid w:val="004249A7"/>
    <w:rsid w:val="00424A13"/>
    <w:rsid w:val="00425A3C"/>
    <w:rsid w:val="004264ED"/>
    <w:rsid w:val="00426D6B"/>
    <w:rsid w:val="00427165"/>
    <w:rsid w:val="0043175C"/>
    <w:rsid w:val="00431CA9"/>
    <w:rsid w:val="004327BC"/>
    <w:rsid w:val="004333D4"/>
    <w:rsid w:val="00433D48"/>
    <w:rsid w:val="00434C26"/>
    <w:rsid w:val="004400C8"/>
    <w:rsid w:val="004410AD"/>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5598"/>
    <w:rsid w:val="00465756"/>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E95"/>
    <w:rsid w:val="004905F8"/>
    <w:rsid w:val="00493B22"/>
    <w:rsid w:val="00493FAD"/>
    <w:rsid w:val="00494743"/>
    <w:rsid w:val="00494980"/>
    <w:rsid w:val="00495278"/>
    <w:rsid w:val="00495355"/>
    <w:rsid w:val="004954E9"/>
    <w:rsid w:val="00496961"/>
    <w:rsid w:val="00497815"/>
    <w:rsid w:val="004979CC"/>
    <w:rsid w:val="004A0005"/>
    <w:rsid w:val="004A0816"/>
    <w:rsid w:val="004A2F87"/>
    <w:rsid w:val="004A3332"/>
    <w:rsid w:val="004A4825"/>
    <w:rsid w:val="004A4D76"/>
    <w:rsid w:val="004A6165"/>
    <w:rsid w:val="004A670B"/>
    <w:rsid w:val="004B151C"/>
    <w:rsid w:val="004B47C0"/>
    <w:rsid w:val="004B4BBC"/>
    <w:rsid w:val="004B632A"/>
    <w:rsid w:val="004B7F95"/>
    <w:rsid w:val="004C0594"/>
    <w:rsid w:val="004C0A98"/>
    <w:rsid w:val="004C158F"/>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5CA0"/>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5E5"/>
    <w:rsid w:val="004F0A8F"/>
    <w:rsid w:val="004F1203"/>
    <w:rsid w:val="004F3B7A"/>
    <w:rsid w:val="004F3C18"/>
    <w:rsid w:val="004F42B6"/>
    <w:rsid w:val="004F450A"/>
    <w:rsid w:val="004F4B1C"/>
    <w:rsid w:val="004F5915"/>
    <w:rsid w:val="004F6829"/>
    <w:rsid w:val="00500509"/>
    <w:rsid w:val="00500E2A"/>
    <w:rsid w:val="0050279C"/>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2E5D"/>
    <w:rsid w:val="00562FF1"/>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4481"/>
    <w:rsid w:val="005B46BB"/>
    <w:rsid w:val="005B5997"/>
    <w:rsid w:val="005B6C08"/>
    <w:rsid w:val="005C0DFC"/>
    <w:rsid w:val="005C0EB2"/>
    <w:rsid w:val="005C15CE"/>
    <w:rsid w:val="005C22EA"/>
    <w:rsid w:val="005C2362"/>
    <w:rsid w:val="005C25AF"/>
    <w:rsid w:val="005C2A9E"/>
    <w:rsid w:val="005C3EFD"/>
    <w:rsid w:val="005C4118"/>
    <w:rsid w:val="005C47E5"/>
    <w:rsid w:val="005C4ADC"/>
    <w:rsid w:val="005C6289"/>
    <w:rsid w:val="005D02A2"/>
    <w:rsid w:val="005D0847"/>
    <w:rsid w:val="005D0F9E"/>
    <w:rsid w:val="005D20D8"/>
    <w:rsid w:val="005D23B7"/>
    <w:rsid w:val="005D4FEC"/>
    <w:rsid w:val="005D520B"/>
    <w:rsid w:val="005D6304"/>
    <w:rsid w:val="005D694A"/>
    <w:rsid w:val="005D752C"/>
    <w:rsid w:val="005E0072"/>
    <w:rsid w:val="005E0593"/>
    <w:rsid w:val="005E0C17"/>
    <w:rsid w:val="005E1B90"/>
    <w:rsid w:val="005E2A50"/>
    <w:rsid w:val="005E2B5E"/>
    <w:rsid w:val="005E4623"/>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286"/>
    <w:rsid w:val="00614F7D"/>
    <w:rsid w:val="0061573A"/>
    <w:rsid w:val="00615B5C"/>
    <w:rsid w:val="00617429"/>
    <w:rsid w:val="00620417"/>
    <w:rsid w:val="0062156F"/>
    <w:rsid w:val="00621D99"/>
    <w:rsid w:val="00623B11"/>
    <w:rsid w:val="006250A6"/>
    <w:rsid w:val="006251FE"/>
    <w:rsid w:val="006258BD"/>
    <w:rsid w:val="00625987"/>
    <w:rsid w:val="00625E52"/>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A79"/>
    <w:rsid w:val="00646BBB"/>
    <w:rsid w:val="00650576"/>
    <w:rsid w:val="00650EB6"/>
    <w:rsid w:val="00652197"/>
    <w:rsid w:val="00652297"/>
    <w:rsid w:val="00652E87"/>
    <w:rsid w:val="0065351E"/>
    <w:rsid w:val="00654BBD"/>
    <w:rsid w:val="00655D56"/>
    <w:rsid w:val="0065655B"/>
    <w:rsid w:val="00656ECA"/>
    <w:rsid w:val="00657B8B"/>
    <w:rsid w:val="00661394"/>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6FF"/>
    <w:rsid w:val="006C1ABF"/>
    <w:rsid w:val="006C1E0D"/>
    <w:rsid w:val="006C2E7C"/>
    <w:rsid w:val="006C39BF"/>
    <w:rsid w:val="006C41D0"/>
    <w:rsid w:val="006C47A8"/>
    <w:rsid w:val="006C566A"/>
    <w:rsid w:val="006C63B1"/>
    <w:rsid w:val="006C6B4C"/>
    <w:rsid w:val="006C700E"/>
    <w:rsid w:val="006C799D"/>
    <w:rsid w:val="006D01E1"/>
    <w:rsid w:val="006D1F74"/>
    <w:rsid w:val="006D3657"/>
    <w:rsid w:val="006D37EB"/>
    <w:rsid w:val="006D4530"/>
    <w:rsid w:val="006D49D3"/>
    <w:rsid w:val="006D4F0A"/>
    <w:rsid w:val="006D5892"/>
    <w:rsid w:val="006D647D"/>
    <w:rsid w:val="006D76FF"/>
    <w:rsid w:val="006E0314"/>
    <w:rsid w:val="006E0F0D"/>
    <w:rsid w:val="006E2714"/>
    <w:rsid w:val="006E3A34"/>
    <w:rsid w:val="006E44BE"/>
    <w:rsid w:val="006E52F6"/>
    <w:rsid w:val="006E7767"/>
    <w:rsid w:val="006E788B"/>
    <w:rsid w:val="006F39D8"/>
    <w:rsid w:val="006F3C12"/>
    <w:rsid w:val="006F61B1"/>
    <w:rsid w:val="006F6339"/>
    <w:rsid w:val="00700CC3"/>
    <w:rsid w:val="0070125B"/>
    <w:rsid w:val="00702895"/>
    <w:rsid w:val="00704813"/>
    <w:rsid w:val="0070520E"/>
    <w:rsid w:val="007054E6"/>
    <w:rsid w:val="00706DEC"/>
    <w:rsid w:val="007122E8"/>
    <w:rsid w:val="007132AB"/>
    <w:rsid w:val="007134F7"/>
    <w:rsid w:val="0071439C"/>
    <w:rsid w:val="007172E8"/>
    <w:rsid w:val="00717EEB"/>
    <w:rsid w:val="007203BA"/>
    <w:rsid w:val="00722948"/>
    <w:rsid w:val="00722F56"/>
    <w:rsid w:val="00723F80"/>
    <w:rsid w:val="00724773"/>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1FF7"/>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1F77"/>
    <w:rsid w:val="007D22B4"/>
    <w:rsid w:val="007D28B7"/>
    <w:rsid w:val="007D3491"/>
    <w:rsid w:val="007D354C"/>
    <w:rsid w:val="007D3D6D"/>
    <w:rsid w:val="007D48DC"/>
    <w:rsid w:val="007D5474"/>
    <w:rsid w:val="007D639D"/>
    <w:rsid w:val="007E04D4"/>
    <w:rsid w:val="007E151C"/>
    <w:rsid w:val="007E2A2A"/>
    <w:rsid w:val="007E38FB"/>
    <w:rsid w:val="007E45E5"/>
    <w:rsid w:val="007E5321"/>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432"/>
    <w:rsid w:val="008237C2"/>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3792"/>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C7A"/>
    <w:rsid w:val="00861D56"/>
    <w:rsid w:val="00862143"/>
    <w:rsid w:val="00863767"/>
    <w:rsid w:val="00863A24"/>
    <w:rsid w:val="00863A71"/>
    <w:rsid w:val="00865910"/>
    <w:rsid w:val="00865EE9"/>
    <w:rsid w:val="008660D4"/>
    <w:rsid w:val="00870896"/>
    <w:rsid w:val="00870E1D"/>
    <w:rsid w:val="00871DA2"/>
    <w:rsid w:val="00871FCF"/>
    <w:rsid w:val="008721B8"/>
    <w:rsid w:val="008750A5"/>
    <w:rsid w:val="00876030"/>
    <w:rsid w:val="008779D5"/>
    <w:rsid w:val="0088037D"/>
    <w:rsid w:val="00881023"/>
    <w:rsid w:val="008810FA"/>
    <w:rsid w:val="00881396"/>
    <w:rsid w:val="00881459"/>
    <w:rsid w:val="0088199F"/>
    <w:rsid w:val="00883710"/>
    <w:rsid w:val="00883783"/>
    <w:rsid w:val="008837F3"/>
    <w:rsid w:val="008839F8"/>
    <w:rsid w:val="008902E6"/>
    <w:rsid w:val="00890C73"/>
    <w:rsid w:val="00891051"/>
    <w:rsid w:val="00892432"/>
    <w:rsid w:val="00892829"/>
    <w:rsid w:val="008940AB"/>
    <w:rsid w:val="00894285"/>
    <w:rsid w:val="0089522A"/>
    <w:rsid w:val="008966DB"/>
    <w:rsid w:val="008975C2"/>
    <w:rsid w:val="008A0362"/>
    <w:rsid w:val="008A13A1"/>
    <w:rsid w:val="008A5114"/>
    <w:rsid w:val="008A5244"/>
    <w:rsid w:val="008A79C9"/>
    <w:rsid w:val="008B2065"/>
    <w:rsid w:val="008B2F8A"/>
    <w:rsid w:val="008B3B43"/>
    <w:rsid w:val="008B3BA6"/>
    <w:rsid w:val="008B3F7B"/>
    <w:rsid w:val="008B40F9"/>
    <w:rsid w:val="008B5064"/>
    <w:rsid w:val="008B5523"/>
    <w:rsid w:val="008B713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1E68"/>
    <w:rsid w:val="008F3180"/>
    <w:rsid w:val="008F35C0"/>
    <w:rsid w:val="008F3634"/>
    <w:rsid w:val="008F421E"/>
    <w:rsid w:val="008F422C"/>
    <w:rsid w:val="008F50F8"/>
    <w:rsid w:val="008F56BC"/>
    <w:rsid w:val="008F6B3C"/>
    <w:rsid w:val="0090123D"/>
    <w:rsid w:val="009017D7"/>
    <w:rsid w:val="00903D2C"/>
    <w:rsid w:val="00905BB2"/>
    <w:rsid w:val="00906672"/>
    <w:rsid w:val="00906989"/>
    <w:rsid w:val="00907DB1"/>
    <w:rsid w:val="009102E2"/>
    <w:rsid w:val="00911E33"/>
    <w:rsid w:val="00912BE7"/>
    <w:rsid w:val="009133D1"/>
    <w:rsid w:val="0091404C"/>
    <w:rsid w:val="00914FFD"/>
    <w:rsid w:val="00915114"/>
    <w:rsid w:val="009151C0"/>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3AC6"/>
    <w:rsid w:val="0096492D"/>
    <w:rsid w:val="00964BBB"/>
    <w:rsid w:val="00964C87"/>
    <w:rsid w:val="00965030"/>
    <w:rsid w:val="00966312"/>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B5"/>
    <w:rsid w:val="0098390A"/>
    <w:rsid w:val="0098415C"/>
    <w:rsid w:val="00984606"/>
    <w:rsid w:val="00984A76"/>
    <w:rsid w:val="00984E5F"/>
    <w:rsid w:val="00985BDE"/>
    <w:rsid w:val="00985D25"/>
    <w:rsid w:val="009912B7"/>
    <w:rsid w:val="009924CF"/>
    <w:rsid w:val="00992659"/>
    <w:rsid w:val="009928DD"/>
    <w:rsid w:val="00993015"/>
    <w:rsid w:val="009933D1"/>
    <w:rsid w:val="0099431C"/>
    <w:rsid w:val="00994470"/>
    <w:rsid w:val="009948E5"/>
    <w:rsid w:val="00994D6A"/>
    <w:rsid w:val="00994E9B"/>
    <w:rsid w:val="00997BA7"/>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363C"/>
    <w:rsid w:val="009F3923"/>
    <w:rsid w:val="009F4958"/>
    <w:rsid w:val="009F4C66"/>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5A1C"/>
    <w:rsid w:val="00A26F75"/>
    <w:rsid w:val="00A27B13"/>
    <w:rsid w:val="00A27FC9"/>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791E"/>
    <w:rsid w:val="00A61551"/>
    <w:rsid w:val="00A61D95"/>
    <w:rsid w:val="00A641D3"/>
    <w:rsid w:val="00A64E34"/>
    <w:rsid w:val="00A70C81"/>
    <w:rsid w:val="00A7282C"/>
    <w:rsid w:val="00A73334"/>
    <w:rsid w:val="00A733BF"/>
    <w:rsid w:val="00A7349C"/>
    <w:rsid w:val="00A77372"/>
    <w:rsid w:val="00A80397"/>
    <w:rsid w:val="00A81F6C"/>
    <w:rsid w:val="00A82597"/>
    <w:rsid w:val="00A82901"/>
    <w:rsid w:val="00A8339B"/>
    <w:rsid w:val="00A8620B"/>
    <w:rsid w:val="00A8691D"/>
    <w:rsid w:val="00A90E6D"/>
    <w:rsid w:val="00A9157A"/>
    <w:rsid w:val="00A919E9"/>
    <w:rsid w:val="00A93EDB"/>
    <w:rsid w:val="00A94C10"/>
    <w:rsid w:val="00A95102"/>
    <w:rsid w:val="00A957C9"/>
    <w:rsid w:val="00A95F01"/>
    <w:rsid w:val="00A971D1"/>
    <w:rsid w:val="00A97226"/>
    <w:rsid w:val="00A9737C"/>
    <w:rsid w:val="00A97BFF"/>
    <w:rsid w:val="00AA12AB"/>
    <w:rsid w:val="00AA1505"/>
    <w:rsid w:val="00AA22E2"/>
    <w:rsid w:val="00AA32F8"/>
    <w:rsid w:val="00AA39CC"/>
    <w:rsid w:val="00AA41A0"/>
    <w:rsid w:val="00AA543E"/>
    <w:rsid w:val="00AA5E54"/>
    <w:rsid w:val="00AA6128"/>
    <w:rsid w:val="00AA6138"/>
    <w:rsid w:val="00AA6EB5"/>
    <w:rsid w:val="00AB307B"/>
    <w:rsid w:val="00AB3458"/>
    <w:rsid w:val="00AB4AEE"/>
    <w:rsid w:val="00AB4B2D"/>
    <w:rsid w:val="00AB5B93"/>
    <w:rsid w:val="00AB6B19"/>
    <w:rsid w:val="00AB7056"/>
    <w:rsid w:val="00AB7F9F"/>
    <w:rsid w:val="00AC1D96"/>
    <w:rsid w:val="00AC1F31"/>
    <w:rsid w:val="00AC305C"/>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307"/>
    <w:rsid w:val="00B127C8"/>
    <w:rsid w:val="00B13769"/>
    <w:rsid w:val="00B1393A"/>
    <w:rsid w:val="00B153E5"/>
    <w:rsid w:val="00B16600"/>
    <w:rsid w:val="00B177EC"/>
    <w:rsid w:val="00B223C8"/>
    <w:rsid w:val="00B224F9"/>
    <w:rsid w:val="00B22F29"/>
    <w:rsid w:val="00B23A48"/>
    <w:rsid w:val="00B247AA"/>
    <w:rsid w:val="00B24A15"/>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CE1"/>
    <w:rsid w:val="00B43DEC"/>
    <w:rsid w:val="00B43F39"/>
    <w:rsid w:val="00B45966"/>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255A"/>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CD1"/>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3C52"/>
    <w:rsid w:val="00BB46C4"/>
    <w:rsid w:val="00BB4710"/>
    <w:rsid w:val="00BB4D47"/>
    <w:rsid w:val="00BB591C"/>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0503"/>
    <w:rsid w:val="00BF26E3"/>
    <w:rsid w:val="00BF2ABC"/>
    <w:rsid w:val="00BF3EA0"/>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4E8F"/>
    <w:rsid w:val="00C1617F"/>
    <w:rsid w:val="00C21E0A"/>
    <w:rsid w:val="00C21F4F"/>
    <w:rsid w:val="00C2241D"/>
    <w:rsid w:val="00C22B50"/>
    <w:rsid w:val="00C23598"/>
    <w:rsid w:val="00C235A7"/>
    <w:rsid w:val="00C24068"/>
    <w:rsid w:val="00C24424"/>
    <w:rsid w:val="00C245E7"/>
    <w:rsid w:val="00C25AE2"/>
    <w:rsid w:val="00C26435"/>
    <w:rsid w:val="00C26B13"/>
    <w:rsid w:val="00C30EA5"/>
    <w:rsid w:val="00C30F9C"/>
    <w:rsid w:val="00C318E6"/>
    <w:rsid w:val="00C31E67"/>
    <w:rsid w:val="00C327B6"/>
    <w:rsid w:val="00C32FE5"/>
    <w:rsid w:val="00C33B48"/>
    <w:rsid w:val="00C33EE7"/>
    <w:rsid w:val="00C3495D"/>
    <w:rsid w:val="00C34D1D"/>
    <w:rsid w:val="00C34D52"/>
    <w:rsid w:val="00C35EE9"/>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4BC"/>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146F"/>
    <w:rsid w:val="00C721A1"/>
    <w:rsid w:val="00C722AA"/>
    <w:rsid w:val="00C7272D"/>
    <w:rsid w:val="00C74683"/>
    <w:rsid w:val="00C75F46"/>
    <w:rsid w:val="00C77EAA"/>
    <w:rsid w:val="00C824AD"/>
    <w:rsid w:val="00C8328F"/>
    <w:rsid w:val="00C8352F"/>
    <w:rsid w:val="00C8399B"/>
    <w:rsid w:val="00C83C7E"/>
    <w:rsid w:val="00C85867"/>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E8F"/>
    <w:rsid w:val="00CB302C"/>
    <w:rsid w:val="00CB38A5"/>
    <w:rsid w:val="00CB4531"/>
    <w:rsid w:val="00CB4A35"/>
    <w:rsid w:val="00CB4ACB"/>
    <w:rsid w:val="00CB5C26"/>
    <w:rsid w:val="00CB6930"/>
    <w:rsid w:val="00CB6D26"/>
    <w:rsid w:val="00CB72C7"/>
    <w:rsid w:val="00CB7C93"/>
    <w:rsid w:val="00CC05EA"/>
    <w:rsid w:val="00CC2B39"/>
    <w:rsid w:val="00CC33F7"/>
    <w:rsid w:val="00CC4071"/>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5625"/>
    <w:rsid w:val="00CF60FF"/>
    <w:rsid w:val="00D02684"/>
    <w:rsid w:val="00D02A57"/>
    <w:rsid w:val="00D04EFA"/>
    <w:rsid w:val="00D05B3C"/>
    <w:rsid w:val="00D06096"/>
    <w:rsid w:val="00D110D7"/>
    <w:rsid w:val="00D117EE"/>
    <w:rsid w:val="00D11C6B"/>
    <w:rsid w:val="00D124FC"/>
    <w:rsid w:val="00D13E22"/>
    <w:rsid w:val="00D146BA"/>
    <w:rsid w:val="00D14702"/>
    <w:rsid w:val="00D158FB"/>
    <w:rsid w:val="00D15CB4"/>
    <w:rsid w:val="00D17E32"/>
    <w:rsid w:val="00D20DCB"/>
    <w:rsid w:val="00D20DF4"/>
    <w:rsid w:val="00D2109B"/>
    <w:rsid w:val="00D21A5D"/>
    <w:rsid w:val="00D229FB"/>
    <w:rsid w:val="00D22E59"/>
    <w:rsid w:val="00D23EB7"/>
    <w:rsid w:val="00D26F3F"/>
    <w:rsid w:val="00D312C1"/>
    <w:rsid w:val="00D31784"/>
    <w:rsid w:val="00D3248E"/>
    <w:rsid w:val="00D33290"/>
    <w:rsid w:val="00D338B0"/>
    <w:rsid w:val="00D344CB"/>
    <w:rsid w:val="00D3460D"/>
    <w:rsid w:val="00D353AF"/>
    <w:rsid w:val="00D359F1"/>
    <w:rsid w:val="00D35D47"/>
    <w:rsid w:val="00D369A3"/>
    <w:rsid w:val="00D37417"/>
    <w:rsid w:val="00D374B6"/>
    <w:rsid w:val="00D37E5F"/>
    <w:rsid w:val="00D407BD"/>
    <w:rsid w:val="00D41E9E"/>
    <w:rsid w:val="00D420AD"/>
    <w:rsid w:val="00D430A2"/>
    <w:rsid w:val="00D44D03"/>
    <w:rsid w:val="00D44FBD"/>
    <w:rsid w:val="00D45AF2"/>
    <w:rsid w:val="00D4639E"/>
    <w:rsid w:val="00D47702"/>
    <w:rsid w:val="00D503CB"/>
    <w:rsid w:val="00D5081F"/>
    <w:rsid w:val="00D533B6"/>
    <w:rsid w:val="00D53E62"/>
    <w:rsid w:val="00D542F2"/>
    <w:rsid w:val="00D5485E"/>
    <w:rsid w:val="00D54AE9"/>
    <w:rsid w:val="00D5697F"/>
    <w:rsid w:val="00D57494"/>
    <w:rsid w:val="00D57937"/>
    <w:rsid w:val="00D57AF5"/>
    <w:rsid w:val="00D57F9D"/>
    <w:rsid w:val="00D5C6D6"/>
    <w:rsid w:val="00D60262"/>
    <w:rsid w:val="00D603BC"/>
    <w:rsid w:val="00D60E8C"/>
    <w:rsid w:val="00D634C1"/>
    <w:rsid w:val="00D67985"/>
    <w:rsid w:val="00D706E5"/>
    <w:rsid w:val="00D71E33"/>
    <w:rsid w:val="00D72665"/>
    <w:rsid w:val="00D72C30"/>
    <w:rsid w:val="00D739D5"/>
    <w:rsid w:val="00D740FF"/>
    <w:rsid w:val="00D77BD9"/>
    <w:rsid w:val="00D810A9"/>
    <w:rsid w:val="00D812A2"/>
    <w:rsid w:val="00D81EE2"/>
    <w:rsid w:val="00D8344B"/>
    <w:rsid w:val="00D8429B"/>
    <w:rsid w:val="00D84981"/>
    <w:rsid w:val="00D85B43"/>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D7CB2"/>
    <w:rsid w:val="00DE0688"/>
    <w:rsid w:val="00DE0955"/>
    <w:rsid w:val="00DE166A"/>
    <w:rsid w:val="00DE24F0"/>
    <w:rsid w:val="00DE3352"/>
    <w:rsid w:val="00DE3474"/>
    <w:rsid w:val="00DE4592"/>
    <w:rsid w:val="00DE4627"/>
    <w:rsid w:val="00DE4D0F"/>
    <w:rsid w:val="00DE4D1D"/>
    <w:rsid w:val="00DE5AFD"/>
    <w:rsid w:val="00DE5E3E"/>
    <w:rsid w:val="00DE6F78"/>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3AD1"/>
    <w:rsid w:val="00E14236"/>
    <w:rsid w:val="00E14E31"/>
    <w:rsid w:val="00E152B4"/>
    <w:rsid w:val="00E165B4"/>
    <w:rsid w:val="00E20111"/>
    <w:rsid w:val="00E21200"/>
    <w:rsid w:val="00E2368E"/>
    <w:rsid w:val="00E27DDF"/>
    <w:rsid w:val="00E301B9"/>
    <w:rsid w:val="00E31395"/>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A44"/>
    <w:rsid w:val="00E82274"/>
    <w:rsid w:val="00E82CF0"/>
    <w:rsid w:val="00E85E40"/>
    <w:rsid w:val="00E86A94"/>
    <w:rsid w:val="00E87819"/>
    <w:rsid w:val="00E90265"/>
    <w:rsid w:val="00E90615"/>
    <w:rsid w:val="00E91C65"/>
    <w:rsid w:val="00E940B9"/>
    <w:rsid w:val="00E9452A"/>
    <w:rsid w:val="00E94841"/>
    <w:rsid w:val="00E94D13"/>
    <w:rsid w:val="00E95219"/>
    <w:rsid w:val="00E97ABD"/>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16D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2AA0"/>
    <w:rsid w:val="00EE4729"/>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5612"/>
    <w:rsid w:val="00F0655E"/>
    <w:rsid w:val="00F10203"/>
    <w:rsid w:val="00F10DE4"/>
    <w:rsid w:val="00F12878"/>
    <w:rsid w:val="00F13976"/>
    <w:rsid w:val="00F14791"/>
    <w:rsid w:val="00F171DD"/>
    <w:rsid w:val="00F173AF"/>
    <w:rsid w:val="00F2096C"/>
    <w:rsid w:val="00F20DC1"/>
    <w:rsid w:val="00F21D2A"/>
    <w:rsid w:val="00F233E7"/>
    <w:rsid w:val="00F23535"/>
    <w:rsid w:val="00F23ECB"/>
    <w:rsid w:val="00F24FF0"/>
    <w:rsid w:val="00F257BF"/>
    <w:rsid w:val="00F2661D"/>
    <w:rsid w:val="00F308AB"/>
    <w:rsid w:val="00F31F21"/>
    <w:rsid w:val="00F34BAC"/>
    <w:rsid w:val="00F35D4E"/>
    <w:rsid w:val="00F362F4"/>
    <w:rsid w:val="00F36B32"/>
    <w:rsid w:val="00F3721F"/>
    <w:rsid w:val="00F41928"/>
    <w:rsid w:val="00F43296"/>
    <w:rsid w:val="00F43D0F"/>
    <w:rsid w:val="00F443BD"/>
    <w:rsid w:val="00F45522"/>
    <w:rsid w:val="00F46409"/>
    <w:rsid w:val="00F464AE"/>
    <w:rsid w:val="00F466B8"/>
    <w:rsid w:val="00F50774"/>
    <w:rsid w:val="00F50E6F"/>
    <w:rsid w:val="00F52E4F"/>
    <w:rsid w:val="00F53489"/>
    <w:rsid w:val="00F5445C"/>
    <w:rsid w:val="00F54926"/>
    <w:rsid w:val="00F54B62"/>
    <w:rsid w:val="00F54B76"/>
    <w:rsid w:val="00F54C32"/>
    <w:rsid w:val="00F55034"/>
    <w:rsid w:val="00F55AF1"/>
    <w:rsid w:val="00F55D6B"/>
    <w:rsid w:val="00F5697C"/>
    <w:rsid w:val="00F574D5"/>
    <w:rsid w:val="00F605F9"/>
    <w:rsid w:val="00F6082D"/>
    <w:rsid w:val="00F61481"/>
    <w:rsid w:val="00F61C33"/>
    <w:rsid w:val="00F62E65"/>
    <w:rsid w:val="00F6367E"/>
    <w:rsid w:val="00F643CA"/>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39E6"/>
    <w:rsid w:val="00FB4334"/>
    <w:rsid w:val="00FB493C"/>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5BAD"/>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2D37510"/>
    <w:rsid w:val="030F1F19"/>
    <w:rsid w:val="032BA92C"/>
    <w:rsid w:val="03672A75"/>
    <w:rsid w:val="03DFD29E"/>
    <w:rsid w:val="03FA117D"/>
    <w:rsid w:val="041D2136"/>
    <w:rsid w:val="0427137D"/>
    <w:rsid w:val="04594EF3"/>
    <w:rsid w:val="04610775"/>
    <w:rsid w:val="0463215A"/>
    <w:rsid w:val="04828E15"/>
    <w:rsid w:val="04B63F4F"/>
    <w:rsid w:val="04E7BFBD"/>
    <w:rsid w:val="05FDC2CB"/>
    <w:rsid w:val="0632FCD2"/>
    <w:rsid w:val="063CF83E"/>
    <w:rsid w:val="06446B8C"/>
    <w:rsid w:val="064E8E3F"/>
    <w:rsid w:val="0651C982"/>
    <w:rsid w:val="065C64F9"/>
    <w:rsid w:val="06F60DDE"/>
    <w:rsid w:val="075533B5"/>
    <w:rsid w:val="0759C403"/>
    <w:rsid w:val="077D115B"/>
    <w:rsid w:val="07F90ED3"/>
    <w:rsid w:val="0828BE6B"/>
    <w:rsid w:val="083F98C7"/>
    <w:rsid w:val="08473C56"/>
    <w:rsid w:val="0861878D"/>
    <w:rsid w:val="08783D74"/>
    <w:rsid w:val="092EFC09"/>
    <w:rsid w:val="09367DE7"/>
    <w:rsid w:val="096C65D7"/>
    <w:rsid w:val="09752946"/>
    <w:rsid w:val="09A0FF0A"/>
    <w:rsid w:val="09BE687E"/>
    <w:rsid w:val="0ACDA26C"/>
    <w:rsid w:val="0AF88E2F"/>
    <w:rsid w:val="0B103690"/>
    <w:rsid w:val="0B1054CB"/>
    <w:rsid w:val="0B4A51B7"/>
    <w:rsid w:val="0BEE3165"/>
    <w:rsid w:val="0C391661"/>
    <w:rsid w:val="0C69E5CD"/>
    <w:rsid w:val="0C6E6FB8"/>
    <w:rsid w:val="0CE6C6D2"/>
    <w:rsid w:val="0D172931"/>
    <w:rsid w:val="0D2BFA75"/>
    <w:rsid w:val="0D440878"/>
    <w:rsid w:val="0E3F1FAF"/>
    <w:rsid w:val="0EC0BC2F"/>
    <w:rsid w:val="0EF745C7"/>
    <w:rsid w:val="0F3352A7"/>
    <w:rsid w:val="0F5FCC5D"/>
    <w:rsid w:val="0F8D0193"/>
    <w:rsid w:val="0F9F0AA3"/>
    <w:rsid w:val="0FA4A511"/>
    <w:rsid w:val="0FAC5E4A"/>
    <w:rsid w:val="1030F000"/>
    <w:rsid w:val="10559C24"/>
    <w:rsid w:val="10AF8292"/>
    <w:rsid w:val="10C77BFF"/>
    <w:rsid w:val="1116C02B"/>
    <w:rsid w:val="1139A341"/>
    <w:rsid w:val="1158F1C1"/>
    <w:rsid w:val="116124E4"/>
    <w:rsid w:val="117E7BF5"/>
    <w:rsid w:val="11F07066"/>
    <w:rsid w:val="1299CAFF"/>
    <w:rsid w:val="12D59147"/>
    <w:rsid w:val="1332C8A5"/>
    <w:rsid w:val="13C97C32"/>
    <w:rsid w:val="1434C17D"/>
    <w:rsid w:val="144B18B2"/>
    <w:rsid w:val="14702EC2"/>
    <w:rsid w:val="14B454D3"/>
    <w:rsid w:val="14C90251"/>
    <w:rsid w:val="14E9B95B"/>
    <w:rsid w:val="154E6E4F"/>
    <w:rsid w:val="156C709F"/>
    <w:rsid w:val="1573F883"/>
    <w:rsid w:val="15A86953"/>
    <w:rsid w:val="1608113F"/>
    <w:rsid w:val="16208AC0"/>
    <w:rsid w:val="1657D7B8"/>
    <w:rsid w:val="167ED604"/>
    <w:rsid w:val="16ABD386"/>
    <w:rsid w:val="16B1DDD1"/>
    <w:rsid w:val="16C06816"/>
    <w:rsid w:val="16CC9081"/>
    <w:rsid w:val="16F10CBF"/>
    <w:rsid w:val="17F281AF"/>
    <w:rsid w:val="184080AA"/>
    <w:rsid w:val="1840E64C"/>
    <w:rsid w:val="1866ACA6"/>
    <w:rsid w:val="18779747"/>
    <w:rsid w:val="188FB6D3"/>
    <w:rsid w:val="18943C20"/>
    <w:rsid w:val="18D58C16"/>
    <w:rsid w:val="1924054C"/>
    <w:rsid w:val="1A3F4D4A"/>
    <w:rsid w:val="1A4697CA"/>
    <w:rsid w:val="1B04300A"/>
    <w:rsid w:val="1BD4C1B7"/>
    <w:rsid w:val="1BE46828"/>
    <w:rsid w:val="1CFDA188"/>
    <w:rsid w:val="1D7B6076"/>
    <w:rsid w:val="1DE8DF7D"/>
    <w:rsid w:val="1DF06761"/>
    <w:rsid w:val="1E81FB5E"/>
    <w:rsid w:val="1E918394"/>
    <w:rsid w:val="1E9B80FB"/>
    <w:rsid w:val="1EDB86DD"/>
    <w:rsid w:val="1EE640CD"/>
    <w:rsid w:val="1F06E617"/>
    <w:rsid w:val="1F133E4F"/>
    <w:rsid w:val="1F540A14"/>
    <w:rsid w:val="203C32B6"/>
    <w:rsid w:val="203E8FC7"/>
    <w:rsid w:val="2064B7BF"/>
    <w:rsid w:val="207B20C2"/>
    <w:rsid w:val="208DB2D3"/>
    <w:rsid w:val="213597B1"/>
    <w:rsid w:val="2140E08E"/>
    <w:rsid w:val="216CB011"/>
    <w:rsid w:val="2173EF7E"/>
    <w:rsid w:val="21E5E3EF"/>
    <w:rsid w:val="22BC50A0"/>
    <w:rsid w:val="232472AA"/>
    <w:rsid w:val="2335B85F"/>
    <w:rsid w:val="2335EB30"/>
    <w:rsid w:val="23572F85"/>
    <w:rsid w:val="236D47B3"/>
    <w:rsid w:val="237907D3"/>
    <w:rsid w:val="23BCAC80"/>
    <w:rsid w:val="23BFBAD3"/>
    <w:rsid w:val="23DF278E"/>
    <w:rsid w:val="24226B2F"/>
    <w:rsid w:val="2429D5E3"/>
    <w:rsid w:val="247A7E71"/>
    <w:rsid w:val="250C2A66"/>
    <w:rsid w:val="2516F8EC"/>
    <w:rsid w:val="252924B2"/>
    <w:rsid w:val="25639E99"/>
    <w:rsid w:val="25AE62FB"/>
    <w:rsid w:val="261A631F"/>
    <w:rsid w:val="26333270"/>
    <w:rsid w:val="26A179E0"/>
    <w:rsid w:val="26E555FA"/>
    <w:rsid w:val="272CB665"/>
    <w:rsid w:val="273E812F"/>
    <w:rsid w:val="27CA4ED3"/>
    <w:rsid w:val="27D4A41C"/>
    <w:rsid w:val="27D4B8B2"/>
    <w:rsid w:val="280C3370"/>
    <w:rsid w:val="28ED1264"/>
    <w:rsid w:val="291D19D4"/>
    <w:rsid w:val="293C868F"/>
    <w:rsid w:val="298F0E45"/>
    <w:rsid w:val="29B2029C"/>
    <w:rsid w:val="2A171313"/>
    <w:rsid w:val="2AFBC1F9"/>
    <w:rsid w:val="2B7DB66D"/>
    <w:rsid w:val="2BB2273D"/>
    <w:rsid w:val="2BCF3DD7"/>
    <w:rsid w:val="2CB22C93"/>
    <w:rsid w:val="2CE28EF2"/>
    <w:rsid w:val="2D4DBAEA"/>
    <w:rsid w:val="2D53791D"/>
    <w:rsid w:val="2DBFE9CA"/>
    <w:rsid w:val="2DD127E1"/>
    <w:rsid w:val="2DECACDD"/>
    <w:rsid w:val="2E4AA436"/>
    <w:rsid w:val="2E626AD2"/>
    <w:rsid w:val="2EEEC208"/>
    <w:rsid w:val="2F013E8A"/>
    <w:rsid w:val="2F0F00E9"/>
    <w:rsid w:val="2F3ECA62"/>
    <w:rsid w:val="2F829A74"/>
    <w:rsid w:val="2F92698C"/>
    <w:rsid w:val="2FA6FAD3"/>
    <w:rsid w:val="2FBA86FB"/>
    <w:rsid w:val="2FD46499"/>
    <w:rsid w:val="3004A8BD"/>
    <w:rsid w:val="30294D60"/>
    <w:rsid w:val="30FA96BF"/>
    <w:rsid w:val="313196FF"/>
    <w:rsid w:val="317034FA"/>
    <w:rsid w:val="320BA99E"/>
    <w:rsid w:val="3228E1AD"/>
    <w:rsid w:val="3257E760"/>
    <w:rsid w:val="325C3B5E"/>
    <w:rsid w:val="32818005"/>
    <w:rsid w:val="32A6E661"/>
    <w:rsid w:val="32C492C3"/>
    <w:rsid w:val="32C64423"/>
    <w:rsid w:val="32CA485B"/>
    <w:rsid w:val="32DC4290"/>
    <w:rsid w:val="32FA64E2"/>
    <w:rsid w:val="3323B89A"/>
    <w:rsid w:val="334A73EE"/>
    <w:rsid w:val="337AB4A9"/>
    <w:rsid w:val="33FA254B"/>
    <w:rsid w:val="346910F8"/>
    <w:rsid w:val="348BB948"/>
    <w:rsid w:val="34D5F597"/>
    <w:rsid w:val="351CFC39"/>
    <w:rsid w:val="35251529"/>
    <w:rsid w:val="353FA472"/>
    <w:rsid w:val="35772A0E"/>
    <w:rsid w:val="35A43028"/>
    <w:rsid w:val="35AE58AD"/>
    <w:rsid w:val="35D3FC2F"/>
    <w:rsid w:val="35D66FAC"/>
    <w:rsid w:val="364610DD"/>
    <w:rsid w:val="36484DB1"/>
    <w:rsid w:val="364D96BF"/>
    <w:rsid w:val="3684DEAC"/>
    <w:rsid w:val="369A68DD"/>
    <w:rsid w:val="36B6B303"/>
    <w:rsid w:val="36F6E7B3"/>
    <w:rsid w:val="3720DB47"/>
    <w:rsid w:val="3738652F"/>
    <w:rsid w:val="373F886C"/>
    <w:rsid w:val="37907C02"/>
    <w:rsid w:val="379D2EB9"/>
    <w:rsid w:val="3864AB4C"/>
    <w:rsid w:val="388C302C"/>
    <w:rsid w:val="38A08456"/>
    <w:rsid w:val="38ECBED7"/>
    <w:rsid w:val="38F5364C"/>
    <w:rsid w:val="393FA91A"/>
    <w:rsid w:val="3957844C"/>
    <w:rsid w:val="3957A287"/>
    <w:rsid w:val="3978D72C"/>
    <w:rsid w:val="39D0EC0B"/>
    <w:rsid w:val="39F9DFE5"/>
    <w:rsid w:val="3A2F6C68"/>
    <w:rsid w:val="3A5B0CBA"/>
    <w:rsid w:val="3AEC4FAB"/>
    <w:rsid w:val="3B290834"/>
    <w:rsid w:val="3B7329F6"/>
    <w:rsid w:val="3B744F4B"/>
    <w:rsid w:val="3B9296B1"/>
    <w:rsid w:val="3C8C4D9D"/>
    <w:rsid w:val="3C96157A"/>
    <w:rsid w:val="3CEBA27B"/>
    <w:rsid w:val="3D27E330"/>
    <w:rsid w:val="3D5C2947"/>
    <w:rsid w:val="3D773EBE"/>
    <w:rsid w:val="3DA0F49D"/>
    <w:rsid w:val="3DC66899"/>
    <w:rsid w:val="3F26D7BE"/>
    <w:rsid w:val="3F367E2F"/>
    <w:rsid w:val="3FA02142"/>
    <w:rsid w:val="3FB838EA"/>
    <w:rsid w:val="4007DEA5"/>
    <w:rsid w:val="401848B5"/>
    <w:rsid w:val="403F1335"/>
    <w:rsid w:val="409348AA"/>
    <w:rsid w:val="40D0A732"/>
    <w:rsid w:val="41294046"/>
    <w:rsid w:val="41427D68"/>
    <w:rsid w:val="417A1661"/>
    <w:rsid w:val="418E7E7B"/>
    <w:rsid w:val="41E3999B"/>
    <w:rsid w:val="4251D70C"/>
    <w:rsid w:val="42AA5FDB"/>
    <w:rsid w:val="42EC4CDC"/>
    <w:rsid w:val="431DDC44"/>
    <w:rsid w:val="4368BE89"/>
    <w:rsid w:val="43ADCA0E"/>
    <w:rsid w:val="43C7895C"/>
    <w:rsid w:val="4464B56E"/>
    <w:rsid w:val="44C623C0"/>
    <w:rsid w:val="454889BA"/>
    <w:rsid w:val="4584277F"/>
    <w:rsid w:val="45844237"/>
    <w:rsid w:val="45F10F96"/>
    <w:rsid w:val="460E66A7"/>
    <w:rsid w:val="46236731"/>
    <w:rsid w:val="465AD0E4"/>
    <w:rsid w:val="4672FD22"/>
    <w:rsid w:val="4687CE66"/>
    <w:rsid w:val="47313D95"/>
    <w:rsid w:val="4731522B"/>
    <w:rsid w:val="47372111"/>
    <w:rsid w:val="477E4135"/>
    <w:rsid w:val="47AA9BAF"/>
    <w:rsid w:val="47B8361B"/>
    <w:rsid w:val="47FD2D0A"/>
    <w:rsid w:val="4822846D"/>
    <w:rsid w:val="485A31FC"/>
    <w:rsid w:val="48716051"/>
    <w:rsid w:val="48844D83"/>
    <w:rsid w:val="490C9D19"/>
    <w:rsid w:val="4920188E"/>
    <w:rsid w:val="49204B5F"/>
    <w:rsid w:val="49618003"/>
    <w:rsid w:val="496C6C73"/>
    <w:rsid w:val="4991EEC4"/>
    <w:rsid w:val="4995988E"/>
    <w:rsid w:val="49B15B7F"/>
    <w:rsid w:val="49B17015"/>
    <w:rsid w:val="4A0B5683"/>
    <w:rsid w:val="4AC4EC4A"/>
    <w:rsid w:val="4ACBB049"/>
    <w:rsid w:val="4ADA4FE6"/>
    <w:rsid w:val="4AFF26C9"/>
    <w:rsid w:val="4B6BE3E3"/>
    <w:rsid w:val="4BAAF72A"/>
    <w:rsid w:val="4C07D5A0"/>
    <w:rsid w:val="4C10A7C3"/>
    <w:rsid w:val="4C122AE9"/>
    <w:rsid w:val="4C33BF82"/>
    <w:rsid w:val="4C49FC4E"/>
    <w:rsid w:val="4C64C5FC"/>
    <w:rsid w:val="4CA970EF"/>
    <w:rsid w:val="4CDB7101"/>
    <w:rsid w:val="4D1920AB"/>
    <w:rsid w:val="4D255023"/>
    <w:rsid w:val="4D7A5F71"/>
    <w:rsid w:val="4D7FB60A"/>
    <w:rsid w:val="4D812A09"/>
    <w:rsid w:val="4D9F5029"/>
    <w:rsid w:val="4E0D1B47"/>
    <w:rsid w:val="4E4DD800"/>
    <w:rsid w:val="4E53A0F5"/>
    <w:rsid w:val="4E6BC79A"/>
    <w:rsid w:val="4E77BC52"/>
    <w:rsid w:val="4E7D5954"/>
    <w:rsid w:val="4EAA4240"/>
    <w:rsid w:val="4F791A6C"/>
    <w:rsid w:val="4FDAA9F5"/>
    <w:rsid w:val="5034A4F9"/>
    <w:rsid w:val="50598685"/>
    <w:rsid w:val="50F60D95"/>
    <w:rsid w:val="50F99924"/>
    <w:rsid w:val="519CBA3D"/>
    <w:rsid w:val="51C1DECF"/>
    <w:rsid w:val="51C4D427"/>
    <w:rsid w:val="520E5DA2"/>
    <w:rsid w:val="52EC6866"/>
    <w:rsid w:val="5300F34D"/>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6CFB966"/>
    <w:rsid w:val="571F3DD0"/>
    <w:rsid w:val="574C3B52"/>
    <w:rsid w:val="575F896E"/>
    <w:rsid w:val="576BA80D"/>
    <w:rsid w:val="5783D44B"/>
    <w:rsid w:val="57913241"/>
    <w:rsid w:val="57C08CD4"/>
    <w:rsid w:val="57ED5785"/>
    <w:rsid w:val="57F3D7E7"/>
    <w:rsid w:val="5842BCAC"/>
    <w:rsid w:val="587569D1"/>
    <w:rsid w:val="590951B3"/>
    <w:rsid w:val="597031AD"/>
    <w:rsid w:val="59760802"/>
    <w:rsid w:val="599806A7"/>
    <w:rsid w:val="599A63B8"/>
    <w:rsid w:val="599FACC6"/>
    <w:rsid w:val="59D7BB9F"/>
    <w:rsid w:val="59D9957C"/>
    <w:rsid w:val="5A53ABD5"/>
    <w:rsid w:val="5B41B7E0"/>
    <w:rsid w:val="5B61249B"/>
    <w:rsid w:val="5B613931"/>
    <w:rsid w:val="5B75EBFC"/>
    <w:rsid w:val="5BB9E703"/>
    <w:rsid w:val="5BCB9128"/>
    <w:rsid w:val="5BD566F7"/>
    <w:rsid w:val="5C91BF21"/>
    <w:rsid w:val="5C984008"/>
    <w:rsid w:val="5CD2F3BA"/>
    <w:rsid w:val="5D125766"/>
    <w:rsid w:val="5D1B8EC4"/>
    <w:rsid w:val="5D3AFB7F"/>
    <w:rsid w:val="5DAEA4EE"/>
    <w:rsid w:val="5E06CCB9"/>
    <w:rsid w:val="5E36274C"/>
    <w:rsid w:val="5E6EEEC3"/>
    <w:rsid w:val="5EBDB819"/>
    <w:rsid w:val="5EE4ACB8"/>
    <w:rsid w:val="5F14D263"/>
    <w:rsid w:val="5F2058A9"/>
    <w:rsid w:val="5F25C82E"/>
    <w:rsid w:val="5F46CE48"/>
    <w:rsid w:val="5F50341F"/>
    <w:rsid w:val="5F603073"/>
    <w:rsid w:val="5F7E886E"/>
    <w:rsid w:val="5FC9B185"/>
    <w:rsid w:val="5FCEFD23"/>
    <w:rsid w:val="60073BE8"/>
    <w:rsid w:val="6015146D"/>
    <w:rsid w:val="601BC825"/>
    <w:rsid w:val="6056A67F"/>
    <w:rsid w:val="605D38DB"/>
    <w:rsid w:val="60D89929"/>
    <w:rsid w:val="6130780D"/>
    <w:rsid w:val="6140FE6A"/>
    <w:rsid w:val="61852A03"/>
    <w:rsid w:val="6206E4BE"/>
    <w:rsid w:val="623B4BE9"/>
    <w:rsid w:val="62985A80"/>
    <w:rsid w:val="62CB2E14"/>
    <w:rsid w:val="62EAE236"/>
    <w:rsid w:val="630A6387"/>
    <w:rsid w:val="633078DE"/>
    <w:rsid w:val="640DD48E"/>
    <w:rsid w:val="6422BD39"/>
    <w:rsid w:val="64431148"/>
    <w:rsid w:val="6508E4F1"/>
    <w:rsid w:val="651F76D7"/>
    <w:rsid w:val="656ED8A1"/>
    <w:rsid w:val="65AF6C3E"/>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025A3C"/>
    <w:rsid w:val="6C796364"/>
    <w:rsid w:val="6CA20334"/>
    <w:rsid w:val="6CDAC9DC"/>
    <w:rsid w:val="6D037186"/>
    <w:rsid w:val="6D06986E"/>
    <w:rsid w:val="6D5D6C8A"/>
    <w:rsid w:val="6D8014C3"/>
    <w:rsid w:val="6D9AF02B"/>
    <w:rsid w:val="6DF4912E"/>
    <w:rsid w:val="6E0F0EDC"/>
    <w:rsid w:val="6EAA8C57"/>
    <w:rsid w:val="6EE0B1B3"/>
    <w:rsid w:val="6F6440F0"/>
    <w:rsid w:val="6F74C70F"/>
    <w:rsid w:val="6F7DC2FD"/>
    <w:rsid w:val="6F83A406"/>
    <w:rsid w:val="6F991F6F"/>
    <w:rsid w:val="6FCBE018"/>
    <w:rsid w:val="7010A436"/>
    <w:rsid w:val="704B32F1"/>
    <w:rsid w:val="7077662A"/>
    <w:rsid w:val="707EA580"/>
    <w:rsid w:val="709B298C"/>
    <w:rsid w:val="70E710E7"/>
    <w:rsid w:val="70F85E7F"/>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5037D88"/>
    <w:rsid w:val="7607E5DB"/>
    <w:rsid w:val="761E95A3"/>
    <w:rsid w:val="766A1BCF"/>
    <w:rsid w:val="76744F65"/>
    <w:rsid w:val="772A4A8A"/>
    <w:rsid w:val="773A68C8"/>
    <w:rsid w:val="775AF02C"/>
    <w:rsid w:val="77DBDF7A"/>
    <w:rsid w:val="77E0E29F"/>
    <w:rsid w:val="77E3A526"/>
    <w:rsid w:val="77F135ED"/>
    <w:rsid w:val="7842D083"/>
    <w:rsid w:val="785234BA"/>
    <w:rsid w:val="789148F7"/>
    <w:rsid w:val="78AA4B8D"/>
    <w:rsid w:val="78C60F07"/>
    <w:rsid w:val="78D113A2"/>
    <w:rsid w:val="792BD304"/>
    <w:rsid w:val="79637FC5"/>
    <w:rsid w:val="799AE726"/>
    <w:rsid w:val="799DC7E8"/>
    <w:rsid w:val="79DE5487"/>
    <w:rsid w:val="79DFDE15"/>
    <w:rsid w:val="7A214860"/>
    <w:rsid w:val="7A410FB3"/>
    <w:rsid w:val="7A4C8DEE"/>
    <w:rsid w:val="7A5978A5"/>
    <w:rsid w:val="7AF24B5D"/>
    <w:rsid w:val="7B177C64"/>
    <w:rsid w:val="7B1AC306"/>
    <w:rsid w:val="7B250C5A"/>
    <w:rsid w:val="7B2FE556"/>
    <w:rsid w:val="7B6363BF"/>
    <w:rsid w:val="7B74BE0A"/>
    <w:rsid w:val="7B96FCCB"/>
    <w:rsid w:val="7BC12847"/>
    <w:rsid w:val="7BDCE014"/>
    <w:rsid w:val="7C116F33"/>
    <w:rsid w:val="7C340E3D"/>
    <w:rsid w:val="7CF18FFC"/>
    <w:rsid w:val="7DA29630"/>
    <w:rsid w:val="7E6D3EB2"/>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2831645C-C096-4E76-AB38-BEAC77C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0307">
      <w:bodyDiv w:val="1"/>
      <w:marLeft w:val="0"/>
      <w:marRight w:val="0"/>
      <w:marTop w:val="0"/>
      <w:marBottom w:val="0"/>
      <w:divBdr>
        <w:top w:val="none" w:sz="0" w:space="0" w:color="auto"/>
        <w:left w:val="none" w:sz="0" w:space="0" w:color="auto"/>
        <w:bottom w:val="none" w:sz="0" w:space="0" w:color="auto"/>
        <w:right w:val="none" w:sz="0" w:space="0" w:color="auto"/>
      </w:divBdr>
    </w:div>
    <w:div w:id="327366285">
      <w:bodyDiv w:val="1"/>
      <w:marLeft w:val="0"/>
      <w:marRight w:val="0"/>
      <w:marTop w:val="0"/>
      <w:marBottom w:val="0"/>
      <w:divBdr>
        <w:top w:val="none" w:sz="0" w:space="0" w:color="auto"/>
        <w:left w:val="none" w:sz="0" w:space="0" w:color="auto"/>
        <w:bottom w:val="none" w:sz="0" w:space="0" w:color="auto"/>
        <w:right w:val="none" w:sz="0" w:space="0" w:color="auto"/>
      </w:divBdr>
    </w:div>
    <w:div w:id="392700843">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44566727">
      <w:bodyDiv w:val="1"/>
      <w:marLeft w:val="0"/>
      <w:marRight w:val="0"/>
      <w:marTop w:val="0"/>
      <w:marBottom w:val="0"/>
      <w:divBdr>
        <w:top w:val="none" w:sz="0" w:space="0" w:color="auto"/>
        <w:left w:val="none" w:sz="0" w:space="0" w:color="auto"/>
        <w:bottom w:val="none" w:sz="0" w:space="0" w:color="auto"/>
        <w:right w:val="none" w:sz="0" w:space="0" w:color="auto"/>
      </w:divBdr>
    </w:div>
    <w:div w:id="826046113">
      <w:bodyDiv w:val="1"/>
      <w:marLeft w:val="0"/>
      <w:marRight w:val="0"/>
      <w:marTop w:val="0"/>
      <w:marBottom w:val="0"/>
      <w:divBdr>
        <w:top w:val="none" w:sz="0" w:space="0" w:color="auto"/>
        <w:left w:val="none" w:sz="0" w:space="0" w:color="auto"/>
        <w:bottom w:val="none" w:sz="0" w:space="0" w:color="auto"/>
        <w:right w:val="none" w:sz="0" w:space="0" w:color="auto"/>
      </w:divBdr>
    </w:div>
    <w:div w:id="1187215618">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73790485">
      <w:bodyDiv w:val="1"/>
      <w:marLeft w:val="0"/>
      <w:marRight w:val="0"/>
      <w:marTop w:val="0"/>
      <w:marBottom w:val="0"/>
      <w:divBdr>
        <w:top w:val="none" w:sz="0" w:space="0" w:color="auto"/>
        <w:left w:val="none" w:sz="0" w:space="0" w:color="auto"/>
        <w:bottom w:val="none" w:sz="0" w:space="0" w:color="auto"/>
        <w:right w:val="none" w:sz="0" w:space="0" w:color="auto"/>
      </w:divBdr>
    </w:div>
    <w:div w:id="1512992614">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6956">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1581">
      <w:bodyDiv w:val="1"/>
      <w:marLeft w:val="0"/>
      <w:marRight w:val="0"/>
      <w:marTop w:val="0"/>
      <w:marBottom w:val="0"/>
      <w:divBdr>
        <w:top w:val="none" w:sz="0" w:space="0" w:color="auto"/>
        <w:left w:val="none" w:sz="0" w:space="0" w:color="auto"/>
        <w:bottom w:val="none" w:sz="0" w:space="0" w:color="auto"/>
        <w:right w:val="none" w:sz="0" w:space="0" w:color="auto"/>
      </w:divBdr>
    </w:div>
    <w:div w:id="1999268470">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eur01.safelinks.protection.outlook.com/?url=https%3A%2F%2Fwww.gavi.org%2Fnews%2Fdocument-library%2Ftca-guidelines&amp;data=05%7C01%7Cegormley%40gavi.org%7C990571ac9fe3410660a008da24644b30%7C1de6d9f30daf4df6b9d65959f16f6118%7C0%7C0%7C637862310415669979%7CUnknown%7CTWFpbGZsb3d8eyJWIjoiMC4wLjAwMDAiLCJQIjoiV2luMzIiLCJBTiI6Ik1haWwiLCJXVCI6Mn0%3D%7C3000%7C%7C%7C&amp;sdata=B6%2B91FguaNH9utCfM9aMPU3flVqbPk%2Bgx%2BlgiutijH0%3D&amp;reserved=0"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ho.org/sites/default/files/faqs_ipv2_eng_10_june_2020.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GAVI-438364776-957513</_dlc_DocId>
    <_dlc_DocIdUrl xmlns="55894003-98dc-4f3e-8669-85b90bdbcc8c">
      <Url>https://gavinet.sharepoint.com/teams/PAP/srp/_layouts/15/DocIdRedir.aspx?ID=GAVI-438364776-957513</Url>
      <Description>GAVI-438364776-957513</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3.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4.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5.xml><?xml version="1.0" encoding="utf-8"?>
<ds:datastoreItem xmlns:ds="http://schemas.openxmlformats.org/officeDocument/2006/customXml" ds:itemID="{443ABCCA-2525-4A32-B18C-E44E28EFC753}">
  <ds:schemaRefs>
    <ds:schemaRef ds:uri="5c2490db-6e42-4989-a0fb-d6ff54a6a7de"/>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3FEDA0A5-2602-461B-A2B9-2DF6C5D53F07}"/>
</file>

<file path=docProps/app.xml><?xml version="1.0" encoding="utf-8"?>
<Properties xmlns="http://schemas.openxmlformats.org/officeDocument/2006/extended-properties" xmlns:vt="http://schemas.openxmlformats.org/officeDocument/2006/docPropsVTypes">
  <Template>Normal.dotm</Template>
  <TotalTime>173</TotalTime>
  <Pages>1</Pages>
  <Words>5744</Words>
  <Characters>32743</Characters>
  <Application>Microsoft Office Word</Application>
  <DocSecurity>4</DocSecurity>
  <Lines>272</Lines>
  <Paragraphs>76</Paragraphs>
  <ScaleCrop>false</ScaleCrop>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Charlie Whetham</cp:lastModifiedBy>
  <cp:revision>21</cp:revision>
  <dcterms:created xsi:type="dcterms:W3CDTF">2022-05-30T19:37:00Z</dcterms:created>
  <dcterms:modified xsi:type="dcterms:W3CDTF">2022-06-02T06:06:00Z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ce1aa23a-b65f-44f6-a828-62f279a7e106</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