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938CF" w14:textId="77777777" w:rsidR="00356C0F" w:rsidRDefault="00356C0F" w:rsidP="00FC4A11">
      <w:pPr>
        <w:pStyle w:val="Heading1"/>
        <w:spacing w:before="0" w:after="0" w:line="300" w:lineRule="exact"/>
        <w:rPr>
          <w:b/>
          <w:color w:val="70AD47" w:themeColor="accent6"/>
          <w:sz w:val="24"/>
          <w:lang w:val="en-GB"/>
        </w:rPr>
      </w:pPr>
    </w:p>
    <w:p w14:paraId="65EF56B6" w14:textId="77777777" w:rsidR="00F362F4" w:rsidRPr="00F362F4" w:rsidRDefault="00F362F4" w:rsidP="00F362F4">
      <w:pPr>
        <w:rPr>
          <w:lang w:val="en-GB"/>
        </w:rPr>
      </w:pPr>
    </w:p>
    <w:p w14:paraId="7C19C58D" w14:textId="6FF7F0CD" w:rsidR="000301CD" w:rsidRDefault="000301CD" w:rsidP="00FC4A11">
      <w:pPr>
        <w:spacing w:line="300" w:lineRule="exact"/>
        <w:rPr>
          <w:b/>
          <w:color w:val="4472C4" w:themeColor="accent1"/>
          <w:sz w:val="36"/>
          <w:szCs w:val="36"/>
          <w:lang w:val="en-GB"/>
        </w:rPr>
      </w:pPr>
    </w:p>
    <w:p w14:paraId="15DDCE4E" w14:textId="4CC53202" w:rsidR="00B177EC" w:rsidRPr="00B177EC" w:rsidRDefault="45C79559" w:rsidP="45C79559">
      <w:pPr>
        <w:spacing w:line="300" w:lineRule="exact"/>
        <w:jc w:val="center"/>
        <w:rPr>
          <w:b/>
          <w:bCs/>
          <w:color w:val="4472C4" w:themeColor="accent1"/>
          <w:sz w:val="32"/>
          <w:szCs w:val="32"/>
          <w:lang w:val="en-GB"/>
        </w:rPr>
      </w:pPr>
      <w:r w:rsidRPr="007F5F66">
        <w:rPr>
          <w:b/>
          <w:bCs/>
          <w:color w:val="4472C4" w:themeColor="accent1"/>
          <w:sz w:val="32"/>
          <w:szCs w:val="32"/>
          <w:lang w:val="en-GB"/>
        </w:rPr>
        <w:t>Myanmar</w:t>
      </w:r>
    </w:p>
    <w:p w14:paraId="2F1C3C11" w14:textId="77777777" w:rsidR="00B177EC" w:rsidRDefault="00B177EC" w:rsidP="00FC4A11">
      <w:pPr>
        <w:spacing w:line="300" w:lineRule="exact"/>
        <w:rPr>
          <w:b/>
          <w:color w:val="4472C4" w:themeColor="accent1"/>
          <w:sz w:val="36"/>
          <w:szCs w:val="36"/>
          <w:lang w:val="en-GB"/>
        </w:rPr>
      </w:pPr>
    </w:p>
    <w:p w14:paraId="104F20A4" w14:textId="46A3E482" w:rsidR="00EA7614" w:rsidRDefault="000301CD" w:rsidP="00721B6C">
      <w:pPr>
        <w:spacing w:line="240" w:lineRule="auto"/>
        <w:jc w:val="center"/>
        <w:rPr>
          <w:b/>
          <w:color w:val="4471C4"/>
          <w:sz w:val="32"/>
          <w:szCs w:val="32"/>
          <w:lang w:val="en-GB"/>
        </w:rPr>
      </w:pPr>
      <w:r w:rsidRPr="4E4DD800">
        <w:rPr>
          <w:b/>
          <w:color w:val="4471C4"/>
          <w:sz w:val="32"/>
          <w:szCs w:val="32"/>
          <w:lang w:val="en-GB"/>
        </w:rPr>
        <w:t>PEF Targeted Country Assistance (TCA) Narrative</w:t>
      </w:r>
    </w:p>
    <w:p w14:paraId="299FEA98" w14:textId="14379F3C" w:rsidR="00EA7614" w:rsidRPr="000301CD" w:rsidRDefault="000301CD" w:rsidP="00721B6C">
      <w:pPr>
        <w:spacing w:line="240" w:lineRule="auto"/>
        <w:jc w:val="center"/>
        <w:rPr>
          <w:bCs/>
          <w:color w:val="808080" w:themeColor="background1" w:themeShade="80"/>
          <w:sz w:val="32"/>
          <w:szCs w:val="32"/>
          <w:lang w:val="en-GB"/>
        </w:rPr>
      </w:pPr>
      <w:r w:rsidRPr="4E4DD800">
        <w:rPr>
          <w:b/>
          <w:color w:val="4471C4"/>
          <w:sz w:val="32"/>
          <w:szCs w:val="32"/>
          <w:lang w:val="en-GB"/>
        </w:rPr>
        <w:t>for 2022-</w:t>
      </w:r>
      <w:r w:rsidRPr="4E4DD800">
        <w:rPr>
          <w:b/>
          <w:bCs/>
          <w:color w:val="4471C4"/>
          <w:sz w:val="32"/>
          <w:szCs w:val="32"/>
          <w:lang w:val="en-GB"/>
        </w:rPr>
        <w:t>2025 Multi-</w:t>
      </w:r>
      <w:r w:rsidRPr="4E4DD800">
        <w:rPr>
          <w:b/>
          <w:bCs/>
          <w:color w:val="4472C4" w:themeColor="accent1"/>
          <w:sz w:val="32"/>
          <w:szCs w:val="32"/>
          <w:lang w:val="en-GB"/>
        </w:rPr>
        <w:t>Year Planning</w:t>
      </w:r>
    </w:p>
    <w:p w14:paraId="505C9912" w14:textId="77777777" w:rsidR="000301CD" w:rsidRDefault="000301CD" w:rsidP="00FC4A11">
      <w:pPr>
        <w:spacing w:line="300" w:lineRule="exact"/>
        <w:rPr>
          <w:bCs/>
          <w:color w:val="808080" w:themeColor="background1" w:themeShade="80"/>
          <w:lang w:val="en-GB"/>
        </w:rPr>
      </w:pPr>
    </w:p>
    <w:p w14:paraId="0E23D244" w14:textId="1D5F69EF" w:rsidR="000D0267" w:rsidRDefault="00322FAC" w:rsidP="00FC4A11">
      <w:pPr>
        <w:spacing w:line="300" w:lineRule="exact"/>
        <w:rPr>
          <w:bCs/>
          <w:color w:val="808080" w:themeColor="background1" w:themeShade="80"/>
        </w:rPr>
      </w:pPr>
      <w:r w:rsidRPr="00072D93">
        <w:rPr>
          <w:bCs/>
          <w:color w:val="808080" w:themeColor="background1" w:themeShade="80"/>
          <w:lang w:val="en-GB"/>
        </w:rPr>
        <w:t>Use this template to create a narrative that contextualise</w:t>
      </w:r>
      <w:r w:rsidR="008447E6">
        <w:rPr>
          <w:bCs/>
          <w:color w:val="808080" w:themeColor="background1" w:themeShade="80"/>
          <w:lang w:val="en-GB"/>
        </w:rPr>
        <w:t>s</w:t>
      </w:r>
      <w:r w:rsidRPr="00072D93">
        <w:rPr>
          <w:bCs/>
          <w:color w:val="808080" w:themeColor="background1" w:themeShade="80"/>
          <w:lang w:val="en-GB"/>
        </w:rPr>
        <w:t xml:space="preserve"> your </w:t>
      </w:r>
      <w:r w:rsidR="00E14236" w:rsidRPr="00072D93">
        <w:rPr>
          <w:bCs/>
          <w:color w:val="808080" w:themeColor="background1" w:themeShade="80"/>
          <w:lang w:val="en-GB"/>
        </w:rPr>
        <w:t>TCA plan</w:t>
      </w:r>
      <w:r w:rsidR="00EF52EE">
        <w:rPr>
          <w:bCs/>
          <w:color w:val="808080" w:themeColor="background1" w:themeShade="80"/>
          <w:lang w:val="en-GB"/>
        </w:rPr>
        <w:t xml:space="preserve"> for the planned</w:t>
      </w:r>
      <w:r w:rsidR="009731D8">
        <w:rPr>
          <w:bCs/>
          <w:color w:val="808080" w:themeColor="background1" w:themeShade="80"/>
          <w:lang w:val="en-GB"/>
        </w:rPr>
        <w:t xml:space="preserve"> duration</w:t>
      </w:r>
      <w:r w:rsidRPr="00072D93">
        <w:rPr>
          <w:bCs/>
          <w:color w:val="808080" w:themeColor="background1" w:themeShade="80"/>
          <w:lang w:val="en-GB"/>
        </w:rPr>
        <w:t xml:space="preserve"> and how the support </w:t>
      </w:r>
      <w:r w:rsidR="007454E0">
        <w:rPr>
          <w:bCs/>
          <w:color w:val="808080" w:themeColor="background1" w:themeShade="80"/>
          <w:lang w:val="en-GB"/>
        </w:rPr>
        <w:t>that</w:t>
      </w:r>
      <w:r w:rsidRPr="00072D93">
        <w:rPr>
          <w:bCs/>
          <w:color w:val="808080" w:themeColor="background1" w:themeShade="80"/>
          <w:lang w:val="en-GB"/>
        </w:rPr>
        <w:t xml:space="preserve"> you are requesting from Gavi will help you </w:t>
      </w:r>
      <w:r w:rsidR="008E6274">
        <w:rPr>
          <w:bCs/>
          <w:color w:val="808080" w:themeColor="background1" w:themeShade="80"/>
          <w:lang w:val="en-GB"/>
        </w:rPr>
        <w:t>reach your immuni</w:t>
      </w:r>
      <w:r w:rsidR="00FF2C35">
        <w:rPr>
          <w:bCs/>
          <w:color w:val="808080" w:themeColor="background1" w:themeShade="80"/>
          <w:lang w:val="en-GB"/>
        </w:rPr>
        <w:t>s</w:t>
      </w:r>
      <w:r w:rsidR="008E6274">
        <w:rPr>
          <w:bCs/>
          <w:color w:val="808080" w:themeColor="background1" w:themeShade="80"/>
          <w:lang w:val="en-GB"/>
        </w:rPr>
        <w:t xml:space="preserve">ation goals. </w:t>
      </w:r>
      <w:r w:rsidRPr="00072D93">
        <w:rPr>
          <w:bCs/>
          <w:color w:val="808080" w:themeColor="background1" w:themeShade="80"/>
        </w:rPr>
        <w:t xml:space="preserve"> </w:t>
      </w:r>
    </w:p>
    <w:p w14:paraId="6F6CC660" w14:textId="77777777" w:rsidR="00056DDF" w:rsidRPr="00072D93" w:rsidRDefault="00056DDF" w:rsidP="00FC4A11">
      <w:pPr>
        <w:spacing w:line="300" w:lineRule="exact"/>
        <w:rPr>
          <w:bCs/>
          <w:color w:val="808080" w:themeColor="background1" w:themeShade="80"/>
        </w:rPr>
      </w:pPr>
    </w:p>
    <w:p w14:paraId="1AB11C18" w14:textId="238BD1D1" w:rsidR="001C1D82" w:rsidRPr="0065351E" w:rsidRDefault="00056DDF" w:rsidP="00056DDF">
      <w:pPr>
        <w:spacing w:line="300" w:lineRule="exact"/>
        <w:ind w:left="426"/>
        <w:rPr>
          <w:i/>
          <w:color w:val="808080" w:themeColor="background1" w:themeShade="80"/>
          <w:lang w:val="en-GB"/>
        </w:rPr>
      </w:pPr>
      <w:r w:rsidRPr="0065351E">
        <w:rPr>
          <w:i/>
          <w:color w:val="808080" w:themeColor="background1" w:themeShade="80"/>
          <w:lang w:val="en-GB"/>
        </w:rPr>
        <w:t>(Populated by Gavi)</w:t>
      </w:r>
    </w:p>
    <w:tbl>
      <w:tblPr>
        <w:tblStyle w:val="TableGrid"/>
        <w:tblW w:w="9067" w:type="dxa"/>
        <w:shd w:val="clear" w:color="auto" w:fill="FFFFFF" w:themeFill="background1"/>
        <w:tblLook w:val="04A0" w:firstRow="1" w:lastRow="0" w:firstColumn="1" w:lastColumn="0" w:noHBand="0" w:noVBand="1"/>
      </w:tblPr>
      <w:tblGrid>
        <w:gridCol w:w="2185"/>
        <w:gridCol w:w="787"/>
        <w:gridCol w:w="4961"/>
        <w:gridCol w:w="1134"/>
      </w:tblGrid>
      <w:tr w:rsidR="00FB048D" w14:paraId="70C3917F" w14:textId="6D7D2D4E" w:rsidTr="004C6B53">
        <w:tc>
          <w:tcPr>
            <w:tcW w:w="2185" w:type="dxa"/>
            <w:shd w:val="clear" w:color="auto" w:fill="DEEAF6" w:themeFill="accent5" w:themeFillTint="33"/>
          </w:tcPr>
          <w:p w14:paraId="7BD2C001" w14:textId="20F00943" w:rsidR="00FB048D" w:rsidRPr="00372D1F" w:rsidRDefault="00FB048D" w:rsidP="00FC4A11">
            <w:pPr>
              <w:spacing w:line="300" w:lineRule="exact"/>
              <w:rPr>
                <w:b/>
                <w:lang w:val="en-GB"/>
              </w:rPr>
            </w:pPr>
            <w:r w:rsidRPr="00372D1F">
              <w:rPr>
                <w:b/>
                <w:lang w:val="en-GB"/>
              </w:rPr>
              <w:t>Total Envelope</w:t>
            </w:r>
          </w:p>
        </w:tc>
        <w:tc>
          <w:tcPr>
            <w:tcW w:w="5748" w:type="dxa"/>
            <w:gridSpan w:val="2"/>
            <w:shd w:val="clear" w:color="auto" w:fill="DEEAF6" w:themeFill="accent5" w:themeFillTint="33"/>
          </w:tcPr>
          <w:p w14:paraId="5F1CD927" w14:textId="6426DCE3" w:rsidR="00FB048D" w:rsidRPr="00372D1F" w:rsidRDefault="00FB048D" w:rsidP="00FC4A11">
            <w:pPr>
              <w:spacing w:line="300" w:lineRule="exact"/>
              <w:rPr>
                <w:b/>
                <w:lang w:val="en-GB"/>
              </w:rPr>
            </w:pPr>
            <w:r w:rsidRPr="00372D1F">
              <w:rPr>
                <w:b/>
                <w:lang w:val="en-GB"/>
              </w:rPr>
              <w:t>Indicative allocation per 2022-2025</w:t>
            </w:r>
          </w:p>
        </w:tc>
        <w:tc>
          <w:tcPr>
            <w:tcW w:w="1134" w:type="dxa"/>
            <w:shd w:val="clear" w:color="auto" w:fill="DEEAF6" w:themeFill="accent5" w:themeFillTint="33"/>
          </w:tcPr>
          <w:p w14:paraId="7640021E" w14:textId="0969877A" w:rsidR="00FB048D" w:rsidRPr="00372D1F" w:rsidRDefault="00FB048D" w:rsidP="00FC4A11">
            <w:pPr>
              <w:spacing w:line="300" w:lineRule="exact"/>
              <w:rPr>
                <w:b/>
                <w:lang w:val="en-GB"/>
              </w:rPr>
            </w:pPr>
            <w:r>
              <w:rPr>
                <w:b/>
                <w:lang w:val="en-GB"/>
              </w:rPr>
              <w:t>%</w:t>
            </w:r>
          </w:p>
        </w:tc>
      </w:tr>
      <w:tr w:rsidR="00FB048D" w14:paraId="150C4E2A" w14:textId="117ACA42" w:rsidTr="004C6B53">
        <w:tc>
          <w:tcPr>
            <w:tcW w:w="2185" w:type="dxa"/>
            <w:vMerge w:val="restart"/>
            <w:shd w:val="clear" w:color="auto" w:fill="FFFFFF" w:themeFill="background1"/>
          </w:tcPr>
          <w:p w14:paraId="731ED098" w14:textId="018D318E" w:rsidR="00FB048D" w:rsidRPr="00721B6C" w:rsidRDefault="00FB048D" w:rsidP="00FC4A11">
            <w:pPr>
              <w:spacing w:line="300" w:lineRule="exact"/>
              <w:rPr>
                <w:bCs/>
                <w:color w:val="808080" w:themeColor="background1" w:themeShade="80"/>
                <w:lang w:val="en-GB"/>
              </w:rPr>
            </w:pPr>
            <w:r w:rsidRPr="00721B6C">
              <w:rPr>
                <w:color w:val="808080" w:themeColor="background1" w:themeShade="80"/>
                <w:lang w:val="en-GB"/>
              </w:rPr>
              <w:t>$</w:t>
            </w:r>
            <w:r w:rsidR="00055340" w:rsidRPr="00B8575C">
              <w:rPr>
                <w:color w:val="808080" w:themeColor="background1" w:themeShade="80"/>
                <w:lang w:val="en-GB"/>
              </w:rPr>
              <w:t>2,</w:t>
            </w:r>
            <w:r w:rsidR="00773C11" w:rsidRPr="00397C5C">
              <w:rPr>
                <w:color w:val="808080" w:themeColor="background1" w:themeShade="80"/>
                <w:lang w:val="en-GB"/>
              </w:rPr>
              <w:t>181,18</w:t>
            </w:r>
            <w:r w:rsidR="00AC4557" w:rsidRPr="002309F6">
              <w:rPr>
                <w:color w:val="808080" w:themeColor="background1" w:themeShade="80"/>
                <w:lang w:val="en-GB"/>
              </w:rPr>
              <w:t>5.68</w:t>
            </w:r>
          </w:p>
        </w:tc>
        <w:tc>
          <w:tcPr>
            <w:tcW w:w="787" w:type="dxa"/>
            <w:shd w:val="clear" w:color="auto" w:fill="E2EFD9" w:themeFill="accent6" w:themeFillTint="33"/>
          </w:tcPr>
          <w:p w14:paraId="7CFDAA42" w14:textId="1406FB5F" w:rsidR="00FB048D" w:rsidRPr="00721B6C" w:rsidRDefault="00FB048D" w:rsidP="00FC4A11">
            <w:pPr>
              <w:spacing w:line="300" w:lineRule="exact"/>
              <w:rPr>
                <w:b/>
                <w:lang w:val="en-GB"/>
              </w:rPr>
            </w:pPr>
            <w:r w:rsidRPr="00721B6C">
              <w:rPr>
                <w:b/>
                <w:lang w:val="en-GB"/>
              </w:rPr>
              <w:t>2022</w:t>
            </w:r>
          </w:p>
        </w:tc>
        <w:tc>
          <w:tcPr>
            <w:tcW w:w="4961" w:type="dxa"/>
            <w:shd w:val="clear" w:color="auto" w:fill="E2EFD9" w:themeFill="accent6" w:themeFillTint="33"/>
          </w:tcPr>
          <w:p w14:paraId="00353A5A" w14:textId="20B2B781" w:rsidR="00FB048D" w:rsidRPr="00721B6C" w:rsidRDefault="00FB048D" w:rsidP="00FC4A11">
            <w:pPr>
              <w:spacing w:line="300" w:lineRule="exact"/>
              <w:rPr>
                <w:color w:val="808080" w:themeColor="background1" w:themeShade="80"/>
                <w:lang w:val="en-GB"/>
              </w:rPr>
            </w:pPr>
            <w:r w:rsidRPr="00721B6C">
              <w:rPr>
                <w:color w:val="808080" w:themeColor="background1" w:themeShade="80"/>
                <w:lang w:val="en-GB"/>
              </w:rPr>
              <w:t>$</w:t>
            </w:r>
            <w:r w:rsidR="00773C11" w:rsidRPr="00B8575C">
              <w:rPr>
                <w:color w:val="808080" w:themeColor="background1" w:themeShade="80"/>
                <w:lang w:val="en-GB"/>
              </w:rPr>
              <w:t>1,075,875</w:t>
            </w:r>
            <w:r w:rsidR="00AC4557" w:rsidRPr="00397C5C">
              <w:rPr>
                <w:color w:val="808080" w:themeColor="background1" w:themeShade="80"/>
                <w:lang w:val="en-GB"/>
              </w:rPr>
              <w:t>.34</w:t>
            </w:r>
          </w:p>
        </w:tc>
        <w:tc>
          <w:tcPr>
            <w:tcW w:w="1134" w:type="dxa"/>
            <w:shd w:val="clear" w:color="auto" w:fill="E2EFD9" w:themeFill="accent6" w:themeFillTint="33"/>
          </w:tcPr>
          <w:p w14:paraId="2EADFDF3" w14:textId="1C25BA6B" w:rsidR="00FB048D" w:rsidRPr="00397C5C" w:rsidRDefault="00822CDD" w:rsidP="00FC4A11">
            <w:pPr>
              <w:spacing w:line="300" w:lineRule="exact"/>
              <w:rPr>
                <w:bCs/>
                <w:color w:val="808080" w:themeColor="background1" w:themeShade="80"/>
                <w:lang w:val="en-GB"/>
              </w:rPr>
            </w:pPr>
            <w:r w:rsidRPr="00B8575C">
              <w:rPr>
                <w:bCs/>
                <w:color w:val="808080" w:themeColor="background1" w:themeShade="80"/>
                <w:lang w:val="en-GB"/>
              </w:rPr>
              <w:t>49.3%</w:t>
            </w:r>
          </w:p>
        </w:tc>
      </w:tr>
      <w:tr w:rsidR="00773C11" w14:paraId="3A3CDB53" w14:textId="7AF48707" w:rsidTr="00721B6C">
        <w:trPr>
          <w:trHeight w:val="314"/>
        </w:trPr>
        <w:tc>
          <w:tcPr>
            <w:tcW w:w="2185" w:type="dxa"/>
            <w:vMerge/>
          </w:tcPr>
          <w:p w14:paraId="0CA26921" w14:textId="77777777" w:rsidR="00773C11" w:rsidRPr="00721B6C" w:rsidRDefault="00773C11" w:rsidP="00FC4A11">
            <w:pPr>
              <w:spacing w:line="300" w:lineRule="exact"/>
              <w:rPr>
                <w:bCs/>
                <w:color w:val="808080" w:themeColor="background1" w:themeShade="80"/>
                <w:lang w:val="en-GB"/>
              </w:rPr>
            </w:pPr>
          </w:p>
        </w:tc>
        <w:tc>
          <w:tcPr>
            <w:tcW w:w="787" w:type="dxa"/>
            <w:shd w:val="clear" w:color="auto" w:fill="E2EFD9" w:themeFill="accent6" w:themeFillTint="33"/>
          </w:tcPr>
          <w:p w14:paraId="5CF45603" w14:textId="0FC167E2" w:rsidR="00773C11" w:rsidRPr="00721B6C" w:rsidRDefault="00773C11" w:rsidP="00FC4A11">
            <w:pPr>
              <w:spacing w:line="300" w:lineRule="exact"/>
              <w:rPr>
                <w:b/>
                <w:lang w:val="en-GB"/>
              </w:rPr>
            </w:pPr>
            <w:r w:rsidRPr="00721B6C">
              <w:rPr>
                <w:b/>
                <w:lang w:val="en-GB"/>
              </w:rPr>
              <w:t>2023</w:t>
            </w:r>
          </w:p>
        </w:tc>
        <w:tc>
          <w:tcPr>
            <w:tcW w:w="4961" w:type="dxa"/>
            <w:shd w:val="clear" w:color="auto" w:fill="E2EFD9" w:themeFill="accent6" w:themeFillTint="33"/>
          </w:tcPr>
          <w:p w14:paraId="4DA7D255" w14:textId="1A55D005" w:rsidR="00773C11" w:rsidRPr="00721B6C" w:rsidRDefault="00773C11" w:rsidP="00FC4A11">
            <w:pPr>
              <w:spacing w:line="300" w:lineRule="exact"/>
              <w:rPr>
                <w:color w:val="808080" w:themeColor="background1" w:themeShade="80"/>
                <w:lang w:val="en-GB"/>
              </w:rPr>
            </w:pPr>
            <w:r w:rsidRPr="00721B6C">
              <w:rPr>
                <w:color w:val="808080" w:themeColor="background1" w:themeShade="80"/>
                <w:lang w:val="en-GB"/>
              </w:rPr>
              <w:t>$</w:t>
            </w:r>
            <w:r w:rsidRPr="00B8575C">
              <w:rPr>
                <w:color w:val="808080" w:themeColor="background1" w:themeShade="80"/>
                <w:lang w:val="en-GB"/>
              </w:rPr>
              <w:t>1,105,310</w:t>
            </w:r>
            <w:r w:rsidR="00AC4557" w:rsidRPr="00397C5C">
              <w:rPr>
                <w:color w:val="808080" w:themeColor="background1" w:themeShade="80"/>
                <w:lang w:val="en-GB"/>
              </w:rPr>
              <w:t>.34</w:t>
            </w:r>
          </w:p>
        </w:tc>
        <w:tc>
          <w:tcPr>
            <w:tcW w:w="1134" w:type="dxa"/>
            <w:shd w:val="clear" w:color="auto" w:fill="E2EFD9" w:themeFill="accent6" w:themeFillTint="33"/>
          </w:tcPr>
          <w:p w14:paraId="11ED1C8B" w14:textId="2B097F81" w:rsidR="00773C11" w:rsidRPr="002309F6" w:rsidRDefault="00822CDD" w:rsidP="00FC4A11">
            <w:pPr>
              <w:spacing w:line="300" w:lineRule="exact"/>
              <w:rPr>
                <w:bCs/>
                <w:color w:val="808080" w:themeColor="background1" w:themeShade="80"/>
                <w:lang w:val="en-GB"/>
              </w:rPr>
            </w:pPr>
            <w:r w:rsidRPr="00B8575C">
              <w:rPr>
                <w:bCs/>
                <w:color w:val="808080" w:themeColor="background1" w:themeShade="80"/>
                <w:lang w:val="en-GB"/>
              </w:rPr>
              <w:t>50.7</w:t>
            </w:r>
            <w:r w:rsidR="00B8575C" w:rsidRPr="00397C5C">
              <w:rPr>
                <w:bCs/>
                <w:color w:val="808080" w:themeColor="background1" w:themeShade="80"/>
                <w:lang w:val="en-GB"/>
              </w:rPr>
              <w:t>%</w:t>
            </w:r>
          </w:p>
        </w:tc>
      </w:tr>
    </w:tbl>
    <w:p w14:paraId="1F6083B3" w14:textId="77777777" w:rsidR="00A47FCF" w:rsidRDefault="00A47FCF" w:rsidP="00FC4A11">
      <w:pPr>
        <w:spacing w:line="300" w:lineRule="exact"/>
        <w:rPr>
          <w:bCs/>
          <w:color w:val="808080" w:themeColor="background1" w:themeShade="80"/>
          <w:lang w:val="en-GB"/>
        </w:rPr>
      </w:pPr>
    </w:p>
    <w:p w14:paraId="52D793FC" w14:textId="525D8C3E" w:rsidR="000E69CF" w:rsidRPr="00721B6C" w:rsidRDefault="00FB7375" w:rsidP="00721B6C">
      <w:pPr>
        <w:pStyle w:val="ListParagraph"/>
        <w:numPr>
          <w:ilvl w:val="0"/>
          <w:numId w:val="4"/>
        </w:numPr>
        <w:spacing w:line="300" w:lineRule="exact"/>
        <w:ind w:left="426"/>
        <w:rPr>
          <w:bCs/>
          <w:color w:val="808080" w:themeColor="background1" w:themeShade="80"/>
          <w:lang w:val="en-GB"/>
        </w:rPr>
      </w:pPr>
      <w:r>
        <w:rPr>
          <w:b/>
          <w:color w:val="70AD47" w:themeColor="accent6"/>
          <w:sz w:val="26"/>
          <w:szCs w:val="26"/>
          <w:lang w:val="en-GB"/>
        </w:rPr>
        <w:t>K</w:t>
      </w:r>
      <w:r w:rsidRPr="00FB7375">
        <w:rPr>
          <w:b/>
          <w:color w:val="70AD47" w:themeColor="accent6"/>
          <w:sz w:val="26"/>
          <w:szCs w:val="26"/>
          <w:lang w:val="en-GB"/>
        </w:rPr>
        <w:t xml:space="preserve">ey objectives for the </w:t>
      </w:r>
      <w:r>
        <w:rPr>
          <w:b/>
          <w:color w:val="70AD47" w:themeColor="accent6"/>
          <w:sz w:val="26"/>
          <w:szCs w:val="26"/>
          <w:lang w:val="en-GB"/>
        </w:rPr>
        <w:t>EPI</w:t>
      </w:r>
      <w:r w:rsidRPr="00FB7375">
        <w:rPr>
          <w:b/>
          <w:color w:val="70AD47" w:themeColor="accent6"/>
          <w:sz w:val="26"/>
          <w:szCs w:val="26"/>
          <w:lang w:val="en-GB"/>
        </w:rPr>
        <w:t xml:space="preserve"> program and known gaps/bottlenecks </w:t>
      </w:r>
      <w:r w:rsidR="00650EB6">
        <w:rPr>
          <w:b/>
          <w:color w:val="70AD47" w:themeColor="accent6"/>
          <w:sz w:val="26"/>
          <w:szCs w:val="26"/>
          <w:lang w:val="en-GB"/>
        </w:rPr>
        <w:t>(0.5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650EB6" w14:paraId="4DE8D376" w14:textId="77777777" w:rsidTr="00294171">
        <w:tc>
          <w:tcPr>
            <w:tcW w:w="9192" w:type="dxa"/>
            <w:tcBorders>
              <w:bottom w:val="single" w:sz="6" w:space="0" w:color="auto"/>
            </w:tcBorders>
            <w:shd w:val="clear" w:color="auto" w:fill="F2F2F2" w:themeFill="background1" w:themeFillShade="F2"/>
          </w:tcPr>
          <w:p w14:paraId="6F122A55" w14:textId="4E9A996C" w:rsidR="00650EB6" w:rsidRPr="005E0BA7" w:rsidRDefault="00650EB6" w:rsidP="005E0BA7">
            <w:pPr>
              <w:pStyle w:val="ListParagraph"/>
              <w:numPr>
                <w:ilvl w:val="1"/>
                <w:numId w:val="8"/>
              </w:numPr>
              <w:spacing w:line="300" w:lineRule="exact"/>
              <w:rPr>
                <w:b/>
                <w:bCs/>
                <w:i/>
                <w:iCs/>
                <w:sz w:val="20"/>
                <w:szCs w:val="20"/>
              </w:rPr>
            </w:pPr>
            <w:r w:rsidRPr="005E0BA7">
              <w:rPr>
                <w:b/>
                <w:bCs/>
                <w:i/>
                <w:iCs/>
                <w:sz w:val="20"/>
                <w:szCs w:val="20"/>
              </w:rPr>
              <w:t xml:space="preserve">Please note any country context that </w:t>
            </w:r>
            <w:r w:rsidR="00483273" w:rsidRPr="005E0BA7">
              <w:rPr>
                <w:b/>
                <w:bCs/>
                <w:i/>
                <w:iCs/>
                <w:sz w:val="20"/>
                <w:szCs w:val="20"/>
              </w:rPr>
              <w:t>is</w:t>
            </w:r>
            <w:r w:rsidRPr="005E0BA7">
              <w:rPr>
                <w:b/>
                <w:bCs/>
                <w:i/>
                <w:iCs/>
                <w:sz w:val="20"/>
                <w:szCs w:val="20"/>
              </w:rPr>
              <w:t xml:space="preserve"> significant to understanding the country</w:t>
            </w:r>
            <w:r w:rsidR="00483273" w:rsidRPr="005E0BA7">
              <w:rPr>
                <w:b/>
                <w:bCs/>
                <w:i/>
                <w:iCs/>
                <w:sz w:val="20"/>
                <w:szCs w:val="20"/>
              </w:rPr>
              <w:t>'s</w:t>
            </w:r>
            <w:r w:rsidRPr="005E0BA7">
              <w:rPr>
                <w:b/>
                <w:bCs/>
                <w:i/>
                <w:iCs/>
                <w:sz w:val="20"/>
                <w:szCs w:val="20"/>
              </w:rPr>
              <w:t xml:space="preserve"> vision and request for Gavi TCA support. What specific effects do these factors have on the national immunisation programme</w:t>
            </w:r>
            <w:r w:rsidR="003036DC" w:rsidRPr="005E0BA7">
              <w:rPr>
                <w:b/>
                <w:bCs/>
                <w:i/>
                <w:iCs/>
                <w:sz w:val="20"/>
                <w:szCs w:val="20"/>
              </w:rPr>
              <w:t>?</w:t>
            </w:r>
          </w:p>
          <w:p w14:paraId="7976640A" w14:textId="0FA71649" w:rsidR="003024AB" w:rsidRPr="00476E05" w:rsidRDefault="003024AB" w:rsidP="00FC4898">
            <w:pPr>
              <w:jc w:val="both"/>
            </w:pPr>
          </w:p>
        </w:tc>
      </w:tr>
      <w:tr w:rsidR="00650EB6" w14:paraId="79578C2F" w14:textId="77777777" w:rsidTr="00294171">
        <w:tc>
          <w:tcPr>
            <w:tcW w:w="9192" w:type="dxa"/>
            <w:tcBorders>
              <w:top w:val="single" w:sz="6" w:space="0" w:color="auto"/>
              <w:left w:val="single" w:sz="6" w:space="0" w:color="auto"/>
              <w:bottom w:val="single" w:sz="6" w:space="0" w:color="auto"/>
              <w:right w:val="single" w:sz="6" w:space="0" w:color="auto"/>
            </w:tcBorders>
          </w:tcPr>
          <w:p w14:paraId="54D9F921" w14:textId="528B36FC" w:rsidR="00650EB6" w:rsidRDefault="007E012F" w:rsidP="113B1F31">
            <w:pPr>
              <w:jc w:val="both"/>
              <w:rPr>
                <w:sz w:val="20"/>
                <w:szCs w:val="20"/>
                <w:lang w:val="en-AU"/>
              </w:rPr>
            </w:pPr>
            <w:r w:rsidRPr="007E012F">
              <w:rPr>
                <w:sz w:val="20"/>
                <w:szCs w:val="20"/>
                <w:lang w:val="en-AU"/>
              </w:rPr>
              <w:t xml:space="preserve">The </w:t>
            </w:r>
            <w:r w:rsidR="278651E5" w:rsidRPr="78B3B584">
              <w:rPr>
                <w:sz w:val="20"/>
                <w:szCs w:val="20"/>
                <w:lang w:val="en-AU"/>
              </w:rPr>
              <w:t xml:space="preserve">COVID-19 outbreak </w:t>
            </w:r>
            <w:r w:rsidR="0045520F">
              <w:rPr>
                <w:sz w:val="20"/>
                <w:szCs w:val="20"/>
                <w:lang w:val="en-AU"/>
              </w:rPr>
              <w:t>disrupted immunization services</w:t>
            </w:r>
            <w:r w:rsidR="278651E5" w:rsidRPr="78B3B584">
              <w:rPr>
                <w:sz w:val="20"/>
                <w:szCs w:val="20"/>
                <w:lang w:val="en-AU"/>
              </w:rPr>
              <w:t xml:space="preserve"> </w:t>
            </w:r>
            <w:r w:rsidR="00550A66">
              <w:rPr>
                <w:sz w:val="20"/>
                <w:szCs w:val="20"/>
                <w:lang w:val="en-AU"/>
              </w:rPr>
              <w:t xml:space="preserve">significantly </w:t>
            </w:r>
            <w:r w:rsidR="278651E5" w:rsidRPr="78B3B584">
              <w:rPr>
                <w:sz w:val="20"/>
                <w:szCs w:val="20"/>
                <w:lang w:val="en-AU"/>
              </w:rPr>
              <w:t xml:space="preserve">partly due to </w:t>
            </w:r>
            <w:r w:rsidR="00500013">
              <w:rPr>
                <w:sz w:val="20"/>
                <w:szCs w:val="20"/>
                <w:lang w:val="en-AU"/>
              </w:rPr>
              <w:t>mobilizing</w:t>
            </w:r>
            <w:r w:rsidR="278651E5" w:rsidRPr="78B3B584">
              <w:rPr>
                <w:sz w:val="20"/>
                <w:szCs w:val="20"/>
                <w:lang w:val="en-AU"/>
              </w:rPr>
              <w:t xml:space="preserve"> </w:t>
            </w:r>
            <w:r w:rsidR="005E5694">
              <w:rPr>
                <w:sz w:val="20"/>
                <w:szCs w:val="20"/>
                <w:lang w:val="en-AU"/>
              </w:rPr>
              <w:t>essential</w:t>
            </w:r>
            <w:r w:rsidR="278651E5" w:rsidRPr="78B3B584">
              <w:rPr>
                <w:sz w:val="20"/>
                <w:szCs w:val="20"/>
                <w:lang w:val="en-AU"/>
              </w:rPr>
              <w:t xml:space="preserve"> health professionals working at township and sub-township </w:t>
            </w:r>
            <w:r w:rsidR="00880CEE">
              <w:rPr>
                <w:sz w:val="20"/>
                <w:szCs w:val="20"/>
                <w:lang w:val="en-AU"/>
              </w:rPr>
              <w:t>levels</w:t>
            </w:r>
            <w:r w:rsidR="278651E5" w:rsidRPr="78B3B584">
              <w:rPr>
                <w:sz w:val="20"/>
                <w:szCs w:val="20"/>
                <w:lang w:val="en-AU"/>
              </w:rPr>
              <w:t xml:space="preserve"> for COVID-19 surveillance and response activities </w:t>
            </w:r>
            <w:r w:rsidR="4057D943" w:rsidRPr="113B1F31">
              <w:rPr>
                <w:sz w:val="20"/>
                <w:szCs w:val="20"/>
                <w:lang w:val="en-AU"/>
              </w:rPr>
              <w:t>and</w:t>
            </w:r>
            <w:r w:rsidR="278651E5" w:rsidRPr="78B3B584">
              <w:rPr>
                <w:sz w:val="20"/>
                <w:szCs w:val="20"/>
                <w:lang w:val="en-AU"/>
              </w:rPr>
              <w:t xml:space="preserve"> strict restriction</w:t>
            </w:r>
            <w:r w:rsidR="00820CD3">
              <w:rPr>
                <w:sz w:val="20"/>
                <w:szCs w:val="20"/>
                <w:lang w:val="en-AU"/>
              </w:rPr>
              <w:t>s</w:t>
            </w:r>
            <w:r w:rsidR="278651E5" w:rsidRPr="78B3B584">
              <w:rPr>
                <w:sz w:val="20"/>
                <w:szCs w:val="20"/>
                <w:lang w:val="en-AU"/>
              </w:rPr>
              <w:t xml:space="preserve"> o</w:t>
            </w:r>
            <w:r w:rsidR="00820CD3">
              <w:rPr>
                <w:sz w:val="20"/>
                <w:szCs w:val="20"/>
                <w:lang w:val="en-AU"/>
              </w:rPr>
              <w:t>n</w:t>
            </w:r>
            <w:r w:rsidR="278651E5" w:rsidRPr="78B3B584">
              <w:rPr>
                <w:sz w:val="20"/>
                <w:szCs w:val="20"/>
                <w:lang w:val="en-AU"/>
              </w:rPr>
              <w:t xml:space="preserve"> mass gathering to prevent COVID-19 transmission. With </w:t>
            </w:r>
            <w:r w:rsidR="00EB21E6">
              <w:rPr>
                <w:sz w:val="20"/>
                <w:szCs w:val="20"/>
                <w:lang w:val="en-AU"/>
              </w:rPr>
              <w:t xml:space="preserve">the </w:t>
            </w:r>
            <w:r w:rsidR="278651E5" w:rsidRPr="78B3B584">
              <w:rPr>
                <w:sz w:val="20"/>
                <w:szCs w:val="20"/>
                <w:lang w:val="en-AU"/>
              </w:rPr>
              <w:t xml:space="preserve">COVID-19 pandemic, immunization coverage could be maintained </w:t>
            </w:r>
            <w:r w:rsidR="00EB21E6">
              <w:rPr>
                <w:sz w:val="20"/>
                <w:szCs w:val="20"/>
                <w:lang w:val="en-AU"/>
              </w:rPr>
              <w:t xml:space="preserve">at </w:t>
            </w:r>
            <w:r w:rsidR="278651E5" w:rsidRPr="78B3B584">
              <w:rPr>
                <w:sz w:val="20"/>
                <w:szCs w:val="20"/>
                <w:lang w:val="en-AU"/>
              </w:rPr>
              <w:t xml:space="preserve">around 90% in 2020. </w:t>
            </w:r>
            <w:r w:rsidR="00820CD3">
              <w:rPr>
                <w:sz w:val="20"/>
                <w:szCs w:val="20"/>
                <w:lang w:val="en-AU"/>
              </w:rPr>
              <w:t>However</w:t>
            </w:r>
            <w:r w:rsidR="4057D943" w:rsidRPr="113B1F31">
              <w:rPr>
                <w:sz w:val="20"/>
                <w:szCs w:val="20"/>
                <w:lang w:val="en-AU"/>
              </w:rPr>
              <w:t>, t</w:t>
            </w:r>
            <w:r w:rsidR="53A24269" w:rsidRPr="113B1F31">
              <w:rPr>
                <w:sz w:val="20"/>
                <w:szCs w:val="20"/>
                <w:lang w:val="en-AU"/>
              </w:rPr>
              <w:t xml:space="preserve">he people of Myanmar </w:t>
            </w:r>
            <w:r w:rsidR="0057753B">
              <w:rPr>
                <w:sz w:val="20"/>
                <w:szCs w:val="20"/>
                <w:lang w:val="en-AU"/>
              </w:rPr>
              <w:t xml:space="preserve">have </w:t>
            </w:r>
            <w:r w:rsidR="53A24269" w:rsidRPr="113B1F31">
              <w:rPr>
                <w:sz w:val="20"/>
                <w:szCs w:val="20"/>
                <w:lang w:val="en-AU"/>
              </w:rPr>
              <w:t>faced multiple challenges since February 2021</w:t>
            </w:r>
            <w:r w:rsidR="00500013">
              <w:rPr>
                <w:sz w:val="20"/>
                <w:szCs w:val="20"/>
                <w:lang w:val="en-AU"/>
              </w:rPr>
              <w:t xml:space="preserve"> following the military t</w:t>
            </w:r>
            <w:r w:rsidR="00ED1F38">
              <w:rPr>
                <w:sz w:val="20"/>
                <w:szCs w:val="20"/>
                <w:lang w:val="en-AU"/>
              </w:rPr>
              <w:t>ak</w:t>
            </w:r>
            <w:r w:rsidR="00500013">
              <w:rPr>
                <w:sz w:val="20"/>
                <w:szCs w:val="20"/>
                <w:lang w:val="en-AU"/>
              </w:rPr>
              <w:t>eover</w:t>
            </w:r>
            <w:r w:rsidR="0057753B">
              <w:rPr>
                <w:sz w:val="20"/>
                <w:szCs w:val="20"/>
                <w:lang w:val="en-AU"/>
              </w:rPr>
              <w:t>,</w:t>
            </w:r>
            <w:r w:rsidR="53A24269" w:rsidRPr="113B1F31">
              <w:rPr>
                <w:sz w:val="20"/>
                <w:szCs w:val="20"/>
                <w:lang w:val="en-AU"/>
              </w:rPr>
              <w:t xml:space="preserve"> causing an unprecedented health crisis</w:t>
            </w:r>
            <w:r w:rsidR="0057753B">
              <w:rPr>
                <w:sz w:val="20"/>
                <w:szCs w:val="20"/>
                <w:lang w:val="en-AU"/>
              </w:rPr>
              <w:t>,</w:t>
            </w:r>
            <w:r w:rsidR="53A24269" w:rsidRPr="113B1F31">
              <w:rPr>
                <w:sz w:val="20"/>
                <w:szCs w:val="20"/>
                <w:lang w:val="en-AU"/>
              </w:rPr>
              <w:t xml:space="preserve"> </w:t>
            </w:r>
            <w:r w:rsidR="26FDDC55" w:rsidRPr="113B1F31">
              <w:rPr>
                <w:sz w:val="20"/>
                <w:szCs w:val="20"/>
                <w:lang w:val="en-AU"/>
              </w:rPr>
              <w:t>including the immunization service provision has deteriorated significantly. The collapse of Myanmar</w:t>
            </w:r>
            <w:r w:rsidR="006B3D21">
              <w:rPr>
                <w:sz w:val="20"/>
                <w:szCs w:val="20"/>
                <w:lang w:val="en-AU"/>
              </w:rPr>
              <w:t>'</w:t>
            </w:r>
            <w:r w:rsidR="26FDDC55" w:rsidRPr="113B1F31">
              <w:rPr>
                <w:sz w:val="20"/>
                <w:szCs w:val="20"/>
                <w:lang w:val="en-AU"/>
              </w:rPr>
              <w:t xml:space="preserve">s public health care system and the many people refraining from seeking healthcare is taking a </w:t>
            </w:r>
            <w:r w:rsidR="004A4C01">
              <w:rPr>
                <w:sz w:val="20"/>
                <w:szCs w:val="20"/>
                <w:lang w:val="en-AU"/>
              </w:rPr>
              <w:t>significan</w:t>
            </w:r>
            <w:r w:rsidR="26FDDC55" w:rsidRPr="113B1F31">
              <w:rPr>
                <w:sz w:val="20"/>
                <w:szCs w:val="20"/>
                <w:lang w:val="en-AU"/>
              </w:rPr>
              <w:t>t toll on the population</w:t>
            </w:r>
            <w:r w:rsidR="003F05CF">
              <w:rPr>
                <w:sz w:val="20"/>
                <w:szCs w:val="20"/>
                <w:lang w:val="en-AU"/>
              </w:rPr>
              <w:t>;</w:t>
            </w:r>
            <w:r w:rsidR="26FDDC55" w:rsidRPr="113B1F31">
              <w:rPr>
                <w:sz w:val="20"/>
                <w:szCs w:val="20"/>
                <w:lang w:val="en-AU"/>
              </w:rPr>
              <w:t xml:space="preserve"> th</w:t>
            </w:r>
            <w:r w:rsidR="0057753B">
              <w:rPr>
                <w:sz w:val="20"/>
                <w:szCs w:val="20"/>
                <w:lang w:val="en-AU"/>
              </w:rPr>
              <w:t>e COVID-19 pandemic further compounds this</w:t>
            </w:r>
            <w:r w:rsidR="26FDDC55" w:rsidRPr="113B1F31">
              <w:rPr>
                <w:sz w:val="20"/>
                <w:szCs w:val="20"/>
                <w:lang w:val="en-AU"/>
              </w:rPr>
              <w:t>.</w:t>
            </w:r>
          </w:p>
          <w:p w14:paraId="3C7876DA" w14:textId="2276C530" w:rsidR="00650EB6" w:rsidRDefault="00650EB6" w:rsidP="113B1F31">
            <w:pPr>
              <w:jc w:val="both"/>
              <w:rPr>
                <w:sz w:val="20"/>
                <w:szCs w:val="20"/>
                <w:lang w:val="en-AU"/>
              </w:rPr>
            </w:pPr>
          </w:p>
          <w:p w14:paraId="001C3AE3" w14:textId="7BC02367" w:rsidR="00650EB6" w:rsidRDefault="278651E5" w:rsidP="005E0BA7">
            <w:pPr>
              <w:jc w:val="both"/>
              <w:rPr>
                <w:sz w:val="20"/>
                <w:szCs w:val="20"/>
                <w:lang w:val="en-AU"/>
              </w:rPr>
            </w:pPr>
            <w:r w:rsidRPr="78B3B584">
              <w:rPr>
                <w:sz w:val="20"/>
                <w:szCs w:val="20"/>
                <w:lang w:val="en-AU"/>
              </w:rPr>
              <w:t xml:space="preserve">In addition to the different waves of </w:t>
            </w:r>
            <w:r w:rsidR="00132E4A">
              <w:rPr>
                <w:sz w:val="20"/>
                <w:szCs w:val="20"/>
                <w:lang w:val="en-AU"/>
              </w:rPr>
              <w:t xml:space="preserve">the </w:t>
            </w:r>
            <w:r w:rsidRPr="78B3B584">
              <w:rPr>
                <w:sz w:val="20"/>
                <w:szCs w:val="20"/>
                <w:lang w:val="en-AU"/>
              </w:rPr>
              <w:t xml:space="preserve">COVID-19 outbreak, the </w:t>
            </w:r>
            <w:r w:rsidR="003F05CF">
              <w:rPr>
                <w:sz w:val="20"/>
                <w:szCs w:val="20"/>
                <w:lang w:val="en-AU"/>
              </w:rPr>
              <w:t>country's military takeover further impacted</w:t>
            </w:r>
            <w:r w:rsidRPr="78B3B584">
              <w:rPr>
                <w:sz w:val="20"/>
                <w:szCs w:val="20"/>
                <w:lang w:val="en-AU"/>
              </w:rPr>
              <w:t xml:space="preserve"> the immunization services, resulting in decreased uptake and availability of the services</w:t>
            </w:r>
            <w:r w:rsidR="001A7DB8">
              <w:rPr>
                <w:sz w:val="20"/>
                <w:szCs w:val="20"/>
                <w:lang w:val="en-AU"/>
              </w:rPr>
              <w:t>.</w:t>
            </w:r>
            <w:r w:rsidR="001A7DB8" w:rsidRPr="00CD59A9">
              <w:rPr>
                <w:sz w:val="20"/>
                <w:szCs w:val="20"/>
                <w:lang w:val="en-AU"/>
              </w:rPr>
              <w:t xml:space="preserve"> </w:t>
            </w:r>
            <w:r w:rsidR="001A7DB8" w:rsidRPr="001A7DB8">
              <w:rPr>
                <w:sz w:val="20"/>
                <w:szCs w:val="20"/>
                <w:lang w:val="en-AU"/>
              </w:rPr>
              <w:t>While a</w:t>
            </w:r>
            <w:r w:rsidR="00567289">
              <w:rPr>
                <w:sz w:val="20"/>
                <w:szCs w:val="20"/>
                <w:lang w:val="en-AU"/>
              </w:rPr>
              <w:t xml:space="preserve"> </w:t>
            </w:r>
            <w:r w:rsidR="001A7DB8" w:rsidRPr="001A7DB8">
              <w:rPr>
                <w:sz w:val="20"/>
                <w:szCs w:val="20"/>
                <w:lang w:val="en-AU"/>
              </w:rPr>
              <w:t>part of this could be caused by negative impacts</w:t>
            </w:r>
            <w:r w:rsidR="00567289">
              <w:rPr>
                <w:sz w:val="20"/>
                <w:szCs w:val="20"/>
                <w:lang w:val="en-AU"/>
              </w:rPr>
              <w:t xml:space="preserve"> </w:t>
            </w:r>
            <w:r w:rsidR="001A7DB8" w:rsidRPr="001A7DB8">
              <w:rPr>
                <w:sz w:val="20"/>
                <w:szCs w:val="20"/>
                <w:lang w:val="en-AU"/>
              </w:rPr>
              <w:t xml:space="preserve">on accessibility caused by </w:t>
            </w:r>
            <w:r w:rsidR="009D4B34">
              <w:rPr>
                <w:sz w:val="20"/>
                <w:szCs w:val="20"/>
                <w:lang w:val="en-AU"/>
              </w:rPr>
              <w:t>several</w:t>
            </w:r>
            <w:r w:rsidR="001A7DB8" w:rsidRPr="001A7DB8">
              <w:rPr>
                <w:sz w:val="20"/>
                <w:szCs w:val="20"/>
                <w:lang w:val="en-AU"/>
              </w:rPr>
              <w:t xml:space="preserve"> factors</w:t>
            </w:r>
            <w:r w:rsidR="00D6619B">
              <w:rPr>
                <w:sz w:val="20"/>
                <w:szCs w:val="20"/>
                <w:lang w:val="en-AU"/>
              </w:rPr>
              <w:t>,</w:t>
            </w:r>
            <w:r w:rsidR="00567289">
              <w:rPr>
                <w:sz w:val="20"/>
                <w:szCs w:val="20"/>
                <w:lang w:val="en-AU"/>
              </w:rPr>
              <w:t xml:space="preserve"> </w:t>
            </w:r>
            <w:r w:rsidR="001A7DB8" w:rsidRPr="001A7DB8">
              <w:rPr>
                <w:sz w:val="20"/>
                <w:szCs w:val="20"/>
                <w:lang w:val="en-AU"/>
              </w:rPr>
              <w:t>including COVID-19 and security issues, the low</w:t>
            </w:r>
            <w:r w:rsidR="00567289">
              <w:rPr>
                <w:sz w:val="20"/>
                <w:szCs w:val="20"/>
                <w:lang w:val="en-AU"/>
              </w:rPr>
              <w:t xml:space="preserve"> </w:t>
            </w:r>
            <w:r w:rsidR="001A7DB8" w:rsidRPr="001A7DB8">
              <w:rPr>
                <w:sz w:val="20"/>
                <w:szCs w:val="20"/>
                <w:lang w:val="en-AU"/>
              </w:rPr>
              <w:t xml:space="preserve">utilization also signals a change in </w:t>
            </w:r>
            <w:r w:rsidR="00132E4A">
              <w:rPr>
                <w:sz w:val="20"/>
                <w:szCs w:val="20"/>
                <w:lang w:val="en-AU"/>
              </w:rPr>
              <w:t>care-seeking</w:t>
            </w:r>
            <w:r w:rsidR="00567289">
              <w:rPr>
                <w:sz w:val="20"/>
                <w:szCs w:val="20"/>
                <w:lang w:val="en-AU"/>
              </w:rPr>
              <w:t xml:space="preserve"> </w:t>
            </w:r>
            <w:r w:rsidR="001A7DB8" w:rsidRPr="001A7DB8">
              <w:rPr>
                <w:sz w:val="20"/>
                <w:szCs w:val="20"/>
                <w:lang w:val="en-AU"/>
              </w:rPr>
              <w:t>behavior</w:t>
            </w:r>
            <w:r w:rsidR="00984BD3">
              <w:rPr>
                <w:sz w:val="20"/>
                <w:szCs w:val="20"/>
                <w:lang w:val="en-AU"/>
              </w:rPr>
              <w:t xml:space="preserve"> and trust</w:t>
            </w:r>
            <w:r w:rsidR="00887C81">
              <w:rPr>
                <w:sz w:val="20"/>
                <w:szCs w:val="20"/>
                <w:lang w:val="en-AU"/>
              </w:rPr>
              <w:t xml:space="preserve"> in public health </w:t>
            </w:r>
            <w:r w:rsidR="00C57EF0">
              <w:rPr>
                <w:sz w:val="20"/>
                <w:szCs w:val="20"/>
                <w:lang w:val="en-AU"/>
              </w:rPr>
              <w:t>facilities</w:t>
            </w:r>
            <w:r w:rsidR="001A7DB8" w:rsidRPr="001A7DB8">
              <w:rPr>
                <w:sz w:val="20"/>
                <w:szCs w:val="20"/>
                <w:lang w:val="en-AU"/>
              </w:rPr>
              <w:t xml:space="preserve"> among the population</w:t>
            </w:r>
            <w:r w:rsidR="00D6619B">
              <w:rPr>
                <w:sz w:val="20"/>
                <w:szCs w:val="20"/>
                <w:lang w:val="en-AU"/>
              </w:rPr>
              <w:t>,</w:t>
            </w:r>
            <w:r w:rsidR="001A7DB8" w:rsidRPr="001A7DB8">
              <w:rPr>
                <w:sz w:val="20"/>
                <w:szCs w:val="20"/>
                <w:lang w:val="en-AU"/>
              </w:rPr>
              <w:t xml:space="preserve"> with more</w:t>
            </w:r>
            <w:r w:rsidR="00567289">
              <w:rPr>
                <w:sz w:val="20"/>
                <w:szCs w:val="20"/>
                <w:lang w:val="en-AU"/>
              </w:rPr>
              <w:t xml:space="preserve"> </w:t>
            </w:r>
            <w:r w:rsidR="001A7DB8" w:rsidRPr="001A7DB8">
              <w:rPr>
                <w:sz w:val="20"/>
                <w:szCs w:val="20"/>
                <w:lang w:val="en-AU"/>
              </w:rPr>
              <w:t>individuals either forgoing vaccination or seeking</w:t>
            </w:r>
            <w:r w:rsidR="00567289">
              <w:rPr>
                <w:sz w:val="20"/>
                <w:szCs w:val="20"/>
                <w:lang w:val="en-AU"/>
              </w:rPr>
              <w:t xml:space="preserve"> </w:t>
            </w:r>
            <w:r w:rsidR="001A7DB8" w:rsidRPr="001A7DB8">
              <w:rPr>
                <w:sz w:val="20"/>
                <w:szCs w:val="20"/>
                <w:lang w:val="en-AU"/>
              </w:rPr>
              <w:t xml:space="preserve">services at facilities not run by or linked to the </w:t>
            </w:r>
            <w:r w:rsidR="71B80E52" w:rsidRPr="113B1F31">
              <w:rPr>
                <w:sz w:val="20"/>
                <w:szCs w:val="20"/>
                <w:lang w:val="en-AU"/>
              </w:rPr>
              <w:t>De</w:t>
            </w:r>
            <w:r w:rsidR="008E4A8F">
              <w:rPr>
                <w:sz w:val="20"/>
                <w:szCs w:val="20"/>
                <w:lang w:val="en-AU"/>
              </w:rPr>
              <w:t xml:space="preserve"> </w:t>
            </w:r>
            <w:r w:rsidR="71B80E52" w:rsidRPr="113B1F31">
              <w:rPr>
                <w:sz w:val="20"/>
                <w:szCs w:val="20"/>
                <w:lang w:val="en-AU"/>
              </w:rPr>
              <w:t>Facto A</w:t>
            </w:r>
            <w:r w:rsidR="001A7DB8" w:rsidRPr="001A7DB8">
              <w:rPr>
                <w:sz w:val="20"/>
                <w:szCs w:val="20"/>
                <w:lang w:val="en-AU"/>
              </w:rPr>
              <w:t>uthorities</w:t>
            </w:r>
            <w:r w:rsidR="005D4D00">
              <w:rPr>
                <w:sz w:val="20"/>
                <w:szCs w:val="20"/>
                <w:lang w:val="en-AU"/>
              </w:rPr>
              <w:t xml:space="preserve"> (DFA)</w:t>
            </w:r>
            <w:r w:rsidR="001A7DB8" w:rsidRPr="001A7DB8">
              <w:rPr>
                <w:sz w:val="20"/>
                <w:szCs w:val="20"/>
                <w:lang w:val="en-AU"/>
              </w:rPr>
              <w:t>.</w:t>
            </w:r>
            <w:r w:rsidR="00087410">
              <w:rPr>
                <w:sz w:val="20"/>
                <w:szCs w:val="20"/>
                <w:lang w:val="en-AU"/>
              </w:rPr>
              <w:t xml:space="preserve"> There is also </w:t>
            </w:r>
            <w:r w:rsidR="00D87641">
              <w:rPr>
                <w:sz w:val="20"/>
                <w:szCs w:val="20"/>
                <w:lang w:val="en-AU"/>
              </w:rPr>
              <w:t xml:space="preserve">a </w:t>
            </w:r>
            <w:r w:rsidR="00087410">
              <w:rPr>
                <w:sz w:val="20"/>
                <w:szCs w:val="20"/>
                <w:lang w:val="en-AU"/>
              </w:rPr>
              <w:t xml:space="preserve">significant reduction in </w:t>
            </w:r>
            <w:r w:rsidR="004F2649">
              <w:rPr>
                <w:sz w:val="20"/>
                <w:szCs w:val="20"/>
                <w:lang w:val="en-AU"/>
              </w:rPr>
              <w:t xml:space="preserve">service providers </w:t>
            </w:r>
            <w:r w:rsidRPr="78B3B584">
              <w:rPr>
                <w:sz w:val="20"/>
                <w:szCs w:val="20"/>
                <w:lang w:val="en-AU"/>
              </w:rPr>
              <w:t>following the Civil Disobedient Movement (CDM)</w:t>
            </w:r>
            <w:r w:rsidR="00EB03C9">
              <w:rPr>
                <w:sz w:val="20"/>
                <w:szCs w:val="20"/>
                <w:lang w:val="en-AU"/>
              </w:rPr>
              <w:t xml:space="preserve">. </w:t>
            </w:r>
            <w:r w:rsidR="00DA5A7C">
              <w:rPr>
                <w:sz w:val="20"/>
                <w:szCs w:val="20"/>
                <w:lang w:val="en-AU"/>
              </w:rPr>
              <w:t>As a</w:t>
            </w:r>
            <w:r w:rsidR="008E4A8F">
              <w:rPr>
                <w:sz w:val="20"/>
                <w:szCs w:val="20"/>
                <w:lang w:val="en-AU"/>
              </w:rPr>
              <w:t xml:space="preserve"> result of</w:t>
            </w:r>
            <w:r w:rsidRPr="78B3B584">
              <w:rPr>
                <w:sz w:val="20"/>
                <w:szCs w:val="20"/>
                <w:lang w:val="en-AU"/>
              </w:rPr>
              <w:t xml:space="preserve"> </w:t>
            </w:r>
            <w:r w:rsidR="00DA5A7C">
              <w:rPr>
                <w:sz w:val="20"/>
                <w:szCs w:val="20"/>
                <w:lang w:val="en-AU"/>
              </w:rPr>
              <w:t xml:space="preserve">the </w:t>
            </w:r>
            <w:r w:rsidRPr="78B3B584">
              <w:rPr>
                <w:sz w:val="20"/>
                <w:szCs w:val="20"/>
                <w:lang w:val="en-AU"/>
              </w:rPr>
              <w:t>decreased workforce in the immunization service, there ha</w:t>
            </w:r>
            <w:r w:rsidR="00D6619B">
              <w:rPr>
                <w:sz w:val="20"/>
                <w:szCs w:val="20"/>
                <w:lang w:val="en-AU"/>
              </w:rPr>
              <w:t>s</w:t>
            </w:r>
            <w:r w:rsidRPr="78B3B584">
              <w:rPr>
                <w:sz w:val="20"/>
                <w:szCs w:val="20"/>
                <w:lang w:val="en-AU"/>
              </w:rPr>
              <w:t xml:space="preserve"> been limited availability of either the staff or the vaccines in many parts of Myanmar. </w:t>
            </w:r>
            <w:r w:rsidR="004E199F">
              <w:rPr>
                <w:sz w:val="20"/>
                <w:szCs w:val="20"/>
                <w:lang w:val="en-AU"/>
              </w:rPr>
              <w:t>Therefore,</w:t>
            </w:r>
            <w:r w:rsidRPr="78B3B584">
              <w:rPr>
                <w:sz w:val="20"/>
                <w:szCs w:val="20"/>
                <w:lang w:val="en-AU"/>
              </w:rPr>
              <w:t xml:space="preserve"> the national Penta3 coverage for 2021 was 34%</w:t>
            </w:r>
            <w:r w:rsidR="004E199F">
              <w:rPr>
                <w:sz w:val="20"/>
                <w:szCs w:val="20"/>
                <w:lang w:val="en-AU"/>
              </w:rPr>
              <w:t>,</w:t>
            </w:r>
            <w:r w:rsidRPr="78B3B584">
              <w:rPr>
                <w:sz w:val="20"/>
                <w:szCs w:val="20"/>
                <w:lang w:val="en-AU"/>
              </w:rPr>
              <w:t xml:space="preserve"> significantly lower than that of 2019 &amp; 2020 coverage.</w:t>
            </w:r>
            <w:r w:rsidR="4057D943" w:rsidRPr="113B1F31">
              <w:rPr>
                <w:sz w:val="20"/>
                <w:szCs w:val="20"/>
                <w:lang w:val="en-AU"/>
              </w:rPr>
              <w:t xml:space="preserve"> </w:t>
            </w:r>
            <w:r w:rsidR="005D4D00">
              <w:rPr>
                <w:sz w:val="20"/>
                <w:szCs w:val="20"/>
                <w:lang w:val="en-AU"/>
              </w:rPr>
              <w:t>The below</w:t>
            </w:r>
            <w:r w:rsidR="4057D943" w:rsidRPr="113B1F31">
              <w:rPr>
                <w:sz w:val="20"/>
                <w:szCs w:val="20"/>
                <w:lang w:val="en-AU"/>
              </w:rPr>
              <w:t xml:space="preserve"> table illustrates some of the </w:t>
            </w:r>
            <w:r w:rsidR="001A02C4">
              <w:rPr>
                <w:sz w:val="20"/>
                <w:szCs w:val="20"/>
                <w:lang w:val="en-AU"/>
              </w:rPr>
              <w:t>critical</w:t>
            </w:r>
            <w:r w:rsidR="4057D943" w:rsidRPr="113B1F31">
              <w:rPr>
                <w:sz w:val="20"/>
                <w:szCs w:val="20"/>
                <w:lang w:val="en-AU"/>
              </w:rPr>
              <w:t xml:space="preserve"> challenges imposed by </w:t>
            </w:r>
            <w:r w:rsidR="005D4D00">
              <w:rPr>
                <w:sz w:val="20"/>
                <w:szCs w:val="20"/>
                <w:lang w:val="en-AU"/>
              </w:rPr>
              <w:t xml:space="preserve">the </w:t>
            </w:r>
            <w:r w:rsidR="4057D943" w:rsidRPr="113B1F31">
              <w:rPr>
                <w:sz w:val="20"/>
                <w:szCs w:val="20"/>
                <w:lang w:val="en-AU"/>
              </w:rPr>
              <w:t>COVID-19 pandemic and the political instability.</w:t>
            </w:r>
          </w:p>
          <w:p w14:paraId="47E17FA5" w14:textId="46B83DCB" w:rsidR="00A73B23" w:rsidRDefault="00A73B23" w:rsidP="00FC4898">
            <w:pPr>
              <w:jc w:val="both"/>
              <w:rPr>
                <w:sz w:val="20"/>
                <w:szCs w:val="20"/>
                <w:lang w:val="en-AU"/>
              </w:rPr>
            </w:pPr>
          </w:p>
          <w:tbl>
            <w:tblPr>
              <w:tblStyle w:val="GridTable4-Accent3"/>
              <w:tblW w:w="0" w:type="auto"/>
              <w:tblLook w:val="04A0" w:firstRow="1" w:lastRow="0" w:firstColumn="1" w:lastColumn="0" w:noHBand="0" w:noVBand="1"/>
            </w:tblPr>
            <w:tblGrid>
              <w:gridCol w:w="3941"/>
              <w:gridCol w:w="5025"/>
            </w:tblGrid>
            <w:tr w:rsidR="00E00096" w:rsidRPr="005B715F" w14:paraId="38CF4CE2" w14:textId="77777777" w:rsidTr="0098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1" w:type="dxa"/>
                </w:tcPr>
                <w:p w14:paraId="6C2D1263" w14:textId="320E2BEE" w:rsidR="00E00096" w:rsidRPr="005B715F" w:rsidRDefault="00AD4A5B" w:rsidP="00166D84">
                  <w:pPr>
                    <w:rPr>
                      <w:b w:val="0"/>
                      <w:bCs w:val="0"/>
                      <w:sz w:val="20"/>
                      <w:szCs w:val="20"/>
                      <w:lang w:val="en-AU"/>
                    </w:rPr>
                  </w:pPr>
                  <w:r w:rsidRPr="005B715F">
                    <w:rPr>
                      <w:b w:val="0"/>
                      <w:bCs w:val="0"/>
                      <w:sz w:val="20"/>
                      <w:szCs w:val="20"/>
                      <w:lang w:val="en-AU"/>
                    </w:rPr>
                    <w:lastRenderedPageBreak/>
                    <w:t xml:space="preserve">Challenges </w:t>
                  </w:r>
                  <w:r w:rsidR="009843FD">
                    <w:rPr>
                      <w:b w:val="0"/>
                      <w:bCs w:val="0"/>
                      <w:sz w:val="20"/>
                      <w:szCs w:val="20"/>
                      <w:lang w:val="en-AU"/>
                    </w:rPr>
                    <w:t>before</w:t>
                  </w:r>
                  <w:r w:rsidRPr="005B715F">
                    <w:rPr>
                      <w:b w:val="0"/>
                      <w:bCs w:val="0"/>
                      <w:sz w:val="20"/>
                      <w:szCs w:val="20"/>
                      <w:lang w:val="en-AU"/>
                    </w:rPr>
                    <w:t xml:space="preserve"> the COVID-19 pandemic and political instability</w:t>
                  </w:r>
                </w:p>
              </w:tc>
              <w:tc>
                <w:tcPr>
                  <w:tcW w:w="5025" w:type="dxa"/>
                </w:tcPr>
                <w:p w14:paraId="18275AB3" w14:textId="122A0312" w:rsidR="00E00096" w:rsidRPr="005B715F" w:rsidRDefault="007C707D" w:rsidP="00166D84">
                  <w:pPr>
                    <w:cnfStyle w:val="100000000000" w:firstRow="1" w:lastRow="0" w:firstColumn="0" w:lastColumn="0" w:oddVBand="0" w:evenVBand="0" w:oddHBand="0" w:evenHBand="0" w:firstRowFirstColumn="0" w:firstRowLastColumn="0" w:lastRowFirstColumn="0" w:lastRowLastColumn="0"/>
                    <w:rPr>
                      <w:b w:val="0"/>
                      <w:bCs w:val="0"/>
                      <w:sz w:val="20"/>
                      <w:szCs w:val="20"/>
                      <w:lang w:val="en-AU"/>
                    </w:rPr>
                  </w:pPr>
                  <w:r w:rsidRPr="005B715F">
                    <w:rPr>
                      <w:b w:val="0"/>
                      <w:bCs w:val="0"/>
                      <w:sz w:val="20"/>
                      <w:szCs w:val="20"/>
                      <w:lang w:val="en-AU"/>
                    </w:rPr>
                    <w:t>Challenges posed due to political change</w:t>
                  </w:r>
                </w:p>
              </w:tc>
            </w:tr>
            <w:tr w:rsidR="00E00096" w:rsidRPr="005B715F" w14:paraId="75C65545" w14:textId="77777777" w:rsidTr="0098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1" w:type="dxa"/>
                </w:tcPr>
                <w:p w14:paraId="4CC06485" w14:textId="58570DE0" w:rsidR="00166D84" w:rsidRPr="005B715F" w:rsidRDefault="009843FD" w:rsidP="00166D84">
                  <w:pPr>
                    <w:pStyle w:val="ListParagraph"/>
                    <w:numPr>
                      <w:ilvl w:val="0"/>
                      <w:numId w:val="11"/>
                    </w:numPr>
                    <w:spacing w:after="120"/>
                    <w:rPr>
                      <w:b w:val="0"/>
                      <w:bCs w:val="0"/>
                      <w:sz w:val="20"/>
                      <w:szCs w:val="20"/>
                      <w:lang w:val="en-AU"/>
                    </w:rPr>
                  </w:pPr>
                  <w:r>
                    <w:rPr>
                      <w:b w:val="0"/>
                      <w:bCs w:val="0"/>
                      <w:sz w:val="20"/>
                      <w:szCs w:val="20"/>
                      <w:lang w:val="en-AU"/>
                    </w:rPr>
                    <w:t>There are gaps in immunization coverage (&lt;90%) in areas affected by conflicts, geographically hard-to-reach areas,</w:t>
                  </w:r>
                  <w:r w:rsidR="009724E6" w:rsidRPr="005B715F">
                    <w:rPr>
                      <w:b w:val="0"/>
                      <w:bCs w:val="0"/>
                      <w:sz w:val="20"/>
                      <w:szCs w:val="20"/>
                      <w:lang w:val="en-AU"/>
                    </w:rPr>
                    <w:t xml:space="preserve"> peri-urban populations, and self-administered regions</w:t>
                  </w:r>
                  <w:r w:rsidR="00166D84" w:rsidRPr="005B715F">
                    <w:rPr>
                      <w:b w:val="0"/>
                      <w:bCs w:val="0"/>
                      <w:sz w:val="20"/>
                      <w:szCs w:val="20"/>
                      <w:lang w:val="en-AU"/>
                    </w:rPr>
                    <w:t>.</w:t>
                  </w:r>
                </w:p>
                <w:p w14:paraId="4DF13311" w14:textId="77777777" w:rsidR="00166D84" w:rsidRPr="005B715F" w:rsidRDefault="009724E6" w:rsidP="00F116DF">
                  <w:pPr>
                    <w:pStyle w:val="ListParagraph"/>
                    <w:numPr>
                      <w:ilvl w:val="0"/>
                      <w:numId w:val="11"/>
                    </w:numPr>
                    <w:spacing w:after="120"/>
                    <w:rPr>
                      <w:b w:val="0"/>
                      <w:bCs w:val="0"/>
                      <w:sz w:val="20"/>
                      <w:szCs w:val="20"/>
                      <w:lang w:val="en-AU"/>
                    </w:rPr>
                  </w:pPr>
                  <w:r w:rsidRPr="005B715F">
                    <w:rPr>
                      <w:b w:val="0"/>
                      <w:bCs w:val="0"/>
                      <w:sz w:val="20"/>
                      <w:szCs w:val="20"/>
                      <w:lang w:val="en-AU"/>
                    </w:rPr>
                    <w:t>Sporadic outbreaks (measles, diphtheria) due to inadequate coverage in hard-to-reach areas</w:t>
                  </w:r>
                  <w:r w:rsidR="00166D84" w:rsidRPr="005B715F">
                    <w:rPr>
                      <w:b w:val="0"/>
                      <w:bCs w:val="0"/>
                      <w:sz w:val="20"/>
                      <w:szCs w:val="20"/>
                      <w:lang w:val="en-AU"/>
                    </w:rPr>
                    <w:t>.</w:t>
                  </w:r>
                </w:p>
                <w:p w14:paraId="6D04717F" w14:textId="1867D697" w:rsidR="005B715F" w:rsidRPr="005B715F" w:rsidRDefault="009724E6" w:rsidP="00F116DF">
                  <w:pPr>
                    <w:pStyle w:val="ListParagraph"/>
                    <w:numPr>
                      <w:ilvl w:val="0"/>
                      <w:numId w:val="11"/>
                    </w:numPr>
                    <w:spacing w:after="120"/>
                    <w:rPr>
                      <w:b w:val="0"/>
                      <w:bCs w:val="0"/>
                      <w:sz w:val="20"/>
                      <w:szCs w:val="20"/>
                      <w:lang w:val="en-AU"/>
                    </w:rPr>
                  </w:pPr>
                  <w:r w:rsidRPr="005B715F">
                    <w:rPr>
                      <w:b w:val="0"/>
                      <w:bCs w:val="0"/>
                      <w:sz w:val="20"/>
                      <w:szCs w:val="20"/>
                      <w:lang w:val="en-AU"/>
                    </w:rPr>
                    <w:t>Limited access for implementation in</w:t>
                  </w:r>
                  <w:r w:rsidR="00C104CB">
                    <w:rPr>
                      <w:b w:val="0"/>
                      <w:bCs w:val="0"/>
                      <w:sz w:val="20"/>
                      <w:szCs w:val="20"/>
                      <w:lang w:val="en-AU"/>
                    </w:rPr>
                    <w:t xml:space="preserve"> Ethnic Health </w:t>
                  </w:r>
                  <w:r w:rsidR="00783B50">
                    <w:rPr>
                      <w:b w:val="0"/>
                      <w:bCs w:val="0"/>
                      <w:sz w:val="20"/>
                      <w:szCs w:val="20"/>
                      <w:lang w:val="en-AU"/>
                    </w:rPr>
                    <w:t>Organization</w:t>
                  </w:r>
                  <w:r w:rsidR="00783B50" w:rsidRPr="00783B50">
                    <w:rPr>
                      <w:b w:val="0"/>
                      <w:bCs w:val="0"/>
                      <w:sz w:val="20"/>
                      <w:szCs w:val="20"/>
                      <w:lang w:val="en-AU"/>
                    </w:rPr>
                    <w:t>s</w:t>
                  </w:r>
                  <w:r w:rsidR="0503354B" w:rsidRPr="113B1F31">
                    <w:rPr>
                      <w:b w:val="0"/>
                      <w:bCs w:val="0"/>
                      <w:sz w:val="20"/>
                      <w:szCs w:val="20"/>
                      <w:lang w:val="en-AU"/>
                    </w:rPr>
                    <w:t xml:space="preserve"> </w:t>
                  </w:r>
                  <w:r w:rsidR="00783B50" w:rsidRPr="00783B50">
                    <w:rPr>
                      <w:b w:val="0"/>
                      <w:bCs w:val="0"/>
                      <w:sz w:val="20"/>
                      <w:szCs w:val="20"/>
                      <w:lang w:val="en-AU"/>
                    </w:rPr>
                    <w:t>(EHO</w:t>
                  </w:r>
                  <w:r w:rsidR="00A44CA4" w:rsidRPr="00783B50">
                    <w:rPr>
                      <w:b w:val="0"/>
                      <w:bCs w:val="0"/>
                      <w:sz w:val="20"/>
                      <w:szCs w:val="20"/>
                      <w:lang w:val="en-AU"/>
                    </w:rPr>
                    <w:t>)</w:t>
                  </w:r>
                  <w:r w:rsidRPr="00783B50">
                    <w:rPr>
                      <w:b w:val="0"/>
                      <w:bCs w:val="0"/>
                      <w:sz w:val="20"/>
                      <w:szCs w:val="20"/>
                      <w:lang w:val="en-AU"/>
                    </w:rPr>
                    <w:t xml:space="preserve"> </w:t>
                  </w:r>
                  <w:r w:rsidRPr="005B715F">
                    <w:rPr>
                      <w:b w:val="0"/>
                      <w:bCs w:val="0"/>
                      <w:sz w:val="20"/>
                      <w:szCs w:val="20"/>
                      <w:lang w:val="en-AU"/>
                    </w:rPr>
                    <w:t>areas due to security and geographical constraints</w:t>
                  </w:r>
                  <w:r w:rsidR="00D320CD" w:rsidRPr="005B715F">
                    <w:rPr>
                      <w:b w:val="0"/>
                      <w:bCs w:val="0"/>
                      <w:sz w:val="20"/>
                      <w:szCs w:val="20"/>
                      <w:lang w:val="en-AU"/>
                    </w:rPr>
                    <w:t>.</w:t>
                  </w:r>
                </w:p>
                <w:p w14:paraId="3881EE29" w14:textId="3C6BB342" w:rsidR="005B715F" w:rsidRPr="005B715F" w:rsidRDefault="009724E6" w:rsidP="00F116DF">
                  <w:pPr>
                    <w:pStyle w:val="ListParagraph"/>
                    <w:numPr>
                      <w:ilvl w:val="0"/>
                      <w:numId w:val="11"/>
                    </w:numPr>
                    <w:spacing w:after="120"/>
                    <w:rPr>
                      <w:b w:val="0"/>
                      <w:bCs w:val="0"/>
                      <w:sz w:val="20"/>
                      <w:szCs w:val="20"/>
                      <w:lang w:val="en-AU"/>
                    </w:rPr>
                  </w:pPr>
                  <w:r w:rsidRPr="005B715F">
                    <w:rPr>
                      <w:b w:val="0"/>
                      <w:bCs w:val="0"/>
                      <w:sz w:val="20"/>
                      <w:szCs w:val="20"/>
                      <w:lang w:val="en-AU"/>
                    </w:rPr>
                    <w:t xml:space="preserve">HR </w:t>
                  </w:r>
                  <w:r w:rsidR="2A3ED903" w:rsidRPr="113B1F31">
                    <w:rPr>
                      <w:b w:val="0"/>
                      <w:bCs w:val="0"/>
                      <w:sz w:val="20"/>
                      <w:szCs w:val="20"/>
                      <w:lang w:val="en-AU"/>
                    </w:rPr>
                    <w:t>shortage within</w:t>
                  </w:r>
                  <w:r w:rsidRPr="005B715F">
                    <w:rPr>
                      <w:b w:val="0"/>
                      <w:bCs w:val="0"/>
                      <w:sz w:val="20"/>
                      <w:szCs w:val="20"/>
                      <w:lang w:val="en-AU"/>
                    </w:rPr>
                    <w:t xml:space="preserve"> the </w:t>
                  </w:r>
                  <w:r w:rsidR="2A3ED903" w:rsidRPr="113B1F31">
                    <w:rPr>
                      <w:b w:val="0"/>
                      <w:bCs w:val="0"/>
                      <w:sz w:val="20"/>
                      <w:szCs w:val="20"/>
                      <w:lang w:val="en-AU"/>
                    </w:rPr>
                    <w:t>MoH</w:t>
                  </w:r>
                  <w:r w:rsidRPr="005B715F">
                    <w:rPr>
                      <w:b w:val="0"/>
                      <w:bCs w:val="0"/>
                      <w:sz w:val="20"/>
                      <w:szCs w:val="20"/>
                      <w:lang w:val="en-AU"/>
                    </w:rPr>
                    <w:t xml:space="preserve"> (cold chain technicians, Midwives shortage in hard-to-reach areas and Ethnic areas (Shan and Naga)</w:t>
                  </w:r>
                  <w:r w:rsidR="005B715F" w:rsidRPr="005B715F">
                    <w:rPr>
                      <w:b w:val="0"/>
                      <w:bCs w:val="0"/>
                      <w:sz w:val="20"/>
                      <w:szCs w:val="20"/>
                      <w:lang w:val="en-AU"/>
                    </w:rPr>
                    <w:t>.</w:t>
                  </w:r>
                </w:p>
                <w:p w14:paraId="0DABC1C0" w14:textId="3A764BEC" w:rsidR="005B715F" w:rsidRPr="005B715F" w:rsidRDefault="009724E6" w:rsidP="00166D84">
                  <w:pPr>
                    <w:pStyle w:val="ListParagraph"/>
                    <w:numPr>
                      <w:ilvl w:val="0"/>
                      <w:numId w:val="11"/>
                    </w:numPr>
                    <w:spacing w:after="120"/>
                    <w:rPr>
                      <w:b w:val="0"/>
                      <w:bCs w:val="0"/>
                      <w:sz w:val="20"/>
                      <w:szCs w:val="20"/>
                      <w:lang w:val="en-AU"/>
                    </w:rPr>
                  </w:pPr>
                  <w:r w:rsidRPr="005B715F">
                    <w:rPr>
                      <w:b w:val="0"/>
                      <w:bCs w:val="0"/>
                      <w:sz w:val="20"/>
                      <w:szCs w:val="20"/>
                      <w:lang w:val="en-AU"/>
                    </w:rPr>
                    <w:t>Weak financial management capacity of M</w:t>
                  </w:r>
                  <w:r w:rsidR="00C104CB">
                    <w:rPr>
                      <w:b w:val="0"/>
                      <w:bCs w:val="0"/>
                      <w:sz w:val="20"/>
                      <w:szCs w:val="20"/>
                      <w:lang w:val="en-AU"/>
                    </w:rPr>
                    <w:t>o</w:t>
                  </w:r>
                  <w:r w:rsidRPr="005B715F">
                    <w:rPr>
                      <w:b w:val="0"/>
                      <w:bCs w:val="0"/>
                      <w:sz w:val="20"/>
                      <w:szCs w:val="20"/>
                      <w:lang w:val="en-AU"/>
                    </w:rPr>
                    <w:t xml:space="preserve">H at </w:t>
                  </w:r>
                  <w:r w:rsidR="00591A92">
                    <w:rPr>
                      <w:b w:val="0"/>
                      <w:bCs w:val="0"/>
                      <w:sz w:val="20"/>
                      <w:szCs w:val="20"/>
                      <w:lang w:val="en-AU"/>
                    </w:rPr>
                    <w:t xml:space="preserve">the </w:t>
                  </w:r>
                  <w:r w:rsidRPr="005B715F">
                    <w:rPr>
                      <w:b w:val="0"/>
                      <w:bCs w:val="0"/>
                      <w:sz w:val="20"/>
                      <w:szCs w:val="20"/>
                      <w:lang w:val="en-AU"/>
                    </w:rPr>
                    <w:t xml:space="preserve">National and Sub-national </w:t>
                  </w:r>
                  <w:r w:rsidR="2A3ED903" w:rsidRPr="113B1F31">
                    <w:rPr>
                      <w:b w:val="0"/>
                      <w:bCs w:val="0"/>
                      <w:sz w:val="20"/>
                      <w:szCs w:val="20"/>
                      <w:lang w:val="en-AU"/>
                    </w:rPr>
                    <w:t>levels</w:t>
                  </w:r>
                  <w:r w:rsidRPr="005B715F">
                    <w:rPr>
                      <w:b w:val="0"/>
                      <w:bCs w:val="0"/>
                      <w:sz w:val="20"/>
                      <w:szCs w:val="20"/>
                      <w:lang w:val="en-AU"/>
                    </w:rPr>
                    <w:t xml:space="preserve"> </w:t>
                  </w:r>
                </w:p>
                <w:p w14:paraId="03C55B5D" w14:textId="7F801E0A" w:rsidR="00E00096" w:rsidRPr="005B715F" w:rsidRDefault="00E00096" w:rsidP="009843FD">
                  <w:pPr>
                    <w:pStyle w:val="ListParagraph"/>
                    <w:spacing w:after="120"/>
                    <w:ind w:left="360"/>
                    <w:rPr>
                      <w:b w:val="0"/>
                      <w:bCs w:val="0"/>
                      <w:sz w:val="20"/>
                      <w:szCs w:val="20"/>
                      <w:lang w:val="en-AU"/>
                    </w:rPr>
                  </w:pPr>
                </w:p>
              </w:tc>
              <w:tc>
                <w:tcPr>
                  <w:tcW w:w="5025" w:type="dxa"/>
                </w:tcPr>
                <w:p w14:paraId="38DA6D20" w14:textId="0665DBB3" w:rsidR="005B715F" w:rsidRPr="005B715F" w:rsidRDefault="009843FD" w:rsidP="005B715F">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rPr>
                      <w:sz w:val="20"/>
                      <w:szCs w:val="20"/>
                      <w:lang w:val="en-AU"/>
                    </w:rPr>
                  </w:pPr>
                  <w:r>
                    <w:rPr>
                      <w:sz w:val="20"/>
                      <w:szCs w:val="20"/>
                      <w:lang w:val="en-AU"/>
                    </w:rPr>
                    <w:t>The suspension of immunization services in most states and regions is due to the health staff joining the Civil Disobedience Movement (CDM),</w:t>
                  </w:r>
                  <w:r w:rsidR="00166D84" w:rsidRPr="005B715F">
                    <w:rPr>
                      <w:sz w:val="20"/>
                      <w:szCs w:val="20"/>
                      <w:lang w:val="en-AU"/>
                    </w:rPr>
                    <w:t xml:space="preserve"> including immunization focal persons. </w:t>
                  </w:r>
                </w:p>
                <w:p w14:paraId="2DC23A65" w14:textId="76F325E8" w:rsidR="005B715F" w:rsidRPr="005B715F" w:rsidRDefault="009843FD" w:rsidP="00166D84">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rPr>
                      <w:sz w:val="20"/>
                      <w:szCs w:val="20"/>
                      <w:lang w:val="en-AU"/>
                    </w:rPr>
                  </w:pPr>
                  <w:r>
                    <w:rPr>
                      <w:sz w:val="20"/>
                      <w:szCs w:val="20"/>
                      <w:lang w:val="en-AU"/>
                    </w:rPr>
                    <w:t>The l</w:t>
                  </w:r>
                  <w:r w:rsidR="7136CF19" w:rsidRPr="113B1F31">
                    <w:rPr>
                      <w:sz w:val="20"/>
                      <w:szCs w:val="20"/>
                      <w:lang w:val="en-AU"/>
                    </w:rPr>
                    <w:t>imited</w:t>
                  </w:r>
                  <w:r w:rsidR="00166D84" w:rsidRPr="005B715F">
                    <w:rPr>
                      <w:sz w:val="20"/>
                      <w:szCs w:val="20"/>
                      <w:lang w:val="en-AU"/>
                    </w:rPr>
                    <w:t xml:space="preserve"> engagement </w:t>
                  </w:r>
                  <w:r w:rsidR="7136CF19" w:rsidRPr="113B1F31">
                    <w:rPr>
                      <w:sz w:val="20"/>
                      <w:szCs w:val="20"/>
                      <w:lang w:val="en-AU"/>
                    </w:rPr>
                    <w:t xml:space="preserve">of the UN </w:t>
                  </w:r>
                  <w:r w:rsidR="00166D84" w:rsidRPr="005B715F">
                    <w:rPr>
                      <w:sz w:val="20"/>
                      <w:szCs w:val="20"/>
                      <w:lang w:val="en-AU"/>
                    </w:rPr>
                    <w:t xml:space="preserve">with present authorities (UNCT principles of engagement) </w:t>
                  </w:r>
                </w:p>
                <w:p w14:paraId="08D54B15" w14:textId="690237BB" w:rsidR="005B715F" w:rsidRPr="005B715F" w:rsidRDefault="00166D84" w:rsidP="00166D84">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rPr>
                      <w:sz w:val="20"/>
                      <w:szCs w:val="20"/>
                      <w:lang w:val="en-AU"/>
                    </w:rPr>
                  </w:pPr>
                  <w:r w:rsidRPr="005B715F">
                    <w:rPr>
                      <w:sz w:val="20"/>
                      <w:szCs w:val="20"/>
                      <w:lang w:val="en-AU"/>
                    </w:rPr>
                    <w:t xml:space="preserve">Obtaining approvals for </w:t>
                  </w:r>
                  <w:r w:rsidR="00783B50">
                    <w:rPr>
                      <w:sz w:val="20"/>
                      <w:szCs w:val="20"/>
                      <w:lang w:val="en-AU"/>
                    </w:rPr>
                    <w:t xml:space="preserve">the </w:t>
                  </w:r>
                  <w:r w:rsidRPr="005B715F">
                    <w:rPr>
                      <w:sz w:val="20"/>
                      <w:szCs w:val="20"/>
                      <w:lang w:val="en-AU"/>
                    </w:rPr>
                    <w:t>importation of vaccines and syringes</w:t>
                  </w:r>
                  <w:r w:rsidR="009843FD">
                    <w:rPr>
                      <w:sz w:val="20"/>
                      <w:szCs w:val="20"/>
                      <w:lang w:val="en-AU"/>
                    </w:rPr>
                    <w:t>,</w:t>
                  </w:r>
                  <w:r w:rsidRPr="005B715F">
                    <w:rPr>
                      <w:sz w:val="20"/>
                      <w:szCs w:val="20"/>
                      <w:lang w:val="en-AU"/>
                    </w:rPr>
                    <w:t xml:space="preserve"> </w:t>
                  </w:r>
                  <w:r w:rsidR="00591A92" w:rsidRPr="005B715F">
                    <w:rPr>
                      <w:sz w:val="20"/>
                      <w:szCs w:val="20"/>
                      <w:lang w:val="en-AU"/>
                    </w:rPr>
                    <w:t>e.g.,</w:t>
                  </w:r>
                  <w:r w:rsidRPr="005B715F">
                    <w:rPr>
                      <w:sz w:val="20"/>
                      <w:szCs w:val="20"/>
                      <w:lang w:val="en-AU"/>
                    </w:rPr>
                    <w:t xml:space="preserve"> Tax Exemption Certificate for custom clearance from FERD and MoH</w:t>
                  </w:r>
                </w:p>
                <w:p w14:paraId="09564047" w14:textId="59A760F0" w:rsidR="005B715F" w:rsidRPr="005B715F" w:rsidRDefault="113B1F31" w:rsidP="00166D84">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rPr>
                      <w:sz w:val="20"/>
                      <w:szCs w:val="20"/>
                      <w:lang w:val="en-AU"/>
                    </w:rPr>
                  </w:pPr>
                  <w:r w:rsidRPr="113B1F31">
                    <w:rPr>
                      <w:sz w:val="20"/>
                      <w:szCs w:val="20"/>
                      <w:lang w:val="en-AU"/>
                    </w:rPr>
                    <w:t>Armed clashes among the military and Ethnic Armed Organizations (EAOs) and Local/ People Defence Forces (LDF/ PDF)</w:t>
                  </w:r>
                </w:p>
                <w:p w14:paraId="6187668D" w14:textId="77777777" w:rsidR="005B715F" w:rsidRPr="005B715F" w:rsidRDefault="00166D84" w:rsidP="00166D84">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rPr>
                      <w:sz w:val="20"/>
                      <w:szCs w:val="20"/>
                      <w:lang w:val="en-AU"/>
                    </w:rPr>
                  </w:pPr>
                  <w:r w:rsidRPr="005B715F">
                    <w:rPr>
                      <w:sz w:val="20"/>
                      <w:szCs w:val="20"/>
                      <w:lang w:val="en-AU"/>
                    </w:rPr>
                    <w:t>Geographical remoteness and transportation difficulties</w:t>
                  </w:r>
                </w:p>
                <w:p w14:paraId="3FC1960F" w14:textId="53ED089C" w:rsidR="005B715F" w:rsidRPr="005B715F" w:rsidRDefault="00166D84" w:rsidP="00166D84">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rPr>
                      <w:sz w:val="20"/>
                      <w:szCs w:val="20"/>
                      <w:lang w:val="en-AU"/>
                    </w:rPr>
                  </w:pPr>
                  <w:r w:rsidRPr="005B715F">
                    <w:rPr>
                      <w:sz w:val="20"/>
                      <w:szCs w:val="20"/>
                      <w:lang w:val="en-AU"/>
                    </w:rPr>
                    <w:t>Recent Ethnic Arm Organization</w:t>
                  </w:r>
                  <w:r w:rsidR="006B3D21">
                    <w:rPr>
                      <w:sz w:val="20"/>
                      <w:szCs w:val="20"/>
                      <w:lang w:val="en-AU"/>
                    </w:rPr>
                    <w:t>'</w:t>
                  </w:r>
                  <w:r w:rsidRPr="005B715F">
                    <w:rPr>
                      <w:sz w:val="20"/>
                      <w:szCs w:val="20"/>
                      <w:lang w:val="en-AU"/>
                    </w:rPr>
                    <w:t>s restriction in coordination with government and in-country international agencies for health service delivery</w:t>
                  </w:r>
                </w:p>
                <w:p w14:paraId="454EA96B" w14:textId="4C78327A" w:rsidR="00E00096" w:rsidRPr="005B715F" w:rsidRDefault="00166D84" w:rsidP="00166D84">
                  <w:pPr>
                    <w:pStyle w:val="ListParagraph"/>
                    <w:numPr>
                      <w:ilvl w:val="0"/>
                      <w:numId w:val="12"/>
                    </w:numPr>
                    <w:spacing w:after="120"/>
                    <w:cnfStyle w:val="000000100000" w:firstRow="0" w:lastRow="0" w:firstColumn="0" w:lastColumn="0" w:oddVBand="0" w:evenVBand="0" w:oddHBand="1" w:evenHBand="0" w:firstRowFirstColumn="0" w:firstRowLastColumn="0" w:lastRowFirstColumn="0" w:lastRowLastColumn="0"/>
                    <w:rPr>
                      <w:sz w:val="20"/>
                      <w:szCs w:val="20"/>
                      <w:lang w:val="en-AU"/>
                    </w:rPr>
                  </w:pPr>
                  <w:r w:rsidRPr="005B715F">
                    <w:rPr>
                      <w:sz w:val="20"/>
                      <w:szCs w:val="20"/>
                      <w:lang w:val="en-AU"/>
                    </w:rPr>
                    <w:t>Unavailability of reliable information</w:t>
                  </w:r>
                  <w:r w:rsidR="009843FD">
                    <w:rPr>
                      <w:sz w:val="20"/>
                      <w:szCs w:val="20"/>
                      <w:lang w:val="en-AU"/>
                    </w:rPr>
                    <w:t>,</w:t>
                  </w:r>
                  <w:r w:rsidR="7136CF19" w:rsidRPr="113B1F31">
                    <w:rPr>
                      <w:sz w:val="20"/>
                      <w:szCs w:val="20"/>
                      <w:lang w:val="en-AU"/>
                    </w:rPr>
                    <w:t xml:space="preserve"> including the health statistics </w:t>
                  </w:r>
                </w:p>
              </w:tc>
            </w:tr>
          </w:tbl>
          <w:p w14:paraId="5AC9A41F" w14:textId="5773A549" w:rsidR="00650EB6" w:rsidRDefault="78B3B584" w:rsidP="00FC4898">
            <w:pPr>
              <w:jc w:val="both"/>
              <w:rPr>
                <w:sz w:val="20"/>
                <w:szCs w:val="20"/>
                <w:lang w:val="en-AU"/>
              </w:rPr>
            </w:pPr>
            <w:r w:rsidRPr="78B3B584">
              <w:rPr>
                <w:sz w:val="20"/>
                <w:szCs w:val="20"/>
                <w:lang w:val="en-AU"/>
              </w:rPr>
              <w:t xml:space="preserve">The key objectives for the EPI program in the current context are </w:t>
            </w:r>
            <w:r w:rsidR="00283FAF">
              <w:rPr>
                <w:sz w:val="20"/>
                <w:szCs w:val="20"/>
                <w:lang w:val="en-AU"/>
              </w:rPr>
              <w:t>to:</w:t>
            </w:r>
          </w:p>
          <w:p w14:paraId="48E6B507" w14:textId="2922194B" w:rsidR="00650EB6" w:rsidRPr="00257F5B" w:rsidRDefault="78B3B584" w:rsidP="00FC4898">
            <w:pPr>
              <w:pStyle w:val="ListParagraph"/>
              <w:numPr>
                <w:ilvl w:val="0"/>
                <w:numId w:val="7"/>
              </w:numPr>
              <w:rPr>
                <w:sz w:val="20"/>
                <w:szCs w:val="20"/>
                <w:lang w:val="en-AU"/>
              </w:rPr>
            </w:pPr>
            <w:r w:rsidRPr="78B3B584">
              <w:rPr>
                <w:sz w:val="20"/>
                <w:szCs w:val="20"/>
                <w:lang w:val="en-AU"/>
              </w:rPr>
              <w:t>revitalize routine immunization</w:t>
            </w:r>
            <w:r w:rsidR="0040553D">
              <w:rPr>
                <w:sz w:val="20"/>
                <w:szCs w:val="20"/>
                <w:lang w:val="en-AU"/>
              </w:rPr>
              <w:t xml:space="preserve"> </w:t>
            </w:r>
            <w:r w:rsidR="686692A4" w:rsidRPr="113B1F31">
              <w:rPr>
                <w:sz w:val="20"/>
                <w:szCs w:val="20"/>
                <w:lang w:val="en-AU"/>
              </w:rPr>
              <w:t xml:space="preserve">services </w:t>
            </w:r>
            <w:r w:rsidR="0040553D">
              <w:rPr>
                <w:sz w:val="20"/>
                <w:szCs w:val="20"/>
                <w:lang w:val="en-AU"/>
              </w:rPr>
              <w:t xml:space="preserve">based on </w:t>
            </w:r>
            <w:r w:rsidR="00C071DF">
              <w:rPr>
                <w:sz w:val="20"/>
                <w:szCs w:val="20"/>
                <w:lang w:val="en-AU"/>
              </w:rPr>
              <w:t>gaps and needs</w:t>
            </w:r>
            <w:r w:rsidRPr="78B3B584">
              <w:rPr>
                <w:sz w:val="20"/>
                <w:szCs w:val="20"/>
                <w:lang w:val="en-AU"/>
              </w:rPr>
              <w:t xml:space="preserve"> </w:t>
            </w:r>
            <w:r w:rsidR="00566B59">
              <w:rPr>
                <w:sz w:val="20"/>
                <w:szCs w:val="20"/>
                <w:lang w:val="en-AU"/>
              </w:rPr>
              <w:t xml:space="preserve">across </w:t>
            </w:r>
            <w:r w:rsidRPr="78B3B584">
              <w:rPr>
                <w:sz w:val="20"/>
                <w:szCs w:val="20"/>
                <w:lang w:val="en-AU"/>
              </w:rPr>
              <w:t>the country</w:t>
            </w:r>
            <w:r w:rsidR="00566B59">
              <w:rPr>
                <w:sz w:val="20"/>
                <w:szCs w:val="20"/>
                <w:lang w:val="en-AU"/>
              </w:rPr>
              <w:t xml:space="preserve"> with a </w:t>
            </w:r>
            <w:r w:rsidR="009843FD">
              <w:rPr>
                <w:sz w:val="20"/>
                <w:szCs w:val="20"/>
                <w:lang w:val="en-AU"/>
              </w:rPr>
              <w:t>particular</w:t>
            </w:r>
            <w:r w:rsidRPr="78B3B584">
              <w:rPr>
                <w:sz w:val="20"/>
                <w:szCs w:val="20"/>
                <w:lang w:val="en-AU"/>
              </w:rPr>
              <w:t xml:space="preserve"> </w:t>
            </w:r>
            <w:r w:rsidR="00EB63B6">
              <w:rPr>
                <w:sz w:val="20"/>
                <w:szCs w:val="20"/>
                <w:lang w:val="en-AU"/>
              </w:rPr>
              <w:t>emphasis</w:t>
            </w:r>
            <w:r w:rsidR="00566B59">
              <w:rPr>
                <w:sz w:val="20"/>
                <w:szCs w:val="20"/>
                <w:lang w:val="en-AU"/>
              </w:rPr>
              <w:t xml:space="preserve"> </w:t>
            </w:r>
            <w:r w:rsidR="00B33F93">
              <w:rPr>
                <w:sz w:val="20"/>
                <w:szCs w:val="20"/>
                <w:lang w:val="en-AU"/>
              </w:rPr>
              <w:t>on</w:t>
            </w:r>
            <w:r w:rsidR="00566B59">
              <w:rPr>
                <w:sz w:val="20"/>
                <w:szCs w:val="20"/>
                <w:lang w:val="en-AU"/>
              </w:rPr>
              <w:t xml:space="preserve"> the</w:t>
            </w:r>
            <w:r w:rsidRPr="78B3B584">
              <w:rPr>
                <w:sz w:val="20"/>
                <w:szCs w:val="20"/>
                <w:lang w:val="en-AU"/>
              </w:rPr>
              <w:t xml:space="preserve"> hard-to-reach areas, underserved areas</w:t>
            </w:r>
            <w:r w:rsidR="00B33F93">
              <w:rPr>
                <w:sz w:val="20"/>
                <w:szCs w:val="20"/>
                <w:lang w:val="en-AU"/>
              </w:rPr>
              <w:t>,</w:t>
            </w:r>
            <w:r w:rsidRPr="78B3B584">
              <w:rPr>
                <w:sz w:val="20"/>
                <w:szCs w:val="20"/>
                <w:lang w:val="en-AU"/>
              </w:rPr>
              <w:t xml:space="preserve"> and </w:t>
            </w:r>
            <w:r w:rsidR="00EB63B6">
              <w:rPr>
                <w:sz w:val="20"/>
                <w:szCs w:val="20"/>
                <w:lang w:val="en-AU"/>
              </w:rPr>
              <w:t>conflict-affected</w:t>
            </w:r>
            <w:r w:rsidRPr="78B3B584">
              <w:rPr>
                <w:sz w:val="20"/>
                <w:szCs w:val="20"/>
                <w:lang w:val="en-AU"/>
              </w:rPr>
              <w:t xml:space="preserve"> areas</w:t>
            </w:r>
            <w:r w:rsidR="007117A5">
              <w:rPr>
                <w:sz w:val="20"/>
                <w:szCs w:val="20"/>
                <w:lang w:val="en-AU"/>
              </w:rPr>
              <w:t>,</w:t>
            </w:r>
          </w:p>
          <w:p w14:paraId="42EFA4B3" w14:textId="0F3B784F" w:rsidR="00650EB6" w:rsidRPr="00257F5B" w:rsidRDefault="78B3B584" w:rsidP="00FC4898">
            <w:pPr>
              <w:pStyle w:val="ListParagraph"/>
              <w:numPr>
                <w:ilvl w:val="0"/>
                <w:numId w:val="7"/>
              </w:numPr>
              <w:rPr>
                <w:sz w:val="20"/>
                <w:szCs w:val="20"/>
                <w:lang w:val="en-AU"/>
              </w:rPr>
            </w:pPr>
            <w:r w:rsidRPr="78B3B584">
              <w:rPr>
                <w:sz w:val="20"/>
                <w:szCs w:val="20"/>
                <w:lang w:val="en-AU"/>
              </w:rPr>
              <w:t xml:space="preserve">enhance </w:t>
            </w:r>
            <w:r w:rsidR="00EB63B6">
              <w:rPr>
                <w:sz w:val="20"/>
                <w:szCs w:val="20"/>
                <w:lang w:val="en-AU"/>
              </w:rPr>
              <w:t>vaccine-preventable</w:t>
            </w:r>
            <w:r w:rsidRPr="78B3B584">
              <w:rPr>
                <w:sz w:val="20"/>
                <w:szCs w:val="20"/>
                <w:lang w:val="en-AU"/>
              </w:rPr>
              <w:t xml:space="preserve"> disease surveillance and </w:t>
            </w:r>
            <w:r w:rsidR="12EA1310" w:rsidRPr="113B1F31">
              <w:rPr>
                <w:sz w:val="20"/>
                <w:szCs w:val="20"/>
                <w:lang w:val="en-AU"/>
              </w:rPr>
              <w:t xml:space="preserve">preposition the </w:t>
            </w:r>
            <w:r w:rsidRPr="78B3B584">
              <w:rPr>
                <w:sz w:val="20"/>
                <w:szCs w:val="20"/>
                <w:lang w:val="en-AU"/>
              </w:rPr>
              <w:t>outbreak response immunization if required</w:t>
            </w:r>
            <w:r w:rsidR="007117A5">
              <w:rPr>
                <w:sz w:val="20"/>
                <w:szCs w:val="20"/>
                <w:lang w:val="en-AU"/>
              </w:rPr>
              <w:t>,</w:t>
            </w:r>
          </w:p>
          <w:p w14:paraId="2E7CB61D" w14:textId="1C311BC1" w:rsidR="008A3F31" w:rsidRPr="00257F5B" w:rsidRDefault="00715463" w:rsidP="00FC4898">
            <w:pPr>
              <w:pStyle w:val="ListParagraph"/>
              <w:numPr>
                <w:ilvl w:val="0"/>
                <w:numId w:val="7"/>
              </w:numPr>
              <w:rPr>
                <w:sz w:val="20"/>
                <w:szCs w:val="20"/>
                <w:lang w:val="en-AU"/>
              </w:rPr>
            </w:pPr>
            <w:r>
              <w:rPr>
                <w:sz w:val="20"/>
                <w:szCs w:val="20"/>
                <w:lang w:val="en-AU"/>
              </w:rPr>
              <w:t xml:space="preserve">develop </w:t>
            </w:r>
            <w:r w:rsidR="00B33F93">
              <w:rPr>
                <w:sz w:val="20"/>
                <w:szCs w:val="20"/>
                <w:lang w:val="en-AU"/>
              </w:rPr>
              <w:t>tailored</w:t>
            </w:r>
            <w:r w:rsidR="007117A5">
              <w:rPr>
                <w:sz w:val="20"/>
                <w:szCs w:val="20"/>
                <w:lang w:val="en-AU"/>
              </w:rPr>
              <w:t xml:space="preserve"> communication strateg</w:t>
            </w:r>
            <w:r w:rsidR="00B33F93">
              <w:rPr>
                <w:sz w:val="20"/>
                <w:szCs w:val="20"/>
                <w:lang w:val="en-AU"/>
              </w:rPr>
              <w:t>ies</w:t>
            </w:r>
            <w:r>
              <w:rPr>
                <w:sz w:val="20"/>
                <w:szCs w:val="20"/>
                <w:lang w:val="en-AU"/>
              </w:rPr>
              <w:t xml:space="preserve"> to increase the </w:t>
            </w:r>
            <w:r w:rsidRPr="56AFECB8">
              <w:rPr>
                <w:sz w:val="20"/>
                <w:szCs w:val="20"/>
                <w:lang w:val="en-AU"/>
              </w:rPr>
              <w:t>acceptance of vaccine</w:t>
            </w:r>
            <w:r w:rsidR="009843FD">
              <w:rPr>
                <w:sz w:val="20"/>
                <w:szCs w:val="20"/>
                <w:lang w:val="en-AU"/>
              </w:rPr>
              <w:t>s</w:t>
            </w:r>
            <w:r w:rsidRPr="56AFECB8">
              <w:rPr>
                <w:sz w:val="20"/>
                <w:szCs w:val="20"/>
                <w:lang w:val="en-AU"/>
              </w:rPr>
              <w:t xml:space="preserve"> and the services by the</w:t>
            </w:r>
            <w:r>
              <w:rPr>
                <w:sz w:val="20"/>
                <w:szCs w:val="20"/>
                <w:lang w:val="en-AU"/>
              </w:rPr>
              <w:t xml:space="preserve"> communities </w:t>
            </w:r>
            <w:r w:rsidR="00E2568E">
              <w:rPr>
                <w:sz w:val="20"/>
                <w:szCs w:val="20"/>
                <w:lang w:val="en-AU"/>
              </w:rPr>
              <w:t xml:space="preserve">and </w:t>
            </w:r>
            <w:r w:rsidR="007117A5">
              <w:rPr>
                <w:sz w:val="20"/>
                <w:szCs w:val="20"/>
                <w:lang w:val="en-AU"/>
              </w:rPr>
              <w:t>demand for vaccines,</w:t>
            </w:r>
          </w:p>
          <w:p w14:paraId="0FED4330" w14:textId="05C5EED6" w:rsidR="003115F3" w:rsidRPr="00257F5B" w:rsidRDefault="00BE7553" w:rsidP="00FC4898">
            <w:pPr>
              <w:pStyle w:val="ListParagraph"/>
              <w:numPr>
                <w:ilvl w:val="0"/>
                <w:numId w:val="7"/>
              </w:numPr>
              <w:rPr>
                <w:sz w:val="20"/>
                <w:szCs w:val="20"/>
                <w:lang w:val="en-AU"/>
              </w:rPr>
            </w:pPr>
            <w:r w:rsidRPr="00257F5B">
              <w:rPr>
                <w:sz w:val="20"/>
                <w:szCs w:val="20"/>
                <w:lang w:val="en-AU"/>
              </w:rPr>
              <w:t xml:space="preserve">strengthen the </w:t>
            </w:r>
            <w:r w:rsidR="004832F3" w:rsidRPr="00257F5B">
              <w:rPr>
                <w:sz w:val="20"/>
                <w:szCs w:val="20"/>
                <w:lang w:val="en-AU"/>
              </w:rPr>
              <w:t xml:space="preserve">quality of </w:t>
            </w:r>
            <w:r w:rsidR="004600CF" w:rsidRPr="00257F5B">
              <w:rPr>
                <w:sz w:val="20"/>
                <w:szCs w:val="20"/>
                <w:lang w:val="en-AU"/>
              </w:rPr>
              <w:t>immunization</w:t>
            </w:r>
            <w:r w:rsidR="004832F3" w:rsidRPr="00257F5B">
              <w:rPr>
                <w:sz w:val="20"/>
                <w:szCs w:val="20"/>
                <w:lang w:val="en-AU"/>
              </w:rPr>
              <w:t xml:space="preserve"> services and </w:t>
            </w:r>
            <w:r w:rsidR="00B51083" w:rsidRPr="00257F5B">
              <w:rPr>
                <w:sz w:val="20"/>
                <w:szCs w:val="20"/>
                <w:lang w:val="en-AU"/>
              </w:rPr>
              <w:t>effective vaccine management</w:t>
            </w:r>
          </w:p>
          <w:p w14:paraId="3594D6C5" w14:textId="5CB9FBD3" w:rsidR="00650EB6" w:rsidRDefault="12EA1310" w:rsidP="00257F5B">
            <w:pPr>
              <w:pStyle w:val="ListParagraph"/>
              <w:numPr>
                <w:ilvl w:val="0"/>
                <w:numId w:val="7"/>
              </w:numPr>
              <w:rPr>
                <w:sz w:val="20"/>
                <w:szCs w:val="20"/>
                <w:lang w:val="en-AU"/>
              </w:rPr>
            </w:pPr>
            <w:r w:rsidRPr="113B1F31">
              <w:rPr>
                <w:sz w:val="20"/>
                <w:szCs w:val="20"/>
                <w:lang w:val="en-AU"/>
              </w:rPr>
              <w:t>facilitate</w:t>
            </w:r>
            <w:r w:rsidR="78B3B584" w:rsidRPr="78B3B584">
              <w:rPr>
                <w:sz w:val="20"/>
                <w:szCs w:val="20"/>
                <w:lang w:val="en-AU"/>
              </w:rPr>
              <w:t xml:space="preserve"> the coordination within </w:t>
            </w:r>
            <w:r w:rsidR="00DA52A0">
              <w:rPr>
                <w:sz w:val="20"/>
                <w:szCs w:val="20"/>
                <w:lang w:val="en-AU"/>
              </w:rPr>
              <w:t xml:space="preserve">the </w:t>
            </w:r>
            <w:r w:rsidR="4CC9A9F5" w:rsidRPr="113B1F31">
              <w:rPr>
                <w:sz w:val="20"/>
                <w:szCs w:val="20"/>
                <w:lang w:val="en-AU"/>
              </w:rPr>
              <w:t>de-facto authorities</w:t>
            </w:r>
            <w:r w:rsidR="003C0412">
              <w:rPr>
                <w:sz w:val="20"/>
                <w:szCs w:val="20"/>
                <w:lang w:val="en-AU"/>
              </w:rPr>
              <w:t xml:space="preserve"> and with</w:t>
            </w:r>
            <w:r w:rsidR="78B3B584" w:rsidRPr="78B3B584">
              <w:rPr>
                <w:sz w:val="20"/>
                <w:szCs w:val="20"/>
                <w:lang w:val="en-AU"/>
              </w:rPr>
              <w:t xml:space="preserve"> UN agencies and partners</w:t>
            </w:r>
            <w:r w:rsidR="009843FD">
              <w:rPr>
                <w:sz w:val="20"/>
                <w:szCs w:val="20"/>
                <w:lang w:val="en-AU"/>
              </w:rPr>
              <w:t>,</w:t>
            </w:r>
            <w:r w:rsidR="003C0412">
              <w:rPr>
                <w:sz w:val="20"/>
                <w:szCs w:val="20"/>
                <w:lang w:val="en-AU"/>
              </w:rPr>
              <w:t xml:space="preserve"> including </w:t>
            </w:r>
            <w:r w:rsidR="002D61D8">
              <w:rPr>
                <w:sz w:val="20"/>
                <w:szCs w:val="20"/>
                <w:lang w:val="en-AU"/>
              </w:rPr>
              <w:t xml:space="preserve">private sectors, </w:t>
            </w:r>
            <w:r w:rsidR="003C0412">
              <w:rPr>
                <w:sz w:val="20"/>
                <w:szCs w:val="20"/>
                <w:lang w:val="en-AU"/>
              </w:rPr>
              <w:t>NGOs</w:t>
            </w:r>
            <w:r w:rsidR="00B33F93">
              <w:rPr>
                <w:sz w:val="20"/>
                <w:szCs w:val="20"/>
                <w:lang w:val="en-AU"/>
              </w:rPr>
              <w:t>,</w:t>
            </w:r>
            <w:r w:rsidR="003C0412">
              <w:rPr>
                <w:sz w:val="20"/>
                <w:szCs w:val="20"/>
                <w:lang w:val="en-AU"/>
              </w:rPr>
              <w:t xml:space="preserve"> and EHOs</w:t>
            </w:r>
            <w:r w:rsidR="009843FD">
              <w:rPr>
                <w:sz w:val="20"/>
                <w:szCs w:val="20"/>
                <w:lang w:val="en-AU"/>
              </w:rPr>
              <w:t>,</w:t>
            </w:r>
            <w:r w:rsidR="003C0412">
              <w:rPr>
                <w:sz w:val="20"/>
                <w:szCs w:val="20"/>
                <w:lang w:val="en-AU"/>
              </w:rPr>
              <w:t xml:space="preserve"> to </w:t>
            </w:r>
            <w:r w:rsidR="78B3B584" w:rsidRPr="78B3B584">
              <w:rPr>
                <w:sz w:val="20"/>
                <w:szCs w:val="20"/>
                <w:lang w:val="en-AU"/>
              </w:rPr>
              <w:t>increase immunization services</w:t>
            </w:r>
            <w:r w:rsidR="009843FD">
              <w:rPr>
                <w:sz w:val="20"/>
                <w:szCs w:val="20"/>
                <w:lang w:val="en-AU"/>
              </w:rPr>
              <w:t>,</w:t>
            </w:r>
            <w:r w:rsidR="78B3B584" w:rsidRPr="78B3B584">
              <w:rPr>
                <w:sz w:val="20"/>
                <w:szCs w:val="20"/>
                <w:lang w:val="en-AU"/>
              </w:rPr>
              <w:t xml:space="preserve"> including COVID</w:t>
            </w:r>
            <w:r w:rsidR="00566B59">
              <w:rPr>
                <w:sz w:val="20"/>
                <w:szCs w:val="20"/>
                <w:lang w:val="en-AU"/>
              </w:rPr>
              <w:t>-</w:t>
            </w:r>
            <w:r w:rsidR="78B3B584" w:rsidRPr="78B3B584">
              <w:rPr>
                <w:sz w:val="20"/>
                <w:szCs w:val="20"/>
                <w:lang w:val="en-AU"/>
              </w:rPr>
              <w:t>19 vaccination</w:t>
            </w:r>
            <w:r w:rsidR="00511F76">
              <w:rPr>
                <w:sz w:val="20"/>
                <w:szCs w:val="20"/>
                <w:lang w:val="en-AU"/>
              </w:rPr>
              <w:t xml:space="preserve">, and </w:t>
            </w:r>
          </w:p>
          <w:p w14:paraId="78052B35" w14:textId="65FEC037" w:rsidR="00FB5D9F" w:rsidRPr="00257F5B" w:rsidRDefault="00511F76" w:rsidP="00257F5B">
            <w:pPr>
              <w:pStyle w:val="ListParagraph"/>
              <w:numPr>
                <w:ilvl w:val="0"/>
                <w:numId w:val="7"/>
              </w:numPr>
              <w:rPr>
                <w:sz w:val="20"/>
                <w:szCs w:val="20"/>
                <w:lang w:val="en-AU"/>
              </w:rPr>
            </w:pPr>
            <w:r>
              <w:rPr>
                <w:sz w:val="20"/>
                <w:szCs w:val="20"/>
                <w:lang w:val="en-AU"/>
              </w:rPr>
              <w:t>reactive the information management system</w:t>
            </w:r>
            <w:r w:rsidR="009843FD">
              <w:rPr>
                <w:sz w:val="20"/>
                <w:szCs w:val="20"/>
                <w:lang w:val="en-AU"/>
              </w:rPr>
              <w:t>,</w:t>
            </w:r>
            <w:r>
              <w:rPr>
                <w:sz w:val="20"/>
                <w:szCs w:val="20"/>
                <w:lang w:val="en-AU"/>
              </w:rPr>
              <w:t xml:space="preserve"> including the supply chain information system.</w:t>
            </w:r>
          </w:p>
        </w:tc>
      </w:tr>
    </w:tbl>
    <w:p w14:paraId="434C7691" w14:textId="77777777" w:rsidR="000759BE" w:rsidRDefault="000759BE" w:rsidP="00FC4A11">
      <w:pPr>
        <w:spacing w:line="300" w:lineRule="exact"/>
        <w:rPr>
          <w:bCs/>
          <w:color w:val="808080" w:themeColor="background1" w:themeShade="80"/>
          <w:lang w:val="en-GB"/>
        </w:rPr>
      </w:pPr>
    </w:p>
    <w:p w14:paraId="5CAF378B" w14:textId="003494BA" w:rsidR="004E4361" w:rsidRPr="00372D1F" w:rsidRDefault="004E4361" w:rsidP="00166D84">
      <w:pPr>
        <w:pStyle w:val="ListParagraph"/>
        <w:numPr>
          <w:ilvl w:val="0"/>
          <w:numId w:val="11"/>
        </w:numPr>
        <w:spacing w:line="300" w:lineRule="exact"/>
        <w:ind w:left="426"/>
        <w:rPr>
          <w:b/>
          <w:bCs/>
          <w:color w:val="84C650"/>
          <w:sz w:val="26"/>
          <w:szCs w:val="26"/>
          <w:lang w:val="en-GB"/>
        </w:rPr>
      </w:pPr>
      <w:r w:rsidRPr="08473C56">
        <w:rPr>
          <w:b/>
          <w:bCs/>
          <w:color w:val="70AD47" w:themeColor="accent6"/>
          <w:sz w:val="26"/>
          <w:szCs w:val="26"/>
          <w:lang w:val="en-GB"/>
        </w:rPr>
        <w:t xml:space="preserve">Current </w:t>
      </w:r>
      <w:r w:rsidR="00352AE9" w:rsidRPr="08473C56">
        <w:rPr>
          <w:b/>
          <w:bCs/>
          <w:color w:val="70AD47" w:themeColor="accent6"/>
          <w:sz w:val="26"/>
          <w:szCs w:val="26"/>
          <w:lang w:val="en-GB"/>
        </w:rPr>
        <w:t>TA needs</w:t>
      </w:r>
      <w:r w:rsidRPr="08473C56">
        <w:rPr>
          <w:b/>
          <w:bCs/>
          <w:color w:val="70AD47" w:themeColor="accent6"/>
          <w:sz w:val="26"/>
          <w:szCs w:val="26"/>
          <w:lang w:val="en-GB"/>
        </w:rPr>
        <w:t xml:space="preserve"> of your immuni</w:t>
      </w:r>
      <w:r w:rsidR="009843FD">
        <w:rPr>
          <w:b/>
          <w:bCs/>
          <w:color w:val="70AD47" w:themeColor="accent6"/>
          <w:sz w:val="26"/>
          <w:szCs w:val="26"/>
          <w:lang w:val="en-GB"/>
        </w:rPr>
        <w:t>z</w:t>
      </w:r>
      <w:r w:rsidRPr="08473C56">
        <w:rPr>
          <w:b/>
          <w:bCs/>
          <w:color w:val="70AD47" w:themeColor="accent6"/>
          <w:sz w:val="26"/>
          <w:szCs w:val="26"/>
          <w:lang w:val="en-GB"/>
        </w:rPr>
        <w:t xml:space="preserve">ation system </w:t>
      </w:r>
      <w:r w:rsidR="006D5892" w:rsidRPr="08473C56">
        <w:rPr>
          <w:b/>
          <w:bCs/>
          <w:color w:val="70AD47" w:themeColor="accent6"/>
          <w:sz w:val="26"/>
          <w:szCs w:val="26"/>
          <w:lang w:val="en-GB"/>
        </w:rPr>
        <w:t>(</w:t>
      </w:r>
      <w:r w:rsidR="00301307" w:rsidRPr="08473C56">
        <w:rPr>
          <w:b/>
          <w:bCs/>
          <w:color w:val="70AD47" w:themeColor="accent6"/>
          <w:sz w:val="26"/>
          <w:szCs w:val="26"/>
          <w:lang w:val="en-GB"/>
        </w:rPr>
        <w:t xml:space="preserve">1-2 </w:t>
      </w:r>
      <w:r w:rsidR="006D5892" w:rsidRPr="08473C56">
        <w:rPr>
          <w:b/>
          <w:bCs/>
          <w:color w:val="70AD47" w:themeColor="accent6"/>
          <w:sz w:val="26"/>
          <w:szCs w:val="26"/>
          <w:lang w:val="en-GB"/>
        </w:rPr>
        <w:t>pages)</w:t>
      </w:r>
    </w:p>
    <w:p w14:paraId="272993D5" w14:textId="7C3A540C" w:rsidR="0095370A" w:rsidRPr="00D93986" w:rsidRDefault="00EC2EA5" w:rsidP="00E50185">
      <w:pPr>
        <w:pStyle w:val="ListParagraph"/>
        <w:spacing w:line="300" w:lineRule="exact"/>
        <w:ind w:left="142"/>
        <w:rPr>
          <w:b/>
          <w:i/>
          <w:sz w:val="20"/>
          <w:szCs w:val="20"/>
        </w:rPr>
      </w:pPr>
      <w:r w:rsidRPr="00D93986">
        <w:rPr>
          <w:b/>
          <w:bCs/>
          <w:i/>
          <w:iCs/>
          <w:sz w:val="20"/>
          <w:szCs w:val="20"/>
        </w:rPr>
        <w:t xml:space="preserve">Please provide </w:t>
      </w:r>
      <w:r w:rsidR="008B2F8A" w:rsidRPr="00D93986">
        <w:rPr>
          <w:b/>
          <w:bCs/>
          <w:i/>
          <w:iCs/>
          <w:sz w:val="20"/>
          <w:szCs w:val="20"/>
        </w:rPr>
        <w:t xml:space="preserve">the planned allocation of PEF TCA towards </w:t>
      </w:r>
      <w:r w:rsidR="004010B7" w:rsidRPr="00D93986">
        <w:rPr>
          <w:b/>
          <w:bCs/>
          <w:i/>
          <w:iCs/>
          <w:sz w:val="20"/>
          <w:szCs w:val="20"/>
        </w:rPr>
        <w:t>investment areas and hig</w:t>
      </w:r>
      <w:r w:rsidR="00107D9F">
        <w:rPr>
          <w:b/>
          <w:bCs/>
          <w:i/>
          <w:iCs/>
          <w:sz w:val="20"/>
          <w:szCs w:val="20"/>
        </w:rPr>
        <w:t>h</w:t>
      </w:r>
      <w:r w:rsidR="004010B7" w:rsidRPr="00D93986">
        <w:rPr>
          <w:b/>
          <w:bCs/>
          <w:i/>
          <w:iCs/>
          <w:sz w:val="20"/>
          <w:szCs w:val="20"/>
        </w:rPr>
        <w:t>-level objectives. Gavi-supported investment areas and a menu of objectives are available for refer</w:t>
      </w:r>
      <w:r w:rsidR="00107D9F">
        <w:rPr>
          <w:b/>
          <w:bCs/>
          <w:i/>
          <w:iCs/>
          <w:sz w:val="20"/>
          <w:szCs w:val="20"/>
        </w:rPr>
        <w:t>e</w:t>
      </w:r>
      <w:r w:rsidR="004010B7" w:rsidRPr="00D93986">
        <w:rPr>
          <w:b/>
          <w:bCs/>
          <w:i/>
          <w:iCs/>
          <w:sz w:val="20"/>
          <w:szCs w:val="20"/>
        </w:rPr>
        <w:t>nce in Gav</w:t>
      </w:r>
      <w:r w:rsidR="00107D9F">
        <w:rPr>
          <w:b/>
          <w:bCs/>
          <w:i/>
          <w:iCs/>
          <w:sz w:val="20"/>
          <w:szCs w:val="20"/>
        </w:rPr>
        <w:t>i</w:t>
      </w:r>
      <w:r w:rsidR="006B3D21">
        <w:rPr>
          <w:b/>
          <w:bCs/>
          <w:i/>
          <w:iCs/>
          <w:sz w:val="20"/>
          <w:szCs w:val="20"/>
        </w:rPr>
        <w:t>'</w:t>
      </w:r>
      <w:r w:rsidR="004010B7" w:rsidRPr="00D93986">
        <w:rPr>
          <w:b/>
          <w:bCs/>
          <w:i/>
          <w:iCs/>
          <w:sz w:val="20"/>
          <w:szCs w:val="20"/>
        </w:rPr>
        <w:t xml:space="preserve">s </w:t>
      </w:r>
      <w:hyperlink r:id="rId13" w:history="1">
        <w:r w:rsidR="00270AE6" w:rsidRPr="00270AE6">
          <w:rPr>
            <w:rStyle w:val="Hyperlink"/>
            <w:b/>
            <w:bCs/>
            <w:i/>
            <w:iCs/>
            <w:sz w:val="20"/>
            <w:szCs w:val="20"/>
          </w:rPr>
          <w:t>Programme Funding Guidelines</w:t>
        </w:r>
      </w:hyperlink>
      <w:r w:rsidR="004010B7" w:rsidRPr="00D93986">
        <w:rPr>
          <w:b/>
          <w:bCs/>
          <w:i/>
          <w:iCs/>
          <w:sz w:val="20"/>
          <w:szCs w:val="20"/>
        </w:rPr>
        <w:t>.</w:t>
      </w:r>
      <w:r w:rsidR="00DD6A66">
        <w:rPr>
          <w:b/>
          <w:bCs/>
          <w:i/>
          <w:iCs/>
          <w:sz w:val="20"/>
          <w:szCs w:val="20"/>
        </w:rPr>
        <w:t xml:space="preserve"> The country can plan </w:t>
      </w:r>
      <w:r w:rsidR="00B0585F">
        <w:rPr>
          <w:b/>
          <w:bCs/>
          <w:i/>
          <w:iCs/>
          <w:sz w:val="20"/>
          <w:szCs w:val="20"/>
        </w:rPr>
        <w:t>for the remaining duration of their current HSS grant.</w:t>
      </w:r>
    </w:p>
    <w:p w14:paraId="6567DB8B" w14:textId="10F6D39C" w:rsidR="007F2F8B" w:rsidRDefault="007F2F8B" w:rsidP="00372D1F">
      <w:pPr>
        <w:pStyle w:val="ListParagraph"/>
        <w:spacing w:line="300" w:lineRule="exact"/>
        <w:ind w:left="426"/>
        <w:rPr>
          <w:i/>
          <w:color w:val="808080" w:themeColor="background1" w:themeShade="80"/>
          <w:lang w:val="en-GB"/>
        </w:rPr>
      </w:pPr>
    </w:p>
    <w:p w14:paraId="6820B441" w14:textId="49AFFE60" w:rsidR="00E53C96" w:rsidRDefault="00E53C96" w:rsidP="00372D1F">
      <w:pPr>
        <w:pStyle w:val="ListParagraph"/>
        <w:spacing w:line="300" w:lineRule="exact"/>
        <w:ind w:left="426"/>
        <w:rPr>
          <w:i/>
          <w:color w:val="808080" w:themeColor="background1" w:themeShade="80"/>
          <w:lang w:val="en-GB"/>
        </w:rPr>
      </w:pPr>
    </w:p>
    <w:p w14:paraId="1D079834" w14:textId="3BFFF507" w:rsidR="00655D56" w:rsidRPr="006C63B1" w:rsidRDefault="00372D1F" w:rsidP="00372D1F">
      <w:pPr>
        <w:pStyle w:val="ListParagraph"/>
        <w:spacing w:line="300" w:lineRule="exact"/>
        <w:ind w:left="426"/>
        <w:rPr>
          <w:i/>
          <w:color w:val="808080" w:themeColor="background1" w:themeShade="80"/>
          <w:lang w:val="en-GB"/>
        </w:rPr>
      </w:pPr>
      <w:r w:rsidRPr="0065351E">
        <w:rPr>
          <w:i/>
          <w:color w:val="808080" w:themeColor="background1" w:themeShade="80"/>
          <w:lang w:val="en-GB"/>
        </w:rPr>
        <w:t>(Please feel free to add lines as needed)</w:t>
      </w:r>
    </w:p>
    <w:tbl>
      <w:tblPr>
        <w:tblStyle w:val="TableGrid"/>
        <w:tblW w:w="9072" w:type="dxa"/>
        <w:jc w:val="center"/>
        <w:tblLook w:val="04A0" w:firstRow="1" w:lastRow="0" w:firstColumn="1" w:lastColumn="0" w:noHBand="0" w:noVBand="1"/>
      </w:tblPr>
      <w:tblGrid>
        <w:gridCol w:w="1953"/>
        <w:gridCol w:w="4792"/>
        <w:gridCol w:w="1193"/>
        <w:gridCol w:w="1134"/>
      </w:tblGrid>
      <w:tr w:rsidR="004D0C16" w14:paraId="4754848F" w14:textId="2B3AF5AA" w:rsidTr="004B6BE4">
        <w:trPr>
          <w:jc w:val="center"/>
        </w:trPr>
        <w:tc>
          <w:tcPr>
            <w:tcW w:w="6745" w:type="dxa"/>
            <w:gridSpan w:val="2"/>
            <w:shd w:val="clear" w:color="auto" w:fill="DEEAF6" w:themeFill="accent5" w:themeFillTint="33"/>
          </w:tcPr>
          <w:p w14:paraId="60978116" w14:textId="77777777" w:rsidR="004D0C16" w:rsidRPr="00372D1F" w:rsidRDefault="004D0C16" w:rsidP="00871FCF">
            <w:pPr>
              <w:spacing w:line="300" w:lineRule="exact"/>
              <w:rPr>
                <w:b/>
                <w:lang w:val="en-GB"/>
              </w:rPr>
            </w:pPr>
            <w:r>
              <w:rPr>
                <w:b/>
                <w:lang w:val="en-GB"/>
              </w:rPr>
              <w:lastRenderedPageBreak/>
              <w:t>High-level Plan</w:t>
            </w:r>
          </w:p>
        </w:tc>
        <w:tc>
          <w:tcPr>
            <w:tcW w:w="1193" w:type="dxa"/>
            <w:shd w:val="clear" w:color="auto" w:fill="DEEAF6" w:themeFill="accent5" w:themeFillTint="33"/>
          </w:tcPr>
          <w:p w14:paraId="2F400D8C" w14:textId="754228F6" w:rsidR="004D0C16" w:rsidRPr="00372D1F" w:rsidRDefault="004D0C16" w:rsidP="00871FCF">
            <w:pPr>
              <w:spacing w:line="300" w:lineRule="exact"/>
              <w:rPr>
                <w:b/>
                <w:color w:val="808080" w:themeColor="background1" w:themeShade="80"/>
                <w:lang w:val="en-GB"/>
              </w:rPr>
            </w:pPr>
            <w:r w:rsidRPr="00372D1F">
              <w:rPr>
                <w:b/>
                <w:lang w:val="en-GB"/>
              </w:rPr>
              <w:t>Budget (USD)</w:t>
            </w:r>
          </w:p>
        </w:tc>
        <w:tc>
          <w:tcPr>
            <w:tcW w:w="1134" w:type="dxa"/>
            <w:shd w:val="clear" w:color="auto" w:fill="DEEAF6" w:themeFill="accent5" w:themeFillTint="33"/>
          </w:tcPr>
          <w:p w14:paraId="0FEF51FA" w14:textId="32409750" w:rsidR="004D0C16" w:rsidRPr="00372D1F" w:rsidRDefault="00131FD5" w:rsidP="00871FCF">
            <w:pPr>
              <w:spacing w:line="300" w:lineRule="exact"/>
              <w:rPr>
                <w:b/>
                <w:lang w:val="en-GB"/>
              </w:rPr>
            </w:pPr>
            <w:r>
              <w:rPr>
                <w:b/>
                <w:lang w:val="en-GB"/>
              </w:rPr>
              <w:t>%</w:t>
            </w:r>
          </w:p>
        </w:tc>
      </w:tr>
      <w:tr w:rsidR="004D0C16" w14:paraId="65B29F5B" w14:textId="129D73A5" w:rsidTr="004B6BE4">
        <w:trPr>
          <w:jc w:val="center"/>
        </w:trPr>
        <w:tc>
          <w:tcPr>
            <w:tcW w:w="6745" w:type="dxa"/>
            <w:gridSpan w:val="2"/>
            <w:shd w:val="clear" w:color="auto" w:fill="E2EFD9" w:themeFill="accent6" w:themeFillTint="33"/>
          </w:tcPr>
          <w:p w14:paraId="106E2D7B" w14:textId="77777777" w:rsidR="004D0C16" w:rsidRPr="00372D1F" w:rsidRDefault="004D0C16" w:rsidP="00B67475">
            <w:pPr>
              <w:jc w:val="right"/>
              <w:rPr>
                <w:b/>
                <w:color w:val="808080" w:themeColor="background1" w:themeShade="80"/>
                <w:lang w:val="en-GB"/>
              </w:rPr>
            </w:pPr>
            <w:r w:rsidRPr="00372D1F">
              <w:rPr>
                <w:b/>
                <w:lang w:val="en-GB"/>
              </w:rPr>
              <w:t>2022</w:t>
            </w:r>
          </w:p>
        </w:tc>
        <w:tc>
          <w:tcPr>
            <w:tcW w:w="1193" w:type="dxa"/>
            <w:shd w:val="clear" w:color="auto" w:fill="E2EFD9" w:themeFill="accent6" w:themeFillTint="33"/>
          </w:tcPr>
          <w:p w14:paraId="6DD37EC1" w14:textId="77777777" w:rsidR="004D0C16" w:rsidRDefault="004D0C16" w:rsidP="00B67475">
            <w:pPr>
              <w:jc w:val="right"/>
              <w:rPr>
                <w:bCs/>
                <w:color w:val="808080" w:themeColor="background1" w:themeShade="80"/>
                <w:lang w:val="en-GB"/>
              </w:rPr>
            </w:pPr>
          </w:p>
        </w:tc>
        <w:tc>
          <w:tcPr>
            <w:tcW w:w="1134" w:type="dxa"/>
            <w:shd w:val="clear" w:color="auto" w:fill="E2EFD9" w:themeFill="accent6" w:themeFillTint="33"/>
          </w:tcPr>
          <w:p w14:paraId="3D6A3C6F" w14:textId="77777777" w:rsidR="004D0C16" w:rsidRDefault="004D0C16" w:rsidP="00B67475">
            <w:pPr>
              <w:jc w:val="right"/>
              <w:rPr>
                <w:bCs/>
                <w:color w:val="808080" w:themeColor="background1" w:themeShade="80"/>
                <w:lang w:val="en-GB"/>
              </w:rPr>
            </w:pPr>
          </w:p>
        </w:tc>
      </w:tr>
      <w:tr w:rsidR="00E72AE7" w14:paraId="113A41E1" w14:textId="1B4A5F63" w:rsidTr="004B6BE4">
        <w:trPr>
          <w:jc w:val="center"/>
        </w:trPr>
        <w:tc>
          <w:tcPr>
            <w:tcW w:w="1953" w:type="dxa"/>
            <w:shd w:val="clear" w:color="auto" w:fill="FFFFFF" w:themeFill="background1"/>
          </w:tcPr>
          <w:p w14:paraId="10985FF8" w14:textId="17D98817" w:rsidR="00E72AE7" w:rsidRPr="00E53C96" w:rsidRDefault="00E72AE7" w:rsidP="00E72AE7">
            <w:pPr>
              <w:rPr>
                <w:sz w:val="20"/>
                <w:szCs w:val="20"/>
                <w:lang w:val="en-GB"/>
              </w:rPr>
            </w:pPr>
            <w:r w:rsidRPr="00E53C96">
              <w:rPr>
                <w:sz w:val="20"/>
                <w:szCs w:val="20"/>
                <w:lang w:val="en-GB"/>
              </w:rPr>
              <w:t xml:space="preserve"> Service Delivery</w:t>
            </w:r>
          </w:p>
        </w:tc>
        <w:tc>
          <w:tcPr>
            <w:tcW w:w="4792" w:type="dxa"/>
            <w:shd w:val="clear" w:color="auto" w:fill="FFFFFF" w:themeFill="background1"/>
          </w:tcPr>
          <w:p w14:paraId="5702616A" w14:textId="2AE279A0" w:rsidR="00E72AE7" w:rsidRPr="00E53C96" w:rsidRDefault="00E72AE7" w:rsidP="00E72AE7">
            <w:pPr>
              <w:pStyle w:val="ListParagraph"/>
              <w:numPr>
                <w:ilvl w:val="0"/>
                <w:numId w:val="13"/>
              </w:numPr>
              <w:rPr>
                <w:sz w:val="20"/>
                <w:szCs w:val="20"/>
                <w:lang w:val="en-GB"/>
              </w:rPr>
            </w:pPr>
            <w:r w:rsidRPr="00E53C96">
              <w:rPr>
                <w:sz w:val="20"/>
                <w:szCs w:val="20"/>
                <w:lang w:val="en-GB"/>
              </w:rPr>
              <w:t>Revitalization of Routine Immunization</w:t>
            </w:r>
            <w:r w:rsidR="009843FD" w:rsidRPr="00E53C96">
              <w:rPr>
                <w:sz w:val="20"/>
                <w:szCs w:val="20"/>
                <w:lang w:val="en-GB"/>
              </w:rPr>
              <w:t xml:space="preserve"> (RI),</w:t>
            </w:r>
            <w:r w:rsidRPr="00E53C96">
              <w:rPr>
                <w:sz w:val="20"/>
                <w:szCs w:val="20"/>
                <w:lang w:val="en-GB"/>
              </w:rPr>
              <w:t xml:space="preserve"> including catch-up vaccination to reach zero-dose, under-immunized children and missed communities</w:t>
            </w:r>
          </w:p>
          <w:p w14:paraId="40A674E0" w14:textId="7EBE798E" w:rsidR="00E72AE7" w:rsidRPr="00E53C96" w:rsidRDefault="00E72AE7" w:rsidP="00E72AE7">
            <w:pPr>
              <w:pStyle w:val="ListParagraph"/>
              <w:numPr>
                <w:ilvl w:val="0"/>
                <w:numId w:val="13"/>
              </w:numPr>
              <w:rPr>
                <w:sz w:val="20"/>
                <w:szCs w:val="20"/>
                <w:lang w:val="en-GB"/>
              </w:rPr>
            </w:pPr>
            <w:r w:rsidRPr="00E53C96">
              <w:rPr>
                <w:sz w:val="20"/>
                <w:szCs w:val="20"/>
                <w:lang w:val="en-GB"/>
              </w:rPr>
              <w:t>Establish and/or continue partnerships with CSO, NGOs, and for-profit private sector actors, including professional associations, to reach zero-dose, under-immunized children and missed communities</w:t>
            </w:r>
          </w:p>
        </w:tc>
        <w:tc>
          <w:tcPr>
            <w:tcW w:w="1193" w:type="dxa"/>
            <w:shd w:val="clear" w:color="auto" w:fill="FFFFFF" w:themeFill="background1"/>
          </w:tcPr>
          <w:p w14:paraId="4CDE8FAA" w14:textId="4C78FA22" w:rsidR="00E72AE7" w:rsidRPr="00E53C96" w:rsidRDefault="00E72AE7" w:rsidP="00E72AE7">
            <w:pPr>
              <w:jc w:val="right"/>
              <w:rPr>
                <w:bCs/>
                <w:color w:val="808080" w:themeColor="background1" w:themeShade="80"/>
                <w:sz w:val="20"/>
                <w:szCs w:val="20"/>
                <w:lang w:val="en-GB"/>
              </w:rPr>
            </w:pPr>
            <w:r w:rsidRPr="00E53C96">
              <w:rPr>
                <w:sz w:val="20"/>
                <w:szCs w:val="20"/>
              </w:rPr>
              <w:t xml:space="preserve">$322,763 </w:t>
            </w:r>
          </w:p>
        </w:tc>
        <w:tc>
          <w:tcPr>
            <w:tcW w:w="1134" w:type="dxa"/>
            <w:shd w:val="clear" w:color="auto" w:fill="FFFFFF" w:themeFill="background1"/>
          </w:tcPr>
          <w:p w14:paraId="0F3A2B8A" w14:textId="2332DEAE" w:rsidR="00E72AE7" w:rsidRPr="00E53C96" w:rsidRDefault="00E72AE7" w:rsidP="00E72AE7">
            <w:pPr>
              <w:jc w:val="right"/>
              <w:rPr>
                <w:bCs/>
                <w:color w:val="808080" w:themeColor="background1" w:themeShade="80"/>
                <w:sz w:val="20"/>
                <w:szCs w:val="20"/>
                <w:lang w:val="en-GB"/>
              </w:rPr>
            </w:pPr>
            <w:r w:rsidRPr="00E53C96">
              <w:rPr>
                <w:sz w:val="20"/>
                <w:szCs w:val="20"/>
              </w:rPr>
              <w:t>30%</w:t>
            </w:r>
          </w:p>
        </w:tc>
      </w:tr>
      <w:tr w:rsidR="00E72AE7" w14:paraId="5A7918D2" w14:textId="77777777" w:rsidTr="004B6BE4">
        <w:trPr>
          <w:jc w:val="center"/>
        </w:trPr>
        <w:tc>
          <w:tcPr>
            <w:tcW w:w="1953" w:type="dxa"/>
            <w:shd w:val="clear" w:color="auto" w:fill="FFFFFF" w:themeFill="background1"/>
          </w:tcPr>
          <w:p w14:paraId="317D33A4" w14:textId="79D4C87A" w:rsidR="00E72AE7" w:rsidRPr="00E53C96" w:rsidRDefault="00E72AE7" w:rsidP="00E72AE7">
            <w:pPr>
              <w:rPr>
                <w:sz w:val="20"/>
                <w:szCs w:val="20"/>
                <w:lang w:val="en-GB"/>
              </w:rPr>
            </w:pPr>
            <w:r w:rsidRPr="00E53C96">
              <w:rPr>
                <w:sz w:val="20"/>
                <w:szCs w:val="20"/>
                <w:lang w:val="en-GB"/>
              </w:rPr>
              <w:t>Human resources for health</w:t>
            </w:r>
          </w:p>
        </w:tc>
        <w:tc>
          <w:tcPr>
            <w:tcW w:w="4792" w:type="dxa"/>
            <w:shd w:val="clear" w:color="auto" w:fill="FFFFFF" w:themeFill="background1"/>
          </w:tcPr>
          <w:p w14:paraId="2B32E25C" w14:textId="5686DBA1" w:rsidR="00E72AE7" w:rsidRPr="00E53C96" w:rsidRDefault="00E72AE7" w:rsidP="00E72AE7">
            <w:pPr>
              <w:pStyle w:val="ListParagraph"/>
              <w:numPr>
                <w:ilvl w:val="0"/>
                <w:numId w:val="15"/>
              </w:numPr>
              <w:rPr>
                <w:sz w:val="20"/>
                <w:szCs w:val="20"/>
                <w:lang w:val="en-GB"/>
              </w:rPr>
            </w:pPr>
            <w:r w:rsidRPr="00E53C96">
              <w:rPr>
                <w:sz w:val="20"/>
                <w:szCs w:val="20"/>
                <w:lang w:val="en-GB"/>
              </w:rPr>
              <w:t>Assess the capacity and functionality of health facilities and health workers and develop appropriate human resource deployment and development plans across the country</w:t>
            </w:r>
            <w:r w:rsidR="006E0FBB" w:rsidRPr="00E53C96">
              <w:rPr>
                <w:sz w:val="20"/>
                <w:szCs w:val="20"/>
                <w:lang w:val="en-GB"/>
              </w:rPr>
              <w:t>,</w:t>
            </w:r>
            <w:r w:rsidRPr="00E53C96">
              <w:rPr>
                <w:sz w:val="20"/>
                <w:szCs w:val="20"/>
                <w:lang w:val="en-GB"/>
              </w:rPr>
              <w:t xml:space="preserve"> including hard-to-reach areas</w:t>
            </w:r>
          </w:p>
        </w:tc>
        <w:tc>
          <w:tcPr>
            <w:tcW w:w="1193" w:type="dxa"/>
            <w:shd w:val="clear" w:color="auto" w:fill="FFFFFF" w:themeFill="background1"/>
          </w:tcPr>
          <w:p w14:paraId="5A22BDB6" w14:textId="5820C7C9" w:rsidR="00E72AE7" w:rsidRPr="00E53C96" w:rsidRDefault="00E72AE7" w:rsidP="00E72AE7">
            <w:pPr>
              <w:jc w:val="right"/>
              <w:rPr>
                <w:bCs/>
                <w:color w:val="808080" w:themeColor="background1" w:themeShade="80"/>
                <w:sz w:val="20"/>
                <w:szCs w:val="20"/>
                <w:lang w:val="en-GB"/>
              </w:rPr>
            </w:pPr>
            <w:r w:rsidRPr="00E53C96">
              <w:rPr>
                <w:sz w:val="20"/>
                <w:szCs w:val="20"/>
              </w:rPr>
              <w:t xml:space="preserve">$107,588 </w:t>
            </w:r>
          </w:p>
        </w:tc>
        <w:tc>
          <w:tcPr>
            <w:tcW w:w="1134" w:type="dxa"/>
            <w:shd w:val="clear" w:color="auto" w:fill="FFFFFF" w:themeFill="background1"/>
          </w:tcPr>
          <w:p w14:paraId="01D4C43D" w14:textId="0E1AA097" w:rsidR="00E72AE7" w:rsidRPr="00E53C96" w:rsidRDefault="00E72AE7" w:rsidP="00E72AE7">
            <w:pPr>
              <w:jc w:val="right"/>
              <w:rPr>
                <w:bCs/>
                <w:color w:val="808080" w:themeColor="background1" w:themeShade="80"/>
                <w:sz w:val="20"/>
                <w:szCs w:val="20"/>
                <w:lang w:val="en-GB"/>
              </w:rPr>
            </w:pPr>
            <w:r w:rsidRPr="00E53C96">
              <w:rPr>
                <w:sz w:val="20"/>
                <w:szCs w:val="20"/>
              </w:rPr>
              <w:t>10%</w:t>
            </w:r>
          </w:p>
        </w:tc>
      </w:tr>
      <w:tr w:rsidR="00E72AE7" w14:paraId="012B509A" w14:textId="77777777" w:rsidTr="004B6BE4">
        <w:trPr>
          <w:jc w:val="center"/>
        </w:trPr>
        <w:tc>
          <w:tcPr>
            <w:tcW w:w="1953" w:type="dxa"/>
            <w:shd w:val="clear" w:color="auto" w:fill="FFFFFF" w:themeFill="background1"/>
          </w:tcPr>
          <w:p w14:paraId="1BDE5F06" w14:textId="01BA362E" w:rsidR="00E72AE7" w:rsidRPr="00E53C96" w:rsidRDefault="00E72AE7" w:rsidP="00E72AE7">
            <w:pPr>
              <w:rPr>
                <w:sz w:val="20"/>
                <w:szCs w:val="20"/>
                <w:lang w:val="en-GB"/>
              </w:rPr>
            </w:pPr>
            <w:r w:rsidRPr="00E53C96">
              <w:rPr>
                <w:sz w:val="20"/>
                <w:szCs w:val="20"/>
                <w:lang w:val="en-GB"/>
              </w:rPr>
              <w:t>Supply chain</w:t>
            </w:r>
          </w:p>
        </w:tc>
        <w:tc>
          <w:tcPr>
            <w:tcW w:w="4792" w:type="dxa"/>
            <w:shd w:val="clear" w:color="auto" w:fill="FFFFFF" w:themeFill="background1"/>
          </w:tcPr>
          <w:p w14:paraId="1B2235E1" w14:textId="31DF31FD" w:rsidR="00E72AE7" w:rsidRPr="00E53C96" w:rsidRDefault="00E72AE7" w:rsidP="00E72AE7">
            <w:pPr>
              <w:pStyle w:val="ListParagraph"/>
              <w:numPr>
                <w:ilvl w:val="0"/>
                <w:numId w:val="14"/>
              </w:numPr>
              <w:rPr>
                <w:sz w:val="20"/>
                <w:szCs w:val="20"/>
                <w:lang w:val="en-GB"/>
              </w:rPr>
            </w:pPr>
            <w:r w:rsidRPr="00E53C96">
              <w:rPr>
                <w:sz w:val="20"/>
                <w:szCs w:val="20"/>
                <w:lang w:val="en-GB"/>
              </w:rPr>
              <w:t>Design of the immunization supply chain (iSC) system to improve efficiency and vaccine availability, especially in the last mile</w:t>
            </w:r>
          </w:p>
          <w:p w14:paraId="5A8D800A" w14:textId="5CF821DD" w:rsidR="00E72AE7" w:rsidRPr="00E53C96" w:rsidRDefault="00E72AE7" w:rsidP="00E72AE7">
            <w:pPr>
              <w:pStyle w:val="ListParagraph"/>
              <w:numPr>
                <w:ilvl w:val="0"/>
                <w:numId w:val="14"/>
              </w:numPr>
              <w:rPr>
                <w:sz w:val="20"/>
                <w:szCs w:val="20"/>
                <w:lang w:val="en-GB"/>
              </w:rPr>
            </w:pPr>
            <w:r w:rsidRPr="00E53C96">
              <w:rPr>
                <w:sz w:val="20"/>
                <w:szCs w:val="20"/>
                <w:lang w:val="en-GB"/>
              </w:rPr>
              <w:t>Support the roll</w:t>
            </w:r>
            <w:r w:rsidR="006E0FBB" w:rsidRPr="00E53C96">
              <w:rPr>
                <w:sz w:val="20"/>
                <w:szCs w:val="20"/>
                <w:lang w:val="en-GB"/>
              </w:rPr>
              <w:t>-</w:t>
            </w:r>
            <w:r w:rsidRPr="00E53C96">
              <w:rPr>
                <w:sz w:val="20"/>
                <w:szCs w:val="20"/>
                <w:lang w:val="en-GB"/>
              </w:rPr>
              <w:t>out of electronic logistics and information management system for vaccines and public health commodities to strengthen the vaccines stock management system</w:t>
            </w:r>
          </w:p>
          <w:p w14:paraId="1A35D494" w14:textId="1BC67E2C" w:rsidR="00E72AE7" w:rsidRPr="00E53C96" w:rsidRDefault="00E72AE7" w:rsidP="00E72AE7">
            <w:pPr>
              <w:pStyle w:val="ListParagraph"/>
              <w:numPr>
                <w:ilvl w:val="0"/>
                <w:numId w:val="14"/>
              </w:numPr>
              <w:rPr>
                <w:sz w:val="20"/>
                <w:szCs w:val="20"/>
                <w:lang w:val="en-GB"/>
              </w:rPr>
            </w:pPr>
            <w:r w:rsidRPr="00E53C96">
              <w:rPr>
                <w:sz w:val="20"/>
                <w:szCs w:val="20"/>
                <w:lang w:val="en-GB"/>
              </w:rPr>
              <w:t>Support the roll</w:t>
            </w:r>
            <w:r w:rsidR="006E0FBB" w:rsidRPr="00E53C96">
              <w:rPr>
                <w:sz w:val="20"/>
                <w:szCs w:val="20"/>
                <w:lang w:val="en-GB"/>
              </w:rPr>
              <w:t>-</w:t>
            </w:r>
            <w:r w:rsidRPr="00E53C96">
              <w:rPr>
                <w:sz w:val="20"/>
                <w:szCs w:val="20"/>
                <w:lang w:val="en-GB"/>
              </w:rPr>
              <w:t xml:space="preserve">out of remote temperature monitoring devices from the central cold room and up to township level cold stores for efficient vaccines management </w:t>
            </w:r>
          </w:p>
          <w:p w14:paraId="3CF02A98" w14:textId="28E30CE4" w:rsidR="00E72AE7" w:rsidRPr="00E53C96" w:rsidRDefault="00E72AE7" w:rsidP="00E72AE7">
            <w:pPr>
              <w:pStyle w:val="ListParagraph"/>
              <w:numPr>
                <w:ilvl w:val="0"/>
                <w:numId w:val="14"/>
              </w:numPr>
              <w:rPr>
                <w:sz w:val="20"/>
                <w:szCs w:val="20"/>
                <w:lang w:val="en-GB"/>
              </w:rPr>
            </w:pPr>
            <w:r w:rsidRPr="00E53C96">
              <w:rPr>
                <w:sz w:val="20"/>
                <w:szCs w:val="20"/>
                <w:lang w:val="en-GB"/>
              </w:rPr>
              <w:t>A concept notes on logistics management information system</w:t>
            </w:r>
            <w:r w:rsidR="006E0FBB" w:rsidRPr="00E53C96">
              <w:rPr>
                <w:sz w:val="20"/>
                <w:szCs w:val="20"/>
                <w:lang w:val="en-GB"/>
              </w:rPr>
              <w:t>,</w:t>
            </w:r>
            <w:r w:rsidRPr="00E53C96">
              <w:rPr>
                <w:sz w:val="20"/>
                <w:szCs w:val="20"/>
                <w:lang w:val="en-GB"/>
              </w:rPr>
              <w:t xml:space="preserve"> including the capacity and quality of vaccine storage and distribution to improve vaccine availability, especially in the last mile</w:t>
            </w:r>
          </w:p>
        </w:tc>
        <w:tc>
          <w:tcPr>
            <w:tcW w:w="1193" w:type="dxa"/>
            <w:shd w:val="clear" w:color="auto" w:fill="FFFFFF" w:themeFill="background1"/>
          </w:tcPr>
          <w:p w14:paraId="649ED2A6" w14:textId="7C9D5743" w:rsidR="00E72AE7" w:rsidRPr="00E53C96" w:rsidRDefault="00E72AE7" w:rsidP="00E72AE7">
            <w:pPr>
              <w:jc w:val="right"/>
              <w:rPr>
                <w:bCs/>
                <w:color w:val="808080" w:themeColor="background1" w:themeShade="80"/>
                <w:sz w:val="20"/>
                <w:szCs w:val="20"/>
                <w:lang w:val="en-GB"/>
              </w:rPr>
            </w:pPr>
            <w:r w:rsidRPr="00E53C96">
              <w:rPr>
                <w:sz w:val="20"/>
                <w:szCs w:val="20"/>
              </w:rPr>
              <w:t xml:space="preserve">$107,588 </w:t>
            </w:r>
          </w:p>
        </w:tc>
        <w:tc>
          <w:tcPr>
            <w:tcW w:w="1134" w:type="dxa"/>
            <w:shd w:val="clear" w:color="auto" w:fill="FFFFFF" w:themeFill="background1"/>
          </w:tcPr>
          <w:p w14:paraId="3C040472" w14:textId="2E8F72AF" w:rsidR="00E72AE7" w:rsidRPr="00E53C96" w:rsidRDefault="00E72AE7" w:rsidP="00E72AE7">
            <w:pPr>
              <w:jc w:val="right"/>
              <w:rPr>
                <w:bCs/>
                <w:color w:val="808080" w:themeColor="background1" w:themeShade="80"/>
                <w:sz w:val="20"/>
                <w:szCs w:val="20"/>
                <w:lang w:val="en-GB"/>
              </w:rPr>
            </w:pPr>
            <w:r w:rsidRPr="00E53C96">
              <w:rPr>
                <w:sz w:val="20"/>
                <w:szCs w:val="20"/>
              </w:rPr>
              <w:t>10%</w:t>
            </w:r>
          </w:p>
        </w:tc>
      </w:tr>
      <w:tr w:rsidR="00E72AE7" w14:paraId="3FA41BBD" w14:textId="77777777" w:rsidTr="004B6BE4">
        <w:trPr>
          <w:jc w:val="center"/>
        </w:trPr>
        <w:tc>
          <w:tcPr>
            <w:tcW w:w="1953" w:type="dxa"/>
            <w:shd w:val="clear" w:color="auto" w:fill="FFFFFF" w:themeFill="background1"/>
          </w:tcPr>
          <w:p w14:paraId="78677415" w14:textId="7D01F8A2" w:rsidR="00E72AE7" w:rsidRPr="00E53C96" w:rsidRDefault="00E72AE7" w:rsidP="00E72AE7">
            <w:pPr>
              <w:rPr>
                <w:sz w:val="20"/>
                <w:szCs w:val="20"/>
                <w:lang w:val="en-GB"/>
              </w:rPr>
            </w:pPr>
            <w:r w:rsidRPr="00E53C96">
              <w:rPr>
                <w:sz w:val="20"/>
                <w:szCs w:val="20"/>
                <w:lang w:val="en-GB"/>
              </w:rPr>
              <w:t>Health information systems and monitoring and learning</w:t>
            </w:r>
          </w:p>
        </w:tc>
        <w:tc>
          <w:tcPr>
            <w:tcW w:w="4792" w:type="dxa"/>
            <w:shd w:val="clear" w:color="auto" w:fill="FFFFFF" w:themeFill="background1"/>
          </w:tcPr>
          <w:p w14:paraId="5509895D" w14:textId="2A5D2F4C" w:rsidR="00E72AE7" w:rsidRPr="00E53C96" w:rsidRDefault="00E72AE7" w:rsidP="00E72AE7">
            <w:pPr>
              <w:pStyle w:val="ListParagraph"/>
              <w:numPr>
                <w:ilvl w:val="0"/>
                <w:numId w:val="18"/>
              </w:numPr>
              <w:rPr>
                <w:sz w:val="20"/>
                <w:szCs w:val="20"/>
                <w:lang w:val="en-GB"/>
              </w:rPr>
            </w:pPr>
            <w:r w:rsidRPr="00E53C96">
              <w:rPr>
                <w:sz w:val="20"/>
                <w:szCs w:val="20"/>
                <w:lang w:val="en-GB"/>
              </w:rPr>
              <w:t>Assess the health facility readiness and monitor the progress through periodic surveys</w:t>
            </w:r>
          </w:p>
          <w:p w14:paraId="33DD311B" w14:textId="78BE5315" w:rsidR="00E72AE7" w:rsidRPr="00E53C96" w:rsidRDefault="00E72AE7" w:rsidP="00E72AE7">
            <w:pPr>
              <w:pStyle w:val="ListParagraph"/>
              <w:numPr>
                <w:ilvl w:val="0"/>
                <w:numId w:val="18"/>
              </w:numPr>
              <w:rPr>
                <w:sz w:val="20"/>
                <w:szCs w:val="20"/>
                <w:lang w:val="en-GB"/>
              </w:rPr>
            </w:pPr>
            <w:r w:rsidRPr="00E53C96">
              <w:rPr>
                <w:sz w:val="20"/>
                <w:szCs w:val="20"/>
                <w:lang w:val="en-GB"/>
              </w:rPr>
              <w:t>Conceptualize the DHIS2 roll</w:t>
            </w:r>
            <w:r w:rsidR="00376DF7" w:rsidRPr="00E53C96">
              <w:rPr>
                <w:sz w:val="20"/>
                <w:szCs w:val="20"/>
                <w:lang w:val="en-GB"/>
              </w:rPr>
              <w:t>-</w:t>
            </w:r>
            <w:r w:rsidRPr="00E53C96">
              <w:rPr>
                <w:sz w:val="20"/>
                <w:szCs w:val="20"/>
                <w:lang w:val="en-GB"/>
              </w:rPr>
              <w:t>out plan by ensuring interoperability with other information systems</w:t>
            </w:r>
          </w:p>
        </w:tc>
        <w:tc>
          <w:tcPr>
            <w:tcW w:w="1193" w:type="dxa"/>
            <w:shd w:val="clear" w:color="auto" w:fill="FFFFFF" w:themeFill="background1"/>
          </w:tcPr>
          <w:p w14:paraId="47B1ACCE" w14:textId="3B299F19" w:rsidR="00E72AE7" w:rsidRPr="00E53C96" w:rsidRDefault="00E72AE7" w:rsidP="00E72AE7">
            <w:pPr>
              <w:jc w:val="right"/>
              <w:rPr>
                <w:bCs/>
                <w:color w:val="808080" w:themeColor="background1" w:themeShade="80"/>
                <w:sz w:val="20"/>
                <w:szCs w:val="20"/>
                <w:lang w:val="en-GB"/>
              </w:rPr>
            </w:pPr>
            <w:r w:rsidRPr="00E53C96">
              <w:rPr>
                <w:sz w:val="20"/>
                <w:szCs w:val="20"/>
              </w:rPr>
              <w:t xml:space="preserve">$107,588 </w:t>
            </w:r>
          </w:p>
        </w:tc>
        <w:tc>
          <w:tcPr>
            <w:tcW w:w="1134" w:type="dxa"/>
            <w:shd w:val="clear" w:color="auto" w:fill="FFFFFF" w:themeFill="background1"/>
          </w:tcPr>
          <w:p w14:paraId="063F2611" w14:textId="502F7565" w:rsidR="00E72AE7" w:rsidRPr="00E53C96" w:rsidRDefault="00E72AE7" w:rsidP="00E72AE7">
            <w:pPr>
              <w:jc w:val="right"/>
              <w:rPr>
                <w:bCs/>
                <w:color w:val="808080" w:themeColor="background1" w:themeShade="80"/>
                <w:sz w:val="20"/>
                <w:szCs w:val="20"/>
                <w:lang w:val="en-GB"/>
              </w:rPr>
            </w:pPr>
            <w:r w:rsidRPr="00E53C96">
              <w:rPr>
                <w:sz w:val="20"/>
                <w:szCs w:val="20"/>
              </w:rPr>
              <w:t>10%</w:t>
            </w:r>
          </w:p>
        </w:tc>
      </w:tr>
      <w:tr w:rsidR="00E72AE7" w14:paraId="7D72A41F" w14:textId="77777777" w:rsidTr="004B6BE4">
        <w:trPr>
          <w:jc w:val="center"/>
        </w:trPr>
        <w:tc>
          <w:tcPr>
            <w:tcW w:w="1953" w:type="dxa"/>
            <w:shd w:val="clear" w:color="auto" w:fill="FFFFFF" w:themeFill="background1"/>
          </w:tcPr>
          <w:p w14:paraId="7B40E559" w14:textId="7379553B" w:rsidR="00E72AE7" w:rsidRPr="00E53C96" w:rsidRDefault="00E72AE7" w:rsidP="00E72AE7">
            <w:pPr>
              <w:rPr>
                <w:sz w:val="20"/>
                <w:szCs w:val="20"/>
                <w:lang w:val="en-GB"/>
              </w:rPr>
            </w:pPr>
            <w:r w:rsidRPr="00E53C96">
              <w:rPr>
                <w:sz w:val="20"/>
                <w:szCs w:val="20"/>
                <w:lang w:val="en-GB"/>
              </w:rPr>
              <w:t xml:space="preserve"> VPD Surveillance</w:t>
            </w:r>
            <w:r w:rsidRPr="00E53C96">
              <w:rPr>
                <w:color w:val="808080" w:themeColor="background1" w:themeShade="80"/>
                <w:sz w:val="20"/>
                <w:szCs w:val="20"/>
                <w:lang w:val="en-GB"/>
              </w:rPr>
              <w:t xml:space="preserve"> </w:t>
            </w:r>
          </w:p>
        </w:tc>
        <w:tc>
          <w:tcPr>
            <w:tcW w:w="4792" w:type="dxa"/>
            <w:shd w:val="clear" w:color="auto" w:fill="FFFFFF" w:themeFill="background1"/>
          </w:tcPr>
          <w:p w14:paraId="10C7B5B8" w14:textId="32CC2348" w:rsidR="00E72AE7" w:rsidRPr="00E53C96" w:rsidRDefault="00E72AE7" w:rsidP="00E72AE7">
            <w:pPr>
              <w:pStyle w:val="ListParagraph"/>
              <w:numPr>
                <w:ilvl w:val="0"/>
                <w:numId w:val="20"/>
              </w:numPr>
              <w:rPr>
                <w:color w:val="808080" w:themeColor="background1" w:themeShade="80"/>
                <w:sz w:val="20"/>
                <w:szCs w:val="20"/>
                <w:lang w:val="en-GB"/>
              </w:rPr>
            </w:pPr>
            <w:r w:rsidRPr="00E53C96">
              <w:rPr>
                <w:sz w:val="20"/>
                <w:szCs w:val="20"/>
                <w:lang w:val="en-GB"/>
              </w:rPr>
              <w:t>Increase the timely detection of and</w:t>
            </w:r>
          </w:p>
          <w:p w14:paraId="03AB7628" w14:textId="5892FBEE" w:rsidR="00E72AE7" w:rsidRPr="00E53C96" w:rsidRDefault="00E72AE7" w:rsidP="00E72AE7">
            <w:pPr>
              <w:rPr>
                <w:sz w:val="20"/>
                <w:szCs w:val="20"/>
                <w:lang w:val="en-GB"/>
              </w:rPr>
            </w:pPr>
            <w:r w:rsidRPr="00E53C96">
              <w:rPr>
                <w:sz w:val="20"/>
                <w:szCs w:val="20"/>
                <w:lang w:val="en-GB"/>
              </w:rPr>
              <w:t>response to vaccine-preventable disease outbreaks</w:t>
            </w:r>
          </w:p>
        </w:tc>
        <w:tc>
          <w:tcPr>
            <w:tcW w:w="1193" w:type="dxa"/>
            <w:shd w:val="clear" w:color="auto" w:fill="FFFFFF" w:themeFill="background1"/>
          </w:tcPr>
          <w:p w14:paraId="63E08285" w14:textId="46C9625D" w:rsidR="00E72AE7" w:rsidRPr="00E53C96" w:rsidRDefault="00E72AE7" w:rsidP="00E72AE7">
            <w:pPr>
              <w:jc w:val="right"/>
              <w:rPr>
                <w:bCs/>
                <w:color w:val="808080" w:themeColor="background1" w:themeShade="80"/>
                <w:sz w:val="20"/>
                <w:szCs w:val="20"/>
                <w:lang w:val="en-GB"/>
              </w:rPr>
            </w:pPr>
            <w:r w:rsidRPr="00E53C96">
              <w:rPr>
                <w:sz w:val="20"/>
                <w:szCs w:val="20"/>
              </w:rPr>
              <w:t xml:space="preserve">$215,175 </w:t>
            </w:r>
          </w:p>
        </w:tc>
        <w:tc>
          <w:tcPr>
            <w:tcW w:w="1134" w:type="dxa"/>
            <w:shd w:val="clear" w:color="auto" w:fill="FFFFFF" w:themeFill="background1"/>
          </w:tcPr>
          <w:p w14:paraId="36FC05AE" w14:textId="47B78B04" w:rsidR="00E72AE7" w:rsidRPr="00E53C96" w:rsidRDefault="00E72AE7" w:rsidP="00E72AE7">
            <w:pPr>
              <w:jc w:val="right"/>
              <w:rPr>
                <w:bCs/>
                <w:color w:val="808080" w:themeColor="background1" w:themeShade="80"/>
                <w:sz w:val="20"/>
                <w:szCs w:val="20"/>
                <w:lang w:val="en-GB"/>
              </w:rPr>
            </w:pPr>
            <w:r w:rsidRPr="00E53C96">
              <w:rPr>
                <w:sz w:val="20"/>
                <w:szCs w:val="20"/>
              </w:rPr>
              <w:t>20%</w:t>
            </w:r>
          </w:p>
        </w:tc>
      </w:tr>
      <w:tr w:rsidR="00E72AE7" w14:paraId="5E51FF9F" w14:textId="77777777" w:rsidTr="004B6BE4">
        <w:trPr>
          <w:jc w:val="center"/>
        </w:trPr>
        <w:tc>
          <w:tcPr>
            <w:tcW w:w="1953" w:type="dxa"/>
            <w:shd w:val="clear" w:color="auto" w:fill="FFFFFF" w:themeFill="background1"/>
          </w:tcPr>
          <w:p w14:paraId="64631612" w14:textId="45F60555" w:rsidR="00E72AE7" w:rsidRPr="00E53C96" w:rsidRDefault="00E72AE7" w:rsidP="00E72AE7">
            <w:pPr>
              <w:rPr>
                <w:sz w:val="20"/>
                <w:szCs w:val="20"/>
                <w:lang w:val="en-GB"/>
              </w:rPr>
            </w:pPr>
            <w:r w:rsidRPr="00E53C96">
              <w:rPr>
                <w:sz w:val="20"/>
                <w:szCs w:val="20"/>
                <w:lang w:val="en-GB"/>
              </w:rPr>
              <w:t>Demand generation and community engagement</w:t>
            </w:r>
          </w:p>
        </w:tc>
        <w:tc>
          <w:tcPr>
            <w:tcW w:w="4792" w:type="dxa"/>
            <w:shd w:val="clear" w:color="auto" w:fill="FFFFFF" w:themeFill="background1"/>
          </w:tcPr>
          <w:p w14:paraId="377E7EEF" w14:textId="7AFDD455" w:rsidR="00E72AE7" w:rsidRPr="00E53C96" w:rsidRDefault="00E72AE7" w:rsidP="00E72AE7">
            <w:pPr>
              <w:pStyle w:val="ListParagraph"/>
              <w:numPr>
                <w:ilvl w:val="0"/>
                <w:numId w:val="19"/>
              </w:numPr>
              <w:rPr>
                <w:sz w:val="20"/>
                <w:szCs w:val="20"/>
                <w:lang w:val="en-GB"/>
              </w:rPr>
            </w:pPr>
            <w:r w:rsidRPr="00E53C96">
              <w:rPr>
                <w:sz w:val="20"/>
                <w:szCs w:val="20"/>
                <w:lang w:val="en-GB"/>
              </w:rPr>
              <w:t>Assess the perceptions and understand the knowledge, attitude, and practices of parents and caregivers on vaccine and immunization services and develop tailored communication strategies based on the local contexts and needs.</w:t>
            </w:r>
          </w:p>
          <w:p w14:paraId="45505538" w14:textId="2B53A68A" w:rsidR="00E72AE7" w:rsidRPr="00E53C96" w:rsidRDefault="00E72AE7" w:rsidP="00E72AE7">
            <w:pPr>
              <w:pStyle w:val="ListParagraph"/>
              <w:numPr>
                <w:ilvl w:val="0"/>
                <w:numId w:val="19"/>
              </w:numPr>
              <w:rPr>
                <w:sz w:val="20"/>
                <w:szCs w:val="20"/>
                <w:lang w:val="en-GB"/>
              </w:rPr>
            </w:pPr>
            <w:r w:rsidRPr="00E53C96">
              <w:rPr>
                <w:sz w:val="20"/>
                <w:szCs w:val="20"/>
                <w:lang w:val="en-GB"/>
              </w:rPr>
              <w:lastRenderedPageBreak/>
              <w:t xml:space="preserve">Introduce the human-centered design (HCD) approach as </w:t>
            </w:r>
            <w:r w:rsidR="006E0FBB" w:rsidRPr="00E53C96">
              <w:rPr>
                <w:sz w:val="20"/>
                <w:szCs w:val="20"/>
                <w:lang w:val="en-GB"/>
              </w:rPr>
              <w:t xml:space="preserve">a </w:t>
            </w:r>
            <w:r w:rsidRPr="00E53C96">
              <w:rPr>
                <w:sz w:val="20"/>
                <w:szCs w:val="20"/>
                <w:lang w:val="en-GB"/>
              </w:rPr>
              <w:t>pilot in key prioritized areas as one of the core behavior change approaches.</w:t>
            </w:r>
          </w:p>
          <w:p w14:paraId="4852934B" w14:textId="76C7B743" w:rsidR="00E72AE7" w:rsidRPr="00E53C96" w:rsidRDefault="00E72AE7" w:rsidP="00E72AE7">
            <w:pPr>
              <w:pStyle w:val="ListParagraph"/>
              <w:numPr>
                <w:ilvl w:val="0"/>
                <w:numId w:val="19"/>
              </w:numPr>
              <w:rPr>
                <w:rFonts w:eastAsiaTheme="minorEastAsia"/>
                <w:sz w:val="20"/>
                <w:szCs w:val="20"/>
                <w:lang w:val="en-GB"/>
              </w:rPr>
            </w:pPr>
            <w:r w:rsidRPr="00E53C96">
              <w:rPr>
                <w:sz w:val="20"/>
                <w:szCs w:val="20"/>
                <w:lang w:val="en-GB"/>
              </w:rPr>
              <w:t>Establish and manage partnerships with I/NGOs and CSOs, to enhance community mobilization and promote demand for immunization in hard-to-reach townships.</w:t>
            </w:r>
          </w:p>
        </w:tc>
        <w:tc>
          <w:tcPr>
            <w:tcW w:w="1193" w:type="dxa"/>
            <w:shd w:val="clear" w:color="auto" w:fill="FFFFFF" w:themeFill="background1"/>
          </w:tcPr>
          <w:p w14:paraId="22E98D86" w14:textId="36CF7349" w:rsidR="00E72AE7" w:rsidRPr="00E53C96" w:rsidRDefault="00E72AE7" w:rsidP="00E72AE7">
            <w:pPr>
              <w:jc w:val="right"/>
              <w:rPr>
                <w:bCs/>
                <w:color w:val="808080" w:themeColor="background1" w:themeShade="80"/>
                <w:sz w:val="20"/>
                <w:szCs w:val="20"/>
                <w:lang w:val="en-GB"/>
              </w:rPr>
            </w:pPr>
            <w:r w:rsidRPr="00E53C96">
              <w:rPr>
                <w:sz w:val="20"/>
                <w:szCs w:val="20"/>
              </w:rPr>
              <w:lastRenderedPageBreak/>
              <w:t xml:space="preserve">$107,588 </w:t>
            </w:r>
          </w:p>
        </w:tc>
        <w:tc>
          <w:tcPr>
            <w:tcW w:w="1134" w:type="dxa"/>
            <w:shd w:val="clear" w:color="auto" w:fill="FFFFFF" w:themeFill="background1"/>
          </w:tcPr>
          <w:p w14:paraId="74E70905" w14:textId="675D04CC" w:rsidR="00E72AE7" w:rsidRPr="00E53C96" w:rsidRDefault="00E72AE7" w:rsidP="00E72AE7">
            <w:pPr>
              <w:jc w:val="right"/>
              <w:rPr>
                <w:bCs/>
                <w:color w:val="808080" w:themeColor="background1" w:themeShade="80"/>
                <w:sz w:val="20"/>
                <w:szCs w:val="20"/>
                <w:lang w:val="en-GB"/>
              </w:rPr>
            </w:pPr>
            <w:r w:rsidRPr="00E53C96">
              <w:rPr>
                <w:sz w:val="20"/>
                <w:szCs w:val="20"/>
              </w:rPr>
              <w:t>10%</w:t>
            </w:r>
          </w:p>
        </w:tc>
      </w:tr>
      <w:tr w:rsidR="00E72AE7" w14:paraId="6F7F506E" w14:textId="77777777" w:rsidTr="004B6BE4">
        <w:trPr>
          <w:jc w:val="center"/>
        </w:trPr>
        <w:tc>
          <w:tcPr>
            <w:tcW w:w="1953" w:type="dxa"/>
            <w:shd w:val="clear" w:color="auto" w:fill="FFFFFF" w:themeFill="background1"/>
          </w:tcPr>
          <w:p w14:paraId="3007F8CA" w14:textId="0537D1C8" w:rsidR="00E72AE7" w:rsidRPr="00E53C96" w:rsidRDefault="00E72AE7" w:rsidP="00E72AE7">
            <w:pPr>
              <w:rPr>
                <w:sz w:val="20"/>
                <w:szCs w:val="20"/>
                <w:lang w:val="en-GB"/>
              </w:rPr>
            </w:pPr>
            <w:r w:rsidRPr="00E53C96">
              <w:rPr>
                <w:sz w:val="20"/>
                <w:szCs w:val="20"/>
                <w:lang w:val="en-GB"/>
              </w:rPr>
              <w:t>Government, policy, strategic planning</w:t>
            </w:r>
            <w:r w:rsidR="006E0FBB" w:rsidRPr="00E53C96">
              <w:rPr>
                <w:sz w:val="20"/>
                <w:szCs w:val="20"/>
                <w:lang w:val="en-GB"/>
              </w:rPr>
              <w:t>,</w:t>
            </w:r>
            <w:r w:rsidRPr="00E53C96">
              <w:rPr>
                <w:sz w:val="20"/>
                <w:szCs w:val="20"/>
                <w:lang w:val="en-GB"/>
              </w:rPr>
              <w:t xml:space="preserve"> and program management</w:t>
            </w:r>
          </w:p>
        </w:tc>
        <w:tc>
          <w:tcPr>
            <w:tcW w:w="4792" w:type="dxa"/>
            <w:shd w:val="clear" w:color="auto" w:fill="FFFFFF" w:themeFill="background1"/>
          </w:tcPr>
          <w:p w14:paraId="3B217AE5" w14:textId="4891344E" w:rsidR="00E72AE7" w:rsidRPr="00E53C96" w:rsidRDefault="00E72AE7" w:rsidP="00E72AE7">
            <w:pPr>
              <w:pStyle w:val="ListParagraph"/>
              <w:numPr>
                <w:ilvl w:val="0"/>
                <w:numId w:val="21"/>
              </w:numPr>
              <w:rPr>
                <w:sz w:val="20"/>
                <w:szCs w:val="20"/>
                <w:lang w:val="en-GB"/>
              </w:rPr>
            </w:pPr>
            <w:r w:rsidRPr="00E53C96">
              <w:rPr>
                <w:sz w:val="20"/>
                <w:szCs w:val="20"/>
                <w:lang w:val="en-GB"/>
              </w:rPr>
              <w:t>Advocacy and coordination at national and sub-national levels to resume and revitalize the routine immunization services across the countries.</w:t>
            </w:r>
          </w:p>
          <w:p w14:paraId="46748D8B" w14:textId="6E8BD358" w:rsidR="00E72AE7" w:rsidRPr="00E53C96" w:rsidRDefault="00E72AE7" w:rsidP="00E72AE7">
            <w:pPr>
              <w:pStyle w:val="ListParagraph"/>
              <w:numPr>
                <w:ilvl w:val="0"/>
                <w:numId w:val="21"/>
              </w:numPr>
              <w:rPr>
                <w:rFonts w:eastAsiaTheme="minorEastAsia"/>
                <w:sz w:val="20"/>
                <w:szCs w:val="20"/>
                <w:lang w:val="en-GB"/>
              </w:rPr>
            </w:pPr>
            <w:r w:rsidRPr="00E53C96">
              <w:rPr>
                <w:sz w:val="20"/>
                <w:szCs w:val="20"/>
                <w:lang w:val="en-GB"/>
              </w:rPr>
              <w:t>Revitalization of national level technical bodies and committees: (NITAG, NCCPE, NMVC, AEFI, TWG) to guide the decisions by policymakers and to monitor the progress of immunization activities</w:t>
            </w:r>
          </w:p>
          <w:p w14:paraId="3CE03A72" w14:textId="27313E52" w:rsidR="00E72AE7" w:rsidRPr="00E53C96" w:rsidRDefault="00E72AE7" w:rsidP="00E72AE7">
            <w:pPr>
              <w:pStyle w:val="ListParagraph"/>
              <w:numPr>
                <w:ilvl w:val="0"/>
                <w:numId w:val="21"/>
              </w:numPr>
              <w:rPr>
                <w:sz w:val="20"/>
                <w:szCs w:val="20"/>
                <w:lang w:val="en-GB"/>
              </w:rPr>
            </w:pPr>
          </w:p>
        </w:tc>
        <w:tc>
          <w:tcPr>
            <w:tcW w:w="1193" w:type="dxa"/>
            <w:shd w:val="clear" w:color="auto" w:fill="FFFFFF" w:themeFill="background1"/>
          </w:tcPr>
          <w:p w14:paraId="012EF1D2" w14:textId="4F8687C4" w:rsidR="00E72AE7" w:rsidRPr="00E53C96" w:rsidRDefault="00E72AE7" w:rsidP="00E72AE7">
            <w:pPr>
              <w:jc w:val="right"/>
              <w:rPr>
                <w:bCs/>
                <w:color w:val="808080" w:themeColor="background1" w:themeShade="80"/>
                <w:sz w:val="20"/>
                <w:szCs w:val="20"/>
                <w:lang w:val="en-GB"/>
              </w:rPr>
            </w:pPr>
            <w:r w:rsidRPr="00E53C96">
              <w:rPr>
                <w:sz w:val="20"/>
                <w:szCs w:val="20"/>
              </w:rPr>
              <w:t xml:space="preserve">$53,794 </w:t>
            </w:r>
          </w:p>
        </w:tc>
        <w:tc>
          <w:tcPr>
            <w:tcW w:w="1134" w:type="dxa"/>
            <w:shd w:val="clear" w:color="auto" w:fill="FFFFFF" w:themeFill="background1"/>
          </w:tcPr>
          <w:p w14:paraId="00FFC6EE" w14:textId="768DF8F9" w:rsidR="00E72AE7" w:rsidRPr="00E53C96" w:rsidRDefault="00E72AE7" w:rsidP="00E72AE7">
            <w:pPr>
              <w:jc w:val="right"/>
              <w:rPr>
                <w:bCs/>
                <w:color w:val="808080" w:themeColor="background1" w:themeShade="80"/>
                <w:sz w:val="20"/>
                <w:szCs w:val="20"/>
                <w:lang w:val="en-GB"/>
              </w:rPr>
            </w:pPr>
            <w:r w:rsidRPr="00E53C96">
              <w:rPr>
                <w:sz w:val="20"/>
                <w:szCs w:val="20"/>
              </w:rPr>
              <w:t>5%</w:t>
            </w:r>
          </w:p>
        </w:tc>
      </w:tr>
      <w:tr w:rsidR="00E72AE7" w14:paraId="6F4B5856" w14:textId="77777777" w:rsidTr="004B6BE4">
        <w:trPr>
          <w:jc w:val="center"/>
        </w:trPr>
        <w:tc>
          <w:tcPr>
            <w:tcW w:w="1953" w:type="dxa"/>
            <w:shd w:val="clear" w:color="auto" w:fill="FFFFFF" w:themeFill="background1"/>
          </w:tcPr>
          <w:p w14:paraId="0E6B20C7" w14:textId="7191C063" w:rsidR="00E72AE7" w:rsidRPr="00E53C96" w:rsidRDefault="00E72AE7" w:rsidP="00E72AE7">
            <w:pPr>
              <w:rPr>
                <w:sz w:val="20"/>
                <w:szCs w:val="20"/>
                <w:lang w:val="en-GB"/>
              </w:rPr>
            </w:pPr>
            <w:r w:rsidRPr="00E53C96">
              <w:rPr>
                <w:sz w:val="20"/>
                <w:szCs w:val="20"/>
                <w:lang w:val="en-GB"/>
              </w:rPr>
              <w:t xml:space="preserve">Health financing </w:t>
            </w:r>
          </w:p>
        </w:tc>
        <w:tc>
          <w:tcPr>
            <w:tcW w:w="4792" w:type="dxa"/>
            <w:shd w:val="clear" w:color="auto" w:fill="FFFFFF" w:themeFill="background1"/>
          </w:tcPr>
          <w:p w14:paraId="7761476B" w14:textId="77777777" w:rsidR="00E72AE7" w:rsidRPr="00E53C96" w:rsidRDefault="00E72AE7" w:rsidP="00E72AE7">
            <w:pPr>
              <w:pStyle w:val="ListParagraph"/>
              <w:numPr>
                <w:ilvl w:val="0"/>
                <w:numId w:val="22"/>
              </w:numPr>
              <w:rPr>
                <w:sz w:val="20"/>
                <w:szCs w:val="20"/>
                <w:lang w:val="en-GB"/>
              </w:rPr>
            </w:pPr>
            <w:r w:rsidRPr="00E53C96">
              <w:rPr>
                <w:sz w:val="20"/>
                <w:szCs w:val="20"/>
                <w:lang w:val="en-GB"/>
              </w:rPr>
              <w:t>Support the budgeting and targeting of domestic resources for immunization and primary healthcare (PHC) based on equity considerations</w:t>
            </w:r>
          </w:p>
          <w:p w14:paraId="7089DAE2" w14:textId="2921766F" w:rsidR="00E72AE7" w:rsidRPr="00E53C96" w:rsidRDefault="00E72AE7" w:rsidP="00E72AE7">
            <w:pPr>
              <w:pStyle w:val="ListParagraph"/>
              <w:numPr>
                <w:ilvl w:val="0"/>
                <w:numId w:val="22"/>
              </w:numPr>
              <w:rPr>
                <w:sz w:val="20"/>
                <w:szCs w:val="20"/>
                <w:lang w:val="en-GB"/>
              </w:rPr>
            </w:pPr>
            <w:r w:rsidRPr="00E53C96">
              <w:rPr>
                <w:sz w:val="20"/>
                <w:szCs w:val="20"/>
                <w:lang w:val="en-GB"/>
              </w:rPr>
              <w:t>Advocacy for earmarking the budget for cold chain maintenance</w:t>
            </w:r>
          </w:p>
          <w:p w14:paraId="3ED522C6" w14:textId="679A7160" w:rsidR="00E72AE7" w:rsidRPr="00E53C96" w:rsidRDefault="00E72AE7" w:rsidP="00E72AE7">
            <w:pPr>
              <w:pStyle w:val="ListParagraph"/>
              <w:numPr>
                <w:ilvl w:val="0"/>
                <w:numId w:val="22"/>
              </w:numPr>
              <w:rPr>
                <w:sz w:val="20"/>
                <w:szCs w:val="20"/>
                <w:lang w:val="en-GB"/>
              </w:rPr>
            </w:pPr>
            <w:r w:rsidRPr="00E53C96">
              <w:rPr>
                <w:sz w:val="20"/>
                <w:szCs w:val="20"/>
                <w:lang w:val="en-GB"/>
              </w:rPr>
              <w:t>Ensure for earmarking of the budget for vaccines procurement</w:t>
            </w:r>
          </w:p>
        </w:tc>
        <w:tc>
          <w:tcPr>
            <w:tcW w:w="1193" w:type="dxa"/>
            <w:shd w:val="clear" w:color="auto" w:fill="FFFFFF" w:themeFill="background1"/>
          </w:tcPr>
          <w:p w14:paraId="11A3CD6A" w14:textId="771358A5" w:rsidR="00E72AE7" w:rsidRPr="00E53C96" w:rsidRDefault="00E72AE7" w:rsidP="00E72AE7">
            <w:pPr>
              <w:jc w:val="right"/>
              <w:rPr>
                <w:bCs/>
                <w:color w:val="808080" w:themeColor="background1" w:themeShade="80"/>
                <w:sz w:val="20"/>
                <w:szCs w:val="20"/>
                <w:lang w:val="en-GB"/>
              </w:rPr>
            </w:pPr>
            <w:r w:rsidRPr="00E53C96">
              <w:rPr>
                <w:sz w:val="20"/>
                <w:szCs w:val="20"/>
              </w:rPr>
              <w:t xml:space="preserve">$53,794 </w:t>
            </w:r>
          </w:p>
        </w:tc>
        <w:tc>
          <w:tcPr>
            <w:tcW w:w="1134" w:type="dxa"/>
            <w:shd w:val="clear" w:color="auto" w:fill="FFFFFF" w:themeFill="background1"/>
          </w:tcPr>
          <w:p w14:paraId="540C19EC" w14:textId="03C9451D" w:rsidR="00E72AE7" w:rsidRPr="00E53C96" w:rsidRDefault="00E72AE7" w:rsidP="00E72AE7">
            <w:pPr>
              <w:jc w:val="right"/>
              <w:rPr>
                <w:bCs/>
                <w:color w:val="808080" w:themeColor="background1" w:themeShade="80"/>
                <w:sz w:val="20"/>
                <w:szCs w:val="20"/>
                <w:lang w:val="en-GB"/>
              </w:rPr>
            </w:pPr>
            <w:r w:rsidRPr="00E53C96">
              <w:rPr>
                <w:sz w:val="20"/>
                <w:szCs w:val="20"/>
              </w:rPr>
              <w:t>5%</w:t>
            </w:r>
          </w:p>
        </w:tc>
      </w:tr>
      <w:tr w:rsidR="00BB0131" w14:paraId="722EF4AE" w14:textId="037364C4" w:rsidTr="004B6BE4">
        <w:trPr>
          <w:jc w:val="center"/>
        </w:trPr>
        <w:tc>
          <w:tcPr>
            <w:tcW w:w="6745" w:type="dxa"/>
            <w:gridSpan w:val="2"/>
            <w:shd w:val="clear" w:color="auto" w:fill="E2EFD9" w:themeFill="accent6" w:themeFillTint="33"/>
          </w:tcPr>
          <w:p w14:paraId="43F4301D" w14:textId="77777777" w:rsidR="00BB0131" w:rsidRPr="00E53C96" w:rsidRDefault="00BB0131" w:rsidP="00B67475">
            <w:pPr>
              <w:jc w:val="right"/>
              <w:rPr>
                <w:b/>
                <w:sz w:val="20"/>
                <w:szCs w:val="20"/>
                <w:lang w:val="en-GB"/>
              </w:rPr>
            </w:pPr>
            <w:r w:rsidRPr="00E53C96">
              <w:rPr>
                <w:b/>
                <w:sz w:val="20"/>
                <w:szCs w:val="20"/>
                <w:lang w:val="en-GB"/>
              </w:rPr>
              <w:t>2023</w:t>
            </w:r>
          </w:p>
        </w:tc>
        <w:tc>
          <w:tcPr>
            <w:tcW w:w="1193" w:type="dxa"/>
            <w:shd w:val="clear" w:color="auto" w:fill="E2EFD9" w:themeFill="accent6" w:themeFillTint="33"/>
          </w:tcPr>
          <w:p w14:paraId="09E6B15D" w14:textId="77777777" w:rsidR="00BB0131" w:rsidRPr="00E53C96" w:rsidRDefault="00BB0131" w:rsidP="00B67475">
            <w:pPr>
              <w:jc w:val="right"/>
              <w:rPr>
                <w:b/>
                <w:sz w:val="20"/>
                <w:szCs w:val="20"/>
                <w:lang w:val="en-GB"/>
              </w:rPr>
            </w:pPr>
          </w:p>
        </w:tc>
        <w:tc>
          <w:tcPr>
            <w:tcW w:w="1134" w:type="dxa"/>
            <w:shd w:val="clear" w:color="auto" w:fill="E2EFD9" w:themeFill="accent6" w:themeFillTint="33"/>
          </w:tcPr>
          <w:p w14:paraId="7CED7596" w14:textId="77777777" w:rsidR="00BB0131" w:rsidRPr="00E53C96" w:rsidRDefault="00BB0131" w:rsidP="00B67475">
            <w:pPr>
              <w:jc w:val="right"/>
              <w:rPr>
                <w:b/>
                <w:sz w:val="20"/>
                <w:szCs w:val="20"/>
                <w:lang w:val="en-GB"/>
              </w:rPr>
            </w:pPr>
          </w:p>
        </w:tc>
      </w:tr>
      <w:tr w:rsidR="00AC42F9" w14:paraId="22897710" w14:textId="2350D58E" w:rsidTr="004B6BE4">
        <w:trPr>
          <w:jc w:val="center"/>
        </w:trPr>
        <w:tc>
          <w:tcPr>
            <w:tcW w:w="1953" w:type="dxa"/>
            <w:shd w:val="clear" w:color="auto" w:fill="FFFFFF" w:themeFill="background1"/>
          </w:tcPr>
          <w:p w14:paraId="0E6DA463" w14:textId="20B72E7C" w:rsidR="00AC42F9" w:rsidRPr="00E53C96" w:rsidRDefault="00AC42F9" w:rsidP="00AC42F9">
            <w:pPr>
              <w:rPr>
                <w:sz w:val="20"/>
                <w:szCs w:val="20"/>
                <w:lang w:val="en-GB"/>
              </w:rPr>
            </w:pPr>
            <w:r w:rsidRPr="00E53C96">
              <w:rPr>
                <w:sz w:val="20"/>
                <w:szCs w:val="20"/>
                <w:lang w:val="en-GB"/>
              </w:rPr>
              <w:t xml:space="preserve"> Service Delivery</w:t>
            </w:r>
          </w:p>
        </w:tc>
        <w:tc>
          <w:tcPr>
            <w:tcW w:w="4792" w:type="dxa"/>
            <w:shd w:val="clear" w:color="auto" w:fill="FFFFFF" w:themeFill="background1"/>
          </w:tcPr>
          <w:p w14:paraId="04D610D6" w14:textId="767FC38C" w:rsidR="00AC42F9" w:rsidRPr="00E53C96" w:rsidRDefault="00AC42F9" w:rsidP="00AC42F9">
            <w:pPr>
              <w:pStyle w:val="ListParagraph"/>
              <w:numPr>
                <w:ilvl w:val="0"/>
                <w:numId w:val="23"/>
              </w:numPr>
              <w:rPr>
                <w:sz w:val="20"/>
                <w:szCs w:val="20"/>
                <w:lang w:val="en-GB"/>
              </w:rPr>
            </w:pPr>
            <w:r w:rsidRPr="00E53C96">
              <w:rPr>
                <w:sz w:val="20"/>
                <w:szCs w:val="20"/>
                <w:lang w:val="en-GB"/>
              </w:rPr>
              <w:t xml:space="preserve">Extend immunization services to reach zero-dose, under-immunized children and missed communities </w:t>
            </w:r>
          </w:p>
          <w:p w14:paraId="1F48101B" w14:textId="05906A5C" w:rsidR="00AC42F9" w:rsidRPr="00E53C96" w:rsidRDefault="00AC42F9" w:rsidP="00AC42F9">
            <w:pPr>
              <w:pStyle w:val="ListParagraph"/>
              <w:numPr>
                <w:ilvl w:val="0"/>
                <w:numId w:val="23"/>
              </w:numPr>
              <w:rPr>
                <w:sz w:val="20"/>
                <w:szCs w:val="20"/>
                <w:lang w:val="en-GB"/>
              </w:rPr>
            </w:pPr>
            <w:r w:rsidRPr="00E53C96">
              <w:rPr>
                <w:sz w:val="20"/>
                <w:szCs w:val="20"/>
                <w:lang w:val="en-GB"/>
              </w:rPr>
              <w:t>Establish and continue partnerships with CSO, NGOs, and for-profit private sector actors, including professional associations, to reach zero-dose, under-immunized children and missed communities</w:t>
            </w:r>
          </w:p>
        </w:tc>
        <w:tc>
          <w:tcPr>
            <w:tcW w:w="1193" w:type="dxa"/>
            <w:shd w:val="clear" w:color="auto" w:fill="FFFFFF" w:themeFill="background1"/>
            <w:vAlign w:val="center"/>
          </w:tcPr>
          <w:p w14:paraId="2A9EA0BF" w14:textId="53D7ECFD" w:rsidR="00AC42F9" w:rsidRPr="00E53C96" w:rsidRDefault="00AC42F9" w:rsidP="00AC42F9">
            <w:pPr>
              <w:jc w:val="right"/>
              <w:rPr>
                <w:bCs/>
                <w:color w:val="808080" w:themeColor="background1" w:themeShade="80"/>
                <w:sz w:val="20"/>
                <w:szCs w:val="20"/>
                <w:lang w:val="en-GB"/>
              </w:rPr>
            </w:pPr>
            <w:r w:rsidRPr="00E53C96">
              <w:rPr>
                <w:color w:val="000000"/>
                <w:sz w:val="20"/>
                <w:szCs w:val="20"/>
              </w:rPr>
              <w:t xml:space="preserve">$331,593 </w:t>
            </w:r>
          </w:p>
        </w:tc>
        <w:tc>
          <w:tcPr>
            <w:tcW w:w="1134" w:type="dxa"/>
            <w:shd w:val="clear" w:color="auto" w:fill="FFFFFF" w:themeFill="background1"/>
            <w:vAlign w:val="center"/>
          </w:tcPr>
          <w:p w14:paraId="6F1D7982" w14:textId="7E638D05" w:rsidR="00AC42F9" w:rsidRPr="00E53C96" w:rsidRDefault="00AC42F9" w:rsidP="00AC42F9">
            <w:pPr>
              <w:jc w:val="right"/>
              <w:rPr>
                <w:bCs/>
                <w:color w:val="808080" w:themeColor="background1" w:themeShade="80"/>
                <w:sz w:val="20"/>
                <w:szCs w:val="20"/>
                <w:lang w:val="en-GB"/>
              </w:rPr>
            </w:pPr>
            <w:r w:rsidRPr="00E53C96">
              <w:rPr>
                <w:color w:val="000000"/>
                <w:sz w:val="20"/>
                <w:szCs w:val="20"/>
              </w:rPr>
              <w:t>30%</w:t>
            </w:r>
          </w:p>
        </w:tc>
      </w:tr>
      <w:tr w:rsidR="00AC42F9" w14:paraId="2B140C07" w14:textId="77777777" w:rsidTr="004B6BE4">
        <w:trPr>
          <w:jc w:val="center"/>
        </w:trPr>
        <w:tc>
          <w:tcPr>
            <w:tcW w:w="1953" w:type="dxa"/>
            <w:shd w:val="clear" w:color="auto" w:fill="FFFFFF" w:themeFill="background1"/>
          </w:tcPr>
          <w:p w14:paraId="3E3695F3" w14:textId="052773A6" w:rsidR="00AC42F9" w:rsidRPr="00E53C96" w:rsidRDefault="00AC42F9" w:rsidP="00AC42F9">
            <w:pPr>
              <w:rPr>
                <w:sz w:val="20"/>
                <w:szCs w:val="20"/>
                <w:lang w:val="en-GB"/>
              </w:rPr>
            </w:pPr>
            <w:r w:rsidRPr="00E53C96">
              <w:rPr>
                <w:sz w:val="20"/>
                <w:szCs w:val="20"/>
                <w:lang w:val="en-GB"/>
              </w:rPr>
              <w:t>Human resources for health</w:t>
            </w:r>
          </w:p>
        </w:tc>
        <w:tc>
          <w:tcPr>
            <w:tcW w:w="4792" w:type="dxa"/>
            <w:shd w:val="clear" w:color="auto" w:fill="FFFFFF" w:themeFill="background1"/>
          </w:tcPr>
          <w:p w14:paraId="4F2355E8" w14:textId="721E2EC8" w:rsidR="00AC42F9" w:rsidRPr="00E53C96" w:rsidRDefault="00AC42F9" w:rsidP="00AC42F9">
            <w:pPr>
              <w:pStyle w:val="ListParagraph"/>
              <w:numPr>
                <w:ilvl w:val="0"/>
                <w:numId w:val="29"/>
              </w:numPr>
              <w:rPr>
                <w:sz w:val="20"/>
                <w:szCs w:val="20"/>
                <w:lang w:val="en-GB"/>
              </w:rPr>
            </w:pPr>
            <w:r w:rsidRPr="00E53C96">
              <w:rPr>
                <w:sz w:val="20"/>
                <w:szCs w:val="20"/>
                <w:lang w:val="en-GB"/>
              </w:rPr>
              <w:t>Support execution of human resource deployment and development plans across the country</w:t>
            </w:r>
            <w:r w:rsidR="00376DF7" w:rsidRPr="00E53C96">
              <w:rPr>
                <w:sz w:val="20"/>
                <w:szCs w:val="20"/>
                <w:lang w:val="en-GB"/>
              </w:rPr>
              <w:t>,</w:t>
            </w:r>
            <w:r w:rsidRPr="00E53C96">
              <w:rPr>
                <w:sz w:val="20"/>
                <w:szCs w:val="20"/>
                <w:lang w:val="en-GB"/>
              </w:rPr>
              <w:t xml:space="preserve"> including hard-to-reach areas</w:t>
            </w:r>
          </w:p>
        </w:tc>
        <w:tc>
          <w:tcPr>
            <w:tcW w:w="1193" w:type="dxa"/>
            <w:shd w:val="clear" w:color="auto" w:fill="FFFFFF" w:themeFill="background1"/>
            <w:vAlign w:val="center"/>
          </w:tcPr>
          <w:p w14:paraId="19A37BD3" w14:textId="1DAB7EA1" w:rsidR="00AC42F9" w:rsidRPr="00E53C96" w:rsidRDefault="00AC42F9" w:rsidP="00AC42F9">
            <w:pPr>
              <w:jc w:val="right"/>
              <w:rPr>
                <w:bCs/>
                <w:color w:val="808080" w:themeColor="background1" w:themeShade="80"/>
                <w:sz w:val="20"/>
                <w:szCs w:val="20"/>
                <w:lang w:val="en-GB"/>
              </w:rPr>
            </w:pPr>
            <w:r w:rsidRPr="00E53C96">
              <w:rPr>
                <w:color w:val="000000"/>
                <w:sz w:val="20"/>
                <w:szCs w:val="20"/>
              </w:rPr>
              <w:t xml:space="preserve">$110,531 </w:t>
            </w:r>
          </w:p>
        </w:tc>
        <w:tc>
          <w:tcPr>
            <w:tcW w:w="1134" w:type="dxa"/>
            <w:shd w:val="clear" w:color="auto" w:fill="FFFFFF" w:themeFill="background1"/>
            <w:vAlign w:val="center"/>
          </w:tcPr>
          <w:p w14:paraId="2FD21FA0" w14:textId="4C25E9F5" w:rsidR="00AC42F9" w:rsidRPr="00E53C96" w:rsidRDefault="00AC42F9" w:rsidP="00AC42F9">
            <w:pPr>
              <w:jc w:val="right"/>
              <w:rPr>
                <w:bCs/>
                <w:color w:val="808080" w:themeColor="background1" w:themeShade="80"/>
                <w:sz w:val="20"/>
                <w:szCs w:val="20"/>
                <w:lang w:val="en-GB"/>
              </w:rPr>
            </w:pPr>
            <w:r w:rsidRPr="00E53C96">
              <w:rPr>
                <w:color w:val="000000"/>
                <w:sz w:val="20"/>
                <w:szCs w:val="20"/>
              </w:rPr>
              <w:t>10%</w:t>
            </w:r>
          </w:p>
        </w:tc>
      </w:tr>
      <w:tr w:rsidR="00AC42F9" w14:paraId="03A0A976" w14:textId="77777777" w:rsidTr="004B6BE4">
        <w:trPr>
          <w:jc w:val="center"/>
        </w:trPr>
        <w:tc>
          <w:tcPr>
            <w:tcW w:w="1953" w:type="dxa"/>
            <w:shd w:val="clear" w:color="auto" w:fill="FFFFFF" w:themeFill="background1"/>
          </w:tcPr>
          <w:p w14:paraId="606B48D8" w14:textId="06D68190" w:rsidR="00AC42F9" w:rsidRPr="00E53C96" w:rsidRDefault="00AC42F9" w:rsidP="00AC42F9">
            <w:pPr>
              <w:rPr>
                <w:sz w:val="20"/>
                <w:szCs w:val="20"/>
                <w:lang w:val="en-GB"/>
              </w:rPr>
            </w:pPr>
            <w:r w:rsidRPr="00E53C96">
              <w:rPr>
                <w:sz w:val="20"/>
                <w:szCs w:val="20"/>
                <w:lang w:val="en-GB"/>
              </w:rPr>
              <w:t>Supply chain</w:t>
            </w:r>
          </w:p>
        </w:tc>
        <w:tc>
          <w:tcPr>
            <w:tcW w:w="4792" w:type="dxa"/>
            <w:shd w:val="clear" w:color="auto" w:fill="FFFFFF" w:themeFill="background1"/>
          </w:tcPr>
          <w:p w14:paraId="0A3583F8" w14:textId="0AF59024" w:rsidR="00AC42F9" w:rsidRPr="00E53C96" w:rsidRDefault="00AC42F9" w:rsidP="00AC42F9">
            <w:pPr>
              <w:pStyle w:val="ListParagraph"/>
              <w:numPr>
                <w:ilvl w:val="0"/>
                <w:numId w:val="14"/>
              </w:numPr>
              <w:rPr>
                <w:sz w:val="20"/>
                <w:szCs w:val="20"/>
                <w:lang w:val="en-GB"/>
              </w:rPr>
            </w:pPr>
            <w:r w:rsidRPr="00E53C96">
              <w:rPr>
                <w:sz w:val="20"/>
                <w:szCs w:val="20"/>
                <w:lang w:val="en-GB"/>
              </w:rPr>
              <w:t xml:space="preserve">Support the scaling up </w:t>
            </w:r>
            <w:r w:rsidR="00376DF7" w:rsidRPr="00E53C96">
              <w:rPr>
                <w:sz w:val="20"/>
                <w:szCs w:val="20"/>
                <w:lang w:val="en-GB"/>
              </w:rPr>
              <w:t xml:space="preserve">of </w:t>
            </w:r>
            <w:r w:rsidRPr="00E53C96">
              <w:rPr>
                <w:sz w:val="20"/>
                <w:szCs w:val="20"/>
                <w:lang w:val="en-GB"/>
              </w:rPr>
              <w:t xml:space="preserve">the eLMIS and remote temperature monitoring devices </w:t>
            </w:r>
          </w:p>
          <w:p w14:paraId="6E351B45" w14:textId="0CC2048E" w:rsidR="00AC42F9" w:rsidRPr="00E53C96" w:rsidRDefault="00AC42F9" w:rsidP="00AC42F9">
            <w:pPr>
              <w:pStyle w:val="ListParagraph"/>
              <w:numPr>
                <w:ilvl w:val="0"/>
                <w:numId w:val="14"/>
              </w:numPr>
              <w:rPr>
                <w:sz w:val="20"/>
                <w:szCs w:val="20"/>
                <w:lang w:val="en-GB"/>
              </w:rPr>
            </w:pPr>
            <w:r w:rsidRPr="00E53C96">
              <w:rPr>
                <w:sz w:val="20"/>
                <w:szCs w:val="20"/>
                <w:lang w:val="en-GB"/>
              </w:rPr>
              <w:t>Improve the design of the immunization supply chain (iSC) system to improve efficiency and vaccine availability, especially in the last mile</w:t>
            </w:r>
          </w:p>
          <w:p w14:paraId="4D257C2A" w14:textId="78348C4E" w:rsidR="00AC42F9" w:rsidRPr="00E53C96" w:rsidRDefault="00AC42F9" w:rsidP="00AC42F9">
            <w:pPr>
              <w:pStyle w:val="ListParagraph"/>
              <w:numPr>
                <w:ilvl w:val="0"/>
                <w:numId w:val="14"/>
              </w:numPr>
              <w:rPr>
                <w:sz w:val="20"/>
                <w:szCs w:val="20"/>
                <w:lang w:val="en-GB"/>
              </w:rPr>
            </w:pPr>
            <w:r w:rsidRPr="00E53C96">
              <w:rPr>
                <w:sz w:val="20"/>
                <w:szCs w:val="20"/>
                <w:lang w:val="en-GB"/>
              </w:rPr>
              <w:t xml:space="preserve">Increase the capacity and quality of vaccine storage and distribution to </w:t>
            </w:r>
            <w:r w:rsidR="00376DF7" w:rsidRPr="00E53C96">
              <w:rPr>
                <w:sz w:val="20"/>
                <w:szCs w:val="20"/>
                <w:lang w:val="en-GB"/>
              </w:rPr>
              <w:t>enhanc</w:t>
            </w:r>
            <w:r w:rsidRPr="00E53C96">
              <w:rPr>
                <w:sz w:val="20"/>
                <w:szCs w:val="20"/>
                <w:lang w:val="en-GB"/>
              </w:rPr>
              <w:t>e vaccine availability, especially in the last mile</w:t>
            </w:r>
          </w:p>
          <w:p w14:paraId="0ED673A5" w14:textId="352F5ADA" w:rsidR="00AC42F9" w:rsidRPr="00E53C96" w:rsidRDefault="00AC42F9" w:rsidP="00AC42F9">
            <w:pPr>
              <w:pStyle w:val="ListParagraph"/>
              <w:numPr>
                <w:ilvl w:val="0"/>
                <w:numId w:val="14"/>
              </w:numPr>
              <w:rPr>
                <w:sz w:val="20"/>
                <w:szCs w:val="20"/>
                <w:lang w:val="en-GB"/>
              </w:rPr>
            </w:pPr>
            <w:r w:rsidRPr="00E53C96">
              <w:rPr>
                <w:sz w:val="20"/>
                <w:szCs w:val="20"/>
                <w:lang w:val="en-GB"/>
              </w:rPr>
              <w:t>Strengthen logistics management information systems to ensure real-time monitoring at all immunization supply chain levels</w:t>
            </w:r>
          </w:p>
        </w:tc>
        <w:tc>
          <w:tcPr>
            <w:tcW w:w="1193" w:type="dxa"/>
            <w:shd w:val="clear" w:color="auto" w:fill="FFFFFF" w:themeFill="background1"/>
            <w:vAlign w:val="center"/>
          </w:tcPr>
          <w:p w14:paraId="541F2701" w14:textId="57259C5C" w:rsidR="00AC42F9" w:rsidRPr="00E53C96" w:rsidRDefault="00AC42F9" w:rsidP="00AC42F9">
            <w:pPr>
              <w:jc w:val="right"/>
              <w:rPr>
                <w:bCs/>
                <w:color w:val="808080" w:themeColor="background1" w:themeShade="80"/>
                <w:sz w:val="20"/>
                <w:szCs w:val="20"/>
                <w:lang w:val="en-GB"/>
              </w:rPr>
            </w:pPr>
            <w:r w:rsidRPr="00E53C96">
              <w:rPr>
                <w:color w:val="000000"/>
                <w:sz w:val="20"/>
                <w:szCs w:val="20"/>
              </w:rPr>
              <w:t xml:space="preserve">$110,531 </w:t>
            </w:r>
          </w:p>
        </w:tc>
        <w:tc>
          <w:tcPr>
            <w:tcW w:w="1134" w:type="dxa"/>
            <w:shd w:val="clear" w:color="auto" w:fill="FFFFFF" w:themeFill="background1"/>
            <w:vAlign w:val="center"/>
          </w:tcPr>
          <w:p w14:paraId="4A2835B1" w14:textId="658D4C05" w:rsidR="00AC42F9" w:rsidRPr="00E53C96" w:rsidRDefault="00AC42F9" w:rsidP="00AC42F9">
            <w:pPr>
              <w:jc w:val="right"/>
              <w:rPr>
                <w:bCs/>
                <w:color w:val="808080" w:themeColor="background1" w:themeShade="80"/>
                <w:sz w:val="20"/>
                <w:szCs w:val="20"/>
                <w:lang w:val="en-GB"/>
              </w:rPr>
            </w:pPr>
            <w:r w:rsidRPr="00E53C96">
              <w:rPr>
                <w:color w:val="000000"/>
                <w:sz w:val="20"/>
                <w:szCs w:val="20"/>
              </w:rPr>
              <w:t>10%</w:t>
            </w:r>
          </w:p>
        </w:tc>
      </w:tr>
      <w:tr w:rsidR="00AC42F9" w14:paraId="63AAB65A" w14:textId="77777777" w:rsidTr="004B6BE4">
        <w:trPr>
          <w:jc w:val="center"/>
        </w:trPr>
        <w:tc>
          <w:tcPr>
            <w:tcW w:w="1953" w:type="dxa"/>
            <w:shd w:val="clear" w:color="auto" w:fill="FFFFFF" w:themeFill="background1"/>
          </w:tcPr>
          <w:p w14:paraId="038862F6" w14:textId="2999D9AB" w:rsidR="00AC42F9" w:rsidRPr="00E53C96" w:rsidRDefault="00AC42F9" w:rsidP="00AC42F9">
            <w:pPr>
              <w:rPr>
                <w:sz w:val="20"/>
                <w:szCs w:val="20"/>
                <w:lang w:val="en-GB"/>
              </w:rPr>
            </w:pPr>
            <w:r w:rsidRPr="00E53C96">
              <w:rPr>
                <w:sz w:val="20"/>
                <w:szCs w:val="20"/>
                <w:lang w:val="en-GB"/>
              </w:rPr>
              <w:lastRenderedPageBreak/>
              <w:t>Health information systems and monitoring and learning</w:t>
            </w:r>
          </w:p>
        </w:tc>
        <w:tc>
          <w:tcPr>
            <w:tcW w:w="4792" w:type="dxa"/>
            <w:shd w:val="clear" w:color="auto" w:fill="FFFFFF" w:themeFill="background1"/>
          </w:tcPr>
          <w:p w14:paraId="0E402FA5" w14:textId="01ECEEB2" w:rsidR="00AC42F9" w:rsidRPr="00E53C96" w:rsidRDefault="00AC42F9" w:rsidP="00AC42F9">
            <w:pPr>
              <w:pStyle w:val="ListParagraph"/>
              <w:numPr>
                <w:ilvl w:val="0"/>
                <w:numId w:val="18"/>
              </w:numPr>
              <w:rPr>
                <w:sz w:val="20"/>
                <w:szCs w:val="20"/>
                <w:lang w:val="en-GB"/>
              </w:rPr>
            </w:pPr>
            <w:r w:rsidRPr="00E53C96">
              <w:rPr>
                <w:sz w:val="20"/>
                <w:szCs w:val="20"/>
                <w:lang w:val="en-GB"/>
              </w:rPr>
              <w:t>Assess the health facility readiness and monitor the progress through periodic survey</w:t>
            </w:r>
          </w:p>
          <w:p w14:paraId="22492C7E" w14:textId="586012CE" w:rsidR="00AC42F9" w:rsidRPr="00E53C96" w:rsidRDefault="00AC42F9" w:rsidP="00AC42F9">
            <w:pPr>
              <w:pStyle w:val="ListParagraph"/>
              <w:numPr>
                <w:ilvl w:val="0"/>
                <w:numId w:val="18"/>
              </w:numPr>
              <w:rPr>
                <w:sz w:val="20"/>
                <w:szCs w:val="20"/>
                <w:lang w:val="en-GB"/>
              </w:rPr>
            </w:pPr>
            <w:r w:rsidRPr="00E53C96">
              <w:rPr>
                <w:sz w:val="20"/>
                <w:szCs w:val="20"/>
                <w:lang w:val="en-GB"/>
              </w:rPr>
              <w:t>Support the roll</w:t>
            </w:r>
            <w:r w:rsidR="00376DF7" w:rsidRPr="00E53C96">
              <w:rPr>
                <w:sz w:val="20"/>
                <w:szCs w:val="20"/>
                <w:lang w:val="en-GB"/>
              </w:rPr>
              <w:t>-</w:t>
            </w:r>
            <w:r w:rsidRPr="00E53C96">
              <w:rPr>
                <w:sz w:val="20"/>
                <w:szCs w:val="20"/>
                <w:lang w:val="en-GB"/>
              </w:rPr>
              <w:t>out of DHIS2 and ensure interoperability with other information systems</w:t>
            </w:r>
          </w:p>
        </w:tc>
        <w:tc>
          <w:tcPr>
            <w:tcW w:w="1193" w:type="dxa"/>
            <w:shd w:val="clear" w:color="auto" w:fill="FFFFFF" w:themeFill="background1"/>
            <w:vAlign w:val="center"/>
          </w:tcPr>
          <w:p w14:paraId="6C3CAF4B" w14:textId="58EC6643" w:rsidR="00AC42F9" w:rsidRPr="00E53C96" w:rsidRDefault="00AC42F9" w:rsidP="00AC42F9">
            <w:pPr>
              <w:jc w:val="right"/>
              <w:rPr>
                <w:bCs/>
                <w:color w:val="808080" w:themeColor="background1" w:themeShade="80"/>
                <w:sz w:val="20"/>
                <w:szCs w:val="20"/>
                <w:lang w:val="en-GB"/>
              </w:rPr>
            </w:pPr>
            <w:r w:rsidRPr="00E53C96">
              <w:rPr>
                <w:color w:val="000000"/>
                <w:sz w:val="20"/>
                <w:szCs w:val="20"/>
              </w:rPr>
              <w:t xml:space="preserve">$110,531 </w:t>
            </w:r>
          </w:p>
        </w:tc>
        <w:tc>
          <w:tcPr>
            <w:tcW w:w="1134" w:type="dxa"/>
            <w:shd w:val="clear" w:color="auto" w:fill="FFFFFF" w:themeFill="background1"/>
            <w:vAlign w:val="center"/>
          </w:tcPr>
          <w:p w14:paraId="6F1DC20F" w14:textId="78AA4ADB" w:rsidR="00AC42F9" w:rsidRPr="00E53C96" w:rsidRDefault="00AC42F9" w:rsidP="00AC42F9">
            <w:pPr>
              <w:jc w:val="right"/>
              <w:rPr>
                <w:bCs/>
                <w:color w:val="808080" w:themeColor="background1" w:themeShade="80"/>
                <w:sz w:val="20"/>
                <w:szCs w:val="20"/>
                <w:lang w:val="en-GB"/>
              </w:rPr>
            </w:pPr>
            <w:r w:rsidRPr="00E53C96">
              <w:rPr>
                <w:color w:val="000000"/>
                <w:sz w:val="20"/>
                <w:szCs w:val="20"/>
              </w:rPr>
              <w:t>10%</w:t>
            </w:r>
          </w:p>
        </w:tc>
      </w:tr>
      <w:tr w:rsidR="00AC42F9" w14:paraId="50E66723" w14:textId="77777777" w:rsidTr="004B6BE4">
        <w:trPr>
          <w:jc w:val="center"/>
        </w:trPr>
        <w:tc>
          <w:tcPr>
            <w:tcW w:w="1953" w:type="dxa"/>
            <w:shd w:val="clear" w:color="auto" w:fill="FFFFFF" w:themeFill="background1"/>
          </w:tcPr>
          <w:p w14:paraId="61F74030" w14:textId="292F43BA" w:rsidR="00AC42F9" w:rsidRPr="00E53C96" w:rsidRDefault="00AC42F9" w:rsidP="00AC42F9">
            <w:pPr>
              <w:rPr>
                <w:sz w:val="20"/>
                <w:szCs w:val="20"/>
                <w:lang w:val="en-GB"/>
              </w:rPr>
            </w:pPr>
            <w:r w:rsidRPr="00E53C96">
              <w:rPr>
                <w:sz w:val="20"/>
                <w:szCs w:val="20"/>
                <w:lang w:val="en-GB"/>
              </w:rPr>
              <w:t xml:space="preserve"> VPD Surveillance</w:t>
            </w:r>
            <w:r w:rsidRPr="00E53C96">
              <w:rPr>
                <w:color w:val="808080" w:themeColor="background1" w:themeShade="80"/>
                <w:sz w:val="20"/>
                <w:szCs w:val="20"/>
                <w:lang w:val="en-GB"/>
              </w:rPr>
              <w:t xml:space="preserve"> </w:t>
            </w:r>
          </w:p>
        </w:tc>
        <w:tc>
          <w:tcPr>
            <w:tcW w:w="4792" w:type="dxa"/>
            <w:shd w:val="clear" w:color="auto" w:fill="FFFFFF" w:themeFill="background1"/>
          </w:tcPr>
          <w:p w14:paraId="65664F65" w14:textId="6DDC6F4B" w:rsidR="00AC42F9" w:rsidRPr="00E53C96" w:rsidRDefault="00AC42F9" w:rsidP="00AC42F9">
            <w:pPr>
              <w:pStyle w:val="ListParagraph"/>
              <w:numPr>
                <w:ilvl w:val="0"/>
                <w:numId w:val="18"/>
              </w:numPr>
              <w:rPr>
                <w:color w:val="808080" w:themeColor="background1" w:themeShade="80"/>
                <w:sz w:val="20"/>
                <w:szCs w:val="20"/>
                <w:lang w:val="en-GB"/>
              </w:rPr>
            </w:pPr>
            <w:r w:rsidRPr="00E53C96">
              <w:rPr>
                <w:sz w:val="20"/>
                <w:szCs w:val="20"/>
                <w:lang w:val="en-GB"/>
              </w:rPr>
              <w:t>Sustainably integrate vaccine-preventable disease (VPD) surveillance, which</w:t>
            </w:r>
            <w:r w:rsidR="00376DF7" w:rsidRPr="00E53C96">
              <w:rPr>
                <w:sz w:val="20"/>
                <w:szCs w:val="20"/>
                <w:lang w:val="en-GB"/>
              </w:rPr>
              <w:t xml:space="preserve"> </w:t>
            </w:r>
            <w:r w:rsidRPr="00E53C96">
              <w:rPr>
                <w:sz w:val="20"/>
                <w:szCs w:val="20"/>
                <w:lang w:val="en-GB"/>
              </w:rPr>
              <w:t>meets immunization program needs, into a resilient national disease surveillance system</w:t>
            </w:r>
          </w:p>
        </w:tc>
        <w:tc>
          <w:tcPr>
            <w:tcW w:w="1193" w:type="dxa"/>
            <w:shd w:val="clear" w:color="auto" w:fill="FFFFFF" w:themeFill="background1"/>
            <w:vAlign w:val="center"/>
          </w:tcPr>
          <w:p w14:paraId="2100CD5B" w14:textId="001C0750" w:rsidR="00AC42F9" w:rsidRPr="00E53C96" w:rsidRDefault="00AC42F9" w:rsidP="00AC42F9">
            <w:pPr>
              <w:jc w:val="right"/>
              <w:rPr>
                <w:bCs/>
                <w:color w:val="808080" w:themeColor="background1" w:themeShade="80"/>
                <w:sz w:val="20"/>
                <w:szCs w:val="20"/>
                <w:lang w:val="en-GB"/>
              </w:rPr>
            </w:pPr>
            <w:r w:rsidRPr="00E53C96">
              <w:rPr>
                <w:color w:val="000000"/>
                <w:sz w:val="20"/>
                <w:szCs w:val="20"/>
              </w:rPr>
              <w:t xml:space="preserve">$221,062 </w:t>
            </w:r>
          </w:p>
        </w:tc>
        <w:tc>
          <w:tcPr>
            <w:tcW w:w="1134" w:type="dxa"/>
            <w:shd w:val="clear" w:color="auto" w:fill="FFFFFF" w:themeFill="background1"/>
            <w:vAlign w:val="center"/>
          </w:tcPr>
          <w:p w14:paraId="36D2D29B" w14:textId="3806BB1B" w:rsidR="00AC42F9" w:rsidRPr="00E53C96" w:rsidRDefault="00AC42F9" w:rsidP="00AC42F9">
            <w:pPr>
              <w:jc w:val="right"/>
              <w:rPr>
                <w:bCs/>
                <w:color w:val="808080" w:themeColor="background1" w:themeShade="80"/>
                <w:sz w:val="20"/>
                <w:szCs w:val="20"/>
                <w:lang w:val="en-GB"/>
              </w:rPr>
            </w:pPr>
            <w:r w:rsidRPr="00E53C96">
              <w:rPr>
                <w:color w:val="000000"/>
                <w:sz w:val="20"/>
                <w:szCs w:val="20"/>
              </w:rPr>
              <w:t>20%</w:t>
            </w:r>
          </w:p>
        </w:tc>
      </w:tr>
      <w:tr w:rsidR="00AC42F9" w14:paraId="5CE6A631" w14:textId="77777777" w:rsidTr="004B6BE4">
        <w:trPr>
          <w:jc w:val="center"/>
        </w:trPr>
        <w:tc>
          <w:tcPr>
            <w:tcW w:w="1953" w:type="dxa"/>
            <w:shd w:val="clear" w:color="auto" w:fill="FFFFFF" w:themeFill="background1"/>
          </w:tcPr>
          <w:p w14:paraId="718BD83E" w14:textId="331C77DB" w:rsidR="00AC42F9" w:rsidRPr="00E53C96" w:rsidRDefault="00AC42F9" w:rsidP="00AC42F9">
            <w:pPr>
              <w:rPr>
                <w:sz w:val="20"/>
                <w:szCs w:val="20"/>
                <w:lang w:val="en-GB"/>
              </w:rPr>
            </w:pPr>
            <w:r w:rsidRPr="00E53C96">
              <w:rPr>
                <w:sz w:val="20"/>
                <w:szCs w:val="20"/>
                <w:lang w:val="en-GB"/>
              </w:rPr>
              <w:t>Demand generation and community engagement</w:t>
            </w:r>
          </w:p>
        </w:tc>
        <w:tc>
          <w:tcPr>
            <w:tcW w:w="4792" w:type="dxa"/>
            <w:shd w:val="clear" w:color="auto" w:fill="FFFFFF" w:themeFill="background1"/>
          </w:tcPr>
          <w:p w14:paraId="1D4B4834" w14:textId="04E51FF4" w:rsidR="00AC42F9" w:rsidRPr="00E53C96" w:rsidRDefault="00AC42F9" w:rsidP="00AC42F9">
            <w:pPr>
              <w:pStyle w:val="ListParagraph"/>
              <w:numPr>
                <w:ilvl w:val="0"/>
                <w:numId w:val="19"/>
              </w:numPr>
              <w:rPr>
                <w:rFonts w:eastAsiaTheme="minorEastAsia"/>
                <w:sz w:val="20"/>
                <w:szCs w:val="20"/>
                <w:lang w:val="en-GB"/>
              </w:rPr>
            </w:pPr>
            <w:r w:rsidRPr="00E53C96">
              <w:rPr>
                <w:sz w:val="20"/>
                <w:szCs w:val="20"/>
                <w:lang w:val="en-GB"/>
              </w:rPr>
              <w:t>Implement and monitor tailored communication strategies and enhance community feedback to align local needs.</w:t>
            </w:r>
          </w:p>
          <w:p w14:paraId="7768B93E" w14:textId="510394CA" w:rsidR="00AC42F9" w:rsidRPr="00E53C96" w:rsidRDefault="00AC42F9" w:rsidP="00AC42F9">
            <w:pPr>
              <w:pStyle w:val="ListParagraph"/>
              <w:numPr>
                <w:ilvl w:val="0"/>
                <w:numId w:val="19"/>
              </w:numPr>
              <w:rPr>
                <w:rFonts w:eastAsiaTheme="minorEastAsia"/>
                <w:sz w:val="20"/>
                <w:szCs w:val="20"/>
                <w:lang w:val="en-GB"/>
              </w:rPr>
            </w:pPr>
            <w:r w:rsidRPr="00E53C96">
              <w:rPr>
                <w:sz w:val="20"/>
                <w:szCs w:val="20"/>
                <w:lang w:val="en-GB"/>
              </w:rPr>
              <w:t>Expan</w:t>
            </w:r>
            <w:r w:rsidR="00376DF7" w:rsidRPr="00E53C96">
              <w:rPr>
                <w:sz w:val="20"/>
                <w:szCs w:val="20"/>
                <w:lang w:val="en-GB"/>
              </w:rPr>
              <w:t>ding</w:t>
            </w:r>
            <w:r w:rsidRPr="00E53C96">
              <w:rPr>
                <w:sz w:val="20"/>
                <w:szCs w:val="20"/>
                <w:lang w:val="en-GB"/>
              </w:rPr>
              <w:t xml:space="preserve"> the human-centered design (HCD) approach in key prioritized areas to promote acceptance of vaccine</w:t>
            </w:r>
            <w:r w:rsidR="00E5683A" w:rsidRPr="00E53C96">
              <w:rPr>
                <w:sz w:val="20"/>
                <w:szCs w:val="20"/>
                <w:lang w:val="en-GB"/>
              </w:rPr>
              <w:t>s</w:t>
            </w:r>
            <w:r w:rsidRPr="00E53C96">
              <w:rPr>
                <w:sz w:val="20"/>
                <w:szCs w:val="20"/>
                <w:lang w:val="en-GB"/>
              </w:rPr>
              <w:t xml:space="preserve"> and the services. </w:t>
            </w:r>
          </w:p>
          <w:p w14:paraId="1CF3C19B" w14:textId="6FE8AF9A" w:rsidR="00AC42F9" w:rsidRPr="00E53C96" w:rsidRDefault="00AC42F9" w:rsidP="00AC42F9">
            <w:pPr>
              <w:pStyle w:val="ListParagraph"/>
              <w:numPr>
                <w:ilvl w:val="0"/>
                <w:numId w:val="19"/>
              </w:numPr>
              <w:rPr>
                <w:sz w:val="20"/>
                <w:szCs w:val="20"/>
                <w:lang w:val="en-GB"/>
              </w:rPr>
            </w:pPr>
            <w:r w:rsidRPr="00E53C96">
              <w:rPr>
                <w:sz w:val="20"/>
                <w:szCs w:val="20"/>
                <w:lang w:val="en-GB"/>
              </w:rPr>
              <w:t>Strengthening partnerships and building capacities of I/NGOs and CSOs, for community engagement and feedback to promote demand for immunization in prioritized townships.</w:t>
            </w:r>
          </w:p>
        </w:tc>
        <w:tc>
          <w:tcPr>
            <w:tcW w:w="1193" w:type="dxa"/>
            <w:shd w:val="clear" w:color="auto" w:fill="FFFFFF" w:themeFill="background1"/>
            <w:vAlign w:val="center"/>
          </w:tcPr>
          <w:p w14:paraId="4E570D2E" w14:textId="4E513BEA" w:rsidR="00AC42F9" w:rsidRPr="00E53C96" w:rsidRDefault="00AC42F9" w:rsidP="00AC42F9">
            <w:pPr>
              <w:jc w:val="right"/>
              <w:rPr>
                <w:bCs/>
                <w:color w:val="808080" w:themeColor="background1" w:themeShade="80"/>
                <w:sz w:val="20"/>
                <w:szCs w:val="20"/>
                <w:lang w:val="en-GB"/>
              </w:rPr>
            </w:pPr>
            <w:r w:rsidRPr="00E53C96">
              <w:rPr>
                <w:color w:val="000000"/>
                <w:sz w:val="20"/>
                <w:szCs w:val="20"/>
              </w:rPr>
              <w:t xml:space="preserve">$110,531 </w:t>
            </w:r>
          </w:p>
        </w:tc>
        <w:tc>
          <w:tcPr>
            <w:tcW w:w="1134" w:type="dxa"/>
            <w:shd w:val="clear" w:color="auto" w:fill="FFFFFF" w:themeFill="background1"/>
            <w:vAlign w:val="center"/>
          </w:tcPr>
          <w:p w14:paraId="7CA18E8D" w14:textId="7544C4E9" w:rsidR="00AC42F9" w:rsidRPr="00E53C96" w:rsidRDefault="00AC42F9" w:rsidP="00AC42F9">
            <w:pPr>
              <w:jc w:val="right"/>
              <w:rPr>
                <w:bCs/>
                <w:color w:val="808080" w:themeColor="background1" w:themeShade="80"/>
                <w:sz w:val="20"/>
                <w:szCs w:val="20"/>
                <w:lang w:val="en-GB"/>
              </w:rPr>
            </w:pPr>
            <w:r w:rsidRPr="00E53C96">
              <w:rPr>
                <w:color w:val="000000"/>
                <w:sz w:val="20"/>
                <w:szCs w:val="20"/>
              </w:rPr>
              <w:t>10%</w:t>
            </w:r>
          </w:p>
        </w:tc>
      </w:tr>
      <w:tr w:rsidR="00AC42F9" w14:paraId="67982DC5" w14:textId="77777777" w:rsidTr="004B6BE4">
        <w:trPr>
          <w:jc w:val="center"/>
        </w:trPr>
        <w:tc>
          <w:tcPr>
            <w:tcW w:w="1953" w:type="dxa"/>
            <w:shd w:val="clear" w:color="auto" w:fill="FFFFFF" w:themeFill="background1"/>
          </w:tcPr>
          <w:p w14:paraId="77F7C5CE" w14:textId="7338D787" w:rsidR="00AC42F9" w:rsidRPr="00E53C96" w:rsidRDefault="00AC42F9" w:rsidP="00AC42F9">
            <w:pPr>
              <w:rPr>
                <w:sz w:val="20"/>
                <w:szCs w:val="20"/>
                <w:lang w:val="en-GB"/>
              </w:rPr>
            </w:pPr>
            <w:r w:rsidRPr="00E53C96">
              <w:rPr>
                <w:sz w:val="20"/>
                <w:szCs w:val="20"/>
                <w:lang w:val="en-GB"/>
              </w:rPr>
              <w:t>Government, policy, strategic planning, and program management</w:t>
            </w:r>
          </w:p>
        </w:tc>
        <w:tc>
          <w:tcPr>
            <w:tcW w:w="4792" w:type="dxa"/>
            <w:shd w:val="clear" w:color="auto" w:fill="FFFFFF" w:themeFill="background1"/>
          </w:tcPr>
          <w:p w14:paraId="28951413" w14:textId="116FE579" w:rsidR="00AC42F9" w:rsidRPr="00E53C96" w:rsidRDefault="00AC42F9" w:rsidP="00AC42F9">
            <w:pPr>
              <w:pStyle w:val="ListParagraph"/>
              <w:numPr>
                <w:ilvl w:val="0"/>
                <w:numId w:val="21"/>
              </w:numPr>
              <w:rPr>
                <w:sz w:val="20"/>
                <w:szCs w:val="20"/>
                <w:lang w:val="en-GB"/>
              </w:rPr>
            </w:pPr>
            <w:r w:rsidRPr="00E53C96">
              <w:rPr>
                <w:sz w:val="20"/>
                <w:szCs w:val="20"/>
                <w:lang w:val="en-GB"/>
              </w:rPr>
              <w:t>Advocacy and coordination at national and sub-national levels to resume and revitalize the routine immunization services across the countries.</w:t>
            </w:r>
          </w:p>
          <w:p w14:paraId="546F31EC" w14:textId="0CC30F81" w:rsidR="00AC42F9" w:rsidRPr="00E53C96" w:rsidRDefault="00AC42F9" w:rsidP="00AC42F9">
            <w:pPr>
              <w:pStyle w:val="ListParagraph"/>
              <w:numPr>
                <w:ilvl w:val="0"/>
                <w:numId w:val="21"/>
              </w:numPr>
              <w:rPr>
                <w:rFonts w:eastAsiaTheme="minorEastAsia"/>
                <w:sz w:val="20"/>
                <w:szCs w:val="20"/>
              </w:rPr>
            </w:pPr>
            <w:r w:rsidRPr="00E53C96">
              <w:rPr>
                <w:sz w:val="20"/>
                <w:szCs w:val="20"/>
                <w:lang w:val="en-GB"/>
              </w:rPr>
              <w:t xml:space="preserve">Revitalization of Interagency Coordination Committee (ICC) to </w:t>
            </w:r>
            <w:r w:rsidRPr="00E53C96">
              <w:rPr>
                <w:sz w:val="20"/>
                <w:szCs w:val="20"/>
              </w:rPr>
              <w:t>coordinate among the agencies, donors</w:t>
            </w:r>
            <w:r w:rsidR="00E5683A" w:rsidRPr="00E53C96">
              <w:rPr>
                <w:sz w:val="20"/>
                <w:szCs w:val="20"/>
              </w:rPr>
              <w:t>,</w:t>
            </w:r>
            <w:r w:rsidRPr="00E53C96">
              <w:rPr>
                <w:sz w:val="20"/>
                <w:szCs w:val="20"/>
              </w:rPr>
              <w:t xml:space="preserve"> and implementing partners.</w:t>
            </w:r>
          </w:p>
          <w:p w14:paraId="776C5DAE" w14:textId="05CE2B46" w:rsidR="00AC42F9" w:rsidRPr="00E53C96" w:rsidRDefault="00AC42F9" w:rsidP="00AC42F9">
            <w:pPr>
              <w:rPr>
                <w:sz w:val="20"/>
                <w:szCs w:val="20"/>
                <w:lang w:val="en-GB"/>
              </w:rPr>
            </w:pPr>
          </w:p>
        </w:tc>
        <w:tc>
          <w:tcPr>
            <w:tcW w:w="1193" w:type="dxa"/>
            <w:shd w:val="clear" w:color="auto" w:fill="FFFFFF" w:themeFill="background1"/>
            <w:vAlign w:val="center"/>
          </w:tcPr>
          <w:p w14:paraId="1352C124" w14:textId="1D744E29" w:rsidR="00AC42F9" w:rsidRPr="00E53C96" w:rsidRDefault="00AC42F9" w:rsidP="00AC42F9">
            <w:pPr>
              <w:jc w:val="right"/>
              <w:rPr>
                <w:bCs/>
                <w:color w:val="808080" w:themeColor="background1" w:themeShade="80"/>
                <w:sz w:val="20"/>
                <w:szCs w:val="20"/>
                <w:lang w:val="en-GB"/>
              </w:rPr>
            </w:pPr>
            <w:r w:rsidRPr="00E53C96">
              <w:rPr>
                <w:color w:val="000000"/>
                <w:sz w:val="20"/>
                <w:szCs w:val="20"/>
              </w:rPr>
              <w:t xml:space="preserve">$55,266 </w:t>
            </w:r>
          </w:p>
        </w:tc>
        <w:tc>
          <w:tcPr>
            <w:tcW w:w="1134" w:type="dxa"/>
            <w:shd w:val="clear" w:color="auto" w:fill="FFFFFF" w:themeFill="background1"/>
            <w:vAlign w:val="center"/>
          </w:tcPr>
          <w:p w14:paraId="68C84F54" w14:textId="6A431122" w:rsidR="00AC42F9" w:rsidRPr="00E53C96" w:rsidRDefault="00AC42F9" w:rsidP="00AC42F9">
            <w:pPr>
              <w:jc w:val="right"/>
              <w:rPr>
                <w:bCs/>
                <w:color w:val="808080" w:themeColor="background1" w:themeShade="80"/>
                <w:sz w:val="20"/>
                <w:szCs w:val="20"/>
                <w:lang w:val="en-GB"/>
              </w:rPr>
            </w:pPr>
            <w:r w:rsidRPr="00E53C96">
              <w:rPr>
                <w:color w:val="000000"/>
                <w:sz w:val="20"/>
                <w:szCs w:val="20"/>
              </w:rPr>
              <w:t>5%</w:t>
            </w:r>
          </w:p>
        </w:tc>
      </w:tr>
      <w:tr w:rsidR="00AC42F9" w14:paraId="3AD1802E" w14:textId="77777777" w:rsidTr="004B6BE4">
        <w:trPr>
          <w:jc w:val="center"/>
        </w:trPr>
        <w:tc>
          <w:tcPr>
            <w:tcW w:w="1953" w:type="dxa"/>
            <w:shd w:val="clear" w:color="auto" w:fill="FFFFFF" w:themeFill="background1"/>
          </w:tcPr>
          <w:p w14:paraId="3C863232" w14:textId="18F7D84A" w:rsidR="00AC42F9" w:rsidRPr="00E53C96" w:rsidRDefault="00AC42F9" w:rsidP="00AC42F9">
            <w:pPr>
              <w:rPr>
                <w:sz w:val="20"/>
                <w:szCs w:val="20"/>
                <w:lang w:val="en-GB"/>
              </w:rPr>
            </w:pPr>
            <w:r w:rsidRPr="00E53C96">
              <w:rPr>
                <w:sz w:val="20"/>
                <w:szCs w:val="20"/>
                <w:lang w:val="en-GB"/>
              </w:rPr>
              <w:t xml:space="preserve">Health financing </w:t>
            </w:r>
          </w:p>
        </w:tc>
        <w:tc>
          <w:tcPr>
            <w:tcW w:w="4792" w:type="dxa"/>
            <w:shd w:val="clear" w:color="auto" w:fill="FFFFFF" w:themeFill="background1"/>
          </w:tcPr>
          <w:p w14:paraId="6189F57E" w14:textId="77777777" w:rsidR="00AC42F9" w:rsidRPr="00E53C96" w:rsidRDefault="00AC42F9" w:rsidP="00AC42F9">
            <w:pPr>
              <w:pStyle w:val="ListParagraph"/>
              <w:numPr>
                <w:ilvl w:val="0"/>
                <w:numId w:val="22"/>
              </w:numPr>
              <w:rPr>
                <w:sz w:val="20"/>
                <w:szCs w:val="20"/>
                <w:lang w:val="en-GB"/>
              </w:rPr>
            </w:pPr>
            <w:r w:rsidRPr="00E53C96">
              <w:rPr>
                <w:sz w:val="20"/>
                <w:szCs w:val="20"/>
                <w:lang w:val="en-GB"/>
              </w:rPr>
              <w:t>Support the budgeting and targeting of domestic resources for immunization and primary healthcare (PHC) based on equity considerations</w:t>
            </w:r>
          </w:p>
          <w:p w14:paraId="706A2CA8" w14:textId="640BBE22" w:rsidR="00AC42F9" w:rsidRPr="00E53C96" w:rsidRDefault="00AC42F9" w:rsidP="00AC42F9">
            <w:pPr>
              <w:pStyle w:val="ListParagraph"/>
              <w:numPr>
                <w:ilvl w:val="0"/>
                <w:numId w:val="22"/>
              </w:numPr>
              <w:rPr>
                <w:sz w:val="20"/>
                <w:szCs w:val="20"/>
                <w:lang w:val="en-GB"/>
              </w:rPr>
            </w:pPr>
            <w:r w:rsidRPr="00E53C96">
              <w:rPr>
                <w:sz w:val="20"/>
                <w:szCs w:val="20"/>
                <w:lang w:val="en-GB"/>
              </w:rPr>
              <w:t>Advocacy for earmarking the budget for cold chain maintenance</w:t>
            </w:r>
          </w:p>
          <w:p w14:paraId="03408647" w14:textId="46D915AA" w:rsidR="00AC42F9" w:rsidRPr="00E53C96" w:rsidRDefault="00AC42F9" w:rsidP="00AC42F9">
            <w:pPr>
              <w:pStyle w:val="ListParagraph"/>
              <w:numPr>
                <w:ilvl w:val="0"/>
                <w:numId w:val="22"/>
              </w:numPr>
              <w:rPr>
                <w:sz w:val="20"/>
                <w:szCs w:val="20"/>
                <w:lang w:val="en-GB"/>
              </w:rPr>
            </w:pPr>
            <w:r w:rsidRPr="00E53C96">
              <w:rPr>
                <w:sz w:val="20"/>
                <w:szCs w:val="20"/>
                <w:lang w:val="en-GB"/>
              </w:rPr>
              <w:t xml:space="preserve">Ensure </w:t>
            </w:r>
            <w:r w:rsidR="00E5683A" w:rsidRPr="00E53C96">
              <w:rPr>
                <w:sz w:val="20"/>
                <w:szCs w:val="20"/>
                <w:lang w:val="en-GB"/>
              </w:rPr>
              <w:t>to earmark</w:t>
            </w:r>
            <w:r w:rsidRPr="00E53C96">
              <w:rPr>
                <w:sz w:val="20"/>
                <w:szCs w:val="20"/>
                <w:lang w:val="en-GB"/>
              </w:rPr>
              <w:t xml:space="preserve"> the budget for vaccines procurement </w:t>
            </w:r>
          </w:p>
        </w:tc>
        <w:tc>
          <w:tcPr>
            <w:tcW w:w="1193" w:type="dxa"/>
            <w:shd w:val="clear" w:color="auto" w:fill="FFFFFF" w:themeFill="background1"/>
            <w:vAlign w:val="center"/>
          </w:tcPr>
          <w:p w14:paraId="5D6C0AA9" w14:textId="11E74E11" w:rsidR="00AC42F9" w:rsidRPr="00E53C96" w:rsidRDefault="00AC42F9" w:rsidP="00AC42F9">
            <w:pPr>
              <w:jc w:val="right"/>
              <w:rPr>
                <w:bCs/>
                <w:color w:val="808080" w:themeColor="background1" w:themeShade="80"/>
                <w:sz w:val="20"/>
                <w:szCs w:val="20"/>
                <w:lang w:val="en-GB"/>
              </w:rPr>
            </w:pPr>
            <w:r w:rsidRPr="00E53C96">
              <w:rPr>
                <w:color w:val="000000"/>
                <w:sz w:val="20"/>
                <w:szCs w:val="20"/>
              </w:rPr>
              <w:t xml:space="preserve">$55,266 </w:t>
            </w:r>
          </w:p>
        </w:tc>
        <w:tc>
          <w:tcPr>
            <w:tcW w:w="1134" w:type="dxa"/>
            <w:shd w:val="clear" w:color="auto" w:fill="FFFFFF" w:themeFill="background1"/>
            <w:vAlign w:val="center"/>
          </w:tcPr>
          <w:p w14:paraId="14E1F06F" w14:textId="29F5342C" w:rsidR="00AC42F9" w:rsidRPr="00E53C96" w:rsidRDefault="00AC42F9" w:rsidP="00AC42F9">
            <w:pPr>
              <w:jc w:val="right"/>
              <w:rPr>
                <w:bCs/>
                <w:color w:val="808080" w:themeColor="background1" w:themeShade="80"/>
                <w:sz w:val="20"/>
                <w:szCs w:val="20"/>
                <w:lang w:val="en-GB"/>
              </w:rPr>
            </w:pPr>
            <w:r w:rsidRPr="00E53C96">
              <w:rPr>
                <w:color w:val="000000"/>
                <w:sz w:val="20"/>
                <w:szCs w:val="20"/>
              </w:rPr>
              <w:t>5%</w:t>
            </w:r>
          </w:p>
        </w:tc>
      </w:tr>
    </w:tbl>
    <w:p w14:paraId="62A44A29" w14:textId="77777777" w:rsidR="00372D1F" w:rsidRDefault="00372D1F"/>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372D1F" w14:paraId="42B6E5C8" w14:textId="77777777" w:rsidTr="00EF03AD">
        <w:tc>
          <w:tcPr>
            <w:tcW w:w="9192" w:type="dxa"/>
            <w:tcBorders>
              <w:bottom w:val="single" w:sz="4" w:space="0" w:color="auto"/>
            </w:tcBorders>
            <w:shd w:val="clear" w:color="auto" w:fill="F2F2F2" w:themeFill="background1" w:themeFillShade="F2"/>
          </w:tcPr>
          <w:p w14:paraId="5594A626" w14:textId="1121016A" w:rsidR="00372D1F" w:rsidRPr="00B614D7" w:rsidRDefault="00372D1F" w:rsidP="00372D1F">
            <w:pPr>
              <w:spacing w:line="300" w:lineRule="exact"/>
              <w:rPr>
                <w:b/>
                <w:bCs/>
                <w:i/>
                <w:iCs/>
                <w:sz w:val="20"/>
                <w:szCs w:val="20"/>
              </w:rPr>
            </w:pPr>
            <w:r>
              <w:rPr>
                <w:b/>
                <w:bCs/>
                <w:i/>
                <w:iCs/>
                <w:sz w:val="20"/>
                <w:szCs w:val="20"/>
              </w:rPr>
              <w:t xml:space="preserve">2.1 </w:t>
            </w:r>
            <w:r w:rsidRPr="00B614D7">
              <w:rPr>
                <w:b/>
                <w:bCs/>
                <w:i/>
                <w:iCs/>
                <w:sz w:val="20"/>
                <w:szCs w:val="20"/>
              </w:rPr>
              <w:t xml:space="preserve">Please reflect and describe your </w:t>
            </w:r>
            <w:r w:rsidR="001F0381">
              <w:rPr>
                <w:b/>
                <w:bCs/>
                <w:i/>
                <w:iCs/>
                <w:sz w:val="20"/>
                <w:szCs w:val="20"/>
              </w:rPr>
              <w:t>immunization</w:t>
            </w:r>
            <w:r w:rsidRPr="00B614D7">
              <w:rPr>
                <w:b/>
                <w:bCs/>
                <w:i/>
                <w:iCs/>
                <w:sz w:val="20"/>
                <w:szCs w:val="20"/>
              </w:rPr>
              <w:t xml:space="preserve"> system</w:t>
            </w:r>
            <w:r w:rsidR="008447E6">
              <w:rPr>
                <w:b/>
                <w:bCs/>
                <w:i/>
                <w:iCs/>
                <w:sz w:val="20"/>
                <w:szCs w:val="20"/>
              </w:rPr>
              <w:t>'</w:t>
            </w:r>
            <w:r w:rsidRPr="00B614D7">
              <w:rPr>
                <w:b/>
                <w:bCs/>
                <w:i/>
                <w:iCs/>
                <w:sz w:val="20"/>
                <w:szCs w:val="20"/>
              </w:rPr>
              <w:t>s current TA needs</w:t>
            </w:r>
            <w:r>
              <w:rPr>
                <w:b/>
                <w:bCs/>
                <w:i/>
                <w:iCs/>
                <w:sz w:val="20"/>
                <w:szCs w:val="20"/>
              </w:rPr>
              <w:t xml:space="preserve"> as they are</w:t>
            </w:r>
            <w:r w:rsidRPr="00B614D7">
              <w:rPr>
                <w:b/>
                <w:bCs/>
                <w:i/>
                <w:iCs/>
                <w:sz w:val="20"/>
                <w:szCs w:val="20"/>
              </w:rPr>
              <w:t xml:space="preserve"> aligned with investments made by Government, Gavi</w:t>
            </w:r>
            <w:r w:rsidR="00E5683A">
              <w:rPr>
                <w:b/>
                <w:bCs/>
                <w:i/>
                <w:iCs/>
                <w:sz w:val="20"/>
                <w:szCs w:val="20"/>
              </w:rPr>
              <w:t>,</w:t>
            </w:r>
            <w:r w:rsidRPr="00B614D7">
              <w:rPr>
                <w:b/>
                <w:bCs/>
                <w:i/>
                <w:iCs/>
                <w:sz w:val="20"/>
                <w:szCs w:val="20"/>
              </w:rPr>
              <w:t xml:space="preserve"> and bilateral/multilateral donors. Your answers shall provide the context of and rationale for </w:t>
            </w:r>
            <w:r w:rsidR="0076309A">
              <w:rPr>
                <w:b/>
                <w:bCs/>
                <w:i/>
                <w:iCs/>
                <w:sz w:val="20"/>
                <w:szCs w:val="20"/>
              </w:rPr>
              <w:t>the requeste</w:t>
            </w:r>
            <w:r w:rsidR="007203BA">
              <w:rPr>
                <w:b/>
                <w:bCs/>
                <w:i/>
                <w:iCs/>
                <w:sz w:val="20"/>
                <w:szCs w:val="20"/>
              </w:rPr>
              <w:t>d TCA support from Gavi.</w:t>
            </w:r>
            <w:r w:rsidRPr="00B614D7">
              <w:rPr>
                <w:b/>
                <w:bCs/>
                <w:sz w:val="20"/>
                <w:szCs w:val="20"/>
              </w:rPr>
              <w:t xml:space="preserve"> </w:t>
            </w:r>
            <w:r w:rsidRPr="00B614D7">
              <w:rPr>
                <w:b/>
                <w:bCs/>
                <w:i/>
                <w:iCs/>
                <w:sz w:val="20"/>
                <w:szCs w:val="20"/>
              </w:rPr>
              <w:t xml:space="preserve">Please explicitly note the duration of </w:t>
            </w:r>
            <w:r w:rsidR="007203BA">
              <w:rPr>
                <w:b/>
                <w:bCs/>
                <w:i/>
                <w:iCs/>
                <w:sz w:val="20"/>
                <w:szCs w:val="20"/>
              </w:rPr>
              <w:t>the requested support</w:t>
            </w:r>
            <w:r w:rsidRPr="00B614D7">
              <w:rPr>
                <w:b/>
                <w:bCs/>
                <w:i/>
                <w:iCs/>
                <w:sz w:val="20"/>
                <w:szCs w:val="20"/>
              </w:rPr>
              <w:t>.</w:t>
            </w:r>
          </w:p>
        </w:tc>
      </w:tr>
      <w:tr w:rsidR="00372D1F" w14:paraId="19BE42B7" w14:textId="77777777" w:rsidTr="00EF03AD">
        <w:tc>
          <w:tcPr>
            <w:tcW w:w="9192"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8956"/>
            </w:tblGrid>
            <w:tr w:rsidR="78B3B584" w14:paraId="0C557106" w14:textId="77777777" w:rsidTr="78B3B584">
              <w:tc>
                <w:tcPr>
                  <w:tcW w:w="9072" w:type="dxa"/>
                  <w:tcBorders>
                    <w:top w:val="single" w:sz="8" w:space="0" w:color="auto"/>
                    <w:left w:val="single" w:sz="8" w:space="0" w:color="auto"/>
                    <w:bottom w:val="single" w:sz="8" w:space="0" w:color="auto"/>
                    <w:right w:val="single" w:sz="8" w:space="0" w:color="auto"/>
                  </w:tcBorders>
                </w:tcPr>
                <w:p w14:paraId="43FC7B3C" w14:textId="77777777" w:rsidR="006E0FBB" w:rsidRDefault="78B3B584" w:rsidP="00123272">
                  <w:pPr>
                    <w:jc w:val="both"/>
                    <w:rPr>
                      <w:b/>
                      <w:bCs/>
                      <w:color w:val="000000" w:themeColor="text1"/>
                      <w:sz w:val="20"/>
                      <w:szCs w:val="20"/>
                      <w:lang w:val="en-GB"/>
                    </w:rPr>
                  </w:pPr>
                  <w:r w:rsidRPr="78B3B584">
                    <w:rPr>
                      <w:b/>
                      <w:bCs/>
                      <w:color w:val="000000" w:themeColor="text1"/>
                      <w:sz w:val="20"/>
                      <w:szCs w:val="20"/>
                      <w:lang w:val="en-GB"/>
                    </w:rPr>
                    <w:t xml:space="preserve">Service Delivery </w:t>
                  </w:r>
                </w:p>
                <w:p w14:paraId="377138E3" w14:textId="58AD339A" w:rsidR="003A3738" w:rsidRDefault="78B3B584" w:rsidP="00123272">
                  <w:pPr>
                    <w:jc w:val="both"/>
                    <w:rPr>
                      <w:color w:val="000000" w:themeColor="text1"/>
                      <w:sz w:val="20"/>
                      <w:szCs w:val="20"/>
                      <w:lang w:val="en-GB"/>
                    </w:rPr>
                  </w:pPr>
                  <w:r w:rsidRPr="78B3B584">
                    <w:rPr>
                      <w:color w:val="000000" w:themeColor="text1"/>
                      <w:sz w:val="20"/>
                      <w:szCs w:val="20"/>
                      <w:lang w:val="en-GB"/>
                    </w:rPr>
                    <w:t xml:space="preserve">Myanmar </w:t>
                  </w:r>
                  <w:r w:rsidR="001F0381">
                    <w:rPr>
                      <w:color w:val="000000" w:themeColor="text1"/>
                      <w:sz w:val="20"/>
                      <w:szCs w:val="20"/>
                      <w:lang w:val="en-GB"/>
                    </w:rPr>
                    <w:t>has</w:t>
                  </w:r>
                  <w:r w:rsidRPr="78B3B584">
                    <w:rPr>
                      <w:color w:val="000000" w:themeColor="text1"/>
                      <w:sz w:val="20"/>
                      <w:szCs w:val="20"/>
                      <w:lang w:val="en-GB"/>
                    </w:rPr>
                    <w:t xml:space="preserve"> </w:t>
                  </w:r>
                  <w:r w:rsidR="007A5D3F">
                    <w:rPr>
                      <w:color w:val="000000" w:themeColor="text1"/>
                      <w:sz w:val="20"/>
                      <w:szCs w:val="20"/>
                      <w:lang w:val="en-GB"/>
                    </w:rPr>
                    <w:t xml:space="preserve">been </w:t>
                  </w:r>
                  <w:r w:rsidRPr="78B3B584">
                    <w:rPr>
                      <w:color w:val="000000" w:themeColor="text1"/>
                      <w:sz w:val="20"/>
                      <w:szCs w:val="20"/>
                      <w:lang w:val="en-GB"/>
                    </w:rPr>
                    <w:t xml:space="preserve">providing 13 antigens </w:t>
                  </w:r>
                  <w:r w:rsidR="006E0FBB">
                    <w:rPr>
                      <w:color w:val="000000" w:themeColor="text1"/>
                      <w:sz w:val="20"/>
                      <w:szCs w:val="20"/>
                      <w:lang w:val="en-GB"/>
                    </w:rPr>
                    <w:t xml:space="preserve">following </w:t>
                  </w:r>
                  <w:r w:rsidRPr="78B3B584">
                    <w:rPr>
                      <w:color w:val="000000" w:themeColor="text1"/>
                      <w:sz w:val="20"/>
                      <w:szCs w:val="20"/>
                      <w:lang w:val="en-GB"/>
                    </w:rPr>
                    <w:t xml:space="preserve">the introduction of </w:t>
                  </w:r>
                  <w:r w:rsidR="00CA628D">
                    <w:rPr>
                      <w:color w:val="000000" w:themeColor="text1"/>
                      <w:sz w:val="20"/>
                      <w:szCs w:val="20"/>
                      <w:lang w:val="en-GB"/>
                    </w:rPr>
                    <w:t xml:space="preserve">the </w:t>
                  </w:r>
                  <w:r w:rsidRPr="78B3B584">
                    <w:rPr>
                      <w:color w:val="000000" w:themeColor="text1"/>
                      <w:sz w:val="20"/>
                      <w:szCs w:val="20"/>
                      <w:lang w:val="en-GB"/>
                    </w:rPr>
                    <w:t xml:space="preserve">HPV vaccine </w:t>
                  </w:r>
                  <w:r w:rsidR="007A5D3F">
                    <w:rPr>
                      <w:color w:val="000000" w:themeColor="text1"/>
                      <w:sz w:val="20"/>
                      <w:szCs w:val="20"/>
                      <w:lang w:val="en-GB"/>
                    </w:rPr>
                    <w:t>in</w:t>
                  </w:r>
                  <w:r w:rsidRPr="78B3B584">
                    <w:rPr>
                      <w:color w:val="000000" w:themeColor="text1"/>
                      <w:sz w:val="20"/>
                      <w:szCs w:val="20"/>
                      <w:lang w:val="en-GB"/>
                    </w:rPr>
                    <w:t xml:space="preserve"> October 2020</w:t>
                  </w:r>
                  <w:r w:rsidR="006E0FBB">
                    <w:rPr>
                      <w:color w:val="000000" w:themeColor="text1"/>
                      <w:sz w:val="20"/>
                      <w:szCs w:val="20"/>
                      <w:lang w:val="en-GB"/>
                    </w:rPr>
                    <w:t>. T</w:t>
                  </w:r>
                  <w:r w:rsidRPr="78B3B584">
                    <w:rPr>
                      <w:color w:val="000000" w:themeColor="text1"/>
                      <w:sz w:val="20"/>
                      <w:szCs w:val="20"/>
                      <w:lang w:val="en-GB"/>
                    </w:rPr>
                    <w:t xml:space="preserve">he vaccination coverage steadily increased to 91% of Penta3 coverage in 2020. </w:t>
                  </w:r>
                  <w:r w:rsidR="00DA6EE6">
                    <w:rPr>
                      <w:color w:val="000000" w:themeColor="text1"/>
                      <w:sz w:val="20"/>
                      <w:szCs w:val="20"/>
                      <w:lang w:val="en-GB"/>
                    </w:rPr>
                    <w:t>However,</w:t>
                  </w:r>
                  <w:r w:rsidRPr="78B3B584">
                    <w:rPr>
                      <w:color w:val="000000" w:themeColor="text1"/>
                      <w:sz w:val="20"/>
                      <w:szCs w:val="20"/>
                      <w:lang w:val="en-GB"/>
                    </w:rPr>
                    <w:t xml:space="preserve"> due to </w:t>
                  </w:r>
                  <w:r w:rsidR="00B8689D">
                    <w:rPr>
                      <w:color w:val="000000" w:themeColor="text1"/>
                      <w:sz w:val="20"/>
                      <w:szCs w:val="20"/>
                      <w:lang w:val="en-GB"/>
                    </w:rPr>
                    <w:t xml:space="preserve">the </w:t>
                  </w:r>
                  <w:r w:rsidRPr="78B3B584">
                    <w:rPr>
                      <w:color w:val="000000" w:themeColor="text1"/>
                      <w:sz w:val="20"/>
                      <w:szCs w:val="20"/>
                      <w:lang w:val="en-GB"/>
                    </w:rPr>
                    <w:t xml:space="preserve">COVID-19 pandemic and </w:t>
                  </w:r>
                  <w:r w:rsidR="00E905D3">
                    <w:rPr>
                      <w:color w:val="000000" w:themeColor="text1"/>
                      <w:sz w:val="20"/>
                      <w:szCs w:val="20"/>
                      <w:lang w:val="en-GB"/>
                    </w:rPr>
                    <w:t xml:space="preserve">the </w:t>
                  </w:r>
                  <w:r w:rsidRPr="78B3B584">
                    <w:rPr>
                      <w:color w:val="000000" w:themeColor="text1"/>
                      <w:sz w:val="20"/>
                      <w:szCs w:val="20"/>
                      <w:lang w:val="en-GB"/>
                    </w:rPr>
                    <w:t xml:space="preserve">current political situation in the country, immunization services </w:t>
                  </w:r>
                  <w:r w:rsidR="00E905D3">
                    <w:rPr>
                      <w:color w:val="000000" w:themeColor="text1"/>
                      <w:sz w:val="20"/>
                      <w:szCs w:val="20"/>
                      <w:lang w:val="en-GB"/>
                    </w:rPr>
                    <w:t>have</w:t>
                  </w:r>
                  <w:r w:rsidRPr="78B3B584">
                    <w:rPr>
                      <w:color w:val="000000" w:themeColor="text1"/>
                      <w:sz w:val="20"/>
                      <w:szCs w:val="20"/>
                      <w:lang w:val="en-GB"/>
                    </w:rPr>
                    <w:t xml:space="preserve"> not been functioning well, with the Penta3 coverage at 34% in 2021. As of </w:t>
                  </w:r>
                  <w:r w:rsidR="00166454" w:rsidRPr="78B3B584">
                    <w:rPr>
                      <w:color w:val="000000" w:themeColor="text1"/>
                      <w:sz w:val="20"/>
                      <w:szCs w:val="20"/>
                      <w:lang w:val="en-GB"/>
                    </w:rPr>
                    <w:t>18 March 2022,</w:t>
                  </w:r>
                  <w:r w:rsidRPr="78B3B584">
                    <w:rPr>
                      <w:color w:val="000000" w:themeColor="text1"/>
                      <w:sz w:val="20"/>
                      <w:szCs w:val="20"/>
                      <w:lang w:val="en-GB"/>
                    </w:rPr>
                    <w:t xml:space="preserve"> DHIS2</w:t>
                  </w:r>
                  <w:r w:rsidR="006E0FBB">
                    <w:rPr>
                      <w:color w:val="000000" w:themeColor="text1"/>
                      <w:sz w:val="20"/>
                      <w:szCs w:val="20"/>
                      <w:lang w:val="en-GB"/>
                    </w:rPr>
                    <w:t xml:space="preserve"> data showed that the</w:t>
                  </w:r>
                  <w:r w:rsidR="00166454">
                    <w:rPr>
                      <w:color w:val="000000" w:themeColor="text1"/>
                      <w:sz w:val="20"/>
                      <w:szCs w:val="20"/>
                      <w:lang w:val="en-GB"/>
                    </w:rPr>
                    <w:t xml:space="preserve"> </w:t>
                  </w:r>
                  <w:r w:rsidRPr="78B3B584">
                    <w:rPr>
                      <w:color w:val="000000" w:themeColor="text1"/>
                      <w:sz w:val="20"/>
                      <w:szCs w:val="20"/>
                      <w:lang w:val="en-GB"/>
                    </w:rPr>
                    <w:t xml:space="preserve">total un-immunized children for Penta 3 </w:t>
                  </w:r>
                  <w:r w:rsidR="271FFCD5" w:rsidRPr="113B1F31">
                    <w:rPr>
                      <w:color w:val="000000" w:themeColor="text1"/>
                      <w:sz w:val="20"/>
                      <w:szCs w:val="20"/>
                      <w:lang w:val="en-GB"/>
                    </w:rPr>
                    <w:t>were</w:t>
                  </w:r>
                  <w:r w:rsidRPr="78B3B584">
                    <w:rPr>
                      <w:color w:val="000000" w:themeColor="text1"/>
                      <w:sz w:val="20"/>
                      <w:szCs w:val="20"/>
                      <w:lang w:val="en-GB"/>
                    </w:rPr>
                    <w:t xml:space="preserve"> 622,625 in 2021. </w:t>
                  </w:r>
                  <w:r w:rsidR="0026544E">
                    <w:rPr>
                      <w:color w:val="000000" w:themeColor="text1"/>
                      <w:sz w:val="20"/>
                      <w:szCs w:val="20"/>
                      <w:lang w:val="en-GB"/>
                    </w:rPr>
                    <w:t>The m</w:t>
                  </w:r>
                  <w:r w:rsidRPr="78B3B584">
                    <w:rPr>
                      <w:color w:val="000000" w:themeColor="text1"/>
                      <w:sz w:val="20"/>
                      <w:szCs w:val="20"/>
                      <w:lang w:val="en-GB"/>
                    </w:rPr>
                    <w:t xml:space="preserve">athematical </w:t>
                  </w:r>
                  <w:r w:rsidR="002848BB">
                    <w:rPr>
                      <w:color w:val="000000" w:themeColor="text1"/>
                      <w:sz w:val="20"/>
                      <w:szCs w:val="20"/>
                      <w:lang w:val="en-GB"/>
                    </w:rPr>
                    <w:t>modeling</w:t>
                  </w:r>
                  <w:r w:rsidRPr="78B3B584">
                    <w:rPr>
                      <w:color w:val="000000" w:themeColor="text1"/>
                      <w:sz w:val="20"/>
                      <w:szCs w:val="20"/>
                      <w:lang w:val="en-GB"/>
                    </w:rPr>
                    <w:t xml:space="preserve"> using </w:t>
                  </w:r>
                  <w:r w:rsidR="00166454">
                    <w:rPr>
                      <w:color w:val="000000" w:themeColor="text1"/>
                      <w:sz w:val="20"/>
                      <w:szCs w:val="20"/>
                      <w:lang w:val="en-GB"/>
                    </w:rPr>
                    <w:t xml:space="preserve">the </w:t>
                  </w:r>
                  <w:r w:rsidRPr="78B3B584">
                    <w:rPr>
                      <w:color w:val="000000" w:themeColor="text1"/>
                      <w:sz w:val="20"/>
                      <w:szCs w:val="20"/>
                      <w:lang w:val="en-GB"/>
                    </w:rPr>
                    <w:t xml:space="preserve">GVAP document and Decade of Vaccine impact study </w:t>
                  </w:r>
                  <w:r w:rsidR="002848BB">
                    <w:rPr>
                      <w:color w:val="000000" w:themeColor="text1"/>
                      <w:sz w:val="20"/>
                      <w:szCs w:val="20"/>
                      <w:lang w:val="en-GB"/>
                    </w:rPr>
                    <w:t>suggests</w:t>
                  </w:r>
                  <w:r w:rsidRPr="78B3B584">
                    <w:rPr>
                      <w:color w:val="000000" w:themeColor="text1"/>
                      <w:sz w:val="20"/>
                      <w:szCs w:val="20"/>
                      <w:lang w:val="en-GB"/>
                    </w:rPr>
                    <w:t xml:space="preserve"> that </w:t>
                  </w:r>
                  <w:r w:rsidR="003A3738">
                    <w:rPr>
                      <w:color w:val="000000" w:themeColor="text1"/>
                      <w:sz w:val="20"/>
                      <w:szCs w:val="20"/>
                      <w:lang w:val="en-GB"/>
                    </w:rPr>
                    <w:t xml:space="preserve">approximately </w:t>
                  </w:r>
                  <w:r w:rsidRPr="78B3B584">
                    <w:rPr>
                      <w:color w:val="000000" w:themeColor="text1"/>
                      <w:sz w:val="20"/>
                      <w:szCs w:val="20"/>
                      <w:lang w:val="en-GB"/>
                    </w:rPr>
                    <w:t>25,000</w:t>
                  </w:r>
                  <w:r w:rsidR="003A3738">
                    <w:rPr>
                      <w:color w:val="000000" w:themeColor="text1"/>
                      <w:sz w:val="20"/>
                      <w:szCs w:val="20"/>
                      <w:lang w:val="en-GB"/>
                    </w:rPr>
                    <w:t xml:space="preserve"> child</w:t>
                  </w:r>
                  <w:r w:rsidRPr="78B3B584">
                    <w:rPr>
                      <w:color w:val="000000" w:themeColor="text1"/>
                      <w:sz w:val="20"/>
                      <w:szCs w:val="20"/>
                      <w:lang w:val="en-GB"/>
                    </w:rPr>
                    <w:t xml:space="preserve"> deaths due to </w:t>
                  </w:r>
                  <w:r w:rsidR="002848BB">
                    <w:rPr>
                      <w:color w:val="000000" w:themeColor="text1"/>
                      <w:sz w:val="20"/>
                      <w:szCs w:val="20"/>
                      <w:lang w:val="en-GB"/>
                    </w:rPr>
                    <w:t>vaccine-preventable</w:t>
                  </w:r>
                  <w:r w:rsidRPr="78B3B584">
                    <w:rPr>
                      <w:color w:val="000000" w:themeColor="text1"/>
                      <w:sz w:val="20"/>
                      <w:szCs w:val="20"/>
                      <w:lang w:val="en-GB"/>
                    </w:rPr>
                    <w:t xml:space="preserve"> diseases could not be averted in 2021.</w:t>
                  </w:r>
                </w:p>
                <w:p w14:paraId="142A5ADA" w14:textId="56678D10" w:rsidR="78B3B584" w:rsidRDefault="78B3B584" w:rsidP="00123272">
                  <w:pPr>
                    <w:jc w:val="both"/>
                    <w:rPr>
                      <w:sz w:val="20"/>
                      <w:szCs w:val="20"/>
                    </w:rPr>
                  </w:pPr>
                  <w:r w:rsidRPr="78B3B584">
                    <w:rPr>
                      <w:color w:val="000000" w:themeColor="text1"/>
                      <w:sz w:val="20"/>
                      <w:szCs w:val="20"/>
                      <w:lang w:val="en-GB"/>
                    </w:rPr>
                    <w:lastRenderedPageBreak/>
                    <w:t xml:space="preserve">Further delay in </w:t>
                  </w:r>
                  <w:r w:rsidR="00947C9F">
                    <w:rPr>
                      <w:color w:val="000000" w:themeColor="text1"/>
                      <w:sz w:val="20"/>
                      <w:szCs w:val="20"/>
                      <w:lang w:val="en-GB"/>
                    </w:rPr>
                    <w:t>the revitalization of the</w:t>
                  </w:r>
                  <w:r w:rsidRPr="78B3B584">
                    <w:rPr>
                      <w:color w:val="000000" w:themeColor="text1"/>
                      <w:sz w:val="20"/>
                      <w:szCs w:val="20"/>
                      <w:lang w:val="en-GB"/>
                    </w:rPr>
                    <w:t xml:space="preserve"> routine immunization will also lead to an inevitable loss of herd immunity</w:t>
                  </w:r>
                  <w:r w:rsidR="003A3738">
                    <w:rPr>
                      <w:color w:val="000000" w:themeColor="text1"/>
                      <w:sz w:val="20"/>
                      <w:szCs w:val="20"/>
                      <w:lang w:val="en-GB"/>
                    </w:rPr>
                    <w:t>. T</w:t>
                  </w:r>
                  <w:r w:rsidRPr="78B3B584">
                    <w:rPr>
                      <w:color w:val="000000" w:themeColor="text1"/>
                      <w:sz w:val="20"/>
                      <w:szCs w:val="20"/>
                      <w:lang w:val="en-GB"/>
                    </w:rPr>
                    <w:t xml:space="preserve">his could potentially lead to </w:t>
                  </w:r>
                  <w:r w:rsidR="00A02AB8">
                    <w:rPr>
                      <w:color w:val="000000" w:themeColor="text1"/>
                      <w:sz w:val="20"/>
                      <w:szCs w:val="20"/>
                      <w:lang w:val="en-GB"/>
                    </w:rPr>
                    <w:t>significant</w:t>
                  </w:r>
                  <w:r w:rsidRPr="78B3B584">
                    <w:rPr>
                      <w:color w:val="000000" w:themeColor="text1"/>
                      <w:sz w:val="20"/>
                      <w:szCs w:val="20"/>
                      <w:lang w:val="en-GB"/>
                    </w:rPr>
                    <w:t xml:space="preserve"> outbreaks with the potential to spread across the country and spill across borders. </w:t>
                  </w:r>
                  <w:r w:rsidR="567600E9" w:rsidRPr="113B1F31">
                    <w:rPr>
                      <w:color w:val="000000" w:themeColor="text1"/>
                      <w:sz w:val="20"/>
                      <w:szCs w:val="20"/>
                      <w:lang w:val="en-GB"/>
                    </w:rPr>
                    <w:t>I</w:t>
                  </w:r>
                  <w:r w:rsidR="567600E9" w:rsidRPr="113B1F31">
                    <w:rPr>
                      <w:sz w:val="20"/>
                      <w:szCs w:val="20"/>
                    </w:rPr>
                    <w:t xml:space="preserve">t is </w:t>
                  </w:r>
                  <w:r w:rsidR="00A02AB8">
                    <w:rPr>
                      <w:sz w:val="20"/>
                      <w:szCs w:val="20"/>
                    </w:rPr>
                    <w:t>essential</w:t>
                  </w:r>
                  <w:r w:rsidR="567600E9" w:rsidRPr="113B1F31">
                    <w:rPr>
                      <w:sz w:val="20"/>
                      <w:szCs w:val="20"/>
                    </w:rPr>
                    <w:t xml:space="preserve"> to revitalize the routine immunization services immediately to ensure the children and people of Myanmar have opportunities to access protection against VPDs.</w:t>
                  </w:r>
                  <w:r w:rsidR="66EB8884" w:rsidRPr="113B1F31">
                    <w:rPr>
                      <w:sz w:val="20"/>
                      <w:szCs w:val="20"/>
                    </w:rPr>
                    <w:t xml:space="preserve"> </w:t>
                  </w:r>
                  <w:r w:rsidR="1B6B40AF" w:rsidRPr="113B1F31">
                    <w:rPr>
                      <w:sz w:val="20"/>
                      <w:szCs w:val="20"/>
                    </w:rPr>
                    <w:t>It is also required to explore the partnership opportunities</w:t>
                  </w:r>
                  <w:r w:rsidR="6D4B2477" w:rsidRPr="113B1F31">
                    <w:rPr>
                      <w:sz w:val="20"/>
                      <w:szCs w:val="20"/>
                    </w:rPr>
                    <w:t xml:space="preserve"> with different </w:t>
                  </w:r>
                  <w:r w:rsidR="00696105">
                    <w:rPr>
                      <w:sz w:val="20"/>
                      <w:szCs w:val="20"/>
                    </w:rPr>
                    <w:t>for-profit and non-profit partners</w:t>
                  </w:r>
                  <w:r w:rsidR="6D4B2477" w:rsidRPr="113B1F31">
                    <w:rPr>
                      <w:sz w:val="20"/>
                      <w:szCs w:val="20"/>
                    </w:rPr>
                    <w:t xml:space="preserve"> to ensure </w:t>
                  </w:r>
                  <w:r w:rsidR="12EA1310" w:rsidRPr="113B1F31">
                    <w:rPr>
                      <w:sz w:val="20"/>
                      <w:szCs w:val="20"/>
                      <w:lang w:val="en-GB"/>
                    </w:rPr>
                    <w:t xml:space="preserve">to </w:t>
                  </w:r>
                  <w:r w:rsidR="6A9FC7B9" w:rsidRPr="113B1F31">
                    <w:rPr>
                      <w:sz w:val="20"/>
                      <w:szCs w:val="20"/>
                      <w:lang w:val="en-GB"/>
                    </w:rPr>
                    <w:t>reach zero-dose,</w:t>
                  </w:r>
                  <w:r w:rsidR="2F6F17CB" w:rsidRPr="113B1F31">
                    <w:rPr>
                      <w:sz w:val="20"/>
                      <w:szCs w:val="20"/>
                      <w:lang w:val="en-GB"/>
                    </w:rPr>
                    <w:t xml:space="preserve"> </w:t>
                  </w:r>
                  <w:r w:rsidR="031EDC2E" w:rsidRPr="113B1F31">
                    <w:rPr>
                      <w:sz w:val="20"/>
                      <w:szCs w:val="20"/>
                      <w:lang w:val="en-GB"/>
                    </w:rPr>
                    <w:t>under-immunized</w:t>
                  </w:r>
                  <w:r w:rsidR="6A9FC7B9" w:rsidRPr="113B1F31">
                    <w:rPr>
                      <w:sz w:val="20"/>
                      <w:szCs w:val="20"/>
                      <w:lang w:val="en-GB"/>
                    </w:rPr>
                    <w:t xml:space="preserve"> children and missed communities</w:t>
                  </w:r>
                  <w:r w:rsidR="6D4B2477" w:rsidRPr="113B1F31">
                    <w:rPr>
                      <w:sz w:val="20"/>
                      <w:szCs w:val="20"/>
                    </w:rPr>
                    <w:t>.</w:t>
                  </w:r>
                </w:p>
                <w:p w14:paraId="49A2BBF2" w14:textId="0959E32E" w:rsidR="78B3B584" w:rsidRDefault="78B3B584" w:rsidP="00B67475">
                  <w:pPr>
                    <w:jc w:val="both"/>
                    <w:rPr>
                      <w:color w:val="000000" w:themeColor="text1"/>
                      <w:sz w:val="20"/>
                      <w:szCs w:val="20"/>
                      <w:lang w:val="en-GB"/>
                    </w:rPr>
                  </w:pPr>
                </w:p>
                <w:p w14:paraId="31C4F2E1" w14:textId="7CE58664" w:rsidR="00E87889" w:rsidRDefault="54DA29CD" w:rsidP="00B67475">
                  <w:pPr>
                    <w:jc w:val="both"/>
                    <w:rPr>
                      <w:color w:val="000000" w:themeColor="text1"/>
                      <w:sz w:val="20"/>
                      <w:szCs w:val="20"/>
                      <w:lang w:val="en-GB"/>
                    </w:rPr>
                  </w:pPr>
                  <w:r w:rsidRPr="00123272">
                    <w:rPr>
                      <w:b/>
                      <w:bCs/>
                      <w:color w:val="000000" w:themeColor="text1"/>
                      <w:sz w:val="20"/>
                      <w:szCs w:val="20"/>
                      <w:lang w:val="en-GB"/>
                    </w:rPr>
                    <w:t>VPD Surveillanc</w:t>
                  </w:r>
                  <w:r w:rsidRPr="54DA29CD">
                    <w:rPr>
                      <w:b/>
                      <w:bCs/>
                      <w:color w:val="000000" w:themeColor="text1"/>
                      <w:sz w:val="20"/>
                      <w:szCs w:val="20"/>
                      <w:lang w:val="en-GB"/>
                    </w:rPr>
                    <w:t>e</w:t>
                  </w:r>
                </w:p>
                <w:p w14:paraId="7B7135AF" w14:textId="6DB66FD6" w:rsidR="78B3B584" w:rsidRDefault="1497C97C">
                  <w:pPr>
                    <w:jc w:val="both"/>
                    <w:rPr>
                      <w:color w:val="000000" w:themeColor="text1"/>
                      <w:sz w:val="20"/>
                      <w:szCs w:val="20"/>
                      <w:lang w:val="en-GB"/>
                    </w:rPr>
                  </w:pPr>
                  <w:r w:rsidRPr="00123272">
                    <w:rPr>
                      <w:color w:val="000000" w:themeColor="text1"/>
                      <w:sz w:val="20"/>
                      <w:szCs w:val="20"/>
                      <w:lang w:val="en-GB"/>
                    </w:rPr>
                    <w:t xml:space="preserve">Myanmar has </w:t>
                  </w:r>
                  <w:r w:rsidR="00696105">
                    <w:rPr>
                      <w:color w:val="000000" w:themeColor="text1"/>
                      <w:sz w:val="20"/>
                      <w:szCs w:val="20"/>
                      <w:lang w:val="en-GB"/>
                    </w:rPr>
                    <w:t xml:space="preserve">a </w:t>
                  </w:r>
                  <w:r w:rsidRPr="00123272">
                    <w:rPr>
                      <w:color w:val="000000" w:themeColor="text1"/>
                      <w:sz w:val="20"/>
                      <w:szCs w:val="20"/>
                      <w:lang w:val="en-GB"/>
                    </w:rPr>
                    <w:t>well</w:t>
                  </w:r>
                  <w:r w:rsidR="006B20DC">
                    <w:rPr>
                      <w:color w:val="000000" w:themeColor="text1"/>
                      <w:sz w:val="20"/>
                      <w:szCs w:val="20"/>
                      <w:lang w:val="en-GB"/>
                    </w:rPr>
                    <w:t>-</w:t>
                  </w:r>
                  <w:r w:rsidRPr="00123272">
                    <w:rPr>
                      <w:color w:val="000000" w:themeColor="text1"/>
                      <w:sz w:val="20"/>
                      <w:szCs w:val="20"/>
                      <w:lang w:val="en-GB"/>
                    </w:rPr>
                    <w:t xml:space="preserve">established surveillance system </w:t>
                  </w:r>
                  <w:r w:rsidRPr="113B1F31">
                    <w:rPr>
                      <w:color w:val="000000" w:themeColor="text1"/>
                      <w:sz w:val="20"/>
                      <w:szCs w:val="20"/>
                      <w:lang w:val="en-GB"/>
                    </w:rPr>
                    <w:t>for</w:t>
                  </w:r>
                  <w:r w:rsidRPr="00123272">
                    <w:rPr>
                      <w:color w:val="000000" w:themeColor="text1"/>
                      <w:sz w:val="20"/>
                      <w:szCs w:val="20"/>
                      <w:lang w:val="en-GB"/>
                    </w:rPr>
                    <w:t xml:space="preserve"> measles, rubella</w:t>
                  </w:r>
                  <w:r w:rsidR="00F37C8D">
                    <w:rPr>
                      <w:color w:val="000000" w:themeColor="text1"/>
                      <w:sz w:val="20"/>
                      <w:szCs w:val="20"/>
                      <w:lang w:val="en-GB"/>
                    </w:rPr>
                    <w:t>,</w:t>
                  </w:r>
                  <w:r w:rsidRPr="00123272">
                    <w:rPr>
                      <w:color w:val="000000" w:themeColor="text1"/>
                      <w:sz w:val="20"/>
                      <w:szCs w:val="20"/>
                      <w:lang w:val="en-GB"/>
                    </w:rPr>
                    <w:t xml:space="preserve"> and CRS</w:t>
                  </w:r>
                  <w:r w:rsidR="00F37C8D">
                    <w:rPr>
                      <w:color w:val="000000" w:themeColor="text1"/>
                      <w:sz w:val="20"/>
                      <w:szCs w:val="20"/>
                      <w:lang w:val="en-GB"/>
                    </w:rPr>
                    <w:t>,</w:t>
                  </w:r>
                  <w:r w:rsidRPr="00123272">
                    <w:rPr>
                      <w:color w:val="000000" w:themeColor="text1"/>
                      <w:sz w:val="20"/>
                      <w:szCs w:val="20"/>
                      <w:lang w:val="en-GB"/>
                    </w:rPr>
                    <w:t xml:space="preserve"> which is </w:t>
                  </w:r>
                  <w:r w:rsidR="00921772">
                    <w:rPr>
                      <w:color w:val="000000" w:themeColor="text1"/>
                      <w:sz w:val="20"/>
                      <w:szCs w:val="20"/>
                      <w:lang w:val="en-GB"/>
                    </w:rPr>
                    <w:t xml:space="preserve">a </w:t>
                  </w:r>
                  <w:r w:rsidRPr="00123272">
                    <w:rPr>
                      <w:color w:val="000000" w:themeColor="text1"/>
                      <w:sz w:val="20"/>
                      <w:szCs w:val="20"/>
                      <w:lang w:val="en-GB"/>
                    </w:rPr>
                    <w:t>sensitive and well</w:t>
                  </w:r>
                  <w:r w:rsidR="00921772">
                    <w:rPr>
                      <w:color w:val="000000" w:themeColor="text1"/>
                      <w:sz w:val="20"/>
                      <w:szCs w:val="20"/>
                      <w:lang w:val="en-GB"/>
                    </w:rPr>
                    <w:t>-</w:t>
                  </w:r>
                  <w:r w:rsidRPr="00123272">
                    <w:rPr>
                      <w:color w:val="000000" w:themeColor="text1"/>
                      <w:sz w:val="20"/>
                      <w:szCs w:val="20"/>
                      <w:lang w:val="en-GB"/>
                    </w:rPr>
                    <w:t xml:space="preserve">performing surveillance </w:t>
                  </w:r>
                  <w:r w:rsidRPr="113B1F31">
                    <w:rPr>
                      <w:color w:val="000000" w:themeColor="text1"/>
                      <w:sz w:val="20"/>
                      <w:szCs w:val="20"/>
                      <w:lang w:val="en-GB"/>
                    </w:rPr>
                    <w:t xml:space="preserve">system that </w:t>
                  </w:r>
                  <w:r w:rsidRPr="00123272">
                    <w:rPr>
                      <w:color w:val="000000" w:themeColor="text1"/>
                      <w:sz w:val="20"/>
                      <w:szCs w:val="20"/>
                      <w:lang w:val="en-GB"/>
                    </w:rPr>
                    <w:t xml:space="preserve">was reinforced with </w:t>
                  </w:r>
                  <w:r w:rsidR="00921772">
                    <w:rPr>
                      <w:color w:val="000000" w:themeColor="text1"/>
                      <w:sz w:val="20"/>
                      <w:szCs w:val="20"/>
                      <w:lang w:val="en-GB"/>
                    </w:rPr>
                    <w:t xml:space="preserve">an </w:t>
                  </w:r>
                  <w:r w:rsidRPr="00123272">
                    <w:rPr>
                      <w:color w:val="000000" w:themeColor="text1"/>
                      <w:sz w:val="20"/>
                      <w:szCs w:val="20"/>
                      <w:lang w:val="en-GB"/>
                    </w:rPr>
                    <w:t>electronic version of data entry and data analysis tools software (Information For Action) by WHO in 2017. Case-based measles and rubella surveillance system has been implement</w:t>
                  </w:r>
                  <w:r w:rsidR="00921772">
                    <w:rPr>
                      <w:color w:val="000000" w:themeColor="text1"/>
                      <w:sz w:val="20"/>
                      <w:szCs w:val="20"/>
                      <w:lang w:val="en-GB"/>
                    </w:rPr>
                    <w:t>ed</w:t>
                  </w:r>
                  <w:r w:rsidRPr="00123272">
                    <w:rPr>
                      <w:color w:val="000000" w:themeColor="text1"/>
                      <w:sz w:val="20"/>
                      <w:szCs w:val="20"/>
                      <w:lang w:val="en-GB"/>
                    </w:rPr>
                    <w:t xml:space="preserve"> as part of VPD surveillance.</w:t>
                  </w:r>
                </w:p>
                <w:p w14:paraId="0AED5D3B" w14:textId="77777777" w:rsidR="004E2BC5" w:rsidRDefault="004E2BC5">
                  <w:pPr>
                    <w:jc w:val="both"/>
                    <w:rPr>
                      <w:lang w:val="en-GB"/>
                    </w:rPr>
                  </w:pPr>
                </w:p>
                <w:p w14:paraId="015E32E9" w14:textId="19795B1C" w:rsidR="78B3B584" w:rsidRDefault="1497C97C">
                  <w:pPr>
                    <w:jc w:val="both"/>
                    <w:rPr>
                      <w:color w:val="000000" w:themeColor="text1"/>
                      <w:sz w:val="20"/>
                      <w:szCs w:val="20"/>
                      <w:lang w:val="en-GB"/>
                    </w:rPr>
                  </w:pPr>
                  <w:r w:rsidRPr="00123272">
                    <w:rPr>
                      <w:color w:val="000000" w:themeColor="text1"/>
                      <w:sz w:val="20"/>
                      <w:szCs w:val="20"/>
                      <w:lang w:val="en-GB"/>
                    </w:rPr>
                    <w:t xml:space="preserve">Due to the </w:t>
                  </w:r>
                  <w:r w:rsidRPr="113B1F31">
                    <w:rPr>
                      <w:color w:val="000000" w:themeColor="text1"/>
                      <w:sz w:val="20"/>
                      <w:szCs w:val="20"/>
                      <w:lang w:val="en-GB"/>
                    </w:rPr>
                    <w:t>COVID</w:t>
                  </w:r>
                  <w:r w:rsidRPr="00123272">
                    <w:rPr>
                      <w:color w:val="000000" w:themeColor="text1"/>
                      <w:sz w:val="20"/>
                      <w:szCs w:val="20"/>
                      <w:lang w:val="en-GB"/>
                    </w:rPr>
                    <w:t xml:space="preserve">-19 pandemic and political situation, challenges  related to </w:t>
                  </w:r>
                  <w:r w:rsidR="006E0FBB">
                    <w:rPr>
                      <w:color w:val="000000" w:themeColor="text1"/>
                      <w:sz w:val="20"/>
                      <w:szCs w:val="20"/>
                      <w:lang w:val="en-GB"/>
                    </w:rPr>
                    <w:t xml:space="preserve">the </w:t>
                  </w:r>
                  <w:r w:rsidRPr="00123272">
                    <w:rPr>
                      <w:color w:val="000000" w:themeColor="text1"/>
                      <w:sz w:val="20"/>
                      <w:szCs w:val="20"/>
                      <w:lang w:val="en-GB"/>
                    </w:rPr>
                    <w:t xml:space="preserve">shortage of human resources and </w:t>
                  </w:r>
                  <w:r w:rsidR="006E0FBB">
                    <w:rPr>
                      <w:color w:val="000000" w:themeColor="text1"/>
                      <w:sz w:val="20"/>
                      <w:szCs w:val="20"/>
                      <w:lang w:val="en-GB"/>
                    </w:rPr>
                    <w:t xml:space="preserve">the </w:t>
                  </w:r>
                  <w:r w:rsidRPr="00123272">
                    <w:rPr>
                      <w:color w:val="000000" w:themeColor="text1"/>
                      <w:sz w:val="20"/>
                      <w:szCs w:val="20"/>
                      <w:lang w:val="en-GB"/>
                    </w:rPr>
                    <w:t>inability to carr</w:t>
                  </w:r>
                  <w:r w:rsidR="006E0FBB">
                    <w:rPr>
                      <w:color w:val="000000" w:themeColor="text1"/>
                      <w:sz w:val="20"/>
                      <w:szCs w:val="20"/>
                      <w:lang w:val="en-GB"/>
                    </w:rPr>
                    <w:t>y</w:t>
                  </w:r>
                  <w:r w:rsidRPr="00123272">
                    <w:rPr>
                      <w:color w:val="000000" w:themeColor="text1"/>
                      <w:sz w:val="20"/>
                      <w:szCs w:val="20"/>
                      <w:lang w:val="en-GB"/>
                    </w:rPr>
                    <w:t xml:space="preserve"> out the specimen transportation for all states and regions</w:t>
                  </w:r>
                  <w:r w:rsidRPr="113B1F31">
                    <w:rPr>
                      <w:color w:val="000000" w:themeColor="text1"/>
                      <w:sz w:val="20"/>
                      <w:szCs w:val="20"/>
                      <w:lang w:val="en-GB"/>
                    </w:rPr>
                    <w:t xml:space="preserve"> were experienced</w:t>
                  </w:r>
                  <w:r w:rsidRPr="00123272">
                    <w:rPr>
                      <w:color w:val="000000" w:themeColor="text1"/>
                      <w:sz w:val="20"/>
                      <w:szCs w:val="20"/>
                      <w:lang w:val="en-GB"/>
                    </w:rPr>
                    <w:t xml:space="preserve">. There was evidence </w:t>
                  </w:r>
                  <w:r w:rsidR="006E0FBB">
                    <w:rPr>
                      <w:color w:val="000000" w:themeColor="text1"/>
                      <w:sz w:val="20"/>
                      <w:szCs w:val="20"/>
                      <w:lang w:val="en-GB"/>
                    </w:rPr>
                    <w:t>that</w:t>
                  </w:r>
                  <w:r w:rsidRPr="00123272">
                    <w:rPr>
                      <w:color w:val="000000" w:themeColor="text1"/>
                      <w:sz w:val="20"/>
                      <w:szCs w:val="20"/>
                      <w:lang w:val="en-GB"/>
                    </w:rPr>
                    <w:t xml:space="preserve"> minimum case reporting target and surveillance indicators were not met.</w:t>
                  </w:r>
                </w:p>
                <w:p w14:paraId="5FA9068E" w14:textId="77777777" w:rsidR="000B3AF4" w:rsidRDefault="000B3AF4">
                  <w:pPr>
                    <w:jc w:val="both"/>
                    <w:rPr>
                      <w:color w:val="000000" w:themeColor="text1"/>
                      <w:lang w:val="en-GB"/>
                    </w:rPr>
                  </w:pPr>
                </w:p>
                <w:p w14:paraId="7172EB8D" w14:textId="3273B7DB" w:rsidR="78B3B584" w:rsidRDefault="1497C97C" w:rsidP="00123272">
                  <w:pPr>
                    <w:jc w:val="both"/>
                    <w:rPr>
                      <w:lang w:val="en-GB"/>
                    </w:rPr>
                  </w:pPr>
                  <w:r w:rsidRPr="00123272">
                    <w:rPr>
                      <w:color w:val="000000" w:themeColor="text1"/>
                      <w:sz w:val="20"/>
                      <w:szCs w:val="20"/>
                      <w:lang w:val="en-GB"/>
                    </w:rPr>
                    <w:t>Although Myanmar has WHO accredited laborator</w:t>
                  </w:r>
                  <w:r w:rsidR="000B3AF4">
                    <w:rPr>
                      <w:color w:val="000000" w:themeColor="text1"/>
                      <w:sz w:val="20"/>
                      <w:szCs w:val="20"/>
                      <w:lang w:val="en-GB"/>
                    </w:rPr>
                    <w:t>ies</w:t>
                  </w:r>
                  <w:r w:rsidRPr="00123272">
                    <w:rPr>
                      <w:color w:val="000000" w:themeColor="text1"/>
                      <w:sz w:val="20"/>
                      <w:szCs w:val="20"/>
                      <w:lang w:val="en-GB"/>
                    </w:rPr>
                    <w:t xml:space="preserve"> in Yangon and Mandalay with good laboratory practice, issues like capacity, specimen transportation, shortage of lab reagents for JE, </w:t>
                  </w:r>
                  <w:r w:rsidR="000B3AF4">
                    <w:rPr>
                      <w:color w:val="000000" w:themeColor="text1"/>
                      <w:sz w:val="20"/>
                      <w:szCs w:val="20"/>
                      <w:lang w:val="en-GB"/>
                    </w:rPr>
                    <w:t xml:space="preserve">and </w:t>
                  </w:r>
                  <w:r w:rsidRPr="00123272">
                    <w:rPr>
                      <w:color w:val="000000" w:themeColor="text1"/>
                      <w:sz w:val="20"/>
                      <w:szCs w:val="20"/>
                      <w:lang w:val="en-GB"/>
                    </w:rPr>
                    <w:t xml:space="preserve">diphtheria during </w:t>
                  </w:r>
                  <w:r w:rsidR="000B3AF4">
                    <w:rPr>
                      <w:color w:val="000000" w:themeColor="text1"/>
                      <w:sz w:val="20"/>
                      <w:szCs w:val="20"/>
                      <w:lang w:val="en-GB"/>
                    </w:rPr>
                    <w:t xml:space="preserve">the </w:t>
                  </w:r>
                  <w:r w:rsidRPr="00123272">
                    <w:rPr>
                      <w:color w:val="000000" w:themeColor="text1"/>
                      <w:sz w:val="20"/>
                      <w:szCs w:val="20"/>
                      <w:lang w:val="en-GB"/>
                    </w:rPr>
                    <w:t>C</w:t>
                  </w:r>
                  <w:r w:rsidRPr="113B1F31">
                    <w:rPr>
                      <w:color w:val="000000" w:themeColor="text1"/>
                      <w:sz w:val="20"/>
                      <w:szCs w:val="20"/>
                      <w:lang w:val="en-GB"/>
                    </w:rPr>
                    <w:t>OVID</w:t>
                  </w:r>
                  <w:r w:rsidRPr="00123272">
                    <w:rPr>
                      <w:color w:val="000000" w:themeColor="text1"/>
                      <w:sz w:val="20"/>
                      <w:szCs w:val="20"/>
                      <w:lang w:val="en-GB"/>
                    </w:rPr>
                    <w:t>-19 pandemic due to flight restriction</w:t>
                  </w:r>
                  <w:r w:rsidR="000B3AF4">
                    <w:rPr>
                      <w:color w:val="000000" w:themeColor="text1"/>
                      <w:sz w:val="20"/>
                      <w:szCs w:val="20"/>
                      <w:lang w:val="en-GB"/>
                    </w:rPr>
                    <w:t>s</w:t>
                  </w:r>
                  <w:r w:rsidRPr="00123272">
                    <w:rPr>
                      <w:color w:val="000000" w:themeColor="text1"/>
                      <w:sz w:val="20"/>
                      <w:szCs w:val="20"/>
                      <w:lang w:val="en-GB"/>
                    </w:rPr>
                    <w:t xml:space="preserve"> were encountered. E</w:t>
                  </w:r>
                  <w:r w:rsidRPr="113B1F31">
                    <w:rPr>
                      <w:rFonts w:ascii="Calibri" w:eastAsia="Calibri" w:hAnsi="Calibri" w:cs="Calibri"/>
                      <w:lang w:val="en-GB"/>
                    </w:rPr>
                    <w:t>n</w:t>
                  </w:r>
                  <w:r w:rsidRPr="00123272">
                    <w:rPr>
                      <w:color w:val="000000" w:themeColor="text1"/>
                      <w:sz w:val="20"/>
                      <w:szCs w:val="20"/>
                      <w:lang w:val="en-GB"/>
                    </w:rPr>
                    <w:t xml:space="preserve">vironmental </w:t>
                  </w:r>
                  <w:r w:rsidRPr="113B1F31">
                    <w:rPr>
                      <w:color w:val="000000" w:themeColor="text1"/>
                      <w:sz w:val="20"/>
                      <w:szCs w:val="20"/>
                      <w:lang w:val="en-GB"/>
                    </w:rPr>
                    <w:t>S</w:t>
                  </w:r>
                  <w:r w:rsidRPr="00123272">
                    <w:rPr>
                      <w:color w:val="000000" w:themeColor="text1"/>
                      <w:sz w:val="20"/>
                      <w:szCs w:val="20"/>
                      <w:lang w:val="en-GB"/>
                    </w:rPr>
                    <w:t xml:space="preserve">urveillance (ES) has been initiated to detect circulating </w:t>
                  </w:r>
                  <w:r w:rsidRPr="113B1F31">
                    <w:rPr>
                      <w:color w:val="000000" w:themeColor="text1"/>
                      <w:sz w:val="20"/>
                      <w:szCs w:val="20"/>
                      <w:lang w:val="en-GB"/>
                    </w:rPr>
                    <w:t>vaccine</w:t>
                  </w:r>
                  <w:r w:rsidR="000B3AF4">
                    <w:rPr>
                      <w:color w:val="000000" w:themeColor="text1"/>
                      <w:sz w:val="20"/>
                      <w:szCs w:val="20"/>
                      <w:lang w:val="en-GB"/>
                    </w:rPr>
                    <w:t>-</w:t>
                  </w:r>
                  <w:r w:rsidRPr="113B1F31">
                    <w:rPr>
                      <w:color w:val="000000" w:themeColor="text1"/>
                      <w:sz w:val="20"/>
                      <w:szCs w:val="20"/>
                      <w:lang w:val="en-GB"/>
                    </w:rPr>
                    <w:t>derived</w:t>
                  </w:r>
                  <w:r w:rsidR="113B1F31" w:rsidRPr="113B1F31">
                    <w:rPr>
                      <w:color w:val="000000" w:themeColor="text1"/>
                      <w:sz w:val="20"/>
                      <w:szCs w:val="20"/>
                      <w:lang w:val="en-GB"/>
                    </w:rPr>
                    <w:t xml:space="preserve"> </w:t>
                  </w:r>
                  <w:r w:rsidRPr="00123272">
                    <w:rPr>
                      <w:color w:val="000000" w:themeColor="text1"/>
                      <w:sz w:val="20"/>
                      <w:szCs w:val="20"/>
                      <w:lang w:val="en-GB"/>
                    </w:rPr>
                    <w:t>polioviruses</w:t>
                  </w:r>
                  <w:r w:rsidRPr="113B1F31">
                    <w:rPr>
                      <w:color w:val="000000" w:themeColor="text1"/>
                      <w:sz w:val="20"/>
                      <w:szCs w:val="20"/>
                      <w:lang w:val="en-GB"/>
                    </w:rPr>
                    <w:t xml:space="preserve"> </w:t>
                  </w:r>
                  <w:r w:rsidRPr="00123272">
                    <w:rPr>
                      <w:color w:val="000000" w:themeColor="text1"/>
                      <w:sz w:val="20"/>
                      <w:szCs w:val="20"/>
                      <w:lang w:val="en-GB"/>
                    </w:rPr>
                    <w:t xml:space="preserve"> (cVDPV) and support acute flaccid paralysis (AFP) surveillance. Currently</w:t>
                  </w:r>
                  <w:r w:rsidR="000B3AF4">
                    <w:rPr>
                      <w:color w:val="000000" w:themeColor="text1"/>
                      <w:sz w:val="20"/>
                      <w:szCs w:val="20"/>
                      <w:lang w:val="en-GB"/>
                    </w:rPr>
                    <w:t>,</w:t>
                  </w:r>
                  <w:r w:rsidRPr="00123272">
                    <w:rPr>
                      <w:color w:val="000000" w:themeColor="text1"/>
                      <w:sz w:val="20"/>
                      <w:szCs w:val="20"/>
                      <w:lang w:val="en-GB"/>
                    </w:rPr>
                    <w:t xml:space="preserve"> three sites </w:t>
                  </w:r>
                  <w:r w:rsidR="000B3AF4">
                    <w:rPr>
                      <w:color w:val="000000" w:themeColor="text1"/>
                      <w:sz w:val="20"/>
                      <w:szCs w:val="20"/>
                      <w:lang w:val="en-GB"/>
                    </w:rPr>
                    <w:t>regularly conduct</w:t>
                  </w:r>
                  <w:r w:rsidRPr="00123272">
                    <w:rPr>
                      <w:color w:val="000000" w:themeColor="text1"/>
                      <w:sz w:val="20"/>
                      <w:szCs w:val="20"/>
                      <w:lang w:val="en-GB"/>
                    </w:rPr>
                    <w:t xml:space="preserve"> ES (Yangon, Sittwe</w:t>
                  </w:r>
                  <w:r w:rsidR="000B3AF4">
                    <w:rPr>
                      <w:color w:val="000000" w:themeColor="text1"/>
                      <w:sz w:val="20"/>
                      <w:szCs w:val="20"/>
                      <w:lang w:val="en-GB"/>
                    </w:rPr>
                    <w:t>,</w:t>
                  </w:r>
                  <w:r w:rsidRPr="00123272">
                    <w:rPr>
                      <w:color w:val="000000" w:themeColor="text1"/>
                      <w:sz w:val="20"/>
                      <w:szCs w:val="20"/>
                      <w:lang w:val="en-GB"/>
                    </w:rPr>
                    <w:t xml:space="preserve"> and Maungdaw). There will be </w:t>
                  </w:r>
                  <w:r w:rsidR="000B3AF4">
                    <w:rPr>
                      <w:color w:val="000000" w:themeColor="text1"/>
                      <w:sz w:val="20"/>
                      <w:szCs w:val="20"/>
                      <w:lang w:val="en-GB"/>
                    </w:rPr>
                    <w:t xml:space="preserve">an </w:t>
                  </w:r>
                  <w:r w:rsidRPr="00123272">
                    <w:rPr>
                      <w:color w:val="000000" w:themeColor="text1"/>
                      <w:sz w:val="20"/>
                      <w:szCs w:val="20"/>
                      <w:lang w:val="en-GB"/>
                    </w:rPr>
                    <w:t xml:space="preserve">expansion of surveillance sites planned for </w:t>
                  </w:r>
                  <w:r w:rsidR="000B3AF4">
                    <w:rPr>
                      <w:color w:val="000000" w:themeColor="text1"/>
                      <w:sz w:val="20"/>
                      <w:szCs w:val="20"/>
                      <w:lang w:val="en-GB"/>
                    </w:rPr>
                    <w:t xml:space="preserve">the </w:t>
                  </w:r>
                  <w:r w:rsidRPr="00123272">
                    <w:rPr>
                      <w:color w:val="000000" w:themeColor="text1"/>
                      <w:sz w:val="20"/>
                      <w:szCs w:val="20"/>
                      <w:lang w:val="en-GB"/>
                    </w:rPr>
                    <w:t>future.</w:t>
                  </w:r>
                  <w:r w:rsidR="000B3AF4">
                    <w:rPr>
                      <w:color w:val="000000" w:themeColor="text1"/>
                      <w:sz w:val="20"/>
                      <w:szCs w:val="20"/>
                      <w:lang w:val="en-GB"/>
                    </w:rPr>
                    <w:t xml:space="preserve"> </w:t>
                  </w:r>
                  <w:r w:rsidR="040E8F06" w:rsidRPr="00123272">
                    <w:rPr>
                      <w:color w:val="000000" w:themeColor="text1"/>
                      <w:sz w:val="20"/>
                      <w:szCs w:val="20"/>
                      <w:lang w:val="en-GB"/>
                    </w:rPr>
                    <w:t xml:space="preserve">Involvement of </w:t>
                  </w:r>
                  <w:r w:rsidR="000B3AF4">
                    <w:rPr>
                      <w:color w:val="000000" w:themeColor="text1"/>
                      <w:sz w:val="20"/>
                      <w:szCs w:val="20"/>
                      <w:lang w:val="en-GB"/>
                    </w:rPr>
                    <w:t xml:space="preserve">the </w:t>
                  </w:r>
                  <w:r w:rsidR="040E8F06" w:rsidRPr="00123272">
                    <w:rPr>
                      <w:color w:val="000000" w:themeColor="text1"/>
                      <w:sz w:val="20"/>
                      <w:szCs w:val="20"/>
                      <w:lang w:val="en-GB"/>
                    </w:rPr>
                    <w:t xml:space="preserve">private sector (GPs, clinicians, and private hospitals) and </w:t>
                  </w:r>
                  <w:r w:rsidR="000B3AF4">
                    <w:rPr>
                      <w:color w:val="000000" w:themeColor="text1"/>
                      <w:sz w:val="20"/>
                      <w:szCs w:val="20"/>
                      <w:lang w:val="en-GB"/>
                    </w:rPr>
                    <w:t xml:space="preserve">the </w:t>
                  </w:r>
                  <w:r w:rsidR="040E8F06" w:rsidRPr="00123272">
                    <w:rPr>
                      <w:color w:val="000000" w:themeColor="text1"/>
                      <w:sz w:val="20"/>
                      <w:szCs w:val="20"/>
                      <w:lang w:val="en-GB"/>
                    </w:rPr>
                    <w:t>Private Hospital Association</w:t>
                  </w:r>
                  <w:r w:rsidR="000B3AF4">
                    <w:rPr>
                      <w:color w:val="000000" w:themeColor="text1"/>
                      <w:sz w:val="20"/>
                      <w:szCs w:val="20"/>
                      <w:lang w:val="en-GB"/>
                    </w:rPr>
                    <w:t>,</w:t>
                  </w:r>
                  <w:r w:rsidR="040E8F06" w:rsidRPr="00123272">
                    <w:rPr>
                      <w:color w:val="000000" w:themeColor="text1"/>
                      <w:sz w:val="20"/>
                      <w:szCs w:val="20"/>
                      <w:lang w:val="en-GB"/>
                    </w:rPr>
                    <w:t xml:space="preserve"> as already recommended by NVC</w:t>
                  </w:r>
                  <w:r w:rsidR="00147483">
                    <w:rPr>
                      <w:color w:val="000000" w:themeColor="text1"/>
                      <w:sz w:val="20"/>
                      <w:szCs w:val="20"/>
                      <w:lang w:val="en-GB"/>
                    </w:rPr>
                    <w:t>,</w:t>
                  </w:r>
                  <w:r w:rsidR="040E8F06" w:rsidRPr="00123272">
                    <w:rPr>
                      <w:color w:val="000000" w:themeColor="text1"/>
                      <w:sz w:val="20"/>
                      <w:szCs w:val="20"/>
                      <w:lang w:val="en-GB"/>
                    </w:rPr>
                    <w:t xml:space="preserve"> will </w:t>
                  </w:r>
                  <w:r w:rsidR="040E8F06" w:rsidRPr="56AFECB8">
                    <w:rPr>
                      <w:color w:val="000000" w:themeColor="text1"/>
                      <w:sz w:val="20"/>
                      <w:szCs w:val="20"/>
                      <w:lang w:val="en-GB"/>
                    </w:rPr>
                    <w:t xml:space="preserve">further </w:t>
                  </w:r>
                  <w:r w:rsidR="040E8F06" w:rsidRPr="00123272">
                    <w:rPr>
                      <w:color w:val="000000" w:themeColor="text1"/>
                      <w:sz w:val="20"/>
                      <w:szCs w:val="20"/>
                      <w:lang w:val="en-GB"/>
                    </w:rPr>
                    <w:t xml:space="preserve">enhance </w:t>
                  </w:r>
                  <w:r w:rsidR="040E8F06" w:rsidRPr="56AFECB8">
                    <w:rPr>
                      <w:color w:val="000000" w:themeColor="text1"/>
                      <w:sz w:val="20"/>
                      <w:szCs w:val="20"/>
                      <w:lang w:val="en-GB"/>
                    </w:rPr>
                    <w:t xml:space="preserve">the </w:t>
                  </w:r>
                  <w:r w:rsidR="040E8F06" w:rsidRPr="00123272">
                    <w:rPr>
                      <w:color w:val="000000" w:themeColor="text1"/>
                      <w:sz w:val="20"/>
                      <w:szCs w:val="20"/>
                      <w:lang w:val="en-GB"/>
                    </w:rPr>
                    <w:t xml:space="preserve">surveillance </w:t>
                  </w:r>
                  <w:r w:rsidR="040E8F06" w:rsidRPr="56AFECB8">
                    <w:rPr>
                      <w:color w:val="000000" w:themeColor="text1"/>
                      <w:sz w:val="20"/>
                      <w:szCs w:val="20"/>
                      <w:lang w:val="en-GB"/>
                    </w:rPr>
                    <w:t>system</w:t>
                  </w:r>
                  <w:r w:rsidR="040E8F06" w:rsidRPr="56AFECB8">
                    <w:rPr>
                      <w:rFonts w:ascii="Calibri" w:eastAsia="Calibri" w:hAnsi="Calibri" w:cs="Calibri"/>
                      <w:lang w:val="en-GB"/>
                    </w:rPr>
                    <w:t>.</w:t>
                  </w:r>
                  <w:r w:rsidR="040E8F06" w:rsidRPr="56AFECB8">
                    <w:rPr>
                      <w:sz w:val="20"/>
                      <w:szCs w:val="20"/>
                    </w:rPr>
                    <w:t xml:space="preserve"> </w:t>
                  </w:r>
                </w:p>
                <w:p w14:paraId="5CB4C27B" w14:textId="22DA154C" w:rsidR="78B3B584" w:rsidRDefault="78B3B584" w:rsidP="00B67475">
                  <w:pPr>
                    <w:jc w:val="both"/>
                    <w:rPr>
                      <w:rFonts w:ascii="Calibri" w:eastAsia="Calibri" w:hAnsi="Calibri" w:cs="Calibri"/>
                      <w:lang w:val="en-GB"/>
                    </w:rPr>
                  </w:pPr>
                </w:p>
                <w:p w14:paraId="6133A268" w14:textId="24F34E22" w:rsidR="78B3B584" w:rsidRDefault="78B3B584" w:rsidP="00B67475">
                  <w:pPr>
                    <w:jc w:val="both"/>
                    <w:rPr>
                      <w:b/>
                      <w:bCs/>
                      <w:color w:val="000000" w:themeColor="text1"/>
                      <w:sz w:val="20"/>
                      <w:szCs w:val="20"/>
                      <w:lang w:val="en-GB"/>
                    </w:rPr>
                  </w:pPr>
                  <w:r w:rsidRPr="78B3B584">
                    <w:rPr>
                      <w:b/>
                      <w:bCs/>
                      <w:color w:val="000000" w:themeColor="text1"/>
                      <w:sz w:val="20"/>
                      <w:szCs w:val="20"/>
                      <w:lang w:val="en-GB"/>
                    </w:rPr>
                    <w:t>Human Resources</w:t>
                  </w:r>
                  <w:r w:rsidR="00DA7D19">
                    <w:rPr>
                      <w:b/>
                      <w:bCs/>
                      <w:color w:val="000000" w:themeColor="text1"/>
                      <w:sz w:val="20"/>
                      <w:szCs w:val="20"/>
                      <w:lang w:val="en-GB"/>
                    </w:rPr>
                    <w:t xml:space="preserve"> for Health</w:t>
                  </w:r>
                </w:p>
                <w:p w14:paraId="323FF542" w14:textId="53C440A5" w:rsidR="78B3B584" w:rsidRPr="00926EB7" w:rsidRDefault="78B3B584" w:rsidP="00B67475">
                  <w:pPr>
                    <w:jc w:val="both"/>
                    <w:rPr>
                      <w:color w:val="000000" w:themeColor="text1"/>
                      <w:sz w:val="20"/>
                      <w:szCs w:val="20"/>
                      <w:lang w:val="en-US"/>
                    </w:rPr>
                  </w:pPr>
                  <w:r w:rsidRPr="00926EB7">
                    <w:rPr>
                      <w:color w:val="000000" w:themeColor="text1"/>
                      <w:sz w:val="20"/>
                      <w:szCs w:val="20"/>
                      <w:lang w:val="en-US"/>
                    </w:rPr>
                    <w:t xml:space="preserve">Myanmar is one of the countries with </w:t>
                  </w:r>
                  <w:r w:rsidR="00166454" w:rsidRPr="00926EB7">
                    <w:rPr>
                      <w:color w:val="000000" w:themeColor="text1"/>
                      <w:sz w:val="20"/>
                      <w:szCs w:val="20"/>
                      <w:lang w:val="en-US"/>
                    </w:rPr>
                    <w:t xml:space="preserve">the </w:t>
                  </w:r>
                  <w:r w:rsidRPr="00926EB7">
                    <w:rPr>
                      <w:color w:val="000000" w:themeColor="text1"/>
                      <w:sz w:val="20"/>
                      <w:szCs w:val="20"/>
                      <w:lang w:val="en-US"/>
                    </w:rPr>
                    <w:t>lowest health worker availability in SEAR</w:t>
                  </w:r>
                  <w:r w:rsidR="00147483" w:rsidRPr="00926EB7">
                    <w:rPr>
                      <w:color w:val="000000" w:themeColor="text1"/>
                      <w:sz w:val="20"/>
                      <w:szCs w:val="20"/>
                      <w:lang w:val="en-US"/>
                    </w:rPr>
                    <w:t>,</w:t>
                  </w:r>
                  <w:r w:rsidRPr="00926EB7">
                    <w:rPr>
                      <w:color w:val="000000" w:themeColor="text1"/>
                      <w:sz w:val="20"/>
                      <w:szCs w:val="20"/>
                      <w:lang w:val="en-US"/>
                    </w:rPr>
                    <w:t xml:space="preserve"> even before </w:t>
                  </w:r>
                  <w:r w:rsidR="00827798" w:rsidRPr="00926EB7">
                    <w:rPr>
                      <w:color w:val="000000" w:themeColor="text1"/>
                      <w:sz w:val="20"/>
                      <w:szCs w:val="20"/>
                      <w:lang w:val="en-US"/>
                    </w:rPr>
                    <w:t xml:space="preserve">the </w:t>
                  </w:r>
                  <w:r w:rsidRPr="00926EB7">
                    <w:rPr>
                      <w:color w:val="000000" w:themeColor="text1"/>
                      <w:sz w:val="20"/>
                      <w:szCs w:val="20"/>
                      <w:lang w:val="en-US"/>
                    </w:rPr>
                    <w:t xml:space="preserve">military takeover. </w:t>
                  </w:r>
                  <w:r w:rsidRPr="00926EB7">
                    <w:rPr>
                      <w:rFonts w:eastAsia="Calibri"/>
                      <w:color w:val="000000" w:themeColor="text1"/>
                      <w:sz w:val="20"/>
                      <w:szCs w:val="20"/>
                      <w:lang w:val="en-US"/>
                    </w:rPr>
                    <w:t>In Myanmar, t</w:t>
                  </w:r>
                  <w:r w:rsidRPr="00926EB7">
                    <w:rPr>
                      <w:color w:val="000000" w:themeColor="text1"/>
                      <w:sz w:val="20"/>
                      <w:szCs w:val="20"/>
                      <w:lang w:val="en-US"/>
                    </w:rPr>
                    <w:t>he sum of doctors, nurses</w:t>
                  </w:r>
                  <w:r w:rsidR="00827798" w:rsidRPr="00926EB7">
                    <w:rPr>
                      <w:color w:val="000000" w:themeColor="text1"/>
                      <w:sz w:val="20"/>
                      <w:szCs w:val="20"/>
                      <w:lang w:val="en-US"/>
                    </w:rPr>
                    <w:t>,</w:t>
                  </w:r>
                  <w:r w:rsidRPr="00926EB7">
                    <w:rPr>
                      <w:color w:val="000000" w:themeColor="text1"/>
                      <w:sz w:val="20"/>
                      <w:szCs w:val="20"/>
                      <w:lang w:val="en-US"/>
                    </w:rPr>
                    <w:t xml:space="preserve"> and midwives results in a density of 17.8 health workers per 10,000 population; and yet to reach th</w:t>
                  </w:r>
                  <w:r w:rsidR="00166454" w:rsidRPr="00926EB7">
                    <w:rPr>
                      <w:color w:val="000000" w:themeColor="text1"/>
                      <w:sz w:val="20"/>
                      <w:szCs w:val="20"/>
                      <w:lang w:val="en-US"/>
                    </w:rPr>
                    <w:t>e</w:t>
                  </w:r>
                  <w:r w:rsidRPr="00926EB7">
                    <w:rPr>
                      <w:color w:val="000000" w:themeColor="text1"/>
                      <w:sz w:val="20"/>
                      <w:szCs w:val="20"/>
                      <w:lang w:val="en-US"/>
                    </w:rPr>
                    <w:t xml:space="preserve"> </w:t>
                  </w:r>
                  <w:r w:rsidR="004019A4" w:rsidRPr="00926EB7">
                    <w:rPr>
                      <w:color w:val="000000" w:themeColor="text1"/>
                      <w:sz w:val="20"/>
                      <w:szCs w:val="20"/>
                      <w:lang w:val="en-US"/>
                    </w:rPr>
                    <w:t xml:space="preserve">WHO recommended </w:t>
                  </w:r>
                  <w:r w:rsidR="00166454" w:rsidRPr="00926EB7">
                    <w:rPr>
                      <w:color w:val="000000" w:themeColor="text1"/>
                      <w:sz w:val="20"/>
                      <w:szCs w:val="20"/>
                      <w:lang w:val="en-US"/>
                    </w:rPr>
                    <w:t>benchmarks</w:t>
                  </w:r>
                  <w:r w:rsidRPr="00926EB7">
                    <w:rPr>
                      <w:color w:val="000000" w:themeColor="text1"/>
                      <w:sz w:val="20"/>
                      <w:szCs w:val="20"/>
                      <w:lang w:val="en-US"/>
                    </w:rPr>
                    <w:t>. In addition, Midwives</w:t>
                  </w:r>
                  <w:r w:rsidR="006B3D21" w:rsidRPr="00926EB7">
                    <w:rPr>
                      <w:color w:val="000000" w:themeColor="text1"/>
                      <w:sz w:val="20"/>
                      <w:szCs w:val="20"/>
                      <w:lang w:val="en-US"/>
                    </w:rPr>
                    <w:t>'</w:t>
                  </w:r>
                  <w:r w:rsidRPr="00926EB7">
                    <w:rPr>
                      <w:color w:val="000000" w:themeColor="text1"/>
                      <w:sz w:val="20"/>
                      <w:szCs w:val="20"/>
                      <w:lang w:val="en-US"/>
                    </w:rPr>
                    <w:t xml:space="preserve"> density </w:t>
                  </w:r>
                  <w:r w:rsidR="00691F1B" w:rsidRPr="00926EB7">
                    <w:rPr>
                      <w:color w:val="000000" w:themeColor="text1"/>
                      <w:sz w:val="20"/>
                      <w:szCs w:val="20"/>
                      <w:lang w:val="en-US"/>
                    </w:rPr>
                    <w:t>was</w:t>
                  </w:r>
                  <w:r w:rsidRPr="00926EB7">
                    <w:rPr>
                      <w:color w:val="000000" w:themeColor="text1"/>
                      <w:sz w:val="20"/>
                      <w:szCs w:val="20"/>
                      <w:lang w:val="en-US"/>
                    </w:rPr>
                    <w:t xml:space="preserve"> lower, at 2.22 per 10,000 population nationally</w:t>
                  </w:r>
                  <w:r w:rsidR="006938EF" w:rsidRPr="00926EB7">
                    <w:rPr>
                      <w:color w:val="000000" w:themeColor="text1"/>
                      <w:sz w:val="20"/>
                      <w:szCs w:val="20"/>
                      <w:lang w:val="en-US"/>
                    </w:rPr>
                    <w:t xml:space="preserve"> who </w:t>
                  </w:r>
                  <w:r w:rsidRPr="00926EB7">
                    <w:rPr>
                      <w:color w:val="000000" w:themeColor="text1"/>
                      <w:sz w:val="20"/>
                      <w:szCs w:val="20"/>
                      <w:lang w:val="en-US"/>
                    </w:rPr>
                    <w:t xml:space="preserve">are </w:t>
                  </w:r>
                  <w:r w:rsidR="00BB14BE">
                    <w:rPr>
                      <w:color w:val="000000" w:themeColor="text1"/>
                      <w:sz w:val="20"/>
                      <w:szCs w:val="20"/>
                      <w:lang w:val="en-US"/>
                    </w:rPr>
                    <w:t>performing as</w:t>
                  </w:r>
                  <w:r w:rsidRPr="00926EB7">
                    <w:rPr>
                      <w:color w:val="000000" w:themeColor="text1"/>
                      <w:sz w:val="20"/>
                      <w:szCs w:val="20"/>
                      <w:lang w:val="en-US"/>
                    </w:rPr>
                    <w:t xml:space="preserve"> </w:t>
                  </w:r>
                  <w:r w:rsidR="006938EF" w:rsidRPr="00926EB7">
                    <w:rPr>
                      <w:color w:val="000000" w:themeColor="text1"/>
                      <w:sz w:val="20"/>
                      <w:szCs w:val="20"/>
                      <w:lang w:val="en-US"/>
                    </w:rPr>
                    <w:t xml:space="preserve">immunization </w:t>
                  </w:r>
                  <w:r w:rsidRPr="00926EB7">
                    <w:rPr>
                      <w:color w:val="000000" w:themeColor="text1"/>
                      <w:sz w:val="20"/>
                      <w:szCs w:val="20"/>
                      <w:lang w:val="en-US"/>
                    </w:rPr>
                    <w:t xml:space="preserve">service providers. With these available human resources, Myanmar could perform immunization services quite well till </w:t>
                  </w:r>
                  <w:r w:rsidR="00827798" w:rsidRPr="00926EB7">
                    <w:rPr>
                      <w:color w:val="000000" w:themeColor="text1"/>
                      <w:sz w:val="20"/>
                      <w:szCs w:val="20"/>
                      <w:lang w:val="en-US"/>
                    </w:rPr>
                    <w:t xml:space="preserve">the </w:t>
                  </w:r>
                  <w:r w:rsidRPr="00926EB7">
                    <w:rPr>
                      <w:color w:val="000000" w:themeColor="text1"/>
                      <w:sz w:val="20"/>
                      <w:szCs w:val="20"/>
                      <w:lang w:val="en-US"/>
                    </w:rPr>
                    <w:t xml:space="preserve">military takeover on </w:t>
                  </w:r>
                  <w:r w:rsidR="12EA1310" w:rsidRPr="00926EB7">
                    <w:rPr>
                      <w:color w:val="000000" w:themeColor="text1"/>
                      <w:sz w:val="20"/>
                      <w:szCs w:val="20"/>
                      <w:lang w:val="en-US"/>
                    </w:rPr>
                    <w:t>1</w:t>
                  </w:r>
                  <w:r w:rsidR="12EA1310" w:rsidRPr="00926EB7">
                    <w:rPr>
                      <w:color w:val="000000" w:themeColor="text1"/>
                      <w:sz w:val="20"/>
                      <w:szCs w:val="20"/>
                      <w:vertAlign w:val="superscript"/>
                      <w:lang w:val="en-US"/>
                    </w:rPr>
                    <w:t>st</w:t>
                  </w:r>
                  <w:r w:rsidR="12EA1310" w:rsidRPr="00926EB7">
                    <w:rPr>
                      <w:color w:val="000000" w:themeColor="text1"/>
                      <w:sz w:val="20"/>
                      <w:szCs w:val="20"/>
                      <w:lang w:val="en-US"/>
                    </w:rPr>
                    <w:t xml:space="preserve"> </w:t>
                  </w:r>
                  <w:r w:rsidRPr="00926EB7">
                    <w:rPr>
                      <w:color w:val="000000" w:themeColor="text1"/>
                      <w:sz w:val="20"/>
                      <w:szCs w:val="20"/>
                      <w:lang w:val="en-US"/>
                    </w:rPr>
                    <w:t xml:space="preserve"> February 2021. </w:t>
                  </w:r>
                  <w:r w:rsidRPr="00926EB7">
                    <w:rPr>
                      <w:color w:val="000000" w:themeColor="text1"/>
                      <w:sz w:val="20"/>
                      <w:szCs w:val="20"/>
                      <w:lang w:val="en-GB"/>
                    </w:rPr>
                    <w:t xml:space="preserve">After </w:t>
                  </w:r>
                  <w:r w:rsidR="00827798" w:rsidRPr="00926EB7">
                    <w:rPr>
                      <w:color w:val="000000" w:themeColor="text1"/>
                      <w:sz w:val="20"/>
                      <w:szCs w:val="20"/>
                      <w:lang w:val="en-GB"/>
                    </w:rPr>
                    <w:t xml:space="preserve">the </w:t>
                  </w:r>
                  <w:r w:rsidRPr="00926EB7">
                    <w:rPr>
                      <w:color w:val="000000" w:themeColor="text1"/>
                      <w:sz w:val="20"/>
                      <w:szCs w:val="20"/>
                      <w:lang w:val="en-GB"/>
                    </w:rPr>
                    <w:t xml:space="preserve">military takeover, </w:t>
                  </w:r>
                  <w:r w:rsidR="00827798" w:rsidRPr="00926EB7">
                    <w:rPr>
                      <w:color w:val="000000" w:themeColor="text1"/>
                      <w:sz w:val="20"/>
                      <w:szCs w:val="20"/>
                      <w:lang w:val="en-GB"/>
                    </w:rPr>
                    <w:t xml:space="preserve">the </w:t>
                  </w:r>
                  <w:r w:rsidRPr="00926EB7">
                    <w:rPr>
                      <w:color w:val="000000" w:themeColor="text1"/>
                      <w:sz w:val="20"/>
                      <w:szCs w:val="20"/>
                      <w:lang w:val="en-US"/>
                    </w:rPr>
                    <w:t>Civil Disobedience Movement (CDM) involving the health care professionals severely affected routine immunization</w:t>
                  </w:r>
                  <w:r w:rsidR="003E6751" w:rsidRPr="00926EB7">
                    <w:rPr>
                      <w:color w:val="000000" w:themeColor="text1"/>
                      <w:sz w:val="20"/>
                      <w:szCs w:val="20"/>
                      <w:lang w:val="en-US"/>
                    </w:rPr>
                    <w:t xml:space="preserve"> services</w:t>
                  </w:r>
                  <w:r w:rsidRPr="00926EB7">
                    <w:rPr>
                      <w:color w:val="000000" w:themeColor="text1"/>
                      <w:sz w:val="20"/>
                      <w:szCs w:val="20"/>
                      <w:lang w:val="en-US"/>
                    </w:rPr>
                    <w:t>. The depleted health workforce was overwhelmed with the primary services a</w:t>
                  </w:r>
                  <w:r w:rsidR="00147483" w:rsidRPr="00926EB7">
                    <w:rPr>
                      <w:color w:val="000000" w:themeColor="text1"/>
                      <w:sz w:val="20"/>
                      <w:szCs w:val="20"/>
                      <w:lang w:val="en-US"/>
                    </w:rPr>
                    <w:t>nd</w:t>
                  </w:r>
                  <w:r w:rsidRPr="00926EB7">
                    <w:rPr>
                      <w:color w:val="000000" w:themeColor="text1"/>
                      <w:sz w:val="20"/>
                      <w:szCs w:val="20"/>
                      <w:lang w:val="en-US"/>
                    </w:rPr>
                    <w:t xml:space="preserve"> the </w:t>
                  </w:r>
                  <w:r w:rsidR="003E6751" w:rsidRPr="00926EB7">
                    <w:rPr>
                      <w:color w:val="000000" w:themeColor="text1"/>
                      <w:sz w:val="20"/>
                      <w:szCs w:val="20"/>
                      <w:lang w:val="en-US"/>
                    </w:rPr>
                    <w:t>COVID-19-related</w:t>
                  </w:r>
                  <w:r w:rsidRPr="00926EB7">
                    <w:rPr>
                      <w:color w:val="000000" w:themeColor="text1"/>
                      <w:sz w:val="20"/>
                      <w:szCs w:val="20"/>
                      <w:lang w:val="en-US"/>
                    </w:rPr>
                    <w:t xml:space="preserve"> work. This situation imposed </w:t>
                  </w:r>
                  <w:r w:rsidR="003E6751" w:rsidRPr="00926EB7">
                    <w:rPr>
                      <w:color w:val="000000" w:themeColor="text1"/>
                      <w:sz w:val="20"/>
                      <w:szCs w:val="20"/>
                      <w:lang w:val="en-US"/>
                    </w:rPr>
                    <w:t xml:space="preserve">a </w:t>
                  </w:r>
                  <w:r w:rsidRPr="00926EB7">
                    <w:rPr>
                      <w:color w:val="000000" w:themeColor="text1"/>
                      <w:sz w:val="20"/>
                      <w:szCs w:val="20"/>
                      <w:lang w:val="en-US"/>
                    </w:rPr>
                    <w:t xml:space="preserve">threat to routine immunization services </w:t>
                  </w:r>
                  <w:r w:rsidR="00433D45" w:rsidRPr="00926EB7">
                    <w:rPr>
                      <w:color w:val="000000" w:themeColor="text1"/>
                      <w:sz w:val="20"/>
                      <w:szCs w:val="20"/>
                      <w:lang w:val="en-US"/>
                    </w:rPr>
                    <w:t>that had already been impeded by significant barriers such as</w:t>
                  </w:r>
                  <w:r w:rsidRPr="00926EB7">
                    <w:rPr>
                      <w:color w:val="000000" w:themeColor="text1"/>
                      <w:sz w:val="20"/>
                      <w:szCs w:val="20"/>
                      <w:lang w:val="en-US"/>
                    </w:rPr>
                    <w:t xml:space="preserve"> geographical and socially </w:t>
                  </w:r>
                  <w:r w:rsidR="003E6751" w:rsidRPr="00926EB7">
                    <w:rPr>
                      <w:color w:val="000000" w:themeColor="text1"/>
                      <w:sz w:val="20"/>
                      <w:szCs w:val="20"/>
                      <w:lang w:val="en-US"/>
                    </w:rPr>
                    <w:t>hard-to-reach</w:t>
                  </w:r>
                  <w:r w:rsidRPr="00926EB7">
                    <w:rPr>
                      <w:color w:val="000000" w:themeColor="text1"/>
                      <w:sz w:val="20"/>
                      <w:szCs w:val="20"/>
                      <w:lang w:val="en-US"/>
                    </w:rPr>
                    <w:t xml:space="preserve"> areas and population, and sporadic civil wars between </w:t>
                  </w:r>
                  <w:r w:rsidR="12EA1310" w:rsidRPr="00926EB7">
                    <w:rPr>
                      <w:color w:val="000000" w:themeColor="text1"/>
                      <w:sz w:val="20"/>
                      <w:szCs w:val="20"/>
                      <w:lang w:val="en-US"/>
                    </w:rPr>
                    <w:t>the De Facto Authorities</w:t>
                  </w:r>
                  <w:r w:rsidRPr="00926EB7">
                    <w:rPr>
                      <w:color w:val="000000" w:themeColor="text1"/>
                      <w:sz w:val="20"/>
                      <w:szCs w:val="20"/>
                      <w:lang w:val="en-US"/>
                    </w:rPr>
                    <w:t xml:space="preserve"> and ethnic armed groups and between different ethnic armed groups.</w:t>
                  </w:r>
                </w:p>
                <w:p w14:paraId="6826C41F" w14:textId="77777777" w:rsidR="00DA7D19" w:rsidRDefault="00DA7D19" w:rsidP="00B67475">
                  <w:pPr>
                    <w:rPr>
                      <w:sz w:val="20"/>
                      <w:szCs w:val="20"/>
                      <w:lang w:val="en-GB"/>
                    </w:rPr>
                  </w:pPr>
                </w:p>
                <w:p w14:paraId="082DBB0B" w14:textId="0D0A8897" w:rsidR="78B3B584" w:rsidRPr="00DA7D19" w:rsidRDefault="00DA7D19" w:rsidP="00B67475">
                  <w:pPr>
                    <w:rPr>
                      <w:b/>
                      <w:bCs/>
                      <w:color w:val="000000" w:themeColor="text1"/>
                      <w:sz w:val="20"/>
                      <w:szCs w:val="20"/>
                      <w:lang w:val="en-GB"/>
                    </w:rPr>
                  </w:pPr>
                  <w:r w:rsidRPr="00DA7D19">
                    <w:rPr>
                      <w:b/>
                      <w:bCs/>
                      <w:color w:val="000000" w:themeColor="text1"/>
                      <w:sz w:val="20"/>
                      <w:szCs w:val="20"/>
                      <w:lang w:val="en-GB"/>
                    </w:rPr>
                    <w:t>Supply chain</w:t>
                  </w:r>
                </w:p>
                <w:p w14:paraId="68ED02B1" w14:textId="69EDFBB6" w:rsidR="004D0B1D" w:rsidRDefault="00C351C0" w:rsidP="00B67475">
                  <w:pPr>
                    <w:jc w:val="both"/>
                    <w:rPr>
                      <w:sz w:val="20"/>
                      <w:szCs w:val="20"/>
                    </w:rPr>
                  </w:pPr>
                  <w:r w:rsidRPr="00C351C0">
                    <w:rPr>
                      <w:bCs/>
                      <w:sz w:val="20"/>
                      <w:szCs w:val="20"/>
                    </w:rPr>
                    <w:t xml:space="preserve">The National Immunization Program </w:t>
                  </w:r>
                  <w:r w:rsidR="001455DD">
                    <w:rPr>
                      <w:bCs/>
                      <w:sz w:val="20"/>
                      <w:szCs w:val="20"/>
                    </w:rPr>
                    <w:t xml:space="preserve">has been </w:t>
                  </w:r>
                  <w:r w:rsidRPr="00C351C0">
                    <w:rPr>
                      <w:bCs/>
                      <w:sz w:val="20"/>
                      <w:szCs w:val="20"/>
                    </w:rPr>
                    <w:t xml:space="preserve">implementing </w:t>
                  </w:r>
                  <w:r w:rsidRPr="00C351C0">
                    <w:rPr>
                      <w:sz w:val="20"/>
                      <w:szCs w:val="20"/>
                    </w:rPr>
                    <w:t>the Effective Vaccine Management</w:t>
                  </w:r>
                  <w:r w:rsidR="00E07F44">
                    <w:rPr>
                      <w:sz w:val="20"/>
                      <w:szCs w:val="20"/>
                    </w:rPr>
                    <w:t xml:space="preserve"> (EVM)</w:t>
                  </w:r>
                  <w:r w:rsidRPr="00C351C0">
                    <w:rPr>
                      <w:sz w:val="20"/>
                      <w:szCs w:val="20"/>
                    </w:rPr>
                    <w:t xml:space="preserve"> Improvement Plan (2016-2021)</w:t>
                  </w:r>
                  <w:r w:rsidR="00433D45">
                    <w:rPr>
                      <w:sz w:val="20"/>
                      <w:szCs w:val="20"/>
                    </w:rPr>
                    <w:t>,</w:t>
                  </w:r>
                  <w:r w:rsidRPr="00C351C0">
                    <w:rPr>
                      <w:sz w:val="20"/>
                      <w:szCs w:val="20"/>
                    </w:rPr>
                    <w:t xml:space="preserve"> which was </w:t>
                  </w:r>
                  <w:r w:rsidR="002C3DC2">
                    <w:rPr>
                      <w:sz w:val="20"/>
                      <w:szCs w:val="20"/>
                    </w:rPr>
                    <w:t xml:space="preserve">developed </w:t>
                  </w:r>
                  <w:r w:rsidR="005C0027">
                    <w:rPr>
                      <w:sz w:val="20"/>
                      <w:szCs w:val="20"/>
                    </w:rPr>
                    <w:t xml:space="preserve">based on the results of and recommendations </w:t>
                  </w:r>
                  <w:r w:rsidRPr="00C351C0">
                    <w:rPr>
                      <w:sz w:val="20"/>
                      <w:szCs w:val="20"/>
                    </w:rPr>
                    <w:t xml:space="preserve">from the 2015 EVM Assessment and its recommendations. The report pointed out several significant system weaknesses hampering access to immunization services at all levels </w:t>
                  </w:r>
                  <w:r w:rsidRPr="00C351C0">
                    <w:rPr>
                      <w:sz w:val="20"/>
                      <w:szCs w:val="20"/>
                    </w:rPr>
                    <w:lastRenderedPageBreak/>
                    <w:t xml:space="preserve">with population growth or with increased demands for new vaccine introductions. </w:t>
                  </w:r>
                  <w:r w:rsidR="00575290">
                    <w:rPr>
                      <w:sz w:val="20"/>
                      <w:szCs w:val="20"/>
                    </w:rPr>
                    <w:t xml:space="preserve">Some of the </w:t>
                  </w:r>
                  <w:r w:rsidR="00093E6A">
                    <w:rPr>
                      <w:sz w:val="20"/>
                      <w:szCs w:val="20"/>
                    </w:rPr>
                    <w:t>critical</w:t>
                  </w:r>
                  <w:r w:rsidR="00E7474C">
                    <w:rPr>
                      <w:sz w:val="20"/>
                      <w:szCs w:val="20"/>
                    </w:rPr>
                    <w:t xml:space="preserve"> decisions to be addressed </w:t>
                  </w:r>
                  <w:r w:rsidR="00560AD3">
                    <w:rPr>
                      <w:sz w:val="20"/>
                      <w:szCs w:val="20"/>
                    </w:rPr>
                    <w:t xml:space="preserve">that linked to and </w:t>
                  </w:r>
                  <w:r w:rsidR="006A0CD1">
                    <w:rPr>
                      <w:sz w:val="20"/>
                      <w:szCs w:val="20"/>
                    </w:rPr>
                    <w:t xml:space="preserve">determined the operational planning were as </w:t>
                  </w:r>
                  <w:r w:rsidR="004F467F">
                    <w:rPr>
                      <w:sz w:val="20"/>
                      <w:szCs w:val="20"/>
                    </w:rPr>
                    <w:t>follow</w:t>
                  </w:r>
                  <w:r w:rsidR="00093E6A">
                    <w:rPr>
                      <w:sz w:val="20"/>
                      <w:szCs w:val="20"/>
                    </w:rPr>
                    <w:t>s</w:t>
                  </w:r>
                  <w:r w:rsidR="004F467F">
                    <w:rPr>
                      <w:sz w:val="20"/>
                      <w:szCs w:val="20"/>
                    </w:rPr>
                    <w:t>.</w:t>
                  </w:r>
                </w:p>
                <w:p w14:paraId="5FC1C6E9" w14:textId="499F1C8A" w:rsidR="00C351C0" w:rsidRDefault="005A0E05" w:rsidP="00B67475">
                  <w:pPr>
                    <w:pStyle w:val="ListParagraph"/>
                    <w:numPr>
                      <w:ilvl w:val="0"/>
                      <w:numId w:val="24"/>
                    </w:numPr>
                    <w:jc w:val="both"/>
                    <w:rPr>
                      <w:sz w:val="20"/>
                      <w:szCs w:val="20"/>
                    </w:rPr>
                  </w:pPr>
                  <w:r w:rsidRPr="00D46ED5">
                    <w:rPr>
                      <w:sz w:val="20"/>
                      <w:szCs w:val="20"/>
                    </w:rPr>
                    <w:t xml:space="preserve">Electronic logistics and management system </w:t>
                  </w:r>
                  <w:r w:rsidR="00D428E2" w:rsidRPr="00D46ED5">
                    <w:rPr>
                      <w:sz w:val="20"/>
                      <w:szCs w:val="20"/>
                    </w:rPr>
                    <w:t>for immunization program</w:t>
                  </w:r>
                  <w:r w:rsidR="00093E6A">
                    <w:rPr>
                      <w:sz w:val="20"/>
                      <w:szCs w:val="20"/>
                    </w:rPr>
                    <w:t>,</w:t>
                  </w:r>
                  <w:r w:rsidR="00D428E2" w:rsidRPr="00D46ED5">
                    <w:rPr>
                      <w:sz w:val="20"/>
                      <w:szCs w:val="20"/>
                    </w:rPr>
                    <w:t xml:space="preserve"> </w:t>
                  </w:r>
                  <w:r w:rsidR="008A0380" w:rsidRPr="00D46ED5">
                    <w:rPr>
                      <w:sz w:val="20"/>
                      <w:szCs w:val="20"/>
                    </w:rPr>
                    <w:t xml:space="preserve">which entails the transition from a manually collected, compiled and managed EPI </w:t>
                  </w:r>
                  <w:r w:rsidR="0068740B" w:rsidRPr="00D46ED5">
                    <w:rPr>
                      <w:sz w:val="20"/>
                      <w:szCs w:val="20"/>
                    </w:rPr>
                    <w:t>immunization</w:t>
                  </w:r>
                  <w:r w:rsidR="008A0380" w:rsidRPr="00D46ED5">
                    <w:rPr>
                      <w:sz w:val="20"/>
                      <w:szCs w:val="20"/>
                    </w:rPr>
                    <w:t xml:space="preserve"> and vaccine stock reporting system to a real</w:t>
                  </w:r>
                  <w:r w:rsidR="00093E6A">
                    <w:rPr>
                      <w:sz w:val="20"/>
                      <w:szCs w:val="20"/>
                    </w:rPr>
                    <w:t>-</w:t>
                  </w:r>
                  <w:r w:rsidR="008A0380" w:rsidRPr="00D46ED5">
                    <w:rPr>
                      <w:sz w:val="20"/>
                      <w:szCs w:val="20"/>
                    </w:rPr>
                    <w:t xml:space="preserve">time tool for management </w:t>
                  </w:r>
                </w:p>
                <w:p w14:paraId="337963CF" w14:textId="688B789D" w:rsidR="00D46ED5" w:rsidRDefault="00317522" w:rsidP="00B67475">
                  <w:pPr>
                    <w:pStyle w:val="ListParagraph"/>
                    <w:numPr>
                      <w:ilvl w:val="0"/>
                      <w:numId w:val="24"/>
                    </w:numPr>
                    <w:jc w:val="both"/>
                    <w:rPr>
                      <w:sz w:val="20"/>
                      <w:szCs w:val="20"/>
                    </w:rPr>
                  </w:pPr>
                  <w:r>
                    <w:rPr>
                      <w:sz w:val="20"/>
                      <w:szCs w:val="20"/>
                    </w:rPr>
                    <w:t xml:space="preserve">Physical infrastructure expansion of vaccines and dry stock stores </w:t>
                  </w:r>
                  <w:r w:rsidR="00FC3247">
                    <w:rPr>
                      <w:sz w:val="20"/>
                      <w:szCs w:val="20"/>
                    </w:rPr>
                    <w:t xml:space="preserve">at </w:t>
                  </w:r>
                  <w:r w:rsidR="00093E6A">
                    <w:rPr>
                      <w:sz w:val="20"/>
                      <w:szCs w:val="20"/>
                    </w:rPr>
                    <w:t xml:space="preserve">the </w:t>
                  </w:r>
                  <w:r w:rsidR="00FC3247">
                    <w:rPr>
                      <w:sz w:val="20"/>
                      <w:szCs w:val="20"/>
                    </w:rPr>
                    <w:t xml:space="preserve">national store as well as subnational cold stores </w:t>
                  </w:r>
                </w:p>
                <w:p w14:paraId="7E55FF96" w14:textId="29F6FA1B" w:rsidR="00436CBE" w:rsidRDefault="00A772AA" w:rsidP="00B67475">
                  <w:pPr>
                    <w:pStyle w:val="ListParagraph"/>
                    <w:numPr>
                      <w:ilvl w:val="0"/>
                      <w:numId w:val="24"/>
                    </w:numPr>
                    <w:jc w:val="both"/>
                    <w:rPr>
                      <w:sz w:val="20"/>
                      <w:szCs w:val="20"/>
                    </w:rPr>
                  </w:pPr>
                  <w:r>
                    <w:rPr>
                      <w:sz w:val="20"/>
                      <w:szCs w:val="20"/>
                    </w:rPr>
                    <w:t xml:space="preserve">Cold chain expansion and extension </w:t>
                  </w:r>
                  <w:r w:rsidR="006F35E7">
                    <w:rPr>
                      <w:sz w:val="20"/>
                      <w:szCs w:val="20"/>
                    </w:rPr>
                    <w:t xml:space="preserve">to rural health facilities and last miles </w:t>
                  </w:r>
                  <w:r w:rsidR="00084609">
                    <w:rPr>
                      <w:sz w:val="20"/>
                      <w:szCs w:val="20"/>
                    </w:rPr>
                    <w:t>sub-rural health facilities</w:t>
                  </w:r>
                  <w:r w:rsidR="006F35E7">
                    <w:rPr>
                      <w:sz w:val="20"/>
                      <w:szCs w:val="20"/>
                    </w:rPr>
                    <w:t xml:space="preserve"> to increase equity and vaccination coverage </w:t>
                  </w:r>
                </w:p>
                <w:p w14:paraId="409B1A4C" w14:textId="7816BD7C" w:rsidR="00084609" w:rsidRDefault="009E0030" w:rsidP="00B67475">
                  <w:pPr>
                    <w:pStyle w:val="ListParagraph"/>
                    <w:numPr>
                      <w:ilvl w:val="0"/>
                      <w:numId w:val="24"/>
                    </w:numPr>
                    <w:jc w:val="both"/>
                    <w:rPr>
                      <w:sz w:val="20"/>
                      <w:szCs w:val="20"/>
                    </w:rPr>
                  </w:pPr>
                  <w:r>
                    <w:rPr>
                      <w:sz w:val="20"/>
                      <w:szCs w:val="20"/>
                    </w:rPr>
                    <w:t xml:space="preserve">Remote temperature monitoring system </w:t>
                  </w:r>
                  <w:r w:rsidR="00E55A99">
                    <w:rPr>
                      <w:sz w:val="20"/>
                      <w:szCs w:val="20"/>
                    </w:rPr>
                    <w:t>at all levels for efficient vaccines storage and maintain</w:t>
                  </w:r>
                  <w:r w:rsidR="00093E6A">
                    <w:rPr>
                      <w:sz w:val="20"/>
                      <w:szCs w:val="20"/>
                    </w:rPr>
                    <w:t>ing</w:t>
                  </w:r>
                  <w:r w:rsidR="00E55A99">
                    <w:rPr>
                      <w:sz w:val="20"/>
                      <w:szCs w:val="20"/>
                    </w:rPr>
                    <w:t xml:space="preserve"> vaccines efficacy</w:t>
                  </w:r>
                </w:p>
                <w:p w14:paraId="5DADA8FB" w14:textId="77777777" w:rsidR="00570AB6" w:rsidRDefault="00AA5F22" w:rsidP="00B67475">
                  <w:pPr>
                    <w:pStyle w:val="ListParagraph"/>
                    <w:numPr>
                      <w:ilvl w:val="0"/>
                      <w:numId w:val="24"/>
                    </w:numPr>
                    <w:jc w:val="both"/>
                    <w:rPr>
                      <w:sz w:val="20"/>
                      <w:szCs w:val="20"/>
                    </w:rPr>
                  </w:pPr>
                  <w:r>
                    <w:rPr>
                      <w:sz w:val="20"/>
                      <w:szCs w:val="20"/>
                    </w:rPr>
                    <w:t>Decommissioning</w:t>
                  </w:r>
                  <w:r w:rsidR="00CA271C">
                    <w:rPr>
                      <w:sz w:val="20"/>
                      <w:szCs w:val="20"/>
                    </w:rPr>
                    <w:t xml:space="preserve"> obsolete and irreparable equipment </w:t>
                  </w:r>
                </w:p>
                <w:p w14:paraId="16AF60B8" w14:textId="77777777" w:rsidR="00570AB6" w:rsidRDefault="00570AB6" w:rsidP="00B67475">
                  <w:pPr>
                    <w:jc w:val="both"/>
                    <w:rPr>
                      <w:sz w:val="20"/>
                      <w:szCs w:val="20"/>
                    </w:rPr>
                  </w:pPr>
                </w:p>
                <w:p w14:paraId="0E508E44" w14:textId="1076848C" w:rsidR="00A149D4" w:rsidRDefault="00367472" w:rsidP="00B67475">
                  <w:pPr>
                    <w:jc w:val="both"/>
                    <w:rPr>
                      <w:sz w:val="20"/>
                      <w:szCs w:val="20"/>
                    </w:rPr>
                  </w:pPr>
                  <w:r>
                    <w:rPr>
                      <w:sz w:val="20"/>
                      <w:szCs w:val="20"/>
                    </w:rPr>
                    <w:t xml:space="preserve">UNICEF played a </w:t>
                  </w:r>
                  <w:r w:rsidR="006F5849">
                    <w:rPr>
                      <w:sz w:val="20"/>
                      <w:szCs w:val="20"/>
                    </w:rPr>
                    <w:t>critical role</w:t>
                  </w:r>
                  <w:r w:rsidR="00161611">
                    <w:rPr>
                      <w:sz w:val="20"/>
                      <w:szCs w:val="20"/>
                    </w:rPr>
                    <w:t xml:space="preserve"> in this</w:t>
                  </w:r>
                  <w:r w:rsidR="00093E6A">
                    <w:rPr>
                      <w:sz w:val="20"/>
                      <w:szCs w:val="20"/>
                    </w:rPr>
                    <w:t>,</w:t>
                  </w:r>
                  <w:r w:rsidR="00161611">
                    <w:rPr>
                      <w:sz w:val="20"/>
                      <w:szCs w:val="20"/>
                    </w:rPr>
                    <w:t xml:space="preserve"> and the progress </w:t>
                  </w:r>
                  <w:r w:rsidR="00093E6A">
                    <w:rPr>
                      <w:sz w:val="20"/>
                      <w:szCs w:val="20"/>
                    </w:rPr>
                    <w:t>in</w:t>
                  </w:r>
                  <w:r w:rsidR="00644CD0">
                    <w:rPr>
                      <w:sz w:val="20"/>
                      <w:szCs w:val="20"/>
                    </w:rPr>
                    <w:t xml:space="preserve"> implementing the improvement plan has been made to some extent</w:t>
                  </w:r>
                  <w:r>
                    <w:rPr>
                      <w:sz w:val="20"/>
                      <w:szCs w:val="20"/>
                    </w:rPr>
                    <w:t xml:space="preserve">. However, </w:t>
                  </w:r>
                  <w:r w:rsidR="009962B6">
                    <w:rPr>
                      <w:sz w:val="20"/>
                      <w:szCs w:val="20"/>
                    </w:rPr>
                    <w:t>the</w:t>
                  </w:r>
                  <w:r w:rsidR="00B65A19">
                    <w:rPr>
                      <w:sz w:val="20"/>
                      <w:szCs w:val="20"/>
                    </w:rPr>
                    <w:t xml:space="preserve"> activities got delayed in 2020 due to </w:t>
                  </w:r>
                  <w:r w:rsidR="00093E6A">
                    <w:rPr>
                      <w:sz w:val="20"/>
                      <w:szCs w:val="20"/>
                    </w:rPr>
                    <w:t xml:space="preserve">the </w:t>
                  </w:r>
                  <w:r w:rsidR="00B65A19">
                    <w:rPr>
                      <w:sz w:val="20"/>
                      <w:szCs w:val="20"/>
                    </w:rPr>
                    <w:t>COVID-19 pandemic</w:t>
                  </w:r>
                  <w:r w:rsidR="00AA5EEF">
                    <w:rPr>
                      <w:sz w:val="20"/>
                      <w:szCs w:val="20"/>
                    </w:rPr>
                    <w:t xml:space="preserve">. This was superimposed after </w:t>
                  </w:r>
                  <w:r w:rsidR="00093E6A">
                    <w:rPr>
                      <w:sz w:val="20"/>
                      <w:szCs w:val="20"/>
                    </w:rPr>
                    <w:t xml:space="preserve">the </w:t>
                  </w:r>
                  <w:r w:rsidR="00AA5EEF">
                    <w:rPr>
                      <w:sz w:val="20"/>
                      <w:szCs w:val="20"/>
                    </w:rPr>
                    <w:t>military takeover</w:t>
                  </w:r>
                  <w:r w:rsidR="00093E6A">
                    <w:rPr>
                      <w:sz w:val="20"/>
                      <w:szCs w:val="20"/>
                    </w:rPr>
                    <w:t>,</w:t>
                  </w:r>
                  <w:r w:rsidR="00AA5EEF">
                    <w:rPr>
                      <w:sz w:val="20"/>
                      <w:szCs w:val="20"/>
                    </w:rPr>
                    <w:t xml:space="preserve"> </w:t>
                  </w:r>
                  <w:r w:rsidR="00FE3487">
                    <w:rPr>
                      <w:sz w:val="20"/>
                      <w:szCs w:val="20"/>
                    </w:rPr>
                    <w:t xml:space="preserve">and the national program </w:t>
                  </w:r>
                  <w:r w:rsidR="008F5CE3">
                    <w:rPr>
                      <w:sz w:val="20"/>
                      <w:szCs w:val="20"/>
                    </w:rPr>
                    <w:t xml:space="preserve">was confronted with a challenge of </w:t>
                  </w:r>
                  <w:r w:rsidR="00093E6A">
                    <w:rPr>
                      <w:sz w:val="20"/>
                      <w:szCs w:val="20"/>
                    </w:rPr>
                    <w:t>workforce</w:t>
                  </w:r>
                  <w:r w:rsidR="008F5CE3">
                    <w:rPr>
                      <w:sz w:val="20"/>
                      <w:szCs w:val="20"/>
                    </w:rPr>
                    <w:t xml:space="preserve"> shortfall </w:t>
                  </w:r>
                  <w:r w:rsidR="008E0D97">
                    <w:rPr>
                      <w:sz w:val="20"/>
                      <w:szCs w:val="20"/>
                    </w:rPr>
                    <w:t xml:space="preserve">due to </w:t>
                  </w:r>
                  <w:r w:rsidR="00093E6A">
                    <w:rPr>
                      <w:sz w:val="20"/>
                      <w:szCs w:val="20"/>
                    </w:rPr>
                    <w:t xml:space="preserve">the </w:t>
                  </w:r>
                  <w:r w:rsidR="008E0D97">
                    <w:rPr>
                      <w:sz w:val="20"/>
                      <w:szCs w:val="20"/>
                    </w:rPr>
                    <w:t>civil disobedience movement.</w:t>
                  </w:r>
                  <w:r w:rsidR="0006084B">
                    <w:rPr>
                      <w:sz w:val="20"/>
                      <w:szCs w:val="20"/>
                    </w:rPr>
                    <w:t xml:space="preserve"> </w:t>
                  </w:r>
                </w:p>
                <w:p w14:paraId="01BC3818" w14:textId="77777777" w:rsidR="00A149D4" w:rsidRDefault="00A149D4" w:rsidP="00B67475">
                  <w:pPr>
                    <w:jc w:val="both"/>
                    <w:rPr>
                      <w:sz w:val="20"/>
                      <w:szCs w:val="20"/>
                    </w:rPr>
                  </w:pPr>
                </w:p>
                <w:p w14:paraId="26D6A540" w14:textId="00E097F7" w:rsidR="00E55A99" w:rsidRDefault="009D188D" w:rsidP="00B67475">
                  <w:pPr>
                    <w:jc w:val="both"/>
                    <w:rPr>
                      <w:sz w:val="20"/>
                      <w:szCs w:val="20"/>
                    </w:rPr>
                  </w:pPr>
                  <w:r>
                    <w:rPr>
                      <w:sz w:val="20"/>
                      <w:szCs w:val="20"/>
                    </w:rPr>
                    <w:t xml:space="preserve">National </w:t>
                  </w:r>
                  <w:r w:rsidR="00442653">
                    <w:rPr>
                      <w:sz w:val="20"/>
                      <w:szCs w:val="20"/>
                    </w:rPr>
                    <w:t xml:space="preserve">vaccine </w:t>
                  </w:r>
                  <w:r>
                    <w:rPr>
                      <w:sz w:val="20"/>
                      <w:szCs w:val="20"/>
                    </w:rPr>
                    <w:t>procurement is under the custody of UNICEF</w:t>
                  </w:r>
                  <w:r w:rsidR="005A060B">
                    <w:rPr>
                      <w:sz w:val="20"/>
                      <w:szCs w:val="20"/>
                    </w:rPr>
                    <w:t>;</w:t>
                  </w:r>
                  <w:r>
                    <w:rPr>
                      <w:sz w:val="20"/>
                      <w:szCs w:val="20"/>
                    </w:rPr>
                    <w:t xml:space="preserve"> hence, </w:t>
                  </w:r>
                  <w:r w:rsidR="00E557D2">
                    <w:rPr>
                      <w:sz w:val="20"/>
                      <w:szCs w:val="20"/>
                    </w:rPr>
                    <w:t>this vaccine</w:t>
                  </w:r>
                  <w:r w:rsidR="00CD7CD6">
                    <w:rPr>
                      <w:sz w:val="20"/>
                      <w:szCs w:val="20"/>
                    </w:rPr>
                    <w:t xml:space="preserve"> </w:t>
                  </w:r>
                  <w:r w:rsidR="00E557D2">
                    <w:rPr>
                      <w:sz w:val="20"/>
                      <w:szCs w:val="20"/>
                    </w:rPr>
                    <w:t>forecasting</w:t>
                  </w:r>
                  <w:r w:rsidR="00CD7CD6">
                    <w:rPr>
                      <w:sz w:val="20"/>
                      <w:szCs w:val="20"/>
                    </w:rPr>
                    <w:t xml:space="preserve"> and its shipment plan </w:t>
                  </w:r>
                  <w:r w:rsidR="00CF12CF">
                    <w:rPr>
                      <w:sz w:val="20"/>
                      <w:szCs w:val="20"/>
                    </w:rPr>
                    <w:t xml:space="preserve">is also an important area where UNICEF </w:t>
                  </w:r>
                  <w:r w:rsidR="00A36BBB">
                    <w:rPr>
                      <w:sz w:val="20"/>
                      <w:szCs w:val="20"/>
                    </w:rPr>
                    <w:t>has been supporting the national program for years</w:t>
                  </w:r>
                  <w:r w:rsidR="007D1591">
                    <w:rPr>
                      <w:sz w:val="20"/>
                      <w:szCs w:val="20"/>
                    </w:rPr>
                    <w:t xml:space="preserve"> in terms of technical and administrative</w:t>
                  </w:r>
                  <w:r w:rsidR="00442653">
                    <w:rPr>
                      <w:sz w:val="20"/>
                      <w:szCs w:val="20"/>
                    </w:rPr>
                    <w:t xml:space="preserve"> coordination with </w:t>
                  </w:r>
                  <w:r w:rsidR="001A2AFB">
                    <w:rPr>
                      <w:sz w:val="20"/>
                      <w:szCs w:val="20"/>
                    </w:rPr>
                    <w:t xml:space="preserve">the </w:t>
                  </w:r>
                  <w:r w:rsidR="00442653">
                    <w:rPr>
                      <w:sz w:val="20"/>
                      <w:szCs w:val="20"/>
                    </w:rPr>
                    <w:t>supply division.</w:t>
                  </w:r>
                  <w:r w:rsidR="005C34E8">
                    <w:rPr>
                      <w:sz w:val="20"/>
                      <w:szCs w:val="20"/>
                    </w:rPr>
                    <w:t xml:space="preserve"> </w:t>
                  </w:r>
                  <w:r w:rsidR="00B85B3E">
                    <w:rPr>
                      <w:sz w:val="20"/>
                      <w:szCs w:val="20"/>
                    </w:rPr>
                    <w:t>In l</w:t>
                  </w:r>
                  <w:r w:rsidR="005C34E8">
                    <w:rPr>
                      <w:sz w:val="20"/>
                      <w:szCs w:val="20"/>
                    </w:rPr>
                    <w:t xml:space="preserve">ate 2021, in line with </w:t>
                  </w:r>
                  <w:r w:rsidR="005A060B">
                    <w:rPr>
                      <w:sz w:val="20"/>
                      <w:szCs w:val="20"/>
                    </w:rPr>
                    <w:t xml:space="preserve">the </w:t>
                  </w:r>
                  <w:r w:rsidR="005C34E8">
                    <w:rPr>
                      <w:sz w:val="20"/>
                      <w:szCs w:val="20"/>
                    </w:rPr>
                    <w:t xml:space="preserve">minimal engagement principle of UNCT, UNICEF supported the program to resume the long holding vaccines shipment </w:t>
                  </w:r>
                  <w:r w:rsidR="00E557D2">
                    <w:rPr>
                      <w:sz w:val="20"/>
                      <w:szCs w:val="20"/>
                    </w:rPr>
                    <w:t>to restore the resumption of routine immunization.</w:t>
                  </w:r>
                </w:p>
                <w:p w14:paraId="774A9E41" w14:textId="77777777" w:rsidR="006B6956" w:rsidRDefault="006B6956" w:rsidP="00B67475">
                  <w:pPr>
                    <w:jc w:val="both"/>
                    <w:rPr>
                      <w:sz w:val="20"/>
                      <w:szCs w:val="20"/>
                    </w:rPr>
                  </w:pPr>
                </w:p>
                <w:p w14:paraId="4C5F89BF" w14:textId="0BAF3349" w:rsidR="006B6956" w:rsidRDefault="00386A20" w:rsidP="00B67475">
                  <w:pPr>
                    <w:jc w:val="both"/>
                    <w:rPr>
                      <w:sz w:val="20"/>
                      <w:szCs w:val="20"/>
                    </w:rPr>
                  </w:pPr>
                  <w:r>
                    <w:rPr>
                      <w:sz w:val="20"/>
                      <w:szCs w:val="20"/>
                    </w:rPr>
                    <w:t xml:space="preserve">UNICEF will continue </w:t>
                  </w:r>
                  <w:r w:rsidR="00E52024">
                    <w:rPr>
                      <w:sz w:val="20"/>
                      <w:szCs w:val="20"/>
                    </w:rPr>
                    <w:t xml:space="preserve">supporting the national program </w:t>
                  </w:r>
                  <w:r w:rsidR="00DD40D3">
                    <w:rPr>
                      <w:sz w:val="20"/>
                      <w:szCs w:val="20"/>
                    </w:rPr>
                    <w:t>to strengthen the supply chain management system as mentioned above</w:t>
                  </w:r>
                  <w:r w:rsidR="00E52024">
                    <w:rPr>
                      <w:sz w:val="20"/>
                      <w:szCs w:val="20"/>
                    </w:rPr>
                    <w:t xml:space="preserve">. </w:t>
                  </w:r>
                  <w:r w:rsidR="00B176B1">
                    <w:rPr>
                      <w:sz w:val="20"/>
                      <w:szCs w:val="20"/>
                    </w:rPr>
                    <w:t>The support may not limit to the listed activities</w:t>
                  </w:r>
                  <w:r w:rsidR="00DE5FD5">
                    <w:rPr>
                      <w:sz w:val="20"/>
                      <w:szCs w:val="20"/>
                    </w:rPr>
                    <w:t>. Still, i</w:t>
                  </w:r>
                  <w:r w:rsidR="00B176B1">
                    <w:rPr>
                      <w:sz w:val="20"/>
                      <w:szCs w:val="20"/>
                    </w:rPr>
                    <w:t xml:space="preserve">t may expand </w:t>
                  </w:r>
                  <w:r w:rsidR="005376EF">
                    <w:rPr>
                      <w:sz w:val="20"/>
                      <w:szCs w:val="20"/>
                    </w:rPr>
                    <w:t xml:space="preserve">into other </w:t>
                  </w:r>
                  <w:r w:rsidR="001A2AFB">
                    <w:rPr>
                      <w:sz w:val="20"/>
                      <w:szCs w:val="20"/>
                    </w:rPr>
                    <w:t>immunization-related</w:t>
                  </w:r>
                  <w:r w:rsidR="005376EF">
                    <w:rPr>
                      <w:sz w:val="20"/>
                      <w:szCs w:val="20"/>
                    </w:rPr>
                    <w:t xml:space="preserve"> </w:t>
                  </w:r>
                  <w:r w:rsidR="005E2684">
                    <w:rPr>
                      <w:sz w:val="20"/>
                      <w:szCs w:val="20"/>
                    </w:rPr>
                    <w:t xml:space="preserve">supplies </w:t>
                  </w:r>
                  <w:r w:rsidR="004F25DD">
                    <w:rPr>
                      <w:sz w:val="20"/>
                      <w:szCs w:val="20"/>
                    </w:rPr>
                    <w:t>management</w:t>
                  </w:r>
                  <w:r w:rsidR="00DE5FD5">
                    <w:rPr>
                      <w:sz w:val="20"/>
                      <w:szCs w:val="20"/>
                    </w:rPr>
                    <w:t>,</w:t>
                  </w:r>
                  <w:r w:rsidR="004F25DD">
                    <w:rPr>
                      <w:sz w:val="20"/>
                      <w:szCs w:val="20"/>
                    </w:rPr>
                    <w:t xml:space="preserve"> such as cold chain repair and maintenance</w:t>
                  </w:r>
                  <w:r w:rsidR="00DE5FD5">
                    <w:rPr>
                      <w:sz w:val="20"/>
                      <w:szCs w:val="20"/>
                    </w:rPr>
                    <w:t>,</w:t>
                  </w:r>
                  <w:r w:rsidR="009553BD">
                    <w:rPr>
                      <w:sz w:val="20"/>
                      <w:szCs w:val="20"/>
                    </w:rPr>
                    <w:t xml:space="preserve"> which UNICEF has </w:t>
                  </w:r>
                  <w:r w:rsidR="00DE5FD5">
                    <w:rPr>
                      <w:sz w:val="20"/>
                      <w:szCs w:val="20"/>
                    </w:rPr>
                    <w:t>facilitated</w:t>
                  </w:r>
                  <w:r w:rsidR="009553BD">
                    <w:rPr>
                      <w:sz w:val="20"/>
                      <w:szCs w:val="20"/>
                    </w:rPr>
                    <w:t xml:space="preserve"> by outsourcing cold chain </w:t>
                  </w:r>
                  <w:r w:rsidR="00330BA7">
                    <w:rPr>
                      <w:sz w:val="20"/>
                      <w:szCs w:val="20"/>
                    </w:rPr>
                    <w:t>services</w:t>
                  </w:r>
                  <w:r w:rsidR="009553BD">
                    <w:rPr>
                      <w:sz w:val="20"/>
                      <w:szCs w:val="20"/>
                    </w:rPr>
                    <w:t>.</w:t>
                  </w:r>
                  <w:r w:rsidR="004F25DD">
                    <w:rPr>
                      <w:sz w:val="20"/>
                      <w:szCs w:val="20"/>
                    </w:rPr>
                    <w:t xml:space="preserve"> </w:t>
                  </w:r>
                </w:p>
                <w:p w14:paraId="022144BC" w14:textId="77777777" w:rsidR="00DA7D19" w:rsidRPr="00570AB6" w:rsidRDefault="00DA7D19" w:rsidP="00B67475">
                  <w:pPr>
                    <w:jc w:val="both"/>
                    <w:rPr>
                      <w:sz w:val="20"/>
                      <w:szCs w:val="20"/>
                    </w:rPr>
                  </w:pPr>
                </w:p>
                <w:p w14:paraId="181CC925" w14:textId="77777777" w:rsidR="00F910FE" w:rsidRDefault="00F910FE" w:rsidP="00B67475">
                  <w:pPr>
                    <w:jc w:val="both"/>
                    <w:rPr>
                      <w:b/>
                      <w:bCs/>
                      <w:color w:val="000000" w:themeColor="text1"/>
                      <w:sz w:val="20"/>
                      <w:szCs w:val="20"/>
                      <w:lang w:val="en-GB"/>
                    </w:rPr>
                  </w:pPr>
                  <w:r w:rsidRPr="00F910FE">
                    <w:rPr>
                      <w:b/>
                      <w:bCs/>
                      <w:color w:val="000000" w:themeColor="text1"/>
                      <w:sz w:val="20"/>
                      <w:szCs w:val="20"/>
                      <w:lang w:val="en-GB"/>
                    </w:rPr>
                    <w:t xml:space="preserve">Health information systems and monitoring and learning </w:t>
                  </w:r>
                </w:p>
                <w:p w14:paraId="38711A57" w14:textId="798B3BDF" w:rsidR="78B3B584" w:rsidRDefault="78B3B584" w:rsidP="00B67475">
                  <w:pPr>
                    <w:jc w:val="both"/>
                    <w:rPr>
                      <w:sz w:val="20"/>
                      <w:szCs w:val="20"/>
                    </w:rPr>
                  </w:pPr>
                  <w:r w:rsidRPr="78B3B584">
                    <w:rPr>
                      <w:sz w:val="20"/>
                      <w:szCs w:val="20"/>
                      <w:lang w:val="en-US"/>
                    </w:rPr>
                    <w:t xml:space="preserve">EPI was planning to strengthen the health information system by utilizing the HSS 2 </w:t>
                  </w:r>
                  <w:r w:rsidR="12EA1310" w:rsidRPr="113B1F31">
                    <w:rPr>
                      <w:sz w:val="20"/>
                      <w:szCs w:val="20"/>
                      <w:lang w:val="en-US"/>
                    </w:rPr>
                    <w:t>budget:</w:t>
                  </w:r>
                  <w:r w:rsidRPr="78B3B584">
                    <w:rPr>
                      <w:sz w:val="20"/>
                      <w:szCs w:val="20"/>
                      <w:lang w:val="en-US"/>
                    </w:rPr>
                    <w:t xml:space="preserve"> DHIS 2 expansion at the facility level and data management training to the data focal persons across the country. </w:t>
                  </w:r>
                  <w:r w:rsidR="12EA1310" w:rsidRPr="113B1F31">
                    <w:rPr>
                      <w:sz w:val="20"/>
                      <w:szCs w:val="20"/>
                      <w:lang w:val="en-US"/>
                    </w:rPr>
                    <w:t>After the</w:t>
                  </w:r>
                  <w:r w:rsidRPr="78B3B584">
                    <w:rPr>
                      <w:sz w:val="20"/>
                      <w:szCs w:val="20"/>
                      <w:lang w:val="en-US"/>
                    </w:rPr>
                    <w:t xml:space="preserve"> military takeover, all health systems</w:t>
                  </w:r>
                  <w:r w:rsidR="006A57BF">
                    <w:rPr>
                      <w:sz w:val="20"/>
                      <w:szCs w:val="20"/>
                      <w:lang w:val="en-US"/>
                    </w:rPr>
                    <w:t>, including health information systems, are not functioning well;</w:t>
                  </w:r>
                  <w:r w:rsidRPr="78B3B584">
                    <w:rPr>
                      <w:sz w:val="20"/>
                      <w:szCs w:val="20"/>
                      <w:lang w:val="en-US"/>
                    </w:rPr>
                    <w:t xml:space="preserve"> </w:t>
                  </w:r>
                  <w:r w:rsidRPr="78B3B584">
                    <w:rPr>
                      <w:sz w:val="20"/>
                      <w:szCs w:val="20"/>
                    </w:rPr>
                    <w:t xml:space="preserve">accurate and timely health information data are no longer available to guide policy and program decisions. Routine immunization coverage data was very low in 2021; it may be due to many reasons – shortage of </w:t>
                  </w:r>
                  <w:r w:rsidR="006A57BF">
                    <w:rPr>
                      <w:sz w:val="20"/>
                      <w:szCs w:val="20"/>
                    </w:rPr>
                    <w:t>human resources</w:t>
                  </w:r>
                  <w:r w:rsidRPr="78B3B584">
                    <w:rPr>
                      <w:sz w:val="20"/>
                      <w:szCs w:val="20"/>
                    </w:rPr>
                    <w:t xml:space="preserve"> as many data focal persons are on CDM, limited capacity to report in </w:t>
                  </w:r>
                  <w:r w:rsidR="006A57BF">
                    <w:rPr>
                      <w:sz w:val="20"/>
                      <w:szCs w:val="20"/>
                    </w:rPr>
                    <w:t xml:space="preserve">the </w:t>
                  </w:r>
                  <w:r w:rsidRPr="78B3B584">
                    <w:rPr>
                      <w:sz w:val="20"/>
                      <w:szCs w:val="20"/>
                    </w:rPr>
                    <w:t xml:space="preserve">DHIS2 system, and </w:t>
                  </w:r>
                  <w:r w:rsidR="006A57BF">
                    <w:rPr>
                      <w:sz w:val="20"/>
                      <w:szCs w:val="20"/>
                    </w:rPr>
                    <w:t>depletion</w:t>
                  </w:r>
                  <w:r w:rsidRPr="78B3B584">
                    <w:rPr>
                      <w:sz w:val="20"/>
                      <w:szCs w:val="20"/>
                    </w:rPr>
                    <w:t xml:space="preserve"> of time to report as the remaining staff are overburdened with COVID-19 vaccination; and also may be due to internet connectivity issues. </w:t>
                  </w:r>
                </w:p>
                <w:p w14:paraId="3C924475" w14:textId="520A347E" w:rsidR="78B3B584" w:rsidRDefault="78B3B584" w:rsidP="00B67475">
                  <w:pPr>
                    <w:jc w:val="both"/>
                    <w:rPr>
                      <w:sz w:val="20"/>
                      <w:szCs w:val="20"/>
                    </w:rPr>
                  </w:pPr>
                  <w:r w:rsidRPr="78B3B584">
                    <w:rPr>
                      <w:sz w:val="20"/>
                      <w:szCs w:val="20"/>
                    </w:rPr>
                    <w:t xml:space="preserve">To restore DHIS 2 for data recording and reporting and to have quality, timely and accurate data, it is necessary to revitalize the health information system. Capacity building of newly recruited data focal persons for sub-national level and providing </w:t>
                  </w:r>
                  <w:r w:rsidR="005A3722">
                    <w:rPr>
                      <w:sz w:val="20"/>
                      <w:szCs w:val="20"/>
                    </w:rPr>
                    <w:t>essential</w:t>
                  </w:r>
                  <w:r w:rsidRPr="78B3B584">
                    <w:rPr>
                      <w:sz w:val="20"/>
                      <w:szCs w:val="20"/>
                    </w:rPr>
                    <w:t xml:space="preserve"> equipment</w:t>
                  </w:r>
                  <w:r w:rsidR="005A3722">
                    <w:rPr>
                      <w:sz w:val="20"/>
                      <w:szCs w:val="20"/>
                    </w:rPr>
                    <w:t xml:space="preserve"> may be </w:t>
                  </w:r>
                  <w:r w:rsidR="009B1408">
                    <w:rPr>
                      <w:sz w:val="20"/>
                      <w:szCs w:val="20"/>
                    </w:rPr>
                    <w:t>required</w:t>
                  </w:r>
                  <w:r w:rsidR="005A3722">
                    <w:rPr>
                      <w:sz w:val="20"/>
                      <w:szCs w:val="20"/>
                    </w:rPr>
                    <w:t xml:space="preserve"> after a quick assessment</w:t>
                  </w:r>
                  <w:r w:rsidRPr="78B3B584">
                    <w:rPr>
                      <w:sz w:val="20"/>
                      <w:szCs w:val="20"/>
                    </w:rPr>
                    <w:t>.</w:t>
                  </w:r>
                </w:p>
                <w:p w14:paraId="732A8953" w14:textId="77777777" w:rsidR="006A57BF" w:rsidRDefault="006A57BF" w:rsidP="00B67475">
                  <w:pPr>
                    <w:jc w:val="both"/>
                    <w:rPr>
                      <w:sz w:val="20"/>
                      <w:szCs w:val="20"/>
                    </w:rPr>
                  </w:pPr>
                </w:p>
                <w:p w14:paraId="5084084D" w14:textId="4E69892F" w:rsidR="78B3B584" w:rsidRDefault="78B3B584" w:rsidP="00B67475">
                  <w:pPr>
                    <w:jc w:val="both"/>
                    <w:rPr>
                      <w:color w:val="000000" w:themeColor="text1"/>
                      <w:sz w:val="20"/>
                      <w:szCs w:val="20"/>
                    </w:rPr>
                  </w:pPr>
                  <w:r w:rsidRPr="78B3B584">
                    <w:rPr>
                      <w:sz w:val="20"/>
                      <w:szCs w:val="20"/>
                    </w:rPr>
                    <w:t>For data quality, data quality self</w:t>
                  </w:r>
                  <w:r w:rsidR="60BD9F29" w:rsidRPr="54DA29CD">
                    <w:rPr>
                      <w:sz w:val="20"/>
                      <w:szCs w:val="20"/>
                    </w:rPr>
                    <w:t>-</w:t>
                  </w:r>
                  <w:r w:rsidRPr="78B3B584">
                    <w:rPr>
                      <w:sz w:val="20"/>
                      <w:szCs w:val="20"/>
                    </w:rPr>
                    <w:t>assessment was planned to be conducted in 2021</w:t>
                  </w:r>
                  <w:r w:rsidR="009B1408">
                    <w:rPr>
                      <w:sz w:val="20"/>
                      <w:szCs w:val="20"/>
                    </w:rPr>
                    <w:t>,</w:t>
                  </w:r>
                  <w:r w:rsidRPr="78B3B584">
                    <w:rPr>
                      <w:sz w:val="20"/>
                      <w:szCs w:val="20"/>
                    </w:rPr>
                    <w:t xml:space="preserve"> but this could not be done. </w:t>
                  </w:r>
                  <w:r w:rsidR="60BD9F29" w:rsidRPr="54DA29CD">
                    <w:rPr>
                      <w:sz w:val="20"/>
                      <w:szCs w:val="20"/>
                    </w:rPr>
                    <w:t xml:space="preserve">It is expected to </w:t>
                  </w:r>
                  <w:r w:rsidRPr="78B3B584">
                    <w:rPr>
                      <w:sz w:val="20"/>
                      <w:szCs w:val="20"/>
                    </w:rPr>
                    <w:t>co</w:t>
                  </w:r>
                  <w:r w:rsidR="001843D0">
                    <w:rPr>
                      <w:sz w:val="20"/>
                      <w:szCs w:val="20"/>
                    </w:rPr>
                    <w:t>mplete</w:t>
                  </w:r>
                  <w:r w:rsidRPr="78B3B584">
                    <w:rPr>
                      <w:sz w:val="20"/>
                      <w:szCs w:val="20"/>
                    </w:rPr>
                    <w:t xml:space="preserve"> in 2023. With </w:t>
                  </w:r>
                  <w:r w:rsidR="00385061">
                    <w:rPr>
                      <w:sz w:val="20"/>
                      <w:szCs w:val="20"/>
                    </w:rPr>
                    <w:t xml:space="preserve">the </w:t>
                  </w:r>
                  <w:r w:rsidRPr="78B3B584">
                    <w:rPr>
                      <w:sz w:val="20"/>
                      <w:szCs w:val="20"/>
                    </w:rPr>
                    <w:t>technical support of HISP India, MOH</w:t>
                  </w:r>
                  <w:r w:rsidR="00385061">
                    <w:rPr>
                      <w:sz w:val="20"/>
                      <w:szCs w:val="20"/>
                    </w:rPr>
                    <w:t>,</w:t>
                  </w:r>
                  <w:r w:rsidRPr="78B3B584">
                    <w:rPr>
                      <w:sz w:val="20"/>
                      <w:szCs w:val="20"/>
                    </w:rPr>
                    <w:t xml:space="preserve"> together with WHO is planning to conduct capacity building of new staff on overall HMIS</w:t>
                  </w:r>
                  <w:r w:rsidR="00385061">
                    <w:rPr>
                      <w:sz w:val="20"/>
                      <w:szCs w:val="20"/>
                    </w:rPr>
                    <w:t>,</w:t>
                  </w:r>
                  <w:r w:rsidRPr="78B3B584">
                    <w:rPr>
                      <w:sz w:val="20"/>
                      <w:szCs w:val="20"/>
                    </w:rPr>
                    <w:t xml:space="preserve"> including the EPI teams; WHO also plans to </w:t>
                  </w:r>
                  <w:r w:rsidR="60BD9F29" w:rsidRPr="54DA29CD">
                    <w:rPr>
                      <w:color w:val="000000" w:themeColor="text1"/>
                      <w:sz w:val="20"/>
                      <w:szCs w:val="20"/>
                    </w:rPr>
                    <w:t>finalize</w:t>
                  </w:r>
                  <w:r w:rsidRPr="78B3B584">
                    <w:rPr>
                      <w:color w:val="000000" w:themeColor="text1"/>
                      <w:sz w:val="20"/>
                      <w:szCs w:val="20"/>
                    </w:rPr>
                    <w:t xml:space="preserve"> WHO EPI dashboards and </w:t>
                  </w:r>
                  <w:r w:rsidR="60BD9F29" w:rsidRPr="54DA29CD">
                    <w:rPr>
                      <w:color w:val="000000" w:themeColor="text1"/>
                      <w:sz w:val="20"/>
                      <w:szCs w:val="20"/>
                    </w:rPr>
                    <w:t>Immunization</w:t>
                  </w:r>
                  <w:r w:rsidRPr="78B3B584">
                    <w:rPr>
                      <w:color w:val="000000" w:themeColor="text1"/>
                      <w:sz w:val="20"/>
                      <w:szCs w:val="20"/>
                    </w:rPr>
                    <w:t xml:space="preserve"> analysis app implementation and Inclusion of AEFI data elements, indicators in the routine HMIS reporting; and VPD surveillance package implementation.</w:t>
                  </w:r>
                </w:p>
                <w:p w14:paraId="41C0A0D9" w14:textId="77777777" w:rsidR="00385061" w:rsidRDefault="00385061" w:rsidP="00B67475">
                  <w:pPr>
                    <w:jc w:val="both"/>
                    <w:rPr>
                      <w:color w:val="000000" w:themeColor="text1"/>
                      <w:sz w:val="20"/>
                      <w:szCs w:val="20"/>
                    </w:rPr>
                  </w:pPr>
                </w:p>
                <w:p w14:paraId="37524344" w14:textId="15E77755" w:rsidR="78B3B584" w:rsidRDefault="78B3B584" w:rsidP="00B67475">
                  <w:pPr>
                    <w:jc w:val="both"/>
                    <w:rPr>
                      <w:color w:val="000000" w:themeColor="text1"/>
                      <w:sz w:val="20"/>
                      <w:szCs w:val="20"/>
                    </w:rPr>
                  </w:pPr>
                  <w:r w:rsidRPr="78B3B584">
                    <w:rPr>
                      <w:color w:val="000000" w:themeColor="text1"/>
                      <w:sz w:val="20"/>
                      <w:szCs w:val="20"/>
                    </w:rPr>
                    <w:t>In addition, for VPD surveillance data, IFA software has already been upgraded</w:t>
                  </w:r>
                  <w:r w:rsidR="00385061">
                    <w:rPr>
                      <w:color w:val="000000" w:themeColor="text1"/>
                      <w:sz w:val="20"/>
                      <w:szCs w:val="20"/>
                    </w:rPr>
                    <w:t>,</w:t>
                  </w:r>
                  <w:r w:rsidRPr="78B3B584">
                    <w:rPr>
                      <w:color w:val="000000" w:themeColor="text1"/>
                      <w:sz w:val="20"/>
                      <w:szCs w:val="20"/>
                    </w:rPr>
                    <w:t xml:space="preserve"> and introduction will be conducted after all necessary IT equipment at all states and regions. WHO is planning to utilize Power BI software for the data visualization</w:t>
                  </w:r>
                  <w:r w:rsidR="00385061">
                    <w:rPr>
                      <w:color w:val="000000" w:themeColor="text1"/>
                      <w:sz w:val="20"/>
                      <w:szCs w:val="20"/>
                    </w:rPr>
                    <w:t>,</w:t>
                  </w:r>
                  <w:r w:rsidRPr="78B3B584">
                    <w:rPr>
                      <w:color w:val="000000" w:themeColor="text1"/>
                      <w:sz w:val="20"/>
                      <w:szCs w:val="20"/>
                    </w:rPr>
                    <w:t xml:space="preserve"> and it will be introduced soon. </w:t>
                  </w:r>
                </w:p>
                <w:p w14:paraId="2D657E09" w14:textId="5C6C137D" w:rsidR="78B3B584" w:rsidRDefault="78B3B584" w:rsidP="00B67475">
                  <w:pPr>
                    <w:jc w:val="both"/>
                    <w:rPr>
                      <w:b/>
                      <w:bCs/>
                      <w:sz w:val="20"/>
                      <w:szCs w:val="20"/>
                    </w:rPr>
                  </w:pPr>
                  <w:r w:rsidRPr="78B3B584">
                    <w:rPr>
                      <w:b/>
                      <w:bCs/>
                      <w:sz w:val="20"/>
                      <w:szCs w:val="20"/>
                    </w:rPr>
                    <w:t xml:space="preserve"> </w:t>
                  </w:r>
                </w:p>
                <w:p w14:paraId="22F430BF" w14:textId="0CFECF14" w:rsidR="00BD309E" w:rsidRDefault="00BD309E" w:rsidP="00B67475">
                  <w:pPr>
                    <w:jc w:val="both"/>
                    <w:rPr>
                      <w:b/>
                      <w:bCs/>
                      <w:sz w:val="20"/>
                      <w:szCs w:val="20"/>
                    </w:rPr>
                  </w:pPr>
                  <w:r w:rsidRPr="00BD309E">
                    <w:rPr>
                      <w:b/>
                      <w:bCs/>
                      <w:sz w:val="20"/>
                      <w:szCs w:val="20"/>
                    </w:rPr>
                    <w:t>Demand generation and community engagement</w:t>
                  </w:r>
                </w:p>
                <w:p w14:paraId="08A591F4" w14:textId="5EB03896" w:rsidR="007E013D" w:rsidRPr="00992DD3" w:rsidRDefault="00730878" w:rsidP="00B67475">
                  <w:pPr>
                    <w:jc w:val="both"/>
                    <w:rPr>
                      <w:rFonts w:eastAsia="Times New Roman"/>
                      <w:sz w:val="20"/>
                      <w:szCs w:val="20"/>
                      <w:lang w:val="en-AU" w:bidi="my-MM"/>
                    </w:rPr>
                  </w:pPr>
                  <w:r w:rsidRPr="61C280A1">
                    <w:rPr>
                      <w:rFonts w:eastAsia="Times New Roman"/>
                      <w:sz w:val="20"/>
                      <w:szCs w:val="20"/>
                      <w:lang w:val="en-AU" w:bidi="my-MM"/>
                    </w:rPr>
                    <w:t>Generally, in Myanmar, before the pandemic and political changes,</w:t>
                  </w:r>
                  <w:r w:rsidRPr="00F70DE2">
                    <w:rPr>
                      <w:rFonts w:eastAsia="Times New Roman"/>
                      <w:sz w:val="20"/>
                      <w:szCs w:val="20"/>
                      <w:lang w:val="en-AU" w:bidi="my-MM"/>
                    </w:rPr>
                    <w:t xml:space="preserve"> the knowledge level of parents and caregivers on the types of vaccines or diseases was </w:t>
                  </w:r>
                  <w:r w:rsidRPr="61C280A1">
                    <w:rPr>
                      <w:rFonts w:eastAsia="Times New Roman"/>
                      <w:sz w:val="20"/>
                      <w:szCs w:val="20"/>
                      <w:lang w:val="en-AU" w:bidi="my-MM"/>
                    </w:rPr>
                    <w:t>relatively low</w:t>
                  </w:r>
                  <w:r w:rsidR="00385061">
                    <w:rPr>
                      <w:rFonts w:eastAsia="Times New Roman"/>
                      <w:sz w:val="20"/>
                      <w:szCs w:val="20"/>
                      <w:lang w:val="en-AU" w:bidi="my-MM"/>
                    </w:rPr>
                    <w:t>. H</w:t>
                  </w:r>
                  <w:r w:rsidRPr="61C280A1">
                    <w:rPr>
                      <w:rFonts w:eastAsia="Times New Roman"/>
                      <w:sz w:val="20"/>
                      <w:szCs w:val="20"/>
                      <w:lang w:val="en-AU" w:bidi="my-MM"/>
                    </w:rPr>
                    <w:t>owever</w:t>
                  </w:r>
                  <w:r w:rsidRPr="00F70DE2">
                    <w:rPr>
                      <w:rFonts w:eastAsia="Times New Roman"/>
                      <w:sz w:val="20"/>
                      <w:szCs w:val="20"/>
                      <w:lang w:val="en-AU" w:bidi="my-MM"/>
                    </w:rPr>
                    <w:t xml:space="preserve">, most parents and caregivers </w:t>
                  </w:r>
                  <w:r w:rsidR="5C3FA564" w:rsidRPr="56AFECB8">
                    <w:rPr>
                      <w:rFonts w:eastAsia="Times New Roman"/>
                      <w:sz w:val="20"/>
                      <w:szCs w:val="20"/>
                      <w:lang w:val="en-AU" w:bidi="my-MM"/>
                    </w:rPr>
                    <w:t>received</w:t>
                  </w:r>
                  <w:r w:rsidRPr="00F70DE2">
                    <w:rPr>
                      <w:rFonts w:eastAsia="Times New Roman"/>
                      <w:sz w:val="20"/>
                      <w:szCs w:val="20"/>
                      <w:lang w:val="en-AU" w:bidi="my-MM"/>
                    </w:rPr>
                    <w:t xml:space="preserve"> immunization services without </w:t>
                  </w:r>
                  <w:r w:rsidRPr="61C280A1">
                    <w:rPr>
                      <w:rFonts w:eastAsia="Times New Roman"/>
                      <w:sz w:val="20"/>
                      <w:szCs w:val="20"/>
                      <w:lang w:val="en-AU" w:bidi="my-MM"/>
                    </w:rPr>
                    <w:t xml:space="preserve">much </w:t>
                  </w:r>
                  <w:r w:rsidRPr="00F70DE2">
                    <w:rPr>
                      <w:rFonts w:eastAsia="Times New Roman"/>
                      <w:sz w:val="20"/>
                      <w:szCs w:val="20"/>
                      <w:lang w:val="en-AU" w:bidi="my-MM"/>
                    </w:rPr>
                    <w:t>reluctance</w:t>
                  </w:r>
                  <w:r w:rsidRPr="61C280A1">
                    <w:rPr>
                      <w:rFonts w:eastAsia="Times New Roman"/>
                      <w:sz w:val="20"/>
                      <w:szCs w:val="20"/>
                      <w:lang w:val="en-AU" w:bidi="my-MM"/>
                    </w:rPr>
                    <w:t xml:space="preserve"> and thus, reaching over 90% immunization coverage nationally. When the pandemic started, RI coverage i</w:t>
                  </w:r>
                  <w:r w:rsidR="00F70DE2" w:rsidRPr="61C280A1">
                    <w:rPr>
                      <w:rFonts w:eastAsia="Times New Roman"/>
                      <w:sz w:val="20"/>
                      <w:szCs w:val="20"/>
                      <w:lang w:val="en-AU" w:bidi="my-MM"/>
                    </w:rPr>
                    <w:t>n Myanmar</w:t>
                  </w:r>
                  <w:r w:rsidR="61C280A1" w:rsidRPr="61C280A1">
                    <w:rPr>
                      <w:rFonts w:eastAsia="Times New Roman"/>
                      <w:sz w:val="20"/>
                      <w:szCs w:val="20"/>
                      <w:lang w:val="en-AU" w:bidi="my-MM"/>
                    </w:rPr>
                    <w:t xml:space="preserve"> </w:t>
                  </w:r>
                  <w:r w:rsidRPr="61C280A1">
                    <w:rPr>
                      <w:rFonts w:eastAsia="Times New Roman"/>
                      <w:sz w:val="20"/>
                      <w:szCs w:val="20"/>
                      <w:lang w:val="en-AU" w:bidi="my-MM"/>
                    </w:rPr>
                    <w:t>dropped to 80%</w:t>
                  </w:r>
                  <w:r w:rsidR="00385061">
                    <w:rPr>
                      <w:rFonts w:eastAsia="Times New Roman"/>
                      <w:sz w:val="20"/>
                      <w:szCs w:val="20"/>
                      <w:lang w:val="en-AU" w:bidi="my-MM"/>
                    </w:rPr>
                    <w:t>,</w:t>
                  </w:r>
                  <w:r w:rsidRPr="61C280A1">
                    <w:rPr>
                      <w:rFonts w:eastAsia="Times New Roman"/>
                      <w:sz w:val="20"/>
                      <w:szCs w:val="20"/>
                      <w:lang w:val="en-AU" w:bidi="my-MM"/>
                    </w:rPr>
                    <w:t xml:space="preserve"> and i</w:t>
                  </w:r>
                  <w:r w:rsidR="00F70DE2" w:rsidRPr="61C280A1">
                    <w:rPr>
                      <w:rFonts w:eastAsia="Times New Roman"/>
                      <w:sz w:val="20"/>
                      <w:szCs w:val="20"/>
                      <w:lang w:val="en-AU" w:bidi="my-MM"/>
                    </w:rPr>
                    <w:t xml:space="preserve">n </w:t>
                  </w:r>
                  <w:r w:rsidR="00F70DE2" w:rsidRPr="00F70DE2">
                    <w:rPr>
                      <w:rFonts w:eastAsia="Times New Roman"/>
                      <w:sz w:val="20"/>
                      <w:szCs w:val="20"/>
                      <w:lang w:val="en-AU" w:bidi="my-MM"/>
                    </w:rPr>
                    <w:t xml:space="preserve">2021, the RI coverage declined to 30% – a significant drop compared to previous years. There is a need to </w:t>
                  </w:r>
                  <w:r w:rsidR="005A644C">
                    <w:rPr>
                      <w:rFonts w:eastAsia="Times New Roman"/>
                      <w:sz w:val="20"/>
                      <w:szCs w:val="20"/>
                      <w:lang w:val="en-AU" w:bidi="my-MM"/>
                    </w:rPr>
                    <w:t>understand better</w:t>
                  </w:r>
                  <w:r w:rsidR="00F70DE2" w:rsidRPr="00F70DE2">
                    <w:rPr>
                      <w:rFonts w:eastAsia="Times New Roman"/>
                      <w:sz w:val="20"/>
                      <w:szCs w:val="20"/>
                      <w:lang w:val="en-AU" w:bidi="my-MM"/>
                    </w:rPr>
                    <w:t xml:space="preserve"> the factors that contributed to this decline in immunization coverage (e.g., unavailability of vaccines, inaccessibility of services, decreased acceptability from the caregivers, etc.) to inform interventions to revitalize RI services and improve vaccination coverage. To generate uptake of immunization services, consideration is needed not only for the contributing factors related to service provision but also </w:t>
                  </w:r>
                  <w:r w:rsidR="00992DD3">
                    <w:rPr>
                      <w:rFonts w:eastAsia="Times New Roman"/>
                      <w:sz w:val="20"/>
                      <w:szCs w:val="20"/>
                      <w:lang w:val="en-AU" w:bidi="my-MM"/>
                    </w:rPr>
                    <w:t xml:space="preserve">for </w:t>
                  </w:r>
                  <w:r w:rsidR="00F70DE2" w:rsidRPr="00F70DE2">
                    <w:rPr>
                      <w:rFonts w:eastAsia="Times New Roman"/>
                      <w:sz w:val="20"/>
                      <w:szCs w:val="20"/>
                      <w:lang w:val="en-AU" w:bidi="my-MM"/>
                    </w:rPr>
                    <w:t>the community</w:t>
                  </w:r>
                  <w:r w:rsidR="006B3D21">
                    <w:rPr>
                      <w:rFonts w:eastAsia="Times New Roman"/>
                      <w:sz w:val="20"/>
                      <w:szCs w:val="20"/>
                      <w:lang w:val="en-AU" w:bidi="my-MM"/>
                    </w:rPr>
                    <w:t>'</w:t>
                  </w:r>
                  <w:r w:rsidR="00F70DE2" w:rsidRPr="00F70DE2">
                    <w:rPr>
                      <w:rFonts w:eastAsia="Times New Roman"/>
                      <w:sz w:val="20"/>
                      <w:szCs w:val="20"/>
                      <w:lang w:val="en-AU" w:bidi="my-MM"/>
                    </w:rPr>
                    <w:t xml:space="preserve">s willingness to accept the vaccine and services within the </w:t>
                  </w:r>
                  <w:r w:rsidR="1796F5DA" w:rsidRPr="56AFECB8">
                    <w:rPr>
                      <w:rFonts w:eastAsia="Times New Roman"/>
                      <w:sz w:val="20"/>
                      <w:szCs w:val="20"/>
                      <w:lang w:val="en-AU" w:bidi="my-MM"/>
                    </w:rPr>
                    <w:t xml:space="preserve">changed </w:t>
                  </w:r>
                  <w:r w:rsidR="00F70DE2" w:rsidRPr="00F70DE2">
                    <w:rPr>
                      <w:rFonts w:eastAsia="Times New Roman"/>
                      <w:sz w:val="20"/>
                      <w:szCs w:val="20"/>
                      <w:lang w:val="en-AU" w:bidi="my-MM"/>
                    </w:rPr>
                    <w:t>social-political context.</w:t>
                  </w:r>
                  <w:r w:rsidR="00992DD3">
                    <w:rPr>
                      <w:rFonts w:eastAsia="Times New Roman"/>
                      <w:sz w:val="20"/>
                      <w:szCs w:val="20"/>
                      <w:lang w:val="en-AU" w:bidi="my-MM"/>
                    </w:rPr>
                    <w:t xml:space="preserve"> </w:t>
                  </w:r>
                  <w:r w:rsidR="4461FC51" w:rsidRPr="56AFECB8">
                    <w:rPr>
                      <w:sz w:val="20"/>
                      <w:szCs w:val="20"/>
                    </w:rPr>
                    <w:t>Such information dynamics</w:t>
                  </w:r>
                  <w:r w:rsidR="007E013D" w:rsidRPr="00F70DE2">
                    <w:rPr>
                      <w:sz w:val="20"/>
                      <w:szCs w:val="20"/>
                    </w:rPr>
                    <w:t xml:space="preserve"> will inform the design and adaptation of programmatic approaches to address issues of hesitancy and trust, among other access barriers, and bolster demand generation</w:t>
                  </w:r>
                  <w:r w:rsidR="00992DD3">
                    <w:rPr>
                      <w:sz w:val="20"/>
                      <w:szCs w:val="20"/>
                    </w:rPr>
                    <w:t xml:space="preserve">. </w:t>
                  </w:r>
                  <w:r w:rsidR="7DAE46FA" w:rsidRPr="56AFECB8">
                    <w:rPr>
                      <w:sz w:val="20"/>
                      <w:szCs w:val="20"/>
                    </w:rPr>
                    <w:t>And within the current complex situation in Myanmar, there are many types of community groups that need to be considered and reached for RI, including communities not affected by conflict, communities hugely or partially affected by the conflicts, Internally-displaced populations, peri-urban areas, hard-to-reach areas</w:t>
                  </w:r>
                  <w:r w:rsidR="001119C3">
                    <w:rPr>
                      <w:sz w:val="20"/>
                      <w:szCs w:val="20"/>
                    </w:rPr>
                    <w:t>,</w:t>
                  </w:r>
                  <w:r w:rsidR="7DAE46FA" w:rsidRPr="56AFECB8">
                    <w:rPr>
                      <w:sz w:val="20"/>
                      <w:szCs w:val="20"/>
                    </w:rPr>
                    <w:t xml:space="preserve"> and non-government</w:t>
                  </w:r>
                  <w:r w:rsidR="001119C3">
                    <w:rPr>
                      <w:sz w:val="20"/>
                      <w:szCs w:val="20"/>
                    </w:rPr>
                    <w:t>-</w:t>
                  </w:r>
                  <w:r w:rsidR="7DAE46FA" w:rsidRPr="56AFECB8">
                    <w:rPr>
                      <w:sz w:val="20"/>
                      <w:szCs w:val="20"/>
                    </w:rPr>
                    <w:t xml:space="preserve">controlled areas. </w:t>
                  </w:r>
                  <w:r w:rsidR="001119C3">
                    <w:rPr>
                      <w:sz w:val="20"/>
                      <w:szCs w:val="20"/>
                    </w:rPr>
                    <w:t>T</w:t>
                  </w:r>
                  <w:r w:rsidR="7DAE46FA" w:rsidRPr="56AFECB8">
                    <w:rPr>
                      <w:sz w:val="20"/>
                      <w:szCs w:val="20"/>
                    </w:rPr>
                    <w:t xml:space="preserve">o reach the different types of community groups, a well-structured communication strategy that </w:t>
                  </w:r>
                  <w:r w:rsidR="001119C3">
                    <w:rPr>
                      <w:sz w:val="20"/>
                      <w:szCs w:val="20"/>
                    </w:rPr>
                    <w:t>considers tailored approaches for specific targeted groups of communities needs</w:t>
                  </w:r>
                  <w:r w:rsidR="7DAE46FA" w:rsidRPr="56AFECB8">
                    <w:rPr>
                      <w:sz w:val="20"/>
                      <w:szCs w:val="20"/>
                    </w:rPr>
                    <w:t xml:space="preserve"> to be developed. </w:t>
                  </w:r>
                  <w:r w:rsidR="001119C3">
                    <w:rPr>
                      <w:sz w:val="20"/>
                      <w:szCs w:val="20"/>
                    </w:rPr>
                    <w:t>Before</w:t>
                  </w:r>
                  <w:r w:rsidR="7DAE46FA" w:rsidRPr="56AFECB8">
                    <w:rPr>
                      <w:sz w:val="20"/>
                      <w:szCs w:val="20"/>
                    </w:rPr>
                    <w:t xml:space="preserve"> the military takeover, NITAG was actively functioning in the country to provide technical oversight, direction</w:t>
                  </w:r>
                  <w:r w:rsidR="001119C3">
                    <w:rPr>
                      <w:sz w:val="20"/>
                      <w:szCs w:val="20"/>
                    </w:rPr>
                    <w:t>, and guidance on communication approaches, messaging, and risk communication</w:t>
                  </w:r>
                  <w:r w:rsidR="7DAE46FA" w:rsidRPr="56AFECB8">
                    <w:rPr>
                      <w:sz w:val="20"/>
                      <w:szCs w:val="20"/>
                    </w:rPr>
                    <w:t xml:space="preserve">. However, in </w:t>
                  </w:r>
                  <w:r w:rsidR="001119C3">
                    <w:rPr>
                      <w:sz w:val="20"/>
                      <w:szCs w:val="20"/>
                    </w:rPr>
                    <w:t>the current situation, such support from NITAG is no longer obtained. Thus, additional technical assistance to develop, implement, and monitor contextualized communication strategies must be in place to ensure communities are reached, informed of, and demand</w:t>
                  </w:r>
                  <w:r w:rsidR="7DAE46FA" w:rsidRPr="56AFECB8">
                    <w:rPr>
                      <w:sz w:val="20"/>
                      <w:szCs w:val="20"/>
                    </w:rPr>
                    <w:t xml:space="preserve"> RI services. To meet the </w:t>
                  </w:r>
                  <w:r w:rsidR="001119C3">
                    <w:rPr>
                      <w:sz w:val="20"/>
                      <w:szCs w:val="20"/>
                    </w:rPr>
                    <w:t>communities' needs, a human-centered design approach consisting</w:t>
                  </w:r>
                  <w:r w:rsidR="7DAE46FA" w:rsidRPr="56AFECB8">
                    <w:rPr>
                      <w:sz w:val="20"/>
                      <w:szCs w:val="20"/>
                    </w:rPr>
                    <w:t xml:space="preserve"> of community participation and engagement in </w:t>
                  </w:r>
                  <w:r w:rsidR="56AFECB8" w:rsidRPr="56AFECB8">
                    <w:rPr>
                      <w:rFonts w:eastAsia="Times New Roman"/>
                      <w:sz w:val="20"/>
                      <w:szCs w:val="20"/>
                      <w:lang w:val="en-AU" w:bidi="my-MM"/>
                    </w:rPr>
                    <w:t xml:space="preserve">developing tailored approaches will be established with implementing partners. </w:t>
                  </w:r>
                </w:p>
                <w:p w14:paraId="3BED20E0" w14:textId="77777777" w:rsidR="00BD309E" w:rsidRDefault="00BD309E" w:rsidP="00B67475">
                  <w:pPr>
                    <w:jc w:val="both"/>
                    <w:rPr>
                      <w:b/>
                      <w:bCs/>
                      <w:sz w:val="20"/>
                      <w:szCs w:val="20"/>
                    </w:rPr>
                  </w:pPr>
                </w:p>
                <w:p w14:paraId="6B14DB84" w14:textId="2977C429" w:rsidR="78B3B584" w:rsidRDefault="78B3B584" w:rsidP="00B67475">
                  <w:pPr>
                    <w:jc w:val="both"/>
                    <w:rPr>
                      <w:b/>
                      <w:bCs/>
                      <w:sz w:val="20"/>
                      <w:szCs w:val="20"/>
                    </w:rPr>
                  </w:pPr>
                  <w:r w:rsidRPr="78B3B584">
                    <w:rPr>
                      <w:b/>
                      <w:bCs/>
                      <w:sz w:val="20"/>
                      <w:szCs w:val="20"/>
                    </w:rPr>
                    <w:t>Governance, Policy, Strategic Planning</w:t>
                  </w:r>
                  <w:r w:rsidR="001119C3">
                    <w:rPr>
                      <w:b/>
                      <w:bCs/>
                      <w:sz w:val="20"/>
                      <w:szCs w:val="20"/>
                    </w:rPr>
                    <w:t>,</w:t>
                  </w:r>
                  <w:r w:rsidRPr="78B3B584">
                    <w:rPr>
                      <w:b/>
                      <w:bCs/>
                      <w:sz w:val="20"/>
                      <w:szCs w:val="20"/>
                    </w:rPr>
                    <w:t xml:space="preserve"> and Program Management</w:t>
                  </w:r>
                </w:p>
                <w:p w14:paraId="349D4ECE" w14:textId="6C3432ED" w:rsidR="00992DD3" w:rsidRDefault="00E6746F" w:rsidP="00B67475">
                  <w:pPr>
                    <w:jc w:val="both"/>
                    <w:rPr>
                      <w:sz w:val="20"/>
                      <w:szCs w:val="20"/>
                    </w:rPr>
                  </w:pPr>
                  <w:r>
                    <w:rPr>
                      <w:sz w:val="20"/>
                      <w:szCs w:val="20"/>
                    </w:rPr>
                    <w:t>All EPI governance committees, including NITAG, were functioning well until the military takeover</w:t>
                  </w:r>
                  <w:r w:rsidR="004C2703">
                    <w:rPr>
                      <w:sz w:val="20"/>
                      <w:szCs w:val="20"/>
                    </w:rPr>
                    <w:t>. W</w:t>
                  </w:r>
                  <w:r w:rsidR="78B3B584" w:rsidRPr="78B3B584">
                    <w:rPr>
                      <w:sz w:val="20"/>
                      <w:szCs w:val="20"/>
                    </w:rPr>
                    <w:t xml:space="preserve">ith the guidance of NITAG, following WHO recommendations, all </w:t>
                  </w:r>
                  <w:r w:rsidR="00B8689D">
                    <w:rPr>
                      <w:sz w:val="20"/>
                      <w:szCs w:val="20"/>
                    </w:rPr>
                    <w:t>immunization</w:t>
                  </w:r>
                  <w:r w:rsidR="78B3B584" w:rsidRPr="78B3B584">
                    <w:rPr>
                      <w:sz w:val="20"/>
                      <w:szCs w:val="20"/>
                    </w:rPr>
                    <w:t xml:space="preserve"> activities went well</w:t>
                  </w:r>
                  <w:r w:rsidR="004C2703">
                    <w:rPr>
                      <w:sz w:val="20"/>
                      <w:szCs w:val="20"/>
                    </w:rPr>
                    <w:t>,</w:t>
                  </w:r>
                  <w:r w:rsidR="78B3B584" w:rsidRPr="78B3B584">
                    <w:rPr>
                      <w:sz w:val="20"/>
                      <w:szCs w:val="20"/>
                    </w:rPr>
                    <w:t xml:space="preserve"> and  2 new vaccines </w:t>
                  </w:r>
                  <w:r w:rsidR="567600E9" w:rsidRPr="113B1F31">
                    <w:rPr>
                      <w:sz w:val="20"/>
                      <w:szCs w:val="20"/>
                    </w:rPr>
                    <w:t xml:space="preserve">were introduced </w:t>
                  </w:r>
                  <w:r w:rsidR="78B3B584" w:rsidRPr="78B3B584">
                    <w:rPr>
                      <w:sz w:val="20"/>
                      <w:szCs w:val="20"/>
                    </w:rPr>
                    <w:t xml:space="preserve">even during </w:t>
                  </w:r>
                  <w:r w:rsidR="00B8689D">
                    <w:rPr>
                      <w:sz w:val="20"/>
                      <w:szCs w:val="20"/>
                    </w:rPr>
                    <w:t xml:space="preserve">the </w:t>
                  </w:r>
                  <w:r w:rsidR="78B3B584" w:rsidRPr="78B3B584">
                    <w:rPr>
                      <w:sz w:val="20"/>
                      <w:szCs w:val="20"/>
                    </w:rPr>
                    <w:t xml:space="preserve">COVID-19 pandemic in the country. After political changes,  due to UNCT guidance, WHO and UNICEF could not be involved much in </w:t>
                  </w:r>
                  <w:r w:rsidR="567600E9" w:rsidRPr="113B1F31">
                    <w:rPr>
                      <w:sz w:val="20"/>
                      <w:szCs w:val="20"/>
                    </w:rPr>
                    <w:t>MoH</w:t>
                  </w:r>
                  <w:r w:rsidR="78B3B584" w:rsidRPr="78B3B584">
                    <w:rPr>
                      <w:sz w:val="20"/>
                      <w:szCs w:val="20"/>
                    </w:rPr>
                    <w:t xml:space="preserve"> activities</w:t>
                  </w:r>
                  <w:r w:rsidR="004C2703">
                    <w:rPr>
                      <w:sz w:val="20"/>
                      <w:szCs w:val="20"/>
                    </w:rPr>
                    <w:t>,</w:t>
                  </w:r>
                  <w:r w:rsidR="78B3B584" w:rsidRPr="78B3B584">
                    <w:rPr>
                      <w:sz w:val="20"/>
                      <w:szCs w:val="20"/>
                    </w:rPr>
                    <w:t xml:space="preserve"> and vice visa </w:t>
                  </w:r>
                  <w:r w:rsidR="567600E9" w:rsidRPr="113B1F31">
                    <w:rPr>
                      <w:sz w:val="20"/>
                      <w:szCs w:val="20"/>
                    </w:rPr>
                    <w:t>MoH</w:t>
                  </w:r>
                  <w:r w:rsidR="78B3B584" w:rsidRPr="78B3B584">
                    <w:rPr>
                      <w:sz w:val="20"/>
                      <w:szCs w:val="20"/>
                    </w:rPr>
                    <w:t xml:space="preserve"> is also reluctant to involve UN agencies. </w:t>
                  </w:r>
                  <w:r w:rsidR="004C2703">
                    <w:rPr>
                      <w:sz w:val="20"/>
                      <w:szCs w:val="20"/>
                    </w:rPr>
                    <w:t>MoH has been calling NITAG to endorse technical matters without acknowledging WHO and UNICEF for some important decisions</w:t>
                  </w:r>
                  <w:r w:rsidR="78B3B584" w:rsidRPr="78B3B584">
                    <w:rPr>
                      <w:sz w:val="20"/>
                      <w:szCs w:val="20"/>
                    </w:rPr>
                    <w:t xml:space="preserve">. It is </w:t>
                  </w:r>
                  <w:r w:rsidR="004C2703">
                    <w:rPr>
                      <w:sz w:val="20"/>
                      <w:szCs w:val="20"/>
                    </w:rPr>
                    <w:t>essential</w:t>
                  </w:r>
                  <w:r w:rsidR="78B3B584" w:rsidRPr="78B3B584">
                    <w:rPr>
                      <w:sz w:val="20"/>
                      <w:szCs w:val="20"/>
                    </w:rPr>
                    <w:t xml:space="preserve"> to revitalize or re-form NITAG following WHO recommendations for NITAG a</w:t>
                  </w:r>
                  <w:r w:rsidR="004C2703">
                    <w:rPr>
                      <w:sz w:val="20"/>
                      <w:szCs w:val="20"/>
                    </w:rPr>
                    <w:t>nd</w:t>
                  </w:r>
                  <w:r w:rsidR="78B3B584" w:rsidRPr="78B3B584">
                    <w:rPr>
                      <w:sz w:val="20"/>
                      <w:szCs w:val="20"/>
                    </w:rPr>
                    <w:t xml:space="preserve"> technical decisions. </w:t>
                  </w:r>
                  <w:r w:rsidR="1497C97C" w:rsidRPr="113B1F31">
                    <w:rPr>
                      <w:sz w:val="20"/>
                      <w:szCs w:val="20"/>
                    </w:rPr>
                    <w:t>In addition, other technical committees such as NCCPE, NMVC, AEFI</w:t>
                  </w:r>
                  <w:r w:rsidR="000C3AD4">
                    <w:rPr>
                      <w:sz w:val="20"/>
                      <w:szCs w:val="20"/>
                    </w:rPr>
                    <w:t>,</w:t>
                  </w:r>
                  <w:r w:rsidR="1497C97C" w:rsidRPr="113B1F31">
                    <w:rPr>
                      <w:sz w:val="20"/>
                      <w:szCs w:val="20"/>
                    </w:rPr>
                    <w:t xml:space="preserve"> and TWGs are also necessary to be revitalized. Similarly, joint planning and program management could not be done </w:t>
                  </w:r>
                  <w:r w:rsidR="004C2703">
                    <w:rPr>
                      <w:sz w:val="20"/>
                      <w:szCs w:val="20"/>
                    </w:rPr>
                    <w:t>correct</w:t>
                  </w:r>
                  <w:r w:rsidR="1497C97C" w:rsidRPr="113B1F31">
                    <w:rPr>
                      <w:sz w:val="20"/>
                      <w:szCs w:val="20"/>
                    </w:rPr>
                    <w:t>ly with the De Facto Ministry. For the higher-level guidance and to coordinate the immunization activities among the agencies, donors</w:t>
                  </w:r>
                  <w:r w:rsidR="000C3AD4">
                    <w:rPr>
                      <w:sz w:val="20"/>
                      <w:szCs w:val="20"/>
                    </w:rPr>
                    <w:t>,</w:t>
                  </w:r>
                  <w:r w:rsidR="1497C97C" w:rsidRPr="113B1F31">
                    <w:rPr>
                      <w:sz w:val="20"/>
                      <w:szCs w:val="20"/>
                    </w:rPr>
                    <w:t xml:space="preserve"> and implementing partners for the efficient and effective use of resources, make technical decisions and budget allocation</w:t>
                  </w:r>
                  <w:r w:rsidR="000C3AD4">
                    <w:rPr>
                      <w:sz w:val="20"/>
                      <w:szCs w:val="20"/>
                    </w:rPr>
                    <w:t>, and monitor</w:t>
                  </w:r>
                  <w:r w:rsidR="1497C97C" w:rsidRPr="113B1F31">
                    <w:rPr>
                      <w:sz w:val="20"/>
                      <w:szCs w:val="20"/>
                    </w:rPr>
                    <w:t xml:space="preserve"> expenditures from external support, interagency coordination committee (ICC) to be revitalized. </w:t>
                  </w:r>
                </w:p>
                <w:p w14:paraId="66D1D769" w14:textId="77777777" w:rsidR="00992DD3" w:rsidRDefault="00992DD3" w:rsidP="00B67475">
                  <w:pPr>
                    <w:jc w:val="both"/>
                    <w:rPr>
                      <w:b/>
                      <w:bCs/>
                      <w:sz w:val="20"/>
                      <w:szCs w:val="20"/>
                      <w:lang w:val="en-GB"/>
                    </w:rPr>
                  </w:pPr>
                  <w:r w:rsidRPr="00992DD3">
                    <w:rPr>
                      <w:b/>
                      <w:bCs/>
                      <w:sz w:val="20"/>
                      <w:szCs w:val="20"/>
                      <w:lang w:val="en-GB"/>
                    </w:rPr>
                    <w:t>Health financing</w:t>
                  </w:r>
                </w:p>
                <w:p w14:paraId="792F19AE" w14:textId="59BE8338" w:rsidR="00DB5226" w:rsidRDefault="00DB5226" w:rsidP="00B67475">
                  <w:pPr>
                    <w:jc w:val="both"/>
                    <w:rPr>
                      <w:sz w:val="20"/>
                      <w:szCs w:val="20"/>
                    </w:rPr>
                  </w:pPr>
                  <w:r w:rsidRPr="00DB5226">
                    <w:rPr>
                      <w:sz w:val="20"/>
                      <w:szCs w:val="20"/>
                    </w:rPr>
                    <w:lastRenderedPageBreak/>
                    <w:t>Myanmar</w:t>
                  </w:r>
                  <w:r w:rsidR="006B3D21">
                    <w:rPr>
                      <w:sz w:val="20"/>
                      <w:szCs w:val="20"/>
                    </w:rPr>
                    <w:t>'</w:t>
                  </w:r>
                  <w:r w:rsidRPr="00DB5226">
                    <w:rPr>
                      <w:sz w:val="20"/>
                      <w:szCs w:val="20"/>
                    </w:rPr>
                    <w:t>s National Health Plan (NHP) for 2017-2021 has laid out the vision of achieving Universal Health Coverage (UHC) by 2030. The NHP aims to improve the delivery of health services and financial protection for Myanmar people through substantial investments in frontline service delivery units and a range of reforms in the health system, including health financing.</w:t>
                  </w:r>
                  <w:r>
                    <w:rPr>
                      <w:rFonts w:ascii="Open Sans" w:hAnsi="Open Sans" w:cs="Open Sans"/>
                      <w:color w:val="333333"/>
                      <w:sz w:val="18"/>
                      <w:szCs w:val="18"/>
                      <w:shd w:val="clear" w:color="auto" w:fill="FFFFFF"/>
                    </w:rPr>
                    <w:t> </w:t>
                  </w:r>
                  <w:r w:rsidRPr="004F6C33">
                    <w:rPr>
                      <w:sz w:val="20"/>
                      <w:szCs w:val="20"/>
                    </w:rPr>
                    <w:t xml:space="preserve"> </w:t>
                  </w:r>
                </w:p>
                <w:p w14:paraId="53D5E731" w14:textId="77777777" w:rsidR="00DB5226" w:rsidRDefault="00DB5226" w:rsidP="00B67475">
                  <w:pPr>
                    <w:jc w:val="both"/>
                    <w:rPr>
                      <w:sz w:val="20"/>
                      <w:szCs w:val="20"/>
                    </w:rPr>
                  </w:pPr>
                </w:p>
                <w:p w14:paraId="43A7EBEF" w14:textId="148170D5" w:rsidR="00992DD3" w:rsidRPr="004B6BE4" w:rsidRDefault="004F6C33" w:rsidP="00B67475">
                  <w:pPr>
                    <w:jc w:val="both"/>
                    <w:rPr>
                      <w:sz w:val="20"/>
                      <w:szCs w:val="20"/>
                    </w:rPr>
                  </w:pPr>
                  <w:r w:rsidRPr="004F6C33">
                    <w:rPr>
                      <w:sz w:val="20"/>
                      <w:szCs w:val="20"/>
                    </w:rPr>
                    <w:t xml:space="preserve">Ensuring </w:t>
                  </w:r>
                  <w:r w:rsidR="00BA23C2">
                    <w:rPr>
                      <w:sz w:val="20"/>
                      <w:szCs w:val="20"/>
                    </w:rPr>
                    <w:t>available</w:t>
                  </w:r>
                  <w:r w:rsidR="00453444">
                    <w:rPr>
                      <w:sz w:val="20"/>
                      <w:szCs w:val="20"/>
                    </w:rPr>
                    <w:t xml:space="preserve"> and</w:t>
                  </w:r>
                  <w:r w:rsidRPr="004F6C33">
                    <w:rPr>
                      <w:sz w:val="20"/>
                      <w:szCs w:val="20"/>
                    </w:rPr>
                    <w:t xml:space="preserve"> </w:t>
                  </w:r>
                  <w:r w:rsidR="00453444">
                    <w:rPr>
                      <w:sz w:val="20"/>
                      <w:szCs w:val="20"/>
                    </w:rPr>
                    <w:t xml:space="preserve">adequate financial resources </w:t>
                  </w:r>
                  <w:r w:rsidRPr="004F6C33">
                    <w:rPr>
                      <w:sz w:val="20"/>
                      <w:szCs w:val="20"/>
                    </w:rPr>
                    <w:t xml:space="preserve">to support immunization program activities such as supplementary immunization activities, procurement of vaccines and syringes, </w:t>
                  </w:r>
                  <w:r w:rsidR="00453444">
                    <w:rPr>
                      <w:sz w:val="20"/>
                      <w:szCs w:val="20"/>
                    </w:rPr>
                    <w:t xml:space="preserve">and </w:t>
                  </w:r>
                  <w:r w:rsidRPr="004F6C33">
                    <w:rPr>
                      <w:sz w:val="20"/>
                      <w:szCs w:val="20"/>
                    </w:rPr>
                    <w:t xml:space="preserve">technical assistance </w:t>
                  </w:r>
                  <w:r w:rsidR="00453444">
                    <w:rPr>
                      <w:sz w:val="20"/>
                      <w:szCs w:val="20"/>
                    </w:rPr>
                    <w:t xml:space="preserve">is critical. </w:t>
                  </w:r>
                </w:p>
              </w:tc>
            </w:tr>
          </w:tbl>
          <w:p w14:paraId="7D9A0BA9" w14:textId="2EB0BA0F" w:rsidR="00372D1F" w:rsidRDefault="00372D1F" w:rsidP="00B67475">
            <w:pPr>
              <w:rPr>
                <w:color w:val="92D050"/>
                <w:lang w:val="en-GB"/>
              </w:rPr>
            </w:pPr>
          </w:p>
        </w:tc>
      </w:tr>
      <w:tr w:rsidR="0071439C" w14:paraId="0D9AF231" w14:textId="77777777" w:rsidTr="007B53D1">
        <w:tc>
          <w:tcPr>
            <w:tcW w:w="9192" w:type="dxa"/>
            <w:tcBorders>
              <w:top w:val="single" w:sz="4" w:space="0" w:color="auto"/>
              <w:bottom w:val="single" w:sz="4" w:space="0" w:color="auto"/>
            </w:tcBorders>
            <w:shd w:val="clear" w:color="auto" w:fill="F2F2F2" w:themeFill="background1" w:themeFillShade="F2"/>
          </w:tcPr>
          <w:p w14:paraId="14533925" w14:textId="102D79FF" w:rsidR="00E165B4" w:rsidRDefault="0071439C" w:rsidP="00166D84">
            <w:pPr>
              <w:pStyle w:val="ListParagraph"/>
              <w:numPr>
                <w:ilvl w:val="1"/>
                <w:numId w:val="11"/>
              </w:numPr>
              <w:spacing w:line="300" w:lineRule="exact"/>
              <w:ind w:left="316" w:hanging="316"/>
              <w:rPr>
                <w:b/>
                <w:bCs/>
                <w:i/>
                <w:iCs/>
                <w:sz w:val="20"/>
                <w:szCs w:val="20"/>
              </w:rPr>
            </w:pPr>
            <w:r w:rsidRPr="00CF3BC4">
              <w:rPr>
                <w:b/>
                <w:bCs/>
                <w:i/>
                <w:iCs/>
                <w:sz w:val="20"/>
                <w:szCs w:val="20"/>
              </w:rPr>
              <w:lastRenderedPageBreak/>
              <w:t xml:space="preserve">How </w:t>
            </w:r>
            <w:r w:rsidR="00BE4270">
              <w:rPr>
                <w:b/>
                <w:bCs/>
                <w:i/>
                <w:iCs/>
                <w:sz w:val="20"/>
                <w:szCs w:val="20"/>
              </w:rPr>
              <w:t xml:space="preserve">will </w:t>
            </w:r>
            <w:r w:rsidR="00120AAE">
              <w:rPr>
                <w:b/>
                <w:bCs/>
                <w:i/>
                <w:iCs/>
                <w:sz w:val="20"/>
                <w:szCs w:val="20"/>
              </w:rPr>
              <w:t>the requested TCA support advance</w:t>
            </w:r>
            <w:r w:rsidR="00257A1B">
              <w:rPr>
                <w:b/>
                <w:bCs/>
                <w:i/>
                <w:iCs/>
                <w:sz w:val="20"/>
                <w:szCs w:val="20"/>
              </w:rPr>
              <w:t xml:space="preserve"> </w:t>
            </w:r>
            <w:r w:rsidR="00393D45" w:rsidRPr="00393D45">
              <w:rPr>
                <w:b/>
                <w:bCs/>
                <w:i/>
                <w:iCs/>
                <w:sz w:val="20"/>
                <w:szCs w:val="20"/>
              </w:rPr>
              <w:t xml:space="preserve">Gavi's 5.0 mission </w:t>
            </w:r>
            <w:r w:rsidR="00A95F01">
              <w:rPr>
                <w:b/>
                <w:bCs/>
                <w:i/>
                <w:iCs/>
                <w:sz w:val="20"/>
                <w:szCs w:val="20"/>
              </w:rPr>
              <w:t>per the</w:t>
            </w:r>
            <w:r w:rsidR="00A95F01" w:rsidRPr="00393D45">
              <w:rPr>
                <w:b/>
                <w:bCs/>
                <w:i/>
                <w:iCs/>
                <w:sz w:val="20"/>
                <w:szCs w:val="20"/>
              </w:rPr>
              <w:t xml:space="preserve"> country</w:t>
            </w:r>
            <w:r w:rsidR="008447E6">
              <w:rPr>
                <w:b/>
                <w:bCs/>
                <w:i/>
                <w:iCs/>
                <w:sz w:val="20"/>
                <w:szCs w:val="20"/>
              </w:rPr>
              <w:t>'</w:t>
            </w:r>
            <w:r w:rsidR="00A95F01" w:rsidRPr="00393D45">
              <w:rPr>
                <w:b/>
                <w:bCs/>
                <w:i/>
                <w:iCs/>
                <w:sz w:val="20"/>
                <w:szCs w:val="20"/>
              </w:rPr>
              <w:t xml:space="preserve">s context </w:t>
            </w:r>
            <w:r w:rsidR="00296E78">
              <w:rPr>
                <w:b/>
                <w:bCs/>
                <w:i/>
                <w:iCs/>
                <w:sz w:val="20"/>
                <w:szCs w:val="20"/>
              </w:rPr>
              <w:t xml:space="preserve">with </w:t>
            </w:r>
            <w:r w:rsidR="000C3AD4">
              <w:rPr>
                <w:b/>
                <w:bCs/>
                <w:i/>
                <w:iCs/>
                <w:sz w:val="20"/>
                <w:szCs w:val="20"/>
              </w:rPr>
              <w:t xml:space="preserve">a </w:t>
            </w:r>
            <w:r w:rsidR="00296E78">
              <w:rPr>
                <w:b/>
                <w:bCs/>
                <w:i/>
                <w:iCs/>
                <w:sz w:val="20"/>
                <w:szCs w:val="20"/>
              </w:rPr>
              <w:t>focus</w:t>
            </w:r>
            <w:r w:rsidR="004435AF">
              <w:rPr>
                <w:b/>
                <w:bCs/>
                <w:i/>
                <w:iCs/>
                <w:sz w:val="20"/>
                <w:szCs w:val="20"/>
              </w:rPr>
              <w:t xml:space="preserve"> on</w:t>
            </w:r>
            <w:r w:rsidR="00E165B4">
              <w:rPr>
                <w:b/>
                <w:bCs/>
                <w:i/>
                <w:iCs/>
                <w:sz w:val="20"/>
                <w:szCs w:val="20"/>
              </w:rPr>
              <w:t>:</w:t>
            </w:r>
          </w:p>
          <w:p w14:paraId="2112DA8C" w14:textId="427D12AB" w:rsidR="00544D9B" w:rsidRPr="00544D9B" w:rsidRDefault="00544D9B" w:rsidP="00CE1F57">
            <w:pPr>
              <w:pStyle w:val="ListParagraph"/>
              <w:numPr>
                <w:ilvl w:val="0"/>
                <w:numId w:val="5"/>
              </w:numPr>
              <w:spacing w:line="300" w:lineRule="exact"/>
              <w:ind w:left="741"/>
              <w:rPr>
                <w:b/>
                <w:bCs/>
                <w:i/>
                <w:iCs/>
                <w:sz w:val="20"/>
                <w:szCs w:val="20"/>
              </w:rPr>
            </w:pPr>
            <w:r w:rsidRPr="00544D9B">
              <w:rPr>
                <w:b/>
                <w:bCs/>
                <w:i/>
                <w:iCs/>
                <w:sz w:val="20"/>
                <w:szCs w:val="20"/>
              </w:rPr>
              <w:t xml:space="preserve">identifying </w:t>
            </w:r>
            <w:r w:rsidR="00393D45" w:rsidRPr="00393D45">
              <w:rPr>
                <w:b/>
                <w:bCs/>
                <w:i/>
                <w:iCs/>
                <w:sz w:val="20"/>
                <w:szCs w:val="20"/>
              </w:rPr>
              <w:t xml:space="preserve">and reaching zero-dose </w:t>
            </w:r>
            <w:r w:rsidR="00A95F01" w:rsidRPr="00CF3BC4">
              <w:rPr>
                <w:b/>
                <w:bCs/>
                <w:i/>
                <w:iCs/>
                <w:sz w:val="20"/>
                <w:szCs w:val="20"/>
              </w:rPr>
              <w:t xml:space="preserve">and </w:t>
            </w:r>
            <w:r w:rsidRPr="00544D9B">
              <w:rPr>
                <w:b/>
                <w:bCs/>
                <w:i/>
                <w:iCs/>
                <w:sz w:val="20"/>
                <w:szCs w:val="20"/>
              </w:rPr>
              <w:t xml:space="preserve">consistently </w:t>
            </w:r>
            <w:r w:rsidR="00A95F01" w:rsidRPr="00CF3BC4">
              <w:rPr>
                <w:b/>
                <w:bCs/>
                <w:i/>
                <w:iCs/>
                <w:sz w:val="20"/>
                <w:szCs w:val="20"/>
              </w:rPr>
              <w:t xml:space="preserve">missed </w:t>
            </w:r>
            <w:r w:rsidRPr="00544D9B">
              <w:rPr>
                <w:b/>
                <w:bCs/>
                <w:i/>
                <w:iCs/>
                <w:sz w:val="20"/>
                <w:szCs w:val="20"/>
              </w:rPr>
              <w:t xml:space="preserve">children </w:t>
            </w:r>
            <w:r w:rsidR="002C0185">
              <w:rPr>
                <w:b/>
                <w:bCs/>
                <w:i/>
                <w:iCs/>
                <w:sz w:val="20"/>
                <w:szCs w:val="20"/>
              </w:rPr>
              <w:t>and communities</w:t>
            </w:r>
            <w:r w:rsidRPr="00544D9B">
              <w:rPr>
                <w:b/>
                <w:bCs/>
                <w:i/>
                <w:iCs/>
                <w:sz w:val="20"/>
                <w:szCs w:val="20"/>
              </w:rPr>
              <w:t>;</w:t>
            </w:r>
          </w:p>
          <w:p w14:paraId="6B56EB6C" w14:textId="29929E0B" w:rsidR="00544D9B" w:rsidRPr="00544D9B" w:rsidRDefault="00544D9B" w:rsidP="00CE1F57">
            <w:pPr>
              <w:pStyle w:val="ListParagraph"/>
              <w:numPr>
                <w:ilvl w:val="0"/>
                <w:numId w:val="5"/>
              </w:numPr>
              <w:spacing w:line="300" w:lineRule="exact"/>
              <w:ind w:left="741"/>
              <w:rPr>
                <w:b/>
                <w:bCs/>
                <w:i/>
                <w:iCs/>
                <w:sz w:val="20"/>
                <w:szCs w:val="20"/>
              </w:rPr>
            </w:pPr>
            <w:r w:rsidRPr="00544D9B">
              <w:rPr>
                <w:b/>
                <w:bCs/>
                <w:i/>
                <w:iCs/>
                <w:sz w:val="20"/>
                <w:szCs w:val="20"/>
              </w:rPr>
              <w:t>improving</w:t>
            </w:r>
            <w:r w:rsidR="001B19F2">
              <w:rPr>
                <w:b/>
                <w:bCs/>
                <w:i/>
                <w:iCs/>
                <w:sz w:val="20"/>
                <w:szCs w:val="20"/>
              </w:rPr>
              <w:t xml:space="preserve"> </w:t>
            </w:r>
            <w:r w:rsidR="00316DE0">
              <w:rPr>
                <w:b/>
                <w:bCs/>
                <w:i/>
                <w:iCs/>
                <w:sz w:val="20"/>
                <w:szCs w:val="20"/>
              </w:rPr>
              <w:t xml:space="preserve">stock reporting and vaccine management at </w:t>
            </w:r>
            <w:r w:rsidR="00E6746F">
              <w:rPr>
                <w:b/>
                <w:bCs/>
                <w:i/>
                <w:iCs/>
                <w:sz w:val="20"/>
                <w:szCs w:val="20"/>
              </w:rPr>
              <w:t xml:space="preserve">the </w:t>
            </w:r>
            <w:r w:rsidR="00316DE0">
              <w:rPr>
                <w:b/>
                <w:bCs/>
                <w:i/>
                <w:iCs/>
                <w:sz w:val="20"/>
                <w:szCs w:val="20"/>
              </w:rPr>
              <w:t>sub-national level</w:t>
            </w:r>
            <w:r w:rsidRPr="00544D9B">
              <w:rPr>
                <w:b/>
                <w:bCs/>
                <w:i/>
                <w:iCs/>
                <w:sz w:val="20"/>
                <w:szCs w:val="20"/>
              </w:rPr>
              <w:t>;</w:t>
            </w:r>
          </w:p>
          <w:p w14:paraId="009281C7" w14:textId="57773DCC" w:rsidR="00544D9B" w:rsidRPr="00544D9B" w:rsidRDefault="00544D9B" w:rsidP="00CE1F57">
            <w:pPr>
              <w:pStyle w:val="ListParagraph"/>
              <w:numPr>
                <w:ilvl w:val="0"/>
                <w:numId w:val="5"/>
              </w:numPr>
              <w:spacing w:line="300" w:lineRule="exact"/>
              <w:ind w:left="741"/>
              <w:rPr>
                <w:b/>
                <w:bCs/>
                <w:i/>
                <w:iCs/>
                <w:sz w:val="20"/>
                <w:szCs w:val="20"/>
              </w:rPr>
            </w:pPr>
            <w:r w:rsidRPr="00544D9B">
              <w:rPr>
                <w:b/>
                <w:bCs/>
                <w:i/>
                <w:iCs/>
                <w:sz w:val="20"/>
                <w:szCs w:val="20"/>
              </w:rPr>
              <w:t>enhancing</w:t>
            </w:r>
            <w:r w:rsidR="00316DE0">
              <w:rPr>
                <w:b/>
                <w:bCs/>
                <w:i/>
                <w:iCs/>
                <w:sz w:val="20"/>
                <w:szCs w:val="20"/>
              </w:rPr>
              <w:t xml:space="preserve"> stron</w:t>
            </w:r>
            <w:r w:rsidR="00F45522">
              <w:rPr>
                <w:b/>
                <w:bCs/>
                <w:i/>
                <w:iCs/>
                <w:sz w:val="20"/>
                <w:szCs w:val="20"/>
              </w:rPr>
              <w:t>g leadership, management</w:t>
            </w:r>
            <w:r w:rsidR="00E6746F">
              <w:rPr>
                <w:b/>
                <w:bCs/>
                <w:i/>
                <w:iCs/>
                <w:sz w:val="20"/>
                <w:szCs w:val="20"/>
              </w:rPr>
              <w:t>,</w:t>
            </w:r>
            <w:r w:rsidR="00F45522">
              <w:rPr>
                <w:b/>
                <w:bCs/>
                <w:i/>
                <w:iCs/>
                <w:sz w:val="20"/>
                <w:szCs w:val="20"/>
              </w:rPr>
              <w:t xml:space="preserve"> and coordination</w:t>
            </w:r>
            <w:r w:rsidRPr="00544D9B">
              <w:rPr>
                <w:b/>
                <w:bCs/>
                <w:i/>
                <w:iCs/>
                <w:sz w:val="20"/>
                <w:szCs w:val="20"/>
              </w:rPr>
              <w:t xml:space="preserve">, including </w:t>
            </w:r>
            <w:r w:rsidR="00E6746F">
              <w:rPr>
                <w:b/>
                <w:bCs/>
                <w:i/>
                <w:iCs/>
                <w:sz w:val="20"/>
                <w:szCs w:val="20"/>
              </w:rPr>
              <w:t xml:space="preserve">the </w:t>
            </w:r>
            <w:r w:rsidRPr="00544D9B">
              <w:rPr>
                <w:b/>
                <w:bCs/>
                <w:i/>
                <w:iCs/>
                <w:sz w:val="20"/>
                <w:szCs w:val="20"/>
              </w:rPr>
              <w:t>use of data for decision-making;</w:t>
            </w:r>
          </w:p>
          <w:p w14:paraId="35EE3F38" w14:textId="229DAA1D" w:rsidR="00532C23" w:rsidRPr="00532C23" w:rsidRDefault="009912B7" w:rsidP="00CE1F57">
            <w:pPr>
              <w:pStyle w:val="ListParagraph"/>
              <w:numPr>
                <w:ilvl w:val="0"/>
                <w:numId w:val="5"/>
              </w:numPr>
              <w:spacing w:line="300" w:lineRule="exact"/>
              <w:ind w:left="741"/>
              <w:rPr>
                <w:b/>
                <w:i/>
                <w:sz w:val="20"/>
                <w:szCs w:val="20"/>
              </w:rPr>
            </w:pPr>
            <w:r>
              <w:rPr>
                <w:b/>
                <w:bCs/>
                <w:i/>
                <w:iCs/>
                <w:sz w:val="20"/>
                <w:szCs w:val="20"/>
              </w:rPr>
              <w:t>introduction and scale</w:t>
            </w:r>
            <w:r w:rsidR="00E6746F">
              <w:rPr>
                <w:b/>
                <w:bCs/>
                <w:i/>
                <w:iCs/>
                <w:sz w:val="20"/>
                <w:szCs w:val="20"/>
              </w:rPr>
              <w:t>-</w:t>
            </w:r>
            <w:r>
              <w:rPr>
                <w:b/>
                <w:bCs/>
                <w:i/>
                <w:iCs/>
                <w:sz w:val="20"/>
                <w:szCs w:val="20"/>
              </w:rPr>
              <w:t>up of</w:t>
            </w:r>
            <w:r w:rsidRPr="00544D9B">
              <w:rPr>
                <w:b/>
                <w:bCs/>
                <w:i/>
                <w:iCs/>
                <w:sz w:val="20"/>
                <w:szCs w:val="20"/>
              </w:rPr>
              <w:t xml:space="preserve"> </w:t>
            </w:r>
            <w:r w:rsidR="00544D9B" w:rsidRPr="00544D9B">
              <w:rPr>
                <w:b/>
                <w:bCs/>
                <w:i/>
                <w:iCs/>
                <w:sz w:val="20"/>
                <w:szCs w:val="20"/>
              </w:rPr>
              <w:t>vaccines</w:t>
            </w:r>
            <w:r w:rsidR="001708D2">
              <w:rPr>
                <w:b/>
                <w:bCs/>
                <w:i/>
                <w:iCs/>
                <w:sz w:val="20"/>
                <w:szCs w:val="20"/>
              </w:rPr>
              <w:t>;</w:t>
            </w:r>
          </w:p>
          <w:p w14:paraId="1DC79B3B" w14:textId="2E55360D" w:rsidR="0071439C" w:rsidRPr="00544D9B" w:rsidRDefault="00532C23" w:rsidP="00CE1F57">
            <w:pPr>
              <w:pStyle w:val="ListParagraph"/>
              <w:numPr>
                <w:ilvl w:val="0"/>
                <w:numId w:val="5"/>
              </w:numPr>
              <w:spacing w:line="300" w:lineRule="exact"/>
              <w:ind w:left="741"/>
              <w:rPr>
                <w:b/>
                <w:i/>
                <w:sz w:val="20"/>
                <w:szCs w:val="20"/>
              </w:rPr>
            </w:pPr>
            <w:r>
              <w:rPr>
                <w:b/>
                <w:bCs/>
                <w:i/>
                <w:iCs/>
                <w:sz w:val="20"/>
                <w:szCs w:val="20"/>
              </w:rPr>
              <w:t>programm</w:t>
            </w:r>
            <w:r w:rsidR="00D740FF">
              <w:rPr>
                <w:b/>
                <w:bCs/>
                <w:i/>
                <w:iCs/>
                <w:sz w:val="20"/>
                <w:szCs w:val="20"/>
              </w:rPr>
              <w:t>a</w:t>
            </w:r>
            <w:r w:rsidR="0034188F">
              <w:rPr>
                <w:b/>
                <w:bCs/>
                <w:i/>
                <w:iCs/>
                <w:sz w:val="20"/>
                <w:szCs w:val="20"/>
              </w:rPr>
              <w:t>tic sustainability</w:t>
            </w:r>
            <w:r w:rsidR="00544D9B" w:rsidRPr="00544D9B">
              <w:rPr>
                <w:b/>
                <w:bCs/>
                <w:i/>
                <w:iCs/>
                <w:sz w:val="20"/>
                <w:szCs w:val="20"/>
              </w:rPr>
              <w:t>.</w:t>
            </w:r>
          </w:p>
        </w:tc>
      </w:tr>
      <w:tr w:rsidR="0071439C" w:rsidRPr="006A272B" w14:paraId="0A3FAE65" w14:textId="77777777" w:rsidTr="007B53D1">
        <w:tc>
          <w:tcPr>
            <w:tcW w:w="9192" w:type="dxa"/>
            <w:tcBorders>
              <w:top w:val="single" w:sz="4" w:space="0" w:color="auto"/>
              <w:left w:val="single" w:sz="4" w:space="0" w:color="auto"/>
              <w:bottom w:val="single" w:sz="4" w:space="0" w:color="auto"/>
              <w:right w:val="single" w:sz="4" w:space="0" w:color="auto"/>
            </w:tcBorders>
          </w:tcPr>
          <w:p w14:paraId="11EBF6ED" w14:textId="1593E278" w:rsidR="0071439C" w:rsidRPr="00E84304" w:rsidRDefault="00DF05D2" w:rsidP="009B1CC3">
            <w:pPr>
              <w:tabs>
                <w:tab w:val="left" w:pos="720"/>
                <w:tab w:val="left" w:pos="810"/>
              </w:tabs>
              <w:jc w:val="both"/>
              <w:rPr>
                <w:sz w:val="20"/>
                <w:szCs w:val="20"/>
              </w:rPr>
            </w:pPr>
            <w:r w:rsidRPr="00E84304">
              <w:rPr>
                <w:sz w:val="20"/>
                <w:szCs w:val="20"/>
              </w:rPr>
              <w:t xml:space="preserve">The requested TCA support </w:t>
            </w:r>
            <w:r w:rsidR="00EE6AAB" w:rsidRPr="00E84304">
              <w:rPr>
                <w:sz w:val="20"/>
                <w:szCs w:val="20"/>
              </w:rPr>
              <w:t xml:space="preserve">will assist the country </w:t>
            </w:r>
            <w:r w:rsidR="000E0555" w:rsidRPr="00E84304">
              <w:rPr>
                <w:sz w:val="20"/>
                <w:szCs w:val="20"/>
              </w:rPr>
              <w:t>in</w:t>
            </w:r>
            <w:r w:rsidR="00EE6AAB" w:rsidRPr="00E84304">
              <w:rPr>
                <w:sz w:val="20"/>
                <w:szCs w:val="20"/>
              </w:rPr>
              <w:t xml:space="preserve"> meeting the strategic goals </w:t>
            </w:r>
            <w:r w:rsidR="00A0594C" w:rsidRPr="00E84304">
              <w:rPr>
                <w:sz w:val="20"/>
                <w:szCs w:val="20"/>
              </w:rPr>
              <w:t>of Gavi</w:t>
            </w:r>
            <w:r w:rsidR="006B3D21" w:rsidRPr="00E84304">
              <w:rPr>
                <w:sz w:val="20"/>
                <w:szCs w:val="20"/>
              </w:rPr>
              <w:t>'</w:t>
            </w:r>
            <w:r w:rsidR="00A0594C" w:rsidRPr="00E84304">
              <w:rPr>
                <w:sz w:val="20"/>
                <w:szCs w:val="20"/>
              </w:rPr>
              <w:t xml:space="preserve">s 5.0 mission </w:t>
            </w:r>
            <w:r w:rsidR="00A61C7C" w:rsidRPr="00E84304">
              <w:rPr>
                <w:sz w:val="20"/>
                <w:szCs w:val="20"/>
              </w:rPr>
              <w:t xml:space="preserve">by </w:t>
            </w:r>
            <w:r w:rsidRPr="00E84304">
              <w:rPr>
                <w:sz w:val="20"/>
                <w:szCs w:val="20"/>
              </w:rPr>
              <w:t>sav</w:t>
            </w:r>
            <w:r w:rsidR="00A61C7C" w:rsidRPr="00E84304">
              <w:rPr>
                <w:sz w:val="20"/>
                <w:szCs w:val="20"/>
              </w:rPr>
              <w:t xml:space="preserve">ing </w:t>
            </w:r>
            <w:r w:rsidRPr="00E84304">
              <w:rPr>
                <w:sz w:val="20"/>
                <w:szCs w:val="20"/>
              </w:rPr>
              <w:t>lives and protect</w:t>
            </w:r>
            <w:r w:rsidR="00A61C7C" w:rsidRPr="00E84304">
              <w:rPr>
                <w:sz w:val="20"/>
                <w:szCs w:val="20"/>
              </w:rPr>
              <w:t>ing</w:t>
            </w:r>
            <w:r w:rsidRPr="00E84304">
              <w:rPr>
                <w:sz w:val="20"/>
                <w:szCs w:val="20"/>
              </w:rPr>
              <w:t xml:space="preserve"> people</w:t>
            </w:r>
            <w:r w:rsidR="006B3D21" w:rsidRPr="00E84304">
              <w:rPr>
                <w:sz w:val="20"/>
                <w:szCs w:val="20"/>
              </w:rPr>
              <w:t>'</w:t>
            </w:r>
            <w:r w:rsidRPr="00E84304">
              <w:rPr>
                <w:sz w:val="20"/>
                <w:szCs w:val="20"/>
              </w:rPr>
              <w:t xml:space="preserve">s health by increasing </w:t>
            </w:r>
            <w:r w:rsidR="00E6746F" w:rsidRPr="00E84304">
              <w:rPr>
                <w:sz w:val="20"/>
                <w:szCs w:val="20"/>
              </w:rPr>
              <w:t xml:space="preserve">the </w:t>
            </w:r>
            <w:r w:rsidRPr="00E84304">
              <w:rPr>
                <w:sz w:val="20"/>
                <w:szCs w:val="20"/>
              </w:rPr>
              <w:t xml:space="preserve">equitable and sustainable use of vaccines. </w:t>
            </w:r>
            <w:r w:rsidR="78B3B584" w:rsidRPr="00E84304">
              <w:rPr>
                <w:sz w:val="20"/>
                <w:szCs w:val="20"/>
              </w:rPr>
              <w:t xml:space="preserve">The requested TCA will include </w:t>
            </w:r>
          </w:p>
          <w:p w14:paraId="0E045CA1" w14:textId="0538C2E3" w:rsidR="000E0555" w:rsidRPr="00E84304" w:rsidRDefault="00B510C2" w:rsidP="009B1CC3">
            <w:pPr>
              <w:pStyle w:val="ListParagraph"/>
              <w:numPr>
                <w:ilvl w:val="0"/>
                <w:numId w:val="6"/>
              </w:numPr>
              <w:rPr>
                <w:rFonts w:asciiTheme="minorHAnsi" w:eastAsiaTheme="minorEastAsia" w:hAnsiTheme="minorHAnsi" w:cstheme="minorBidi"/>
                <w:sz w:val="20"/>
                <w:szCs w:val="20"/>
              </w:rPr>
            </w:pPr>
            <w:r w:rsidRPr="00E84304">
              <w:rPr>
                <w:sz w:val="20"/>
                <w:szCs w:val="20"/>
              </w:rPr>
              <w:t>Revitalization</w:t>
            </w:r>
            <w:r w:rsidR="78B3B584" w:rsidRPr="00E84304">
              <w:rPr>
                <w:sz w:val="20"/>
                <w:szCs w:val="20"/>
              </w:rPr>
              <w:t xml:space="preserve"> of routine immunization </w:t>
            </w:r>
            <w:r w:rsidR="0034613F" w:rsidRPr="00E84304">
              <w:rPr>
                <w:sz w:val="20"/>
                <w:szCs w:val="20"/>
              </w:rPr>
              <w:t>services</w:t>
            </w:r>
            <w:r w:rsidR="78B3B584" w:rsidRPr="00E84304">
              <w:rPr>
                <w:sz w:val="20"/>
                <w:szCs w:val="20"/>
              </w:rPr>
              <w:t xml:space="preserve"> will be developed to </w:t>
            </w:r>
            <w:r w:rsidR="000C17FB" w:rsidRPr="00E84304">
              <w:rPr>
                <w:sz w:val="20"/>
                <w:szCs w:val="20"/>
              </w:rPr>
              <w:t>provide</w:t>
            </w:r>
            <w:r w:rsidR="78B3B584" w:rsidRPr="00E84304">
              <w:rPr>
                <w:sz w:val="20"/>
                <w:szCs w:val="20"/>
              </w:rPr>
              <w:t xml:space="preserve"> the road map to </w:t>
            </w:r>
            <w:r w:rsidR="12EA1310" w:rsidRPr="00E84304">
              <w:rPr>
                <w:sz w:val="20"/>
                <w:szCs w:val="20"/>
              </w:rPr>
              <w:t>MoH</w:t>
            </w:r>
            <w:r w:rsidR="78B3B584" w:rsidRPr="00E84304">
              <w:rPr>
                <w:sz w:val="20"/>
                <w:szCs w:val="20"/>
              </w:rPr>
              <w:t xml:space="preserve"> for systematic </w:t>
            </w:r>
            <w:r w:rsidR="000C17FB" w:rsidRPr="00E84304">
              <w:rPr>
                <w:sz w:val="20"/>
                <w:szCs w:val="20"/>
              </w:rPr>
              <w:t>revitalization</w:t>
            </w:r>
            <w:r w:rsidR="78B3B584" w:rsidRPr="00E84304">
              <w:rPr>
                <w:sz w:val="20"/>
                <w:szCs w:val="20"/>
              </w:rPr>
              <w:t xml:space="preserve">. Revitalize Routine Immunization across the country with </w:t>
            </w:r>
            <w:r w:rsidR="000148A1" w:rsidRPr="00E84304">
              <w:rPr>
                <w:sz w:val="20"/>
                <w:szCs w:val="20"/>
              </w:rPr>
              <w:t xml:space="preserve">a </w:t>
            </w:r>
            <w:r w:rsidR="00FD4299">
              <w:rPr>
                <w:sz w:val="20"/>
                <w:szCs w:val="20"/>
              </w:rPr>
              <w:t>particular</w:t>
            </w:r>
            <w:r w:rsidR="78B3B584" w:rsidRPr="00E84304">
              <w:rPr>
                <w:sz w:val="20"/>
                <w:szCs w:val="20"/>
              </w:rPr>
              <w:t xml:space="preserve"> emphasis </w:t>
            </w:r>
            <w:r w:rsidR="00F1125E" w:rsidRPr="00E84304">
              <w:rPr>
                <w:sz w:val="20"/>
                <w:szCs w:val="20"/>
              </w:rPr>
              <w:t>on</w:t>
            </w:r>
            <w:r w:rsidR="00197957" w:rsidRPr="00E84304">
              <w:rPr>
                <w:sz w:val="20"/>
                <w:szCs w:val="20"/>
              </w:rPr>
              <w:t xml:space="preserve"> reaching the most </w:t>
            </w:r>
            <w:r w:rsidR="002D109B" w:rsidRPr="00E84304">
              <w:rPr>
                <w:sz w:val="20"/>
                <w:szCs w:val="20"/>
              </w:rPr>
              <w:t>vulnerable</w:t>
            </w:r>
            <w:r w:rsidR="00197957" w:rsidRPr="00E84304">
              <w:rPr>
                <w:sz w:val="20"/>
                <w:szCs w:val="20"/>
              </w:rPr>
              <w:t xml:space="preserve"> children in </w:t>
            </w:r>
            <w:r w:rsidR="002D109B" w:rsidRPr="00E84304">
              <w:rPr>
                <w:sz w:val="20"/>
                <w:szCs w:val="20"/>
              </w:rPr>
              <w:t xml:space="preserve">urban and </w:t>
            </w:r>
            <w:r w:rsidR="78B3B584" w:rsidRPr="00E84304">
              <w:rPr>
                <w:sz w:val="20"/>
                <w:szCs w:val="20"/>
              </w:rPr>
              <w:t xml:space="preserve">Hard-to-Reach Areas/ </w:t>
            </w:r>
            <w:r w:rsidR="001D7094" w:rsidRPr="00E84304">
              <w:rPr>
                <w:sz w:val="20"/>
                <w:szCs w:val="20"/>
              </w:rPr>
              <w:t>Conflict-affected</w:t>
            </w:r>
            <w:r w:rsidR="78B3B584" w:rsidRPr="00E84304">
              <w:rPr>
                <w:sz w:val="20"/>
                <w:szCs w:val="20"/>
              </w:rPr>
              <w:t xml:space="preserve"> areas. </w:t>
            </w:r>
            <w:r w:rsidR="004F06C5" w:rsidRPr="00E84304">
              <w:rPr>
                <w:sz w:val="20"/>
                <w:szCs w:val="20"/>
              </w:rPr>
              <w:t xml:space="preserve">Technical assistance will be provided at national and sub-national </w:t>
            </w:r>
            <w:r w:rsidR="001D7094" w:rsidRPr="00E84304">
              <w:rPr>
                <w:sz w:val="20"/>
                <w:szCs w:val="20"/>
              </w:rPr>
              <w:t>levels</w:t>
            </w:r>
            <w:r w:rsidR="004F06C5" w:rsidRPr="00E84304">
              <w:rPr>
                <w:sz w:val="20"/>
                <w:szCs w:val="20"/>
              </w:rPr>
              <w:t xml:space="preserve"> to revitalize the routine immunization services.</w:t>
            </w:r>
          </w:p>
          <w:p w14:paraId="744ED84E" w14:textId="135194D1" w:rsidR="00E504F3" w:rsidRPr="00E84304" w:rsidRDefault="002C5B26" w:rsidP="009B1CC3">
            <w:pPr>
              <w:pStyle w:val="ListParagraph"/>
              <w:numPr>
                <w:ilvl w:val="0"/>
                <w:numId w:val="6"/>
              </w:numPr>
              <w:rPr>
                <w:rFonts w:asciiTheme="minorHAnsi" w:eastAsiaTheme="minorEastAsia" w:hAnsiTheme="minorHAnsi" w:cstheme="minorBidi"/>
                <w:sz w:val="20"/>
                <w:szCs w:val="20"/>
              </w:rPr>
            </w:pPr>
            <w:r w:rsidRPr="00E84304">
              <w:rPr>
                <w:sz w:val="20"/>
                <w:szCs w:val="20"/>
              </w:rPr>
              <w:t>Continuous dialogue</w:t>
            </w:r>
            <w:r w:rsidR="00E504F3" w:rsidRPr="00E84304">
              <w:rPr>
                <w:sz w:val="20"/>
                <w:szCs w:val="20"/>
              </w:rPr>
              <w:t xml:space="preserve"> for </w:t>
            </w:r>
            <w:r w:rsidR="000E0555" w:rsidRPr="00E84304">
              <w:rPr>
                <w:sz w:val="20"/>
                <w:szCs w:val="20"/>
              </w:rPr>
              <w:t>cross-</w:t>
            </w:r>
            <w:r w:rsidR="209080F1" w:rsidRPr="00E84304">
              <w:rPr>
                <w:sz w:val="20"/>
                <w:szCs w:val="20"/>
              </w:rPr>
              <w:t>border</w:t>
            </w:r>
            <w:r w:rsidR="49566F15" w:rsidRPr="00E84304">
              <w:rPr>
                <w:sz w:val="20"/>
                <w:szCs w:val="20"/>
              </w:rPr>
              <w:t xml:space="preserve"> </w:t>
            </w:r>
            <w:r w:rsidR="209080F1" w:rsidRPr="00E84304">
              <w:rPr>
                <w:sz w:val="20"/>
                <w:szCs w:val="20"/>
              </w:rPr>
              <w:t>collaborations</w:t>
            </w:r>
            <w:r w:rsidR="00E504F3" w:rsidRPr="00E84304">
              <w:rPr>
                <w:sz w:val="20"/>
                <w:szCs w:val="20"/>
              </w:rPr>
              <w:t xml:space="preserve"> for </w:t>
            </w:r>
            <w:r w:rsidR="00C64872" w:rsidRPr="00E84304">
              <w:rPr>
                <w:sz w:val="20"/>
                <w:szCs w:val="20"/>
              </w:rPr>
              <w:t>both COVID-19 and routine vaccines.</w:t>
            </w:r>
          </w:p>
          <w:p w14:paraId="167C2B85" w14:textId="5849AFB9" w:rsidR="0071439C" w:rsidRPr="00E84304" w:rsidRDefault="567600E9" w:rsidP="009B1CC3">
            <w:pPr>
              <w:pStyle w:val="ListParagraph"/>
              <w:numPr>
                <w:ilvl w:val="0"/>
                <w:numId w:val="6"/>
              </w:numPr>
              <w:rPr>
                <w:rFonts w:asciiTheme="minorHAnsi" w:eastAsiaTheme="minorEastAsia" w:hAnsiTheme="minorHAnsi" w:cstheme="minorBidi"/>
                <w:sz w:val="20"/>
                <w:szCs w:val="20"/>
              </w:rPr>
            </w:pPr>
            <w:r w:rsidRPr="00E84304">
              <w:rPr>
                <w:sz w:val="20"/>
                <w:szCs w:val="20"/>
              </w:rPr>
              <w:t>Providing</w:t>
            </w:r>
            <w:r w:rsidR="78B3B584" w:rsidRPr="00E84304">
              <w:rPr>
                <w:sz w:val="20"/>
                <w:szCs w:val="20"/>
              </w:rPr>
              <w:t xml:space="preserve"> </w:t>
            </w:r>
            <w:r w:rsidR="0034613F" w:rsidRPr="00E84304">
              <w:rPr>
                <w:sz w:val="20"/>
                <w:szCs w:val="20"/>
              </w:rPr>
              <w:t>technical</w:t>
            </w:r>
            <w:r w:rsidR="78B3B584" w:rsidRPr="00E84304">
              <w:rPr>
                <w:sz w:val="20"/>
                <w:szCs w:val="20"/>
              </w:rPr>
              <w:t xml:space="preserve"> </w:t>
            </w:r>
            <w:r w:rsidRPr="00E84304">
              <w:rPr>
                <w:sz w:val="20"/>
                <w:szCs w:val="20"/>
              </w:rPr>
              <w:t>assistance to the EPI Program</w:t>
            </w:r>
            <w:r w:rsidR="78B3B584" w:rsidRPr="00E84304">
              <w:rPr>
                <w:sz w:val="20"/>
                <w:szCs w:val="20"/>
              </w:rPr>
              <w:t xml:space="preserve"> for the </w:t>
            </w:r>
            <w:r w:rsidR="00080ED4" w:rsidRPr="00E84304">
              <w:rPr>
                <w:sz w:val="20"/>
                <w:szCs w:val="20"/>
              </w:rPr>
              <w:t>periodic</w:t>
            </w:r>
            <w:r w:rsidR="78B3B584" w:rsidRPr="00E84304">
              <w:rPr>
                <w:sz w:val="20"/>
                <w:szCs w:val="20"/>
              </w:rPr>
              <w:t xml:space="preserve"> EPI </w:t>
            </w:r>
            <w:r w:rsidR="00E7013A" w:rsidRPr="00E84304">
              <w:rPr>
                <w:sz w:val="20"/>
                <w:szCs w:val="20"/>
              </w:rPr>
              <w:t xml:space="preserve">evaluation, </w:t>
            </w:r>
            <w:r w:rsidRPr="00E84304">
              <w:rPr>
                <w:sz w:val="20"/>
                <w:szCs w:val="20"/>
              </w:rPr>
              <w:t xml:space="preserve">to estimate </w:t>
            </w:r>
            <w:r w:rsidR="78B3B584" w:rsidRPr="00E84304">
              <w:rPr>
                <w:sz w:val="20"/>
                <w:szCs w:val="20"/>
              </w:rPr>
              <w:t>the immunization coverage by data triangulation and identify</w:t>
            </w:r>
            <w:r w:rsidR="00A60B3A" w:rsidRPr="00E84304">
              <w:rPr>
                <w:sz w:val="20"/>
                <w:szCs w:val="20"/>
              </w:rPr>
              <w:t>ing</w:t>
            </w:r>
            <w:r w:rsidR="78B3B584" w:rsidRPr="00E84304">
              <w:rPr>
                <w:sz w:val="20"/>
                <w:szCs w:val="20"/>
              </w:rPr>
              <w:t xml:space="preserve"> low immunization coverage areas for prioritization. </w:t>
            </w:r>
          </w:p>
          <w:p w14:paraId="4DD0639C" w14:textId="20AE42E9" w:rsidR="0071439C" w:rsidRPr="00E84304" w:rsidRDefault="567600E9" w:rsidP="009B1CC3">
            <w:pPr>
              <w:pStyle w:val="ListParagraph"/>
              <w:numPr>
                <w:ilvl w:val="0"/>
                <w:numId w:val="6"/>
              </w:numPr>
              <w:rPr>
                <w:sz w:val="20"/>
                <w:szCs w:val="20"/>
              </w:rPr>
            </w:pPr>
            <w:r w:rsidRPr="00E84304">
              <w:rPr>
                <w:sz w:val="20"/>
                <w:szCs w:val="20"/>
              </w:rPr>
              <w:t>Providing technical assistance to the EPI Program</w:t>
            </w:r>
            <w:r w:rsidR="00E7013A">
              <w:rPr>
                <w:sz w:val="20"/>
                <w:szCs w:val="20"/>
              </w:rPr>
              <w:t xml:space="preserve"> </w:t>
            </w:r>
            <w:r w:rsidR="78B3B584" w:rsidRPr="00E84304">
              <w:rPr>
                <w:sz w:val="20"/>
                <w:szCs w:val="20"/>
              </w:rPr>
              <w:t>for catch-up vaccination, especially in low coverage areas and underserved areas w</w:t>
            </w:r>
            <w:r w:rsidR="005A46D0" w:rsidRPr="00E84304">
              <w:rPr>
                <w:sz w:val="20"/>
                <w:szCs w:val="20"/>
              </w:rPr>
              <w:t>ith</w:t>
            </w:r>
            <w:r w:rsidR="78B3B584" w:rsidRPr="00E84304">
              <w:rPr>
                <w:sz w:val="20"/>
                <w:szCs w:val="20"/>
              </w:rPr>
              <w:t xml:space="preserve"> high zero-dose and missed children, in close coordination with state/regional focal persons. </w:t>
            </w:r>
          </w:p>
          <w:p w14:paraId="2C1AFE8D" w14:textId="63653980" w:rsidR="0071439C" w:rsidRPr="00E84304" w:rsidRDefault="12EA1310" w:rsidP="009B1CC3">
            <w:pPr>
              <w:pStyle w:val="ListParagraph"/>
              <w:numPr>
                <w:ilvl w:val="0"/>
                <w:numId w:val="6"/>
              </w:numPr>
              <w:rPr>
                <w:rFonts w:asciiTheme="minorHAnsi" w:eastAsiaTheme="minorEastAsia" w:hAnsiTheme="minorHAnsi" w:cstheme="minorBidi"/>
                <w:sz w:val="20"/>
                <w:szCs w:val="20"/>
              </w:rPr>
            </w:pPr>
            <w:r w:rsidRPr="00E84304">
              <w:rPr>
                <w:sz w:val="20"/>
                <w:szCs w:val="20"/>
              </w:rPr>
              <w:t>Filling</w:t>
            </w:r>
            <w:r w:rsidR="78B3B584" w:rsidRPr="00E84304">
              <w:rPr>
                <w:sz w:val="20"/>
                <w:szCs w:val="20"/>
              </w:rPr>
              <w:t xml:space="preserve"> the human resources </w:t>
            </w:r>
            <w:r w:rsidRPr="00E84304">
              <w:rPr>
                <w:sz w:val="20"/>
                <w:szCs w:val="20"/>
              </w:rPr>
              <w:t xml:space="preserve">gap </w:t>
            </w:r>
            <w:r w:rsidR="78B3B584" w:rsidRPr="00E84304">
              <w:rPr>
                <w:sz w:val="20"/>
                <w:szCs w:val="20"/>
              </w:rPr>
              <w:t xml:space="preserve">at states/regions and central level, </w:t>
            </w:r>
            <w:r w:rsidRPr="00E84304">
              <w:rPr>
                <w:sz w:val="20"/>
                <w:szCs w:val="20"/>
              </w:rPr>
              <w:t xml:space="preserve">recruiting the seconded staff for </w:t>
            </w:r>
            <w:r w:rsidR="78B3B584" w:rsidRPr="00E84304">
              <w:rPr>
                <w:sz w:val="20"/>
                <w:szCs w:val="20"/>
              </w:rPr>
              <w:t xml:space="preserve">the vacant medical officers and administrative assistants for the immunization and VPD surveillance. </w:t>
            </w:r>
          </w:p>
          <w:p w14:paraId="32C4D3EB" w14:textId="4F825C37" w:rsidR="0071439C" w:rsidRPr="00E84304" w:rsidRDefault="567600E9" w:rsidP="009B1CC3">
            <w:pPr>
              <w:pStyle w:val="ListParagraph"/>
              <w:numPr>
                <w:ilvl w:val="0"/>
                <w:numId w:val="6"/>
              </w:numPr>
              <w:rPr>
                <w:rFonts w:asciiTheme="minorHAnsi" w:eastAsiaTheme="minorEastAsia" w:hAnsiTheme="minorHAnsi" w:cstheme="minorBidi"/>
                <w:sz w:val="20"/>
                <w:szCs w:val="20"/>
              </w:rPr>
            </w:pPr>
            <w:r w:rsidRPr="00E84304">
              <w:rPr>
                <w:sz w:val="20"/>
                <w:szCs w:val="20"/>
              </w:rPr>
              <w:t>Strengthening</w:t>
            </w:r>
            <w:r w:rsidR="78B3B584" w:rsidRPr="00E84304">
              <w:rPr>
                <w:sz w:val="20"/>
                <w:szCs w:val="20"/>
              </w:rPr>
              <w:t xml:space="preserve"> VPD surveillance by providing support for capacity building of staff working on VPD surveillance and data triangulation</w:t>
            </w:r>
            <w:r w:rsidR="00A60B3A" w:rsidRPr="00E84304">
              <w:rPr>
                <w:sz w:val="20"/>
                <w:szCs w:val="20"/>
              </w:rPr>
              <w:t>, including</w:t>
            </w:r>
            <w:r w:rsidR="78B3B584" w:rsidRPr="00E84304">
              <w:rPr>
                <w:sz w:val="20"/>
                <w:szCs w:val="20"/>
              </w:rPr>
              <w:t xml:space="preserve"> outbreaks and surveillance data, to identify and reach zero-dose and under-immunized children and missed children. Also</w:t>
            </w:r>
            <w:r w:rsidR="00A60B3A" w:rsidRPr="00E84304">
              <w:rPr>
                <w:sz w:val="20"/>
                <w:szCs w:val="20"/>
              </w:rPr>
              <w:t>,</w:t>
            </w:r>
            <w:r w:rsidR="78B3B584" w:rsidRPr="00E84304">
              <w:rPr>
                <w:sz w:val="20"/>
                <w:szCs w:val="20"/>
              </w:rPr>
              <w:t xml:space="preserve"> support for the laboratory capacity for the VPD surveillance. </w:t>
            </w:r>
            <w:r w:rsidRPr="00E84304">
              <w:rPr>
                <w:sz w:val="20"/>
                <w:szCs w:val="20"/>
              </w:rPr>
              <w:t>WHO and UNICEF</w:t>
            </w:r>
            <w:r w:rsidR="78B3B584" w:rsidRPr="00E84304">
              <w:rPr>
                <w:sz w:val="20"/>
                <w:szCs w:val="20"/>
              </w:rPr>
              <w:t xml:space="preserve"> will also provide support for outbreak response immunization in the areas of VPD outbreaks, as and when required.</w:t>
            </w:r>
          </w:p>
          <w:p w14:paraId="18759295" w14:textId="5536F659" w:rsidR="00080ED4" w:rsidRPr="00E84304" w:rsidRDefault="00080ED4" w:rsidP="009B1CC3">
            <w:pPr>
              <w:pStyle w:val="ListParagraph"/>
              <w:numPr>
                <w:ilvl w:val="0"/>
                <w:numId w:val="6"/>
              </w:numPr>
              <w:rPr>
                <w:rFonts w:asciiTheme="minorHAnsi" w:eastAsiaTheme="minorEastAsia" w:hAnsiTheme="minorHAnsi" w:cstheme="minorBidi"/>
                <w:sz w:val="20"/>
                <w:szCs w:val="20"/>
              </w:rPr>
            </w:pPr>
            <w:r w:rsidRPr="00E84304">
              <w:rPr>
                <w:sz w:val="20"/>
                <w:szCs w:val="20"/>
              </w:rPr>
              <w:t xml:space="preserve">Supporting the AEFI &amp; AESI Surveillance for COVID-19 vaccination </w:t>
            </w:r>
            <w:r w:rsidR="09B39F40" w:rsidRPr="00E84304">
              <w:rPr>
                <w:sz w:val="20"/>
                <w:szCs w:val="20"/>
              </w:rPr>
              <w:t>and</w:t>
            </w:r>
            <w:r w:rsidRPr="00E84304">
              <w:rPr>
                <w:sz w:val="20"/>
                <w:szCs w:val="20"/>
              </w:rPr>
              <w:t xml:space="preserve">  AEFI case management.</w:t>
            </w:r>
          </w:p>
          <w:p w14:paraId="4294A229" w14:textId="181EBF49" w:rsidR="0071439C" w:rsidRPr="00E84304" w:rsidRDefault="78B3B584" w:rsidP="009B1CC3">
            <w:pPr>
              <w:pStyle w:val="ListParagraph"/>
              <w:numPr>
                <w:ilvl w:val="0"/>
                <w:numId w:val="6"/>
              </w:numPr>
              <w:rPr>
                <w:rFonts w:asciiTheme="minorHAnsi" w:eastAsiaTheme="minorEastAsia" w:hAnsiTheme="minorHAnsi" w:cstheme="minorBidi"/>
                <w:strike/>
                <w:sz w:val="20"/>
                <w:szCs w:val="20"/>
              </w:rPr>
            </w:pPr>
            <w:r w:rsidRPr="00E84304">
              <w:rPr>
                <w:sz w:val="20"/>
                <w:szCs w:val="20"/>
              </w:rPr>
              <w:t xml:space="preserve">Technical support for deployment of COVAX facility supplied vaccines </w:t>
            </w:r>
            <w:r w:rsidR="12EA1310" w:rsidRPr="00E84304">
              <w:rPr>
                <w:sz w:val="20"/>
                <w:szCs w:val="20"/>
              </w:rPr>
              <w:t>and</w:t>
            </w:r>
            <w:r w:rsidRPr="00E84304">
              <w:rPr>
                <w:sz w:val="20"/>
                <w:szCs w:val="20"/>
              </w:rPr>
              <w:t xml:space="preserve"> vaccines supplied through Humanitarian Buffer for </w:t>
            </w:r>
            <w:r w:rsidR="12EA1310" w:rsidRPr="00E84304">
              <w:rPr>
                <w:sz w:val="20"/>
                <w:szCs w:val="20"/>
              </w:rPr>
              <w:t>vaccination</w:t>
            </w:r>
            <w:r w:rsidRPr="00E84304">
              <w:rPr>
                <w:sz w:val="20"/>
                <w:szCs w:val="20"/>
              </w:rPr>
              <w:t xml:space="preserve"> of population in EHO areas, border areas</w:t>
            </w:r>
            <w:r w:rsidR="00FD4299">
              <w:rPr>
                <w:sz w:val="20"/>
                <w:szCs w:val="20"/>
              </w:rPr>
              <w:t>,</w:t>
            </w:r>
            <w:r w:rsidRPr="00E84304">
              <w:rPr>
                <w:sz w:val="20"/>
                <w:szCs w:val="20"/>
              </w:rPr>
              <w:t xml:space="preserve"> etc.</w:t>
            </w:r>
            <w:r w:rsidR="00FD4299">
              <w:rPr>
                <w:sz w:val="20"/>
                <w:szCs w:val="20"/>
              </w:rPr>
              <w:t>,</w:t>
            </w:r>
            <w:r w:rsidRPr="00E84304">
              <w:rPr>
                <w:sz w:val="20"/>
                <w:szCs w:val="20"/>
              </w:rPr>
              <w:t xml:space="preserve"> to ensure equity</w:t>
            </w:r>
            <w:r w:rsidRPr="00E84304">
              <w:rPr>
                <w:strike/>
                <w:sz w:val="20"/>
                <w:szCs w:val="20"/>
              </w:rPr>
              <w:t>.</w:t>
            </w:r>
          </w:p>
          <w:p w14:paraId="711BDEEA" w14:textId="29D2D414" w:rsidR="00AF294B" w:rsidRPr="00E84304" w:rsidRDefault="008532B2" w:rsidP="009B1CC3">
            <w:pPr>
              <w:pStyle w:val="ListParagraph"/>
              <w:numPr>
                <w:ilvl w:val="0"/>
                <w:numId w:val="6"/>
              </w:numPr>
              <w:rPr>
                <w:rFonts w:asciiTheme="minorHAnsi" w:eastAsiaTheme="minorEastAsia" w:hAnsiTheme="minorHAnsi" w:cstheme="minorBidi"/>
                <w:sz w:val="20"/>
                <w:szCs w:val="20"/>
              </w:rPr>
            </w:pPr>
            <w:r w:rsidRPr="00E84304">
              <w:rPr>
                <w:sz w:val="20"/>
                <w:szCs w:val="20"/>
              </w:rPr>
              <w:t xml:space="preserve">Ensuring intensive support to </w:t>
            </w:r>
            <w:r w:rsidR="003A1DD3" w:rsidRPr="00E84304">
              <w:rPr>
                <w:sz w:val="20"/>
                <w:szCs w:val="20"/>
              </w:rPr>
              <w:t>build</w:t>
            </w:r>
            <w:r w:rsidRPr="00E84304">
              <w:rPr>
                <w:sz w:val="20"/>
                <w:szCs w:val="20"/>
              </w:rPr>
              <w:t xml:space="preserve"> a robust immunization supply </w:t>
            </w:r>
            <w:r w:rsidR="003A1DD3" w:rsidRPr="00E84304">
              <w:rPr>
                <w:sz w:val="20"/>
                <w:szCs w:val="20"/>
              </w:rPr>
              <w:t xml:space="preserve">chain system which would allow </w:t>
            </w:r>
            <w:r w:rsidR="00DE402B" w:rsidRPr="00E84304">
              <w:rPr>
                <w:sz w:val="20"/>
                <w:szCs w:val="20"/>
              </w:rPr>
              <w:t>ensuring</w:t>
            </w:r>
            <w:r w:rsidR="003A1DD3" w:rsidRPr="00E84304">
              <w:rPr>
                <w:sz w:val="20"/>
                <w:szCs w:val="20"/>
              </w:rPr>
              <w:t xml:space="preserve"> vaccine safety, </w:t>
            </w:r>
            <w:r w:rsidR="00DE402B" w:rsidRPr="00E84304">
              <w:rPr>
                <w:sz w:val="20"/>
                <w:szCs w:val="20"/>
              </w:rPr>
              <w:t xml:space="preserve">available information to make informed </w:t>
            </w:r>
            <w:r w:rsidR="003C2454" w:rsidRPr="00E84304">
              <w:rPr>
                <w:sz w:val="20"/>
                <w:szCs w:val="20"/>
              </w:rPr>
              <w:t>decisions</w:t>
            </w:r>
            <w:r w:rsidR="00FD4299">
              <w:rPr>
                <w:sz w:val="20"/>
                <w:szCs w:val="20"/>
              </w:rPr>
              <w:t>,</w:t>
            </w:r>
            <w:r w:rsidR="00DE402B" w:rsidRPr="00E84304">
              <w:rPr>
                <w:sz w:val="20"/>
                <w:szCs w:val="20"/>
              </w:rPr>
              <w:t xml:space="preserve"> and program performance</w:t>
            </w:r>
          </w:p>
          <w:p w14:paraId="0FBDDF93" w14:textId="0F75A599" w:rsidR="0071439C" w:rsidRPr="00E84304" w:rsidRDefault="78B3B584" w:rsidP="009B1CC3">
            <w:pPr>
              <w:pStyle w:val="ListParagraph"/>
              <w:numPr>
                <w:ilvl w:val="0"/>
                <w:numId w:val="6"/>
              </w:numPr>
              <w:rPr>
                <w:rFonts w:asciiTheme="minorHAnsi" w:eastAsiaTheme="minorEastAsia" w:hAnsiTheme="minorHAnsi" w:cstheme="minorBidi"/>
                <w:sz w:val="20"/>
                <w:szCs w:val="20"/>
              </w:rPr>
            </w:pPr>
            <w:r w:rsidRPr="00E84304">
              <w:rPr>
                <w:sz w:val="20"/>
                <w:szCs w:val="20"/>
              </w:rPr>
              <w:lastRenderedPageBreak/>
              <w:t>Support for the revitalization</w:t>
            </w:r>
            <w:r w:rsidR="567600E9" w:rsidRPr="00E84304">
              <w:rPr>
                <w:sz w:val="20"/>
                <w:szCs w:val="20"/>
              </w:rPr>
              <w:t xml:space="preserve"> </w:t>
            </w:r>
            <w:r w:rsidRPr="00E84304">
              <w:rPr>
                <w:sz w:val="20"/>
                <w:szCs w:val="20"/>
              </w:rPr>
              <w:t xml:space="preserve">of NITAG </w:t>
            </w:r>
            <w:r w:rsidR="567600E9" w:rsidRPr="00E84304">
              <w:rPr>
                <w:sz w:val="20"/>
                <w:szCs w:val="20"/>
              </w:rPr>
              <w:t xml:space="preserve">and other EPI committees </w:t>
            </w:r>
            <w:r w:rsidRPr="00E84304">
              <w:rPr>
                <w:sz w:val="20"/>
                <w:szCs w:val="20"/>
              </w:rPr>
              <w:t>according to WHO recommendation</w:t>
            </w:r>
            <w:r w:rsidR="00FD4299">
              <w:rPr>
                <w:sz w:val="20"/>
                <w:szCs w:val="20"/>
              </w:rPr>
              <w:t>s</w:t>
            </w:r>
            <w:r w:rsidRPr="00E84304">
              <w:rPr>
                <w:sz w:val="20"/>
                <w:szCs w:val="20"/>
              </w:rPr>
              <w:t xml:space="preserve"> and conduct regular/</w:t>
            </w:r>
            <w:r w:rsidR="567600E9" w:rsidRPr="00E84304">
              <w:rPr>
                <w:sz w:val="20"/>
                <w:szCs w:val="20"/>
              </w:rPr>
              <w:t>ad-hoc</w:t>
            </w:r>
            <w:r w:rsidRPr="00E84304">
              <w:rPr>
                <w:sz w:val="20"/>
                <w:szCs w:val="20"/>
              </w:rPr>
              <w:t xml:space="preserve"> meetings for the guidance on vaccination</w:t>
            </w:r>
            <w:r w:rsidR="003C2454" w:rsidRPr="00E84304">
              <w:rPr>
                <w:sz w:val="20"/>
                <w:szCs w:val="20"/>
              </w:rPr>
              <w:t>,</w:t>
            </w:r>
            <w:r w:rsidRPr="00E84304">
              <w:rPr>
                <w:sz w:val="20"/>
                <w:szCs w:val="20"/>
              </w:rPr>
              <w:t xml:space="preserve"> especially </w:t>
            </w:r>
            <w:r w:rsidR="00FD4299">
              <w:rPr>
                <w:sz w:val="20"/>
                <w:szCs w:val="20"/>
              </w:rPr>
              <w:t>for</w:t>
            </w:r>
            <w:r w:rsidRPr="00E84304">
              <w:rPr>
                <w:sz w:val="20"/>
                <w:szCs w:val="20"/>
              </w:rPr>
              <w:t xml:space="preserve"> zero-dose children, unimmunized</w:t>
            </w:r>
            <w:r w:rsidR="00FD4299">
              <w:rPr>
                <w:sz w:val="20"/>
                <w:szCs w:val="20"/>
              </w:rPr>
              <w:t>,</w:t>
            </w:r>
            <w:r w:rsidRPr="00E84304">
              <w:rPr>
                <w:sz w:val="20"/>
                <w:szCs w:val="20"/>
              </w:rPr>
              <w:t xml:space="preserve"> and miss</w:t>
            </w:r>
            <w:r w:rsidR="00FD4299">
              <w:rPr>
                <w:sz w:val="20"/>
                <w:szCs w:val="20"/>
              </w:rPr>
              <w:t>ing</w:t>
            </w:r>
            <w:r w:rsidRPr="00E84304">
              <w:rPr>
                <w:sz w:val="20"/>
                <w:szCs w:val="20"/>
              </w:rPr>
              <w:t xml:space="preserve"> children.</w:t>
            </w:r>
          </w:p>
          <w:p w14:paraId="1BDDF6F3" w14:textId="2F5E99C7" w:rsidR="00B65080" w:rsidRPr="00E84304" w:rsidRDefault="7CCD6A27" w:rsidP="009B1CC3">
            <w:pPr>
              <w:pStyle w:val="ListParagraph"/>
              <w:numPr>
                <w:ilvl w:val="0"/>
                <w:numId w:val="6"/>
              </w:numPr>
              <w:rPr>
                <w:rFonts w:asciiTheme="minorHAnsi" w:eastAsiaTheme="minorEastAsia" w:hAnsiTheme="minorHAnsi" w:cstheme="minorBidi"/>
                <w:sz w:val="20"/>
                <w:szCs w:val="20"/>
              </w:rPr>
            </w:pPr>
            <w:r w:rsidRPr="00E84304">
              <w:rPr>
                <w:sz w:val="20"/>
                <w:szCs w:val="20"/>
              </w:rPr>
              <w:t>Establishing</w:t>
            </w:r>
            <w:r w:rsidR="00191D88" w:rsidRPr="00E84304">
              <w:rPr>
                <w:sz w:val="20"/>
                <w:szCs w:val="20"/>
              </w:rPr>
              <w:t xml:space="preserve"> a </w:t>
            </w:r>
            <w:r w:rsidR="00CC1C30" w:rsidRPr="00E84304">
              <w:rPr>
                <w:sz w:val="20"/>
                <w:szCs w:val="20"/>
              </w:rPr>
              <w:t xml:space="preserve">coordination and collaboration mechanism to engage with </w:t>
            </w:r>
            <w:r w:rsidR="00B65080" w:rsidRPr="00E84304">
              <w:rPr>
                <w:sz w:val="20"/>
                <w:szCs w:val="20"/>
              </w:rPr>
              <w:t>multiple sectors</w:t>
            </w:r>
            <w:r w:rsidR="00FD4299">
              <w:rPr>
                <w:sz w:val="20"/>
                <w:szCs w:val="20"/>
              </w:rPr>
              <w:t>,</w:t>
            </w:r>
            <w:r w:rsidR="00B65080" w:rsidRPr="00E84304">
              <w:rPr>
                <w:sz w:val="20"/>
                <w:szCs w:val="20"/>
              </w:rPr>
              <w:t xml:space="preserve"> including education sectors, </w:t>
            </w:r>
            <w:r w:rsidR="00191D88" w:rsidRPr="00E84304">
              <w:rPr>
                <w:sz w:val="20"/>
                <w:szCs w:val="20"/>
              </w:rPr>
              <w:t>both profit and non-profit organizations</w:t>
            </w:r>
            <w:r w:rsidR="00CC1C30" w:rsidRPr="00E84304">
              <w:rPr>
                <w:sz w:val="20"/>
                <w:szCs w:val="20"/>
              </w:rPr>
              <w:t>.</w:t>
            </w:r>
          </w:p>
          <w:p w14:paraId="0C49E76B" w14:textId="4B1C8040" w:rsidR="0071439C" w:rsidRPr="00E84304" w:rsidRDefault="78B3B584" w:rsidP="009B1CC3">
            <w:pPr>
              <w:pStyle w:val="ListParagraph"/>
              <w:numPr>
                <w:ilvl w:val="0"/>
                <w:numId w:val="6"/>
              </w:numPr>
              <w:spacing w:before="120"/>
              <w:rPr>
                <w:rFonts w:asciiTheme="minorHAnsi" w:eastAsiaTheme="minorEastAsia" w:hAnsiTheme="minorHAnsi" w:cstheme="minorBidi"/>
                <w:sz w:val="20"/>
                <w:szCs w:val="20"/>
              </w:rPr>
            </w:pPr>
            <w:r w:rsidRPr="00E84304">
              <w:rPr>
                <w:sz w:val="20"/>
                <w:szCs w:val="20"/>
              </w:rPr>
              <w:t>Capacity building of new staff on overall HMIS</w:t>
            </w:r>
            <w:r w:rsidR="00FD4299">
              <w:rPr>
                <w:sz w:val="20"/>
                <w:szCs w:val="20"/>
              </w:rPr>
              <w:t>,</w:t>
            </w:r>
            <w:r w:rsidRPr="00E84304">
              <w:rPr>
                <w:sz w:val="20"/>
                <w:szCs w:val="20"/>
              </w:rPr>
              <w:t xml:space="preserve"> including the EPI teams</w:t>
            </w:r>
            <w:r w:rsidR="002D35E5">
              <w:rPr>
                <w:sz w:val="20"/>
                <w:szCs w:val="20"/>
              </w:rPr>
              <w:t>, emphasizing the identification of zero-dose, under-immunized, and missing children by data triangulation, including outbreak and surveillance data; and finalizing</w:t>
            </w:r>
            <w:r w:rsidR="60BD9F29" w:rsidRPr="00E84304">
              <w:rPr>
                <w:color w:val="000000" w:themeColor="text1"/>
                <w:sz w:val="20"/>
                <w:szCs w:val="20"/>
              </w:rPr>
              <w:t xml:space="preserve"> WHO EPI dashboards and VPD surveillance package implementation. </w:t>
            </w:r>
            <w:r w:rsidR="005836D9" w:rsidRPr="00E84304">
              <w:rPr>
                <w:sz w:val="20"/>
                <w:szCs w:val="20"/>
              </w:rPr>
              <w:t>Continuous advocacy on earmarking adequate budget support immunization program activities such as supplementary immunization activities, procurement of vaccines</w:t>
            </w:r>
            <w:r w:rsidR="003C2454" w:rsidRPr="00E84304">
              <w:rPr>
                <w:sz w:val="20"/>
                <w:szCs w:val="20"/>
              </w:rPr>
              <w:t>,</w:t>
            </w:r>
            <w:r w:rsidR="005836D9" w:rsidRPr="00E84304">
              <w:rPr>
                <w:sz w:val="20"/>
                <w:szCs w:val="20"/>
              </w:rPr>
              <w:t xml:space="preserve"> and syringes.</w:t>
            </w:r>
            <w:r w:rsidR="009F0811" w:rsidRPr="00E84304">
              <w:rPr>
                <w:sz w:val="20"/>
                <w:szCs w:val="20"/>
              </w:rPr>
              <w:t xml:space="preserve"> </w:t>
            </w:r>
            <w:r w:rsidR="003C2454" w:rsidRPr="00E84304">
              <w:rPr>
                <w:sz w:val="20"/>
                <w:szCs w:val="20"/>
              </w:rPr>
              <w:t>Technical</w:t>
            </w:r>
            <w:r w:rsidR="009F0811" w:rsidRPr="00E84304">
              <w:rPr>
                <w:sz w:val="20"/>
                <w:szCs w:val="20"/>
              </w:rPr>
              <w:t xml:space="preserve"> assistance will also</w:t>
            </w:r>
            <w:r w:rsidR="00DA7CD9" w:rsidRPr="00E84304">
              <w:rPr>
                <w:sz w:val="20"/>
                <w:szCs w:val="20"/>
              </w:rPr>
              <w:t xml:space="preserve"> </w:t>
            </w:r>
            <w:r w:rsidR="003C2454" w:rsidRPr="00E84304">
              <w:rPr>
                <w:sz w:val="20"/>
                <w:szCs w:val="20"/>
              </w:rPr>
              <w:t xml:space="preserve">be </w:t>
            </w:r>
            <w:r w:rsidR="00DA7CD9" w:rsidRPr="00E84304">
              <w:rPr>
                <w:sz w:val="20"/>
                <w:szCs w:val="20"/>
              </w:rPr>
              <w:t xml:space="preserve">given to </w:t>
            </w:r>
            <w:r w:rsidR="003C2454" w:rsidRPr="00E84304">
              <w:rPr>
                <w:sz w:val="20"/>
                <w:szCs w:val="20"/>
              </w:rPr>
              <w:t>developing</w:t>
            </w:r>
            <w:r w:rsidR="00DA7CD9" w:rsidRPr="00E84304">
              <w:rPr>
                <w:sz w:val="20"/>
                <w:szCs w:val="20"/>
              </w:rPr>
              <w:t xml:space="preserve"> a </w:t>
            </w:r>
            <w:r w:rsidR="003C2454" w:rsidRPr="00E84304">
              <w:rPr>
                <w:sz w:val="20"/>
                <w:szCs w:val="20"/>
              </w:rPr>
              <w:t>system</w:t>
            </w:r>
            <w:r w:rsidR="00DA7CD9" w:rsidRPr="00E84304">
              <w:rPr>
                <w:sz w:val="20"/>
                <w:szCs w:val="20"/>
              </w:rPr>
              <w:t xml:space="preserve"> for cold chain </w:t>
            </w:r>
            <w:r w:rsidR="003C2454" w:rsidRPr="00E84304">
              <w:rPr>
                <w:sz w:val="20"/>
                <w:szCs w:val="20"/>
              </w:rPr>
              <w:t xml:space="preserve">maintenance. </w:t>
            </w:r>
          </w:p>
        </w:tc>
      </w:tr>
      <w:tr w:rsidR="002E0882" w14:paraId="733DCE72" w14:textId="77777777" w:rsidTr="007B53D1">
        <w:tc>
          <w:tcPr>
            <w:tcW w:w="9192" w:type="dxa"/>
            <w:tcBorders>
              <w:top w:val="single" w:sz="4" w:space="0" w:color="auto"/>
              <w:bottom w:val="single" w:sz="4" w:space="0" w:color="auto"/>
            </w:tcBorders>
            <w:shd w:val="clear" w:color="auto" w:fill="F2F2F2" w:themeFill="background1" w:themeFillShade="F2"/>
          </w:tcPr>
          <w:p w14:paraId="39970F96" w14:textId="11A017A2" w:rsidR="002E0882" w:rsidRPr="00CF3BC4" w:rsidRDefault="002E0882" w:rsidP="007B53D1">
            <w:pPr>
              <w:pStyle w:val="ListParagraph"/>
              <w:spacing w:line="300" w:lineRule="exact"/>
              <w:ind w:left="0"/>
              <w:rPr>
                <w:b/>
                <w:bCs/>
                <w:i/>
                <w:iCs/>
                <w:color w:val="000000" w:themeColor="text1"/>
                <w:sz w:val="20"/>
                <w:szCs w:val="20"/>
              </w:rPr>
            </w:pPr>
            <w:r>
              <w:rPr>
                <w:b/>
                <w:bCs/>
                <w:i/>
                <w:iCs/>
                <w:sz w:val="20"/>
                <w:szCs w:val="20"/>
              </w:rPr>
              <w:lastRenderedPageBreak/>
              <w:t xml:space="preserve">2.3 </w:t>
            </w:r>
            <w:r w:rsidRPr="00CF3BC4">
              <w:rPr>
                <w:b/>
                <w:bCs/>
                <w:i/>
                <w:iCs/>
                <w:sz w:val="20"/>
                <w:szCs w:val="20"/>
              </w:rPr>
              <w:t xml:space="preserve">How will you use new vaccine introductions and campaigns planned during this period to </w:t>
            </w:r>
            <w:r w:rsidR="002D35E5">
              <w:rPr>
                <w:b/>
                <w:bCs/>
                <w:i/>
                <w:iCs/>
                <w:sz w:val="20"/>
                <w:szCs w:val="20"/>
              </w:rPr>
              <w:t>strengthen further</w:t>
            </w:r>
            <w:r w:rsidR="00AF4BE7">
              <w:rPr>
                <w:b/>
                <w:bCs/>
                <w:i/>
                <w:iCs/>
                <w:sz w:val="20"/>
                <w:szCs w:val="20"/>
              </w:rPr>
              <w:t xml:space="preserve"> the areas indicated under question 2.2?</w:t>
            </w:r>
            <w:r w:rsidR="00BE66F8">
              <w:rPr>
                <w:b/>
                <w:bCs/>
                <w:i/>
                <w:iCs/>
                <w:sz w:val="20"/>
                <w:szCs w:val="20"/>
              </w:rPr>
              <w:t xml:space="preserve"> </w:t>
            </w:r>
          </w:p>
        </w:tc>
      </w:tr>
      <w:tr w:rsidR="002E0882" w:rsidRPr="006A272B" w14:paraId="3B0C1B4D" w14:textId="77777777" w:rsidTr="007B53D1">
        <w:tc>
          <w:tcPr>
            <w:tcW w:w="9192" w:type="dxa"/>
            <w:tcBorders>
              <w:top w:val="single" w:sz="4" w:space="0" w:color="auto"/>
              <w:left w:val="single" w:sz="4" w:space="0" w:color="auto"/>
              <w:bottom w:val="single" w:sz="4" w:space="0" w:color="auto"/>
              <w:right w:val="single" w:sz="4" w:space="0" w:color="auto"/>
            </w:tcBorders>
          </w:tcPr>
          <w:p w14:paraId="68E7E37F" w14:textId="536F4C76" w:rsidR="002E0882" w:rsidRDefault="00B22019" w:rsidP="009B1CC3">
            <w:pPr>
              <w:rPr>
                <w:sz w:val="20"/>
                <w:szCs w:val="20"/>
                <w:lang w:val="en-GB"/>
              </w:rPr>
            </w:pPr>
            <w:r>
              <w:rPr>
                <w:sz w:val="20"/>
                <w:szCs w:val="20"/>
                <w:lang w:val="en-GB"/>
              </w:rPr>
              <w:t>As mentioned, multiple catch</w:t>
            </w:r>
            <w:r w:rsidR="002D35E5">
              <w:rPr>
                <w:sz w:val="20"/>
                <w:szCs w:val="20"/>
                <w:lang w:val="en-GB"/>
              </w:rPr>
              <w:t>-</w:t>
            </w:r>
            <w:r>
              <w:rPr>
                <w:sz w:val="20"/>
                <w:szCs w:val="20"/>
                <w:lang w:val="en-GB"/>
              </w:rPr>
              <w:t>up activ</w:t>
            </w:r>
            <w:r w:rsidR="002D35E5">
              <w:rPr>
                <w:sz w:val="20"/>
                <w:szCs w:val="20"/>
                <w:lang w:val="en-GB"/>
              </w:rPr>
              <w:t>itie</w:t>
            </w:r>
            <w:r>
              <w:rPr>
                <w:sz w:val="20"/>
                <w:szCs w:val="20"/>
                <w:lang w:val="en-GB"/>
              </w:rPr>
              <w:t>s will be supported</w:t>
            </w:r>
            <w:r w:rsidR="0027288A">
              <w:rPr>
                <w:sz w:val="20"/>
                <w:szCs w:val="20"/>
                <w:lang w:val="en-GB"/>
              </w:rPr>
              <w:t xml:space="preserve"> along with </w:t>
            </w:r>
            <w:r w:rsidR="002D35E5">
              <w:rPr>
                <w:sz w:val="20"/>
                <w:szCs w:val="20"/>
                <w:lang w:val="en-GB"/>
              </w:rPr>
              <w:t>various</w:t>
            </w:r>
            <w:r w:rsidR="0027288A">
              <w:rPr>
                <w:sz w:val="20"/>
                <w:szCs w:val="20"/>
                <w:lang w:val="en-GB"/>
              </w:rPr>
              <w:t xml:space="preserve"> sectors. </w:t>
            </w:r>
          </w:p>
          <w:p w14:paraId="5FD58F68" w14:textId="77777777" w:rsidR="0027288A" w:rsidRDefault="0027288A" w:rsidP="009B1CC3">
            <w:pPr>
              <w:rPr>
                <w:sz w:val="20"/>
                <w:szCs w:val="20"/>
                <w:lang w:val="en-GB"/>
              </w:rPr>
            </w:pPr>
          </w:p>
          <w:p w14:paraId="2525ED44" w14:textId="2018B757" w:rsidR="00A33D4E" w:rsidRPr="006A272B" w:rsidRDefault="002D35E5" w:rsidP="009B1CC3">
            <w:pPr>
              <w:rPr>
                <w:sz w:val="20"/>
                <w:szCs w:val="20"/>
                <w:lang w:val="en-GB"/>
              </w:rPr>
            </w:pPr>
            <w:r>
              <w:rPr>
                <w:sz w:val="20"/>
                <w:szCs w:val="20"/>
                <w:lang w:val="en-GB"/>
              </w:rPr>
              <w:t>With the recommendation of NITAG, the national immunization program</w:t>
            </w:r>
            <w:r w:rsidR="0027288A" w:rsidRPr="0027288A">
              <w:rPr>
                <w:sz w:val="20"/>
                <w:szCs w:val="20"/>
                <w:lang w:val="en-GB"/>
              </w:rPr>
              <w:t xml:space="preserve"> </w:t>
            </w:r>
            <w:r w:rsidR="00343659">
              <w:rPr>
                <w:sz w:val="20"/>
                <w:szCs w:val="20"/>
                <w:lang w:val="en-GB"/>
              </w:rPr>
              <w:t>had planned to</w:t>
            </w:r>
            <w:r w:rsidR="0027288A" w:rsidRPr="0027288A">
              <w:rPr>
                <w:sz w:val="20"/>
                <w:szCs w:val="20"/>
                <w:lang w:val="en-GB"/>
              </w:rPr>
              <w:t xml:space="preserve"> introduce IPV2 into routine immunization</w:t>
            </w:r>
            <w:r w:rsidR="00343659">
              <w:rPr>
                <w:sz w:val="20"/>
                <w:szCs w:val="20"/>
                <w:lang w:val="en-GB"/>
              </w:rPr>
              <w:t>.</w:t>
            </w:r>
            <w:r w:rsidR="00411A6D">
              <w:rPr>
                <w:sz w:val="20"/>
                <w:szCs w:val="20"/>
                <w:lang w:val="en-GB"/>
              </w:rPr>
              <w:t xml:space="preserve"> </w:t>
            </w:r>
            <w:r w:rsidR="0027288A" w:rsidRPr="0027288A">
              <w:rPr>
                <w:sz w:val="20"/>
                <w:szCs w:val="20"/>
                <w:lang w:val="en-GB"/>
              </w:rPr>
              <w:t xml:space="preserve">As IPV second dose is recommended to give &gt; 4 months after the first dose, </w:t>
            </w:r>
            <w:r w:rsidR="000129C9">
              <w:rPr>
                <w:sz w:val="20"/>
                <w:szCs w:val="20"/>
                <w:lang w:val="en-GB"/>
              </w:rPr>
              <w:t>it was</w:t>
            </w:r>
            <w:r w:rsidR="0027288A" w:rsidRPr="0027288A">
              <w:rPr>
                <w:sz w:val="20"/>
                <w:szCs w:val="20"/>
                <w:lang w:val="en-GB"/>
              </w:rPr>
              <w:t xml:space="preserve"> propose</w:t>
            </w:r>
            <w:r w:rsidR="000129C9">
              <w:rPr>
                <w:sz w:val="20"/>
                <w:szCs w:val="20"/>
                <w:lang w:val="en-GB"/>
              </w:rPr>
              <w:t>d</w:t>
            </w:r>
            <w:r w:rsidR="0027288A" w:rsidRPr="0027288A">
              <w:rPr>
                <w:sz w:val="20"/>
                <w:szCs w:val="20"/>
                <w:lang w:val="en-GB"/>
              </w:rPr>
              <w:t xml:space="preserve"> the IPV2 at </w:t>
            </w:r>
            <w:r>
              <w:rPr>
                <w:sz w:val="20"/>
                <w:szCs w:val="20"/>
                <w:lang w:val="en-GB"/>
              </w:rPr>
              <w:t>nine</w:t>
            </w:r>
            <w:r w:rsidR="0027288A" w:rsidRPr="0027288A">
              <w:rPr>
                <w:sz w:val="20"/>
                <w:szCs w:val="20"/>
                <w:lang w:val="en-GB"/>
              </w:rPr>
              <w:t xml:space="preserve"> months of age together with MR1 and JE for the earliest injection instead of 18 months.</w:t>
            </w:r>
            <w:r w:rsidR="000129C9">
              <w:rPr>
                <w:sz w:val="20"/>
                <w:szCs w:val="20"/>
                <w:lang w:val="en-GB"/>
              </w:rPr>
              <w:t xml:space="preserve"> However, the current situation may not permit </w:t>
            </w:r>
            <w:r w:rsidR="006B20DC">
              <w:rPr>
                <w:sz w:val="20"/>
                <w:szCs w:val="20"/>
                <w:lang w:val="en-GB"/>
              </w:rPr>
              <w:t xml:space="preserve">support </w:t>
            </w:r>
            <w:r>
              <w:rPr>
                <w:sz w:val="20"/>
                <w:szCs w:val="20"/>
                <w:lang w:val="en-GB"/>
              </w:rPr>
              <w:t xml:space="preserve">for </w:t>
            </w:r>
            <w:r w:rsidR="006B20DC">
              <w:rPr>
                <w:sz w:val="20"/>
                <w:szCs w:val="20"/>
                <w:lang w:val="en-GB"/>
              </w:rPr>
              <w:t xml:space="preserve">the IPV2 introduction. </w:t>
            </w:r>
          </w:p>
        </w:tc>
      </w:tr>
      <w:tr w:rsidR="00D353AF" w14:paraId="124CC764" w14:textId="77777777" w:rsidTr="007B53D1">
        <w:tc>
          <w:tcPr>
            <w:tcW w:w="9192" w:type="dxa"/>
            <w:tcBorders>
              <w:top w:val="single" w:sz="4" w:space="0" w:color="auto"/>
              <w:bottom w:val="single" w:sz="4" w:space="0" w:color="auto"/>
            </w:tcBorders>
            <w:shd w:val="clear" w:color="auto" w:fill="F2F2F2" w:themeFill="background1" w:themeFillShade="F2"/>
          </w:tcPr>
          <w:p w14:paraId="374B434F" w14:textId="2EF4D942" w:rsidR="00D353AF" w:rsidRDefault="00D353AF" w:rsidP="007B53D1">
            <w:pPr>
              <w:spacing w:line="300" w:lineRule="exact"/>
              <w:rPr>
                <w:b/>
                <w:i/>
                <w:iCs/>
                <w:color w:val="000000" w:themeColor="text1"/>
                <w:sz w:val="20"/>
                <w:szCs w:val="20"/>
                <w:lang w:val="en-GB"/>
              </w:rPr>
            </w:pPr>
            <w:r>
              <w:rPr>
                <w:b/>
                <w:i/>
                <w:iCs/>
                <w:color w:val="000000" w:themeColor="text1"/>
                <w:sz w:val="20"/>
                <w:szCs w:val="20"/>
                <w:lang w:val="en-GB"/>
              </w:rPr>
              <w:t xml:space="preserve">2.4 </w:t>
            </w:r>
            <w:r w:rsidRPr="00EC7215">
              <w:rPr>
                <w:b/>
                <w:i/>
                <w:iCs/>
                <w:color w:val="000000" w:themeColor="text1"/>
                <w:sz w:val="20"/>
                <w:szCs w:val="20"/>
                <w:lang w:val="en-GB"/>
              </w:rPr>
              <w:t>Describe how the T</w:t>
            </w:r>
            <w:r>
              <w:rPr>
                <w:b/>
                <w:i/>
                <w:iCs/>
                <w:color w:val="000000" w:themeColor="text1"/>
                <w:sz w:val="20"/>
                <w:szCs w:val="20"/>
                <w:lang w:val="en-GB"/>
              </w:rPr>
              <w:t>C</w:t>
            </w:r>
            <w:r w:rsidRPr="00EC7215">
              <w:rPr>
                <w:b/>
                <w:i/>
                <w:iCs/>
                <w:color w:val="000000" w:themeColor="text1"/>
                <w:sz w:val="20"/>
                <w:szCs w:val="20"/>
                <w:lang w:val="en-GB"/>
              </w:rPr>
              <w:t xml:space="preserve">A </w:t>
            </w:r>
            <w:r w:rsidR="00C21E0A">
              <w:rPr>
                <w:b/>
                <w:i/>
                <w:iCs/>
                <w:color w:val="000000" w:themeColor="text1"/>
                <w:sz w:val="20"/>
                <w:szCs w:val="20"/>
                <w:lang w:val="en-GB"/>
              </w:rPr>
              <w:t>support</w:t>
            </w:r>
            <w:r w:rsidRPr="00EC7215">
              <w:rPr>
                <w:b/>
                <w:i/>
                <w:iCs/>
                <w:color w:val="000000" w:themeColor="text1"/>
                <w:sz w:val="20"/>
                <w:szCs w:val="20"/>
                <w:lang w:val="en-GB"/>
              </w:rPr>
              <w:t xml:space="preserve"> will help re-establish routine immuni</w:t>
            </w:r>
            <w:r w:rsidR="002D35E5">
              <w:rPr>
                <w:b/>
                <w:i/>
                <w:iCs/>
                <w:color w:val="000000" w:themeColor="text1"/>
                <w:sz w:val="20"/>
                <w:szCs w:val="20"/>
                <w:lang w:val="en-GB"/>
              </w:rPr>
              <w:t>z</w:t>
            </w:r>
            <w:r w:rsidRPr="00EC7215">
              <w:rPr>
                <w:b/>
                <w:i/>
                <w:iCs/>
                <w:color w:val="000000" w:themeColor="text1"/>
                <w:sz w:val="20"/>
                <w:szCs w:val="20"/>
                <w:lang w:val="en-GB"/>
              </w:rPr>
              <w:t>ation services and any other COVID-19</w:t>
            </w:r>
            <w:r w:rsidR="002D35E5">
              <w:rPr>
                <w:b/>
                <w:i/>
                <w:iCs/>
                <w:color w:val="000000" w:themeColor="text1"/>
                <w:sz w:val="20"/>
                <w:szCs w:val="20"/>
                <w:lang w:val="en-GB"/>
              </w:rPr>
              <w:t>-</w:t>
            </w:r>
            <w:r w:rsidRPr="00EC7215">
              <w:rPr>
                <w:b/>
                <w:i/>
                <w:iCs/>
                <w:color w:val="000000" w:themeColor="text1"/>
                <w:sz w:val="20"/>
                <w:szCs w:val="20"/>
                <w:lang w:val="en-GB"/>
              </w:rPr>
              <w:t xml:space="preserve">related recovery activities. </w:t>
            </w:r>
          </w:p>
          <w:p w14:paraId="5D61F6FA" w14:textId="59A2E81C" w:rsidR="00D353AF" w:rsidRPr="0041751A" w:rsidRDefault="00D353AF" w:rsidP="007B53D1">
            <w:pPr>
              <w:spacing w:line="300" w:lineRule="exact"/>
              <w:rPr>
                <w:b/>
                <w:bCs/>
                <w:i/>
                <w:iCs/>
                <w:color w:val="70AD47" w:themeColor="accent6"/>
                <w:sz w:val="20"/>
                <w:szCs w:val="20"/>
                <w:lang w:val="en-GB"/>
              </w:rPr>
            </w:pPr>
            <w:r w:rsidRPr="006C01EA">
              <w:rPr>
                <w:bCs/>
                <w:i/>
                <w:iCs/>
                <w:color w:val="000000" w:themeColor="text1"/>
                <w:sz w:val="20"/>
                <w:szCs w:val="20"/>
                <w:lang w:val="en-GB"/>
              </w:rPr>
              <w:t>P</w:t>
            </w:r>
            <w:r w:rsidRPr="006C01EA">
              <w:rPr>
                <w:bCs/>
                <w:i/>
                <w:iCs/>
                <w:sz w:val="20"/>
                <w:szCs w:val="20"/>
                <w:lang w:val="en-GB"/>
              </w:rPr>
              <w:t>lease indicate any COVID-19</w:t>
            </w:r>
            <w:r w:rsidR="002D35E5">
              <w:rPr>
                <w:bCs/>
                <w:i/>
                <w:iCs/>
                <w:sz w:val="20"/>
                <w:szCs w:val="20"/>
                <w:lang w:val="en-GB"/>
              </w:rPr>
              <w:t>-</w:t>
            </w:r>
            <w:r w:rsidRPr="006C01EA">
              <w:rPr>
                <w:bCs/>
                <w:i/>
                <w:iCs/>
                <w:sz w:val="20"/>
                <w:szCs w:val="20"/>
                <w:lang w:val="en-GB"/>
              </w:rPr>
              <w:t>related reallocation that may have occurred for previous TCA funds (if applicable); does this reallocation remain relevant for this proposal.</w:t>
            </w:r>
          </w:p>
        </w:tc>
      </w:tr>
      <w:tr w:rsidR="00D353AF" w14:paraId="14D7F47D" w14:textId="77777777" w:rsidTr="007B53D1">
        <w:tc>
          <w:tcPr>
            <w:tcW w:w="9192" w:type="dxa"/>
            <w:tcBorders>
              <w:top w:val="single" w:sz="4" w:space="0" w:color="auto"/>
              <w:left w:val="single" w:sz="4" w:space="0" w:color="auto"/>
              <w:bottom w:val="single" w:sz="4" w:space="0" w:color="auto"/>
              <w:right w:val="single" w:sz="4" w:space="0" w:color="auto"/>
            </w:tcBorders>
          </w:tcPr>
          <w:p w14:paraId="50B49AD8" w14:textId="41A3C51B" w:rsidR="00882A77" w:rsidRDefault="002D35E5" w:rsidP="002D35E5">
            <w:pPr>
              <w:rPr>
                <w:sz w:val="20"/>
                <w:szCs w:val="20"/>
                <w:lang w:val="en-GB"/>
              </w:rPr>
            </w:pPr>
            <w:r>
              <w:rPr>
                <w:sz w:val="20"/>
                <w:szCs w:val="20"/>
                <w:lang w:val="en-GB"/>
              </w:rPr>
              <w:t>For immediate service resumption, TCA-funded staff will work with the MoH and other non-state actors</w:t>
            </w:r>
            <w:r w:rsidR="00267C0E">
              <w:rPr>
                <w:sz w:val="20"/>
                <w:szCs w:val="20"/>
                <w:lang w:val="en-GB"/>
              </w:rPr>
              <w:t>.</w:t>
            </w:r>
            <w:r w:rsidR="00882A77" w:rsidRPr="00882A77">
              <w:rPr>
                <w:sz w:val="20"/>
                <w:szCs w:val="20"/>
                <w:lang w:val="en-GB"/>
              </w:rPr>
              <w:t xml:space="preserve"> </w:t>
            </w:r>
            <w:r w:rsidR="00267C0E">
              <w:rPr>
                <w:sz w:val="20"/>
                <w:szCs w:val="20"/>
                <w:lang w:val="en-GB"/>
              </w:rPr>
              <w:t>T</w:t>
            </w:r>
            <w:r w:rsidR="00882A77" w:rsidRPr="00882A77">
              <w:rPr>
                <w:sz w:val="20"/>
                <w:szCs w:val="20"/>
                <w:lang w:val="en-GB"/>
              </w:rPr>
              <w:t xml:space="preserve">he </w:t>
            </w:r>
            <w:r w:rsidR="3DB88ED4" w:rsidRPr="113B1F31">
              <w:rPr>
                <w:sz w:val="20"/>
                <w:szCs w:val="20"/>
                <w:lang w:val="en-GB"/>
              </w:rPr>
              <w:t>MoH</w:t>
            </w:r>
            <w:r w:rsidR="00882A77" w:rsidRPr="00882A77">
              <w:rPr>
                <w:sz w:val="20"/>
                <w:szCs w:val="20"/>
                <w:lang w:val="en-GB"/>
              </w:rPr>
              <w:t xml:space="preserve"> </w:t>
            </w:r>
            <w:r w:rsidR="00267C0E">
              <w:rPr>
                <w:sz w:val="20"/>
                <w:szCs w:val="20"/>
                <w:lang w:val="en-GB"/>
              </w:rPr>
              <w:t xml:space="preserve">will be assisted in developing </w:t>
            </w:r>
            <w:r w:rsidR="00AF4F7C">
              <w:rPr>
                <w:sz w:val="20"/>
                <w:szCs w:val="20"/>
                <w:lang w:val="en-GB"/>
              </w:rPr>
              <w:t xml:space="preserve">and </w:t>
            </w:r>
            <w:r w:rsidR="00882A77" w:rsidRPr="00882A77">
              <w:rPr>
                <w:sz w:val="20"/>
                <w:szCs w:val="20"/>
                <w:lang w:val="en-GB"/>
              </w:rPr>
              <w:t>socializ</w:t>
            </w:r>
            <w:r w:rsidR="00AF4F7C">
              <w:rPr>
                <w:sz w:val="20"/>
                <w:szCs w:val="20"/>
                <w:lang w:val="en-GB"/>
              </w:rPr>
              <w:t xml:space="preserve">ing resumption </w:t>
            </w:r>
            <w:r w:rsidR="00B40E3F">
              <w:rPr>
                <w:sz w:val="20"/>
                <w:szCs w:val="20"/>
                <w:lang w:val="en-GB"/>
              </w:rPr>
              <w:t>plans</w:t>
            </w:r>
            <w:r w:rsidR="00AF4F7C">
              <w:rPr>
                <w:sz w:val="20"/>
                <w:szCs w:val="20"/>
                <w:lang w:val="en-GB"/>
              </w:rPr>
              <w:t>, different s</w:t>
            </w:r>
            <w:r w:rsidR="00882A77" w:rsidRPr="00882A77">
              <w:rPr>
                <w:sz w:val="20"/>
                <w:szCs w:val="20"/>
                <w:lang w:val="en-GB"/>
              </w:rPr>
              <w:t xml:space="preserve">tandard operating procedures (SoP), and information, education, and communication (IEC) materials. </w:t>
            </w:r>
            <w:r w:rsidR="00B40E3F">
              <w:rPr>
                <w:sz w:val="20"/>
                <w:szCs w:val="20"/>
                <w:lang w:val="en-GB"/>
              </w:rPr>
              <w:t>Along with that, continuous advocacy will be made for a</w:t>
            </w:r>
            <w:r w:rsidR="00882A77" w:rsidRPr="00882A77">
              <w:rPr>
                <w:sz w:val="20"/>
                <w:szCs w:val="20"/>
                <w:lang w:val="en-GB"/>
              </w:rPr>
              <w:t>) earm</w:t>
            </w:r>
            <w:r w:rsidR="00B40E3F">
              <w:rPr>
                <w:sz w:val="20"/>
                <w:szCs w:val="20"/>
                <w:lang w:val="en-GB"/>
              </w:rPr>
              <w:t>a</w:t>
            </w:r>
            <w:r w:rsidR="00882A77" w:rsidRPr="00882A77">
              <w:rPr>
                <w:sz w:val="20"/>
                <w:szCs w:val="20"/>
                <w:lang w:val="en-GB"/>
              </w:rPr>
              <w:t xml:space="preserve">rking </w:t>
            </w:r>
            <w:r w:rsidR="00B40E3F">
              <w:rPr>
                <w:sz w:val="20"/>
                <w:szCs w:val="20"/>
                <w:lang w:val="en-GB"/>
              </w:rPr>
              <w:t xml:space="preserve">an </w:t>
            </w:r>
            <w:r w:rsidR="00882A77" w:rsidRPr="00882A77">
              <w:rPr>
                <w:sz w:val="20"/>
                <w:szCs w:val="20"/>
                <w:lang w:val="en-GB"/>
              </w:rPr>
              <w:t xml:space="preserve">adequate budget for the immunization program, including the catch-up activities during the </w:t>
            </w:r>
            <w:r w:rsidR="00B40E3F">
              <w:rPr>
                <w:sz w:val="20"/>
                <w:szCs w:val="20"/>
                <w:lang w:val="en-GB"/>
              </w:rPr>
              <w:t>political instability</w:t>
            </w:r>
            <w:r w:rsidR="00882A77" w:rsidRPr="00882A77">
              <w:rPr>
                <w:sz w:val="20"/>
                <w:szCs w:val="20"/>
                <w:lang w:val="en-GB"/>
              </w:rPr>
              <w:t xml:space="preserve">; </w:t>
            </w:r>
            <w:r w:rsidR="00B40E3F">
              <w:rPr>
                <w:sz w:val="20"/>
                <w:szCs w:val="20"/>
                <w:lang w:val="en-GB"/>
              </w:rPr>
              <w:t>b</w:t>
            </w:r>
            <w:r w:rsidR="00882A77" w:rsidRPr="00882A77">
              <w:rPr>
                <w:sz w:val="20"/>
                <w:szCs w:val="20"/>
                <w:lang w:val="en-GB"/>
              </w:rPr>
              <w:t xml:space="preserve">) ensuring sufficient human resources; d) equipping health workers with adequate PPEs as per </w:t>
            </w:r>
            <w:r w:rsidR="3DB88ED4" w:rsidRPr="113B1F31">
              <w:rPr>
                <w:sz w:val="20"/>
                <w:szCs w:val="20"/>
                <w:lang w:val="en-GB"/>
              </w:rPr>
              <w:t>MoH</w:t>
            </w:r>
            <w:r w:rsidR="00882A77" w:rsidRPr="00882A77">
              <w:rPr>
                <w:sz w:val="20"/>
                <w:szCs w:val="20"/>
                <w:lang w:val="en-GB"/>
              </w:rPr>
              <w:t xml:space="preserve"> protocols</w:t>
            </w:r>
            <w:r>
              <w:rPr>
                <w:sz w:val="20"/>
                <w:szCs w:val="20"/>
                <w:lang w:val="en-GB"/>
              </w:rPr>
              <w:t>,</w:t>
            </w:r>
            <w:r w:rsidR="00882A77" w:rsidRPr="00882A77">
              <w:rPr>
                <w:sz w:val="20"/>
                <w:szCs w:val="20"/>
                <w:lang w:val="en-GB"/>
              </w:rPr>
              <w:t xml:space="preserve"> and </w:t>
            </w:r>
            <w:r w:rsidR="00B40E3F">
              <w:rPr>
                <w:sz w:val="20"/>
                <w:szCs w:val="20"/>
                <w:lang w:val="en-GB"/>
              </w:rPr>
              <w:t>c</w:t>
            </w:r>
            <w:r w:rsidR="00882A77" w:rsidRPr="00882A77">
              <w:rPr>
                <w:sz w:val="20"/>
                <w:szCs w:val="20"/>
                <w:lang w:val="en-GB"/>
              </w:rPr>
              <w:t>) undertaking innovative and contextual social mobilization approaches for regaining communities</w:t>
            </w:r>
            <w:r w:rsidR="006B3D21">
              <w:rPr>
                <w:sz w:val="20"/>
                <w:szCs w:val="20"/>
                <w:lang w:val="en-GB"/>
              </w:rPr>
              <w:t>'</w:t>
            </w:r>
            <w:r w:rsidR="00882A77" w:rsidRPr="00882A77">
              <w:rPr>
                <w:sz w:val="20"/>
                <w:szCs w:val="20"/>
                <w:lang w:val="en-GB"/>
              </w:rPr>
              <w:t xml:space="preserve"> trust in the health system.</w:t>
            </w:r>
          </w:p>
          <w:p w14:paraId="49D0B052" w14:textId="77777777" w:rsidR="00882A77" w:rsidRDefault="00882A77" w:rsidP="002D35E5">
            <w:pPr>
              <w:rPr>
                <w:sz w:val="20"/>
                <w:szCs w:val="20"/>
                <w:lang w:val="en-GB"/>
              </w:rPr>
            </w:pPr>
          </w:p>
          <w:p w14:paraId="4C161806" w14:textId="2A141DA5" w:rsidR="00D353AF" w:rsidRDefault="000E28FB" w:rsidP="002D35E5">
            <w:pPr>
              <w:rPr>
                <w:sz w:val="20"/>
                <w:szCs w:val="20"/>
              </w:rPr>
            </w:pPr>
            <w:r>
              <w:rPr>
                <w:sz w:val="20"/>
                <w:szCs w:val="20"/>
                <w:lang w:val="en-GB"/>
              </w:rPr>
              <w:t>TCA-funded</w:t>
            </w:r>
            <w:r w:rsidR="0B959018" w:rsidRPr="0B959018">
              <w:rPr>
                <w:sz w:val="20"/>
                <w:szCs w:val="20"/>
                <w:lang w:val="en-GB"/>
              </w:rPr>
              <w:t xml:space="preserve"> staff </w:t>
            </w:r>
            <w:r w:rsidR="0B959018" w:rsidRPr="7F8E5B6D">
              <w:rPr>
                <w:sz w:val="20"/>
                <w:szCs w:val="20"/>
                <w:lang w:val="en-GB"/>
              </w:rPr>
              <w:t xml:space="preserve">will </w:t>
            </w:r>
            <w:r w:rsidR="00A14010">
              <w:rPr>
                <w:sz w:val="20"/>
                <w:szCs w:val="20"/>
                <w:lang w:val="en-GB"/>
              </w:rPr>
              <w:t xml:space="preserve">also </w:t>
            </w:r>
            <w:r w:rsidR="0B959018" w:rsidRPr="7F8E5B6D">
              <w:rPr>
                <w:sz w:val="20"/>
                <w:szCs w:val="20"/>
                <w:lang w:val="en-GB"/>
              </w:rPr>
              <w:t>provide</w:t>
            </w:r>
            <w:r w:rsidR="0B959018" w:rsidRPr="0B959018">
              <w:rPr>
                <w:sz w:val="20"/>
                <w:szCs w:val="20"/>
                <w:lang w:val="en-GB"/>
              </w:rPr>
              <w:t xml:space="preserve"> technical </w:t>
            </w:r>
            <w:r>
              <w:rPr>
                <w:sz w:val="20"/>
                <w:szCs w:val="20"/>
                <w:lang w:val="en-GB"/>
              </w:rPr>
              <w:t>assistance</w:t>
            </w:r>
            <w:r w:rsidR="0B959018" w:rsidRPr="0B959018">
              <w:rPr>
                <w:sz w:val="20"/>
                <w:szCs w:val="20"/>
                <w:lang w:val="en-GB"/>
              </w:rPr>
              <w:t xml:space="preserve"> in </w:t>
            </w:r>
            <w:r w:rsidR="002D35E5">
              <w:rPr>
                <w:sz w:val="20"/>
                <w:szCs w:val="20"/>
                <w:lang w:val="en-GB"/>
              </w:rPr>
              <w:t>devising and executing</w:t>
            </w:r>
            <w:r w:rsidR="0B959018" w:rsidRPr="0B959018">
              <w:rPr>
                <w:sz w:val="20"/>
                <w:szCs w:val="20"/>
                <w:lang w:val="en-GB"/>
              </w:rPr>
              <w:t xml:space="preserve"> </w:t>
            </w:r>
            <w:r w:rsidR="00A14010">
              <w:rPr>
                <w:sz w:val="20"/>
                <w:szCs w:val="20"/>
                <w:lang w:val="en-GB"/>
              </w:rPr>
              <w:t>the n</w:t>
            </w:r>
            <w:r w:rsidR="0B959018" w:rsidRPr="7F8E5B6D">
              <w:rPr>
                <w:sz w:val="20"/>
                <w:szCs w:val="20"/>
                <w:lang w:val="en-GB"/>
              </w:rPr>
              <w:t>ational</w:t>
            </w:r>
            <w:r w:rsidR="0B959018" w:rsidRPr="0B959018">
              <w:rPr>
                <w:sz w:val="20"/>
                <w:szCs w:val="20"/>
                <w:lang w:val="en-GB"/>
              </w:rPr>
              <w:t xml:space="preserve"> COVID-19 Vaccine Deployment Plan</w:t>
            </w:r>
            <w:r w:rsidR="00536043">
              <w:rPr>
                <w:sz w:val="20"/>
                <w:szCs w:val="20"/>
                <w:lang w:val="en-GB"/>
              </w:rPr>
              <w:t>.</w:t>
            </w:r>
            <w:r w:rsidR="0B959018" w:rsidRPr="0B959018">
              <w:rPr>
                <w:sz w:val="20"/>
                <w:szCs w:val="20"/>
                <w:lang w:val="en-GB"/>
              </w:rPr>
              <w:t xml:space="preserve"> T</w:t>
            </w:r>
            <w:r w:rsidR="0B959018" w:rsidRPr="0B959018">
              <w:rPr>
                <w:sz w:val="20"/>
                <w:szCs w:val="20"/>
              </w:rPr>
              <w:t xml:space="preserve">echnical support is being provided for </w:t>
            </w:r>
            <w:r w:rsidR="002D35E5">
              <w:rPr>
                <w:sz w:val="20"/>
                <w:szCs w:val="20"/>
              </w:rPr>
              <w:t xml:space="preserve">the </w:t>
            </w:r>
            <w:r w:rsidR="0B959018" w:rsidRPr="0B959018">
              <w:rPr>
                <w:sz w:val="20"/>
                <w:szCs w:val="20"/>
              </w:rPr>
              <w:t xml:space="preserve">deployment of COVAX facility supplied vaccines &amp; vaccines supplied through Humanitarian Buffer for Immunization of </w:t>
            </w:r>
            <w:r w:rsidR="002D35E5">
              <w:rPr>
                <w:sz w:val="20"/>
                <w:szCs w:val="20"/>
              </w:rPr>
              <w:t xml:space="preserve">the </w:t>
            </w:r>
            <w:r w:rsidR="0B959018" w:rsidRPr="0B959018">
              <w:rPr>
                <w:sz w:val="20"/>
                <w:szCs w:val="20"/>
              </w:rPr>
              <w:t>population in EHO areas, border areas</w:t>
            </w:r>
            <w:r w:rsidR="002D35E5">
              <w:rPr>
                <w:sz w:val="20"/>
                <w:szCs w:val="20"/>
              </w:rPr>
              <w:t>,</w:t>
            </w:r>
            <w:r w:rsidR="0B959018" w:rsidRPr="0B959018">
              <w:rPr>
                <w:sz w:val="20"/>
                <w:szCs w:val="20"/>
              </w:rPr>
              <w:t xml:space="preserve"> etc.</w:t>
            </w:r>
            <w:r w:rsidR="002D35E5">
              <w:rPr>
                <w:sz w:val="20"/>
                <w:szCs w:val="20"/>
              </w:rPr>
              <w:t>,</w:t>
            </w:r>
            <w:r w:rsidR="0B959018" w:rsidRPr="0B959018">
              <w:rPr>
                <w:sz w:val="20"/>
                <w:szCs w:val="20"/>
              </w:rPr>
              <w:t xml:space="preserve"> to ensure equity. </w:t>
            </w:r>
          </w:p>
          <w:p w14:paraId="62E732CF" w14:textId="77777777" w:rsidR="00B354EB" w:rsidRDefault="00B354EB" w:rsidP="002D35E5">
            <w:pPr>
              <w:rPr>
                <w:sz w:val="20"/>
                <w:szCs w:val="20"/>
              </w:rPr>
            </w:pPr>
          </w:p>
          <w:p w14:paraId="2689F064" w14:textId="349C3EE0" w:rsidR="00D353AF" w:rsidRDefault="0B959018" w:rsidP="002D35E5">
            <w:pPr>
              <w:rPr>
                <w:sz w:val="20"/>
                <w:szCs w:val="20"/>
                <w:lang w:val="en-GB"/>
              </w:rPr>
            </w:pPr>
            <w:r w:rsidRPr="0B959018">
              <w:rPr>
                <w:sz w:val="20"/>
                <w:szCs w:val="20"/>
                <w:lang w:val="en-GB"/>
              </w:rPr>
              <w:t>This year, RI resumption</w:t>
            </w:r>
            <w:r w:rsidR="002D35E5">
              <w:rPr>
                <w:sz w:val="20"/>
                <w:szCs w:val="20"/>
                <w:lang w:val="en-GB"/>
              </w:rPr>
              <w:t>, including catch-up immunization, will be strengthened in COVID-19 and political instability, prioritizing zero-dose children, missed children,</w:t>
            </w:r>
            <w:r w:rsidRPr="0B959018">
              <w:rPr>
                <w:sz w:val="20"/>
                <w:szCs w:val="20"/>
                <w:lang w:val="en-GB"/>
              </w:rPr>
              <w:t xml:space="preserve"> and underserved </w:t>
            </w:r>
            <w:r w:rsidR="00B354EB">
              <w:rPr>
                <w:sz w:val="20"/>
                <w:szCs w:val="20"/>
                <w:lang w:val="en-GB"/>
              </w:rPr>
              <w:t>communities</w:t>
            </w:r>
            <w:r w:rsidRPr="0B959018">
              <w:rPr>
                <w:sz w:val="20"/>
                <w:szCs w:val="20"/>
                <w:lang w:val="en-GB"/>
              </w:rPr>
              <w:t xml:space="preserve">.   </w:t>
            </w:r>
          </w:p>
        </w:tc>
      </w:tr>
      <w:tr w:rsidR="00D353AF" w14:paraId="7CB90E66" w14:textId="77777777" w:rsidTr="007B53D1">
        <w:tc>
          <w:tcPr>
            <w:tcW w:w="9192" w:type="dxa"/>
            <w:tcBorders>
              <w:top w:val="single" w:sz="4" w:space="0" w:color="auto"/>
              <w:bottom w:val="single" w:sz="4" w:space="0" w:color="auto"/>
            </w:tcBorders>
            <w:shd w:val="clear" w:color="auto" w:fill="F2F2F2" w:themeFill="background1" w:themeFillShade="F2"/>
          </w:tcPr>
          <w:p w14:paraId="341DF7D2" w14:textId="4877A5F7" w:rsidR="00D353AF" w:rsidRPr="00777960" w:rsidRDefault="00D353AF" w:rsidP="007B53D1">
            <w:pPr>
              <w:spacing w:line="300" w:lineRule="exact"/>
              <w:rPr>
                <w:bCs/>
                <w:i/>
                <w:iCs/>
                <w:sz w:val="20"/>
                <w:szCs w:val="20"/>
                <w:lang w:val="en-GB"/>
              </w:rPr>
            </w:pPr>
            <w:r>
              <w:rPr>
                <w:b/>
                <w:i/>
                <w:iCs/>
                <w:color w:val="000000" w:themeColor="text1"/>
                <w:sz w:val="20"/>
                <w:szCs w:val="20"/>
                <w:lang w:val="en-GB"/>
              </w:rPr>
              <w:t xml:space="preserve">2.5 </w:t>
            </w:r>
            <w:r w:rsidRPr="00777960">
              <w:rPr>
                <w:b/>
                <w:i/>
                <w:iCs/>
                <w:color w:val="000000" w:themeColor="text1"/>
                <w:sz w:val="20"/>
                <w:szCs w:val="20"/>
                <w:lang w:val="en-GB"/>
              </w:rPr>
              <w:t xml:space="preserve">Describe how the </w:t>
            </w:r>
            <w:r>
              <w:rPr>
                <w:b/>
                <w:i/>
                <w:iCs/>
                <w:color w:val="000000" w:themeColor="text1"/>
                <w:sz w:val="20"/>
                <w:szCs w:val="20"/>
                <w:lang w:val="en-GB"/>
              </w:rPr>
              <w:t>TCA</w:t>
            </w:r>
            <w:r w:rsidRPr="00777960">
              <w:rPr>
                <w:b/>
                <w:i/>
                <w:iCs/>
                <w:color w:val="000000" w:themeColor="text1"/>
                <w:sz w:val="20"/>
                <w:szCs w:val="20"/>
                <w:lang w:val="en-GB"/>
              </w:rPr>
              <w:t xml:space="preserve"> </w:t>
            </w:r>
            <w:r w:rsidR="00630A26">
              <w:rPr>
                <w:b/>
                <w:i/>
                <w:iCs/>
                <w:color w:val="000000" w:themeColor="text1"/>
                <w:sz w:val="20"/>
                <w:szCs w:val="20"/>
                <w:lang w:val="en-GB"/>
              </w:rPr>
              <w:t>support will</w:t>
            </w:r>
            <w:r w:rsidRPr="00777960">
              <w:rPr>
                <w:b/>
                <w:i/>
                <w:iCs/>
                <w:color w:val="000000" w:themeColor="text1"/>
                <w:sz w:val="20"/>
                <w:szCs w:val="20"/>
                <w:lang w:val="en-GB"/>
              </w:rPr>
              <w:t xml:space="preserve"> identif</w:t>
            </w:r>
            <w:r w:rsidR="00630A26">
              <w:rPr>
                <w:b/>
                <w:i/>
                <w:iCs/>
                <w:color w:val="000000" w:themeColor="text1"/>
                <w:sz w:val="20"/>
                <w:szCs w:val="20"/>
                <w:lang w:val="en-GB"/>
              </w:rPr>
              <w:t>y</w:t>
            </w:r>
            <w:r w:rsidRPr="00777960">
              <w:rPr>
                <w:b/>
                <w:i/>
                <w:iCs/>
                <w:color w:val="000000" w:themeColor="text1"/>
                <w:sz w:val="20"/>
                <w:szCs w:val="20"/>
                <w:lang w:val="en-GB"/>
              </w:rPr>
              <w:t xml:space="preserve"> and overcome already known gender-related </w:t>
            </w:r>
            <w:r>
              <w:rPr>
                <w:b/>
                <w:i/>
                <w:iCs/>
                <w:color w:val="000000" w:themeColor="text1"/>
                <w:sz w:val="20"/>
                <w:szCs w:val="20"/>
                <w:lang w:val="en-GB"/>
              </w:rPr>
              <w:t xml:space="preserve">or other </w:t>
            </w:r>
            <w:r w:rsidRPr="00777960">
              <w:rPr>
                <w:b/>
                <w:i/>
                <w:iCs/>
                <w:color w:val="000000" w:themeColor="text1"/>
                <w:sz w:val="20"/>
                <w:szCs w:val="20"/>
                <w:lang w:val="en-GB"/>
              </w:rPr>
              <w:t>barriers to immuni</w:t>
            </w:r>
            <w:r w:rsidR="002D35E5">
              <w:rPr>
                <w:b/>
                <w:i/>
                <w:iCs/>
                <w:color w:val="000000" w:themeColor="text1"/>
                <w:sz w:val="20"/>
                <w:szCs w:val="20"/>
                <w:lang w:val="en-GB"/>
              </w:rPr>
              <w:t>z</w:t>
            </w:r>
            <w:r w:rsidRPr="00777960">
              <w:rPr>
                <w:b/>
                <w:i/>
                <w:iCs/>
                <w:color w:val="000000" w:themeColor="text1"/>
                <w:sz w:val="20"/>
                <w:szCs w:val="20"/>
                <w:lang w:val="en-GB"/>
              </w:rPr>
              <w:t xml:space="preserve">ation activities. Please respond </w:t>
            </w:r>
            <w:r w:rsidR="00A733BF">
              <w:rPr>
                <w:b/>
                <w:i/>
                <w:iCs/>
                <w:color w:val="000000" w:themeColor="text1"/>
                <w:sz w:val="20"/>
                <w:szCs w:val="20"/>
                <w:lang w:val="en-GB"/>
              </w:rPr>
              <w:t xml:space="preserve">to </w:t>
            </w:r>
            <w:r w:rsidRPr="00777960">
              <w:rPr>
                <w:b/>
                <w:i/>
                <w:iCs/>
                <w:color w:val="000000" w:themeColor="text1"/>
                <w:sz w:val="20"/>
                <w:szCs w:val="20"/>
                <w:lang w:val="en-GB"/>
              </w:rPr>
              <w:t>how each partner can help address this.</w:t>
            </w:r>
          </w:p>
        </w:tc>
      </w:tr>
      <w:tr w:rsidR="00D353AF" w14:paraId="251D4101" w14:textId="77777777" w:rsidTr="007B53D1">
        <w:trPr>
          <w:trHeight w:val="103"/>
        </w:trPr>
        <w:tc>
          <w:tcPr>
            <w:tcW w:w="9192"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ook w:val="04A0" w:firstRow="1" w:lastRow="0" w:firstColumn="1" w:lastColumn="0" w:noHBand="0" w:noVBand="1"/>
            </w:tblPr>
            <w:tblGrid>
              <w:gridCol w:w="8956"/>
            </w:tblGrid>
            <w:tr w:rsidR="0B959018" w14:paraId="3B812C9C" w14:textId="77777777" w:rsidTr="0B959018">
              <w:trPr>
                <w:trHeight w:val="105"/>
              </w:trPr>
              <w:tc>
                <w:tcPr>
                  <w:tcW w:w="9072" w:type="dxa"/>
                  <w:tcBorders>
                    <w:top w:val="single" w:sz="8" w:space="0" w:color="auto"/>
                    <w:left w:val="single" w:sz="8" w:space="0" w:color="auto"/>
                    <w:bottom w:val="single" w:sz="8" w:space="0" w:color="auto"/>
                    <w:right w:val="single" w:sz="8" w:space="0" w:color="auto"/>
                  </w:tcBorders>
                </w:tcPr>
                <w:p w14:paraId="5D21EDC3" w14:textId="7C375A8F" w:rsidR="0B959018" w:rsidRPr="00094077" w:rsidRDefault="0B959018" w:rsidP="0B959018">
                  <w:r w:rsidRPr="0B959018">
                    <w:rPr>
                      <w:sz w:val="20"/>
                      <w:szCs w:val="20"/>
                      <w:lang w:val="en-GB"/>
                    </w:rPr>
                    <w:t xml:space="preserve">In Myanmar, there is no known </w:t>
                  </w:r>
                  <w:r w:rsidR="000E28FB">
                    <w:rPr>
                      <w:sz w:val="20"/>
                      <w:szCs w:val="20"/>
                      <w:lang w:val="en-GB"/>
                    </w:rPr>
                    <w:t>gender-based</w:t>
                  </w:r>
                  <w:r w:rsidRPr="0B959018">
                    <w:rPr>
                      <w:sz w:val="20"/>
                      <w:szCs w:val="20"/>
                      <w:lang w:val="en-GB"/>
                    </w:rPr>
                    <w:t xml:space="preserve"> issue</w:t>
                  </w:r>
                  <w:r w:rsidR="002D35E5">
                    <w:rPr>
                      <w:sz w:val="20"/>
                      <w:szCs w:val="20"/>
                      <w:lang w:val="en-GB"/>
                    </w:rPr>
                    <w:t>,</w:t>
                  </w:r>
                  <w:r w:rsidRPr="0B959018">
                    <w:rPr>
                      <w:sz w:val="20"/>
                      <w:szCs w:val="20"/>
                      <w:lang w:val="en-GB"/>
                    </w:rPr>
                    <w:t xml:space="preserve"> and all people</w:t>
                  </w:r>
                  <w:r w:rsidR="002D35E5">
                    <w:rPr>
                      <w:sz w:val="20"/>
                      <w:szCs w:val="20"/>
                      <w:lang w:val="en-GB"/>
                    </w:rPr>
                    <w:t>,</w:t>
                  </w:r>
                  <w:r w:rsidRPr="0B959018">
                    <w:rPr>
                      <w:sz w:val="20"/>
                      <w:szCs w:val="20"/>
                      <w:lang w:val="en-GB"/>
                    </w:rPr>
                    <w:t xml:space="preserve"> including boys and girls</w:t>
                  </w:r>
                  <w:r w:rsidR="002D35E5">
                    <w:rPr>
                      <w:sz w:val="20"/>
                      <w:szCs w:val="20"/>
                      <w:lang w:val="en-GB"/>
                    </w:rPr>
                    <w:t>,</w:t>
                  </w:r>
                  <w:r w:rsidRPr="0B959018">
                    <w:rPr>
                      <w:sz w:val="20"/>
                      <w:szCs w:val="20"/>
                      <w:lang w:val="en-GB"/>
                    </w:rPr>
                    <w:t xml:space="preserve"> get equal chances to access health care services</w:t>
                  </w:r>
                  <w:r w:rsidR="002D35E5">
                    <w:rPr>
                      <w:sz w:val="20"/>
                      <w:szCs w:val="20"/>
                      <w:lang w:val="en-GB"/>
                    </w:rPr>
                    <w:t>,</w:t>
                  </w:r>
                  <w:r w:rsidRPr="0B959018">
                    <w:rPr>
                      <w:sz w:val="20"/>
                      <w:szCs w:val="20"/>
                      <w:lang w:val="en-GB"/>
                    </w:rPr>
                    <w:t xml:space="preserve"> including immunization services. But in some areas</w:t>
                  </w:r>
                  <w:r w:rsidR="002D35E5">
                    <w:rPr>
                      <w:sz w:val="20"/>
                      <w:szCs w:val="20"/>
                      <w:lang w:val="en-GB"/>
                    </w:rPr>
                    <w:t>,</w:t>
                  </w:r>
                  <w:r w:rsidRPr="0B959018">
                    <w:rPr>
                      <w:sz w:val="20"/>
                      <w:szCs w:val="20"/>
                      <w:lang w:val="en-GB"/>
                    </w:rPr>
                    <w:t xml:space="preserve"> especially in ethnic and hard-to-reach areas, </w:t>
                  </w:r>
                  <w:r w:rsidR="002D35E5">
                    <w:rPr>
                      <w:sz w:val="20"/>
                      <w:szCs w:val="20"/>
                      <w:lang w:val="en-GB"/>
                    </w:rPr>
                    <w:t>there is low uptake of immunization services due to caregivers' low literacy and health knowledge, including some socio-cultural norm</w:t>
                  </w:r>
                  <w:r w:rsidRPr="0B959018">
                    <w:rPr>
                      <w:sz w:val="20"/>
                      <w:szCs w:val="20"/>
                      <w:lang w:val="en-GB"/>
                    </w:rPr>
                    <w:t xml:space="preserve">s. From the </w:t>
                  </w:r>
                  <w:r w:rsidRPr="0B959018">
                    <w:rPr>
                      <w:sz w:val="20"/>
                      <w:szCs w:val="20"/>
                      <w:lang w:val="en-GB"/>
                    </w:rPr>
                    <w:lastRenderedPageBreak/>
                    <w:t>provider</w:t>
                  </w:r>
                  <w:r w:rsidR="006B3D21">
                    <w:rPr>
                      <w:sz w:val="20"/>
                      <w:szCs w:val="20"/>
                      <w:lang w:val="en-GB"/>
                    </w:rPr>
                    <w:t>'</w:t>
                  </w:r>
                  <w:r w:rsidRPr="0B959018">
                    <w:rPr>
                      <w:sz w:val="20"/>
                      <w:szCs w:val="20"/>
                      <w:lang w:val="en-GB"/>
                    </w:rPr>
                    <w:t xml:space="preserve">s side, the vaccinators are midwives, </w:t>
                  </w:r>
                  <w:r w:rsidR="002D35E5">
                    <w:rPr>
                      <w:sz w:val="20"/>
                      <w:szCs w:val="20"/>
                      <w:lang w:val="en-GB"/>
                    </w:rPr>
                    <w:t>primari</w:t>
                  </w:r>
                  <w:r w:rsidRPr="0B959018">
                    <w:rPr>
                      <w:sz w:val="20"/>
                      <w:szCs w:val="20"/>
                      <w:lang w:val="en-GB"/>
                    </w:rPr>
                    <w:t xml:space="preserve">ly female. Mothers are mostly the </w:t>
                  </w:r>
                  <w:r w:rsidR="000E28FB">
                    <w:rPr>
                      <w:sz w:val="20"/>
                      <w:szCs w:val="20"/>
                      <w:lang w:val="en-GB"/>
                    </w:rPr>
                    <w:t>caregivers</w:t>
                  </w:r>
                  <w:r w:rsidRPr="0B959018">
                    <w:rPr>
                      <w:sz w:val="20"/>
                      <w:szCs w:val="20"/>
                      <w:lang w:val="en-GB"/>
                    </w:rPr>
                    <w:t xml:space="preserve"> as they </w:t>
                  </w:r>
                  <w:r w:rsidR="002D35E5">
                    <w:rPr>
                      <w:sz w:val="20"/>
                      <w:szCs w:val="20"/>
                      <w:lang w:val="en-GB"/>
                    </w:rPr>
                    <w:t>take care of their children and</w:t>
                  </w:r>
                  <w:r w:rsidRPr="0B959018">
                    <w:rPr>
                      <w:sz w:val="20"/>
                      <w:szCs w:val="20"/>
                      <w:lang w:val="en-GB"/>
                    </w:rPr>
                    <w:t xml:space="preserve"> are responsible for vaccination</w:t>
                  </w:r>
                  <w:r w:rsidR="00A765BA">
                    <w:rPr>
                      <w:sz w:val="20"/>
                      <w:szCs w:val="20"/>
                      <w:lang w:val="en-GB"/>
                    </w:rPr>
                    <w:t>, and</w:t>
                  </w:r>
                  <w:r w:rsidRPr="0B959018">
                    <w:rPr>
                      <w:sz w:val="20"/>
                      <w:szCs w:val="20"/>
                      <w:lang w:val="en-GB"/>
                    </w:rPr>
                    <w:t xml:space="preserve"> most fathers are not involved in their </w:t>
                  </w:r>
                  <w:r w:rsidR="00A765BA">
                    <w:rPr>
                      <w:sz w:val="20"/>
                      <w:szCs w:val="20"/>
                      <w:lang w:val="en-GB"/>
                    </w:rPr>
                    <w:t>children</w:t>
                  </w:r>
                  <w:r w:rsidR="006B3D21">
                    <w:rPr>
                      <w:sz w:val="20"/>
                      <w:szCs w:val="20"/>
                      <w:lang w:val="en-GB"/>
                    </w:rPr>
                    <w:t>'</w:t>
                  </w:r>
                  <w:r w:rsidR="00A765BA">
                    <w:rPr>
                      <w:sz w:val="20"/>
                      <w:szCs w:val="20"/>
                      <w:lang w:val="en-GB"/>
                    </w:rPr>
                    <w:t>s</w:t>
                  </w:r>
                  <w:r w:rsidRPr="0B959018">
                    <w:rPr>
                      <w:sz w:val="20"/>
                      <w:szCs w:val="20"/>
                      <w:lang w:val="en-GB"/>
                    </w:rPr>
                    <w:t xml:space="preserve"> vaccination process. Involving them in this process will ensure more confidence in the immunization system. </w:t>
                  </w:r>
                </w:p>
              </w:tc>
            </w:tr>
          </w:tbl>
          <w:p w14:paraId="626A5A76" w14:textId="0F084EE2" w:rsidR="00D353AF" w:rsidRPr="00CF3BC4" w:rsidRDefault="00D353AF" w:rsidP="007B53D1">
            <w:pPr>
              <w:spacing w:line="300" w:lineRule="exact"/>
              <w:rPr>
                <w:b/>
                <w:bCs/>
                <w:i/>
                <w:iCs/>
                <w:sz w:val="20"/>
                <w:szCs w:val="20"/>
              </w:rPr>
            </w:pPr>
          </w:p>
        </w:tc>
      </w:tr>
      <w:tr w:rsidR="00D353AF" w14:paraId="2605CFC3" w14:textId="77777777" w:rsidTr="007B53D1">
        <w:tc>
          <w:tcPr>
            <w:tcW w:w="9192" w:type="dxa"/>
            <w:tcBorders>
              <w:top w:val="single" w:sz="4" w:space="0" w:color="auto"/>
              <w:bottom w:val="single" w:sz="4" w:space="0" w:color="auto"/>
            </w:tcBorders>
            <w:shd w:val="clear" w:color="auto" w:fill="F2F2F2" w:themeFill="background1" w:themeFillShade="F2"/>
          </w:tcPr>
          <w:p w14:paraId="71D225EC" w14:textId="1CBF3621" w:rsidR="00D353AF" w:rsidRPr="008C7464" w:rsidRDefault="00D353AF" w:rsidP="007B53D1">
            <w:pPr>
              <w:spacing w:line="300" w:lineRule="exact"/>
              <w:rPr>
                <w:b/>
                <w:bCs/>
                <w:color w:val="92D050"/>
                <w:lang w:val="en-GB"/>
              </w:rPr>
            </w:pPr>
            <w:r>
              <w:rPr>
                <w:b/>
                <w:bCs/>
                <w:i/>
                <w:iCs/>
                <w:sz w:val="20"/>
                <w:szCs w:val="20"/>
              </w:rPr>
              <w:lastRenderedPageBreak/>
              <w:t xml:space="preserve">2.6 </w:t>
            </w:r>
            <w:r w:rsidRPr="00CF3BC4">
              <w:rPr>
                <w:b/>
                <w:bCs/>
                <w:i/>
                <w:iCs/>
                <w:sz w:val="20"/>
                <w:szCs w:val="20"/>
              </w:rPr>
              <w:t xml:space="preserve">Describe </w:t>
            </w:r>
            <w:r>
              <w:rPr>
                <w:b/>
                <w:bCs/>
                <w:i/>
                <w:iCs/>
                <w:sz w:val="20"/>
                <w:szCs w:val="20"/>
              </w:rPr>
              <w:t xml:space="preserve">how </w:t>
            </w:r>
            <w:r w:rsidRPr="00CF3BC4">
              <w:rPr>
                <w:b/>
                <w:bCs/>
                <w:i/>
                <w:iCs/>
                <w:sz w:val="20"/>
                <w:szCs w:val="20"/>
              </w:rPr>
              <w:t>you prioriti</w:t>
            </w:r>
            <w:r w:rsidR="002D35E5">
              <w:rPr>
                <w:b/>
                <w:bCs/>
                <w:i/>
                <w:iCs/>
                <w:sz w:val="20"/>
                <w:szCs w:val="20"/>
              </w:rPr>
              <w:t>z</w:t>
            </w:r>
            <w:r w:rsidRPr="00CF3BC4">
              <w:rPr>
                <w:b/>
                <w:bCs/>
                <w:i/>
                <w:iCs/>
                <w:sz w:val="20"/>
                <w:szCs w:val="20"/>
              </w:rPr>
              <w:t>e</w:t>
            </w:r>
            <w:r>
              <w:rPr>
                <w:b/>
                <w:bCs/>
                <w:i/>
                <w:iCs/>
                <w:sz w:val="20"/>
                <w:szCs w:val="20"/>
              </w:rPr>
              <w:t>d</w:t>
            </w:r>
            <w:r w:rsidRPr="00CF3BC4">
              <w:rPr>
                <w:b/>
                <w:bCs/>
                <w:i/>
                <w:iCs/>
                <w:sz w:val="20"/>
                <w:szCs w:val="20"/>
              </w:rPr>
              <w:t xml:space="preserve"> the interventions to be supported by Gavi</w:t>
            </w:r>
            <w:r w:rsidR="008839F8">
              <w:rPr>
                <w:b/>
                <w:bCs/>
                <w:i/>
                <w:iCs/>
                <w:sz w:val="20"/>
                <w:szCs w:val="20"/>
              </w:rPr>
              <w:t xml:space="preserve"> under requested TCA support</w:t>
            </w:r>
            <w:r>
              <w:rPr>
                <w:b/>
                <w:bCs/>
                <w:i/>
                <w:iCs/>
                <w:sz w:val="20"/>
                <w:szCs w:val="20"/>
              </w:rPr>
              <w:t>.</w:t>
            </w:r>
          </w:p>
        </w:tc>
      </w:tr>
      <w:tr w:rsidR="00D353AF" w14:paraId="4C4783D9" w14:textId="77777777" w:rsidTr="007B53D1">
        <w:tc>
          <w:tcPr>
            <w:tcW w:w="9192" w:type="dxa"/>
            <w:tcBorders>
              <w:top w:val="single" w:sz="4" w:space="0" w:color="auto"/>
              <w:left w:val="single" w:sz="4" w:space="0" w:color="auto"/>
              <w:bottom w:val="single" w:sz="4" w:space="0" w:color="auto"/>
              <w:right w:val="single" w:sz="4" w:space="0" w:color="auto"/>
            </w:tcBorders>
          </w:tcPr>
          <w:p w14:paraId="724BC4C5" w14:textId="6C0EBD85" w:rsidR="00D353AF" w:rsidRPr="006848EC" w:rsidRDefault="001F3A2F" w:rsidP="002C5B26">
            <w:pPr>
              <w:rPr>
                <w:sz w:val="20"/>
                <w:szCs w:val="20"/>
                <w:lang w:val="en-GB"/>
              </w:rPr>
            </w:pPr>
            <w:r w:rsidRPr="006848EC">
              <w:rPr>
                <w:sz w:val="20"/>
                <w:szCs w:val="20"/>
                <w:lang w:val="en-GB"/>
              </w:rPr>
              <w:t xml:space="preserve">Due to the current political instability and </w:t>
            </w:r>
            <w:r w:rsidR="00C74AEA">
              <w:rPr>
                <w:sz w:val="20"/>
                <w:szCs w:val="20"/>
                <w:lang w:val="en-GB"/>
              </w:rPr>
              <w:t>UNCT</w:t>
            </w:r>
            <w:r w:rsidR="006B3D21">
              <w:rPr>
                <w:sz w:val="20"/>
                <w:szCs w:val="20"/>
                <w:lang w:val="en-GB"/>
              </w:rPr>
              <w:t>'</w:t>
            </w:r>
            <w:r w:rsidR="00C74AEA">
              <w:rPr>
                <w:sz w:val="20"/>
                <w:szCs w:val="20"/>
                <w:lang w:val="en-GB"/>
              </w:rPr>
              <w:t>s</w:t>
            </w:r>
            <w:r w:rsidRPr="006848EC">
              <w:rPr>
                <w:sz w:val="20"/>
                <w:szCs w:val="20"/>
                <w:lang w:val="en-GB"/>
              </w:rPr>
              <w:t xml:space="preserve"> minimal engagement principle, </w:t>
            </w:r>
            <w:r w:rsidR="00503455" w:rsidRPr="006848EC">
              <w:rPr>
                <w:sz w:val="20"/>
                <w:szCs w:val="20"/>
                <w:lang w:val="en-GB"/>
              </w:rPr>
              <w:t>consultations have been limited to key partners</w:t>
            </w:r>
            <w:r w:rsidR="002D35E5">
              <w:rPr>
                <w:sz w:val="20"/>
                <w:szCs w:val="20"/>
                <w:lang w:val="en-GB"/>
              </w:rPr>
              <w:t>,</w:t>
            </w:r>
            <w:r w:rsidR="00503455" w:rsidRPr="006848EC">
              <w:rPr>
                <w:sz w:val="20"/>
                <w:szCs w:val="20"/>
                <w:lang w:val="en-GB"/>
              </w:rPr>
              <w:t xml:space="preserve"> including </w:t>
            </w:r>
            <w:r w:rsidR="0066678F">
              <w:rPr>
                <w:sz w:val="20"/>
                <w:szCs w:val="20"/>
                <w:lang w:val="en-GB"/>
              </w:rPr>
              <w:t>Gavi, WHO</w:t>
            </w:r>
            <w:r w:rsidR="006B3D21">
              <w:rPr>
                <w:sz w:val="20"/>
                <w:szCs w:val="20"/>
                <w:lang w:val="en-GB"/>
              </w:rPr>
              <w:t>'</w:t>
            </w:r>
            <w:r w:rsidR="0066678F">
              <w:rPr>
                <w:sz w:val="20"/>
                <w:szCs w:val="20"/>
                <w:lang w:val="en-GB"/>
              </w:rPr>
              <w:t>s and UNICEF</w:t>
            </w:r>
            <w:r w:rsidR="006B3D21">
              <w:rPr>
                <w:sz w:val="20"/>
                <w:szCs w:val="20"/>
                <w:lang w:val="en-GB"/>
              </w:rPr>
              <w:t>'</w:t>
            </w:r>
            <w:r w:rsidR="0066678F">
              <w:rPr>
                <w:sz w:val="20"/>
                <w:szCs w:val="20"/>
                <w:lang w:val="en-GB"/>
              </w:rPr>
              <w:t>s re</w:t>
            </w:r>
            <w:r w:rsidR="0031093E">
              <w:rPr>
                <w:sz w:val="20"/>
                <w:szCs w:val="20"/>
                <w:lang w:val="en-GB"/>
              </w:rPr>
              <w:t>gional offices, and donor communities. A series of consultation meetings</w:t>
            </w:r>
            <w:r w:rsidR="00A3353E">
              <w:rPr>
                <w:sz w:val="20"/>
                <w:szCs w:val="20"/>
                <w:lang w:val="en-GB"/>
              </w:rPr>
              <w:t xml:space="preserve"> with NGOs and CSOs</w:t>
            </w:r>
            <w:r w:rsidR="002D35E5">
              <w:rPr>
                <w:sz w:val="20"/>
                <w:szCs w:val="20"/>
                <w:lang w:val="en-GB"/>
              </w:rPr>
              <w:t>,</w:t>
            </w:r>
            <w:r w:rsidR="00A3353E">
              <w:rPr>
                <w:sz w:val="20"/>
                <w:szCs w:val="20"/>
                <w:lang w:val="en-GB"/>
              </w:rPr>
              <w:t xml:space="preserve"> including EHOs</w:t>
            </w:r>
            <w:r w:rsidR="002D35E5">
              <w:rPr>
                <w:sz w:val="20"/>
                <w:szCs w:val="20"/>
                <w:lang w:val="en-GB"/>
              </w:rPr>
              <w:t>,</w:t>
            </w:r>
            <w:r w:rsidR="0031093E">
              <w:rPr>
                <w:sz w:val="20"/>
                <w:szCs w:val="20"/>
                <w:lang w:val="en-GB"/>
              </w:rPr>
              <w:t xml:space="preserve"> </w:t>
            </w:r>
            <w:r w:rsidR="00A3353E">
              <w:rPr>
                <w:sz w:val="20"/>
                <w:szCs w:val="20"/>
                <w:lang w:val="en-GB"/>
              </w:rPr>
              <w:t>was</w:t>
            </w:r>
            <w:r w:rsidR="0031093E">
              <w:rPr>
                <w:sz w:val="20"/>
                <w:szCs w:val="20"/>
                <w:lang w:val="en-GB"/>
              </w:rPr>
              <w:t xml:space="preserve"> facilitated during the COVAX</w:t>
            </w:r>
            <w:r w:rsidR="00A3353E">
              <w:rPr>
                <w:sz w:val="20"/>
                <w:szCs w:val="20"/>
                <w:lang w:val="en-GB"/>
              </w:rPr>
              <w:t xml:space="preserve">-allocated vaccine deployment plan. A </w:t>
            </w:r>
            <w:r w:rsidR="00C74AEA">
              <w:rPr>
                <w:sz w:val="20"/>
                <w:szCs w:val="20"/>
                <w:lang w:val="en-GB"/>
              </w:rPr>
              <w:t>brainstorming</w:t>
            </w:r>
            <w:r w:rsidR="00A3353E">
              <w:rPr>
                <w:sz w:val="20"/>
                <w:szCs w:val="20"/>
                <w:lang w:val="en-GB"/>
              </w:rPr>
              <w:t xml:space="preserve"> session was also facilitated with UNICEF</w:t>
            </w:r>
            <w:r w:rsidR="006B3D21">
              <w:rPr>
                <w:sz w:val="20"/>
                <w:szCs w:val="20"/>
                <w:lang w:val="en-GB"/>
              </w:rPr>
              <w:t>'</w:t>
            </w:r>
            <w:r w:rsidR="00A3353E">
              <w:rPr>
                <w:sz w:val="20"/>
                <w:szCs w:val="20"/>
                <w:lang w:val="en-GB"/>
              </w:rPr>
              <w:t>s F</w:t>
            </w:r>
            <w:r w:rsidR="00CA6D57">
              <w:rPr>
                <w:sz w:val="20"/>
                <w:szCs w:val="20"/>
                <w:lang w:val="en-GB"/>
              </w:rPr>
              <w:t xml:space="preserve">ield-Office based staff to understand the local challenges and explore the </w:t>
            </w:r>
            <w:r w:rsidR="00C74AEA">
              <w:rPr>
                <w:sz w:val="20"/>
                <w:szCs w:val="20"/>
                <w:lang w:val="en-GB"/>
              </w:rPr>
              <w:t>opportunities.</w:t>
            </w:r>
          </w:p>
          <w:p w14:paraId="318E97B2" w14:textId="77777777" w:rsidR="00A9354B" w:rsidRDefault="00A9354B" w:rsidP="002C5B26">
            <w:pPr>
              <w:rPr>
                <w:sz w:val="20"/>
                <w:szCs w:val="20"/>
                <w:lang w:val="en-GB"/>
              </w:rPr>
            </w:pPr>
          </w:p>
          <w:p w14:paraId="450EB6B3" w14:textId="0C8998F2" w:rsidR="00C74AEA" w:rsidRPr="006848EC" w:rsidRDefault="00C74AEA" w:rsidP="002C5B26">
            <w:pPr>
              <w:rPr>
                <w:sz w:val="20"/>
                <w:szCs w:val="20"/>
                <w:lang w:val="en-GB"/>
              </w:rPr>
            </w:pPr>
            <w:r>
              <w:rPr>
                <w:sz w:val="20"/>
                <w:szCs w:val="20"/>
                <w:lang w:val="en-GB"/>
              </w:rPr>
              <w:t xml:space="preserve">A consultation meeting was conveyed to urge the importance of the revitalization of the routine immunization along with all the heads of different relevant development partners. A bi-weekly consultation meeting among </w:t>
            </w:r>
            <w:r w:rsidR="62869AC6" w:rsidRPr="113B1F31">
              <w:rPr>
                <w:sz w:val="20"/>
                <w:szCs w:val="20"/>
                <w:lang w:val="en-GB"/>
              </w:rPr>
              <w:t>Gavi</w:t>
            </w:r>
            <w:r>
              <w:rPr>
                <w:sz w:val="20"/>
                <w:szCs w:val="20"/>
                <w:lang w:val="en-GB"/>
              </w:rPr>
              <w:t>, WHO</w:t>
            </w:r>
            <w:r w:rsidR="002D35E5">
              <w:rPr>
                <w:sz w:val="20"/>
                <w:szCs w:val="20"/>
                <w:lang w:val="en-GB"/>
              </w:rPr>
              <w:t>,</w:t>
            </w:r>
            <w:r>
              <w:rPr>
                <w:sz w:val="20"/>
                <w:szCs w:val="20"/>
                <w:lang w:val="en-GB"/>
              </w:rPr>
              <w:t xml:space="preserve"> and UNICEF has been kicked off to discuss and review the program and identify the priority interventions. </w:t>
            </w:r>
          </w:p>
          <w:p w14:paraId="0F65B1B7" w14:textId="77777777" w:rsidR="00D353AF" w:rsidRDefault="00D353AF" w:rsidP="007B53D1">
            <w:pPr>
              <w:spacing w:line="300" w:lineRule="exact"/>
              <w:rPr>
                <w:sz w:val="20"/>
                <w:szCs w:val="20"/>
                <w:lang w:val="en-GB"/>
              </w:rPr>
            </w:pPr>
          </w:p>
          <w:p w14:paraId="2F61F067" w14:textId="15BD38AF" w:rsidR="003971B8" w:rsidRPr="003971B8" w:rsidRDefault="001B6764" w:rsidP="002C5B26">
            <w:pPr>
              <w:rPr>
                <w:sz w:val="20"/>
                <w:szCs w:val="20"/>
                <w:lang w:val="en-GB"/>
              </w:rPr>
            </w:pPr>
            <w:r>
              <w:rPr>
                <w:sz w:val="20"/>
                <w:szCs w:val="20"/>
                <w:lang w:val="en-GB"/>
              </w:rPr>
              <w:t xml:space="preserve">All the proposed interventions to be supported through TA are </w:t>
            </w:r>
            <w:r w:rsidR="009B1DA1">
              <w:rPr>
                <w:sz w:val="20"/>
                <w:szCs w:val="20"/>
                <w:lang w:val="en-GB"/>
              </w:rPr>
              <w:t>evidence-based</w:t>
            </w:r>
            <w:r>
              <w:rPr>
                <w:sz w:val="20"/>
                <w:szCs w:val="20"/>
                <w:lang w:val="en-GB"/>
              </w:rPr>
              <w:t xml:space="preserve"> and tailored to the local context</w:t>
            </w:r>
            <w:r w:rsidR="009B1DA1">
              <w:rPr>
                <w:sz w:val="20"/>
                <w:szCs w:val="20"/>
                <w:lang w:val="en-GB"/>
              </w:rPr>
              <w:t xml:space="preserve">, </w:t>
            </w:r>
            <w:r>
              <w:rPr>
                <w:sz w:val="20"/>
                <w:szCs w:val="20"/>
                <w:lang w:val="en-GB"/>
              </w:rPr>
              <w:t xml:space="preserve">political </w:t>
            </w:r>
            <w:r w:rsidR="009B1DA1">
              <w:rPr>
                <w:sz w:val="20"/>
                <w:szCs w:val="20"/>
                <w:lang w:val="en-GB"/>
              </w:rPr>
              <w:t>situation, and risks.</w:t>
            </w:r>
            <w:r w:rsidR="00DA6C11">
              <w:rPr>
                <w:sz w:val="20"/>
                <w:szCs w:val="20"/>
                <w:lang w:val="en-GB"/>
              </w:rPr>
              <w:t xml:space="preserve"> These interventions </w:t>
            </w:r>
            <w:r w:rsidR="00D12BA4">
              <w:rPr>
                <w:sz w:val="20"/>
                <w:szCs w:val="20"/>
                <w:lang w:val="en-GB"/>
              </w:rPr>
              <w:t xml:space="preserve">are </w:t>
            </w:r>
            <w:r w:rsidR="00752922">
              <w:rPr>
                <w:sz w:val="20"/>
                <w:szCs w:val="20"/>
                <w:lang w:val="en-GB"/>
              </w:rPr>
              <w:t>align</w:t>
            </w:r>
            <w:r w:rsidR="00D12BA4">
              <w:rPr>
                <w:sz w:val="20"/>
                <w:szCs w:val="20"/>
                <w:lang w:val="en-GB"/>
              </w:rPr>
              <w:t>ed</w:t>
            </w:r>
            <w:r w:rsidR="00DA6C11">
              <w:rPr>
                <w:sz w:val="20"/>
                <w:szCs w:val="20"/>
                <w:lang w:val="en-GB"/>
              </w:rPr>
              <w:t xml:space="preserve"> with</w:t>
            </w:r>
            <w:r w:rsidR="003971B8" w:rsidRPr="00FE5FEF">
              <w:rPr>
                <w:sz w:val="20"/>
                <w:szCs w:val="20"/>
                <w:lang w:val="en-GB"/>
              </w:rPr>
              <w:t xml:space="preserve"> </w:t>
            </w:r>
            <w:r w:rsidR="00D12BA4" w:rsidRPr="00FE5FEF">
              <w:rPr>
                <w:sz w:val="20"/>
                <w:szCs w:val="20"/>
                <w:lang w:val="en-GB"/>
              </w:rPr>
              <w:t xml:space="preserve">the </w:t>
            </w:r>
            <w:r w:rsidR="003971B8" w:rsidRPr="003971B8">
              <w:rPr>
                <w:sz w:val="20"/>
                <w:szCs w:val="20"/>
                <w:lang w:val="en-GB"/>
              </w:rPr>
              <w:t>2022</w:t>
            </w:r>
            <w:r w:rsidR="003971B8">
              <w:rPr>
                <w:sz w:val="20"/>
                <w:szCs w:val="20"/>
                <w:lang w:val="en-GB"/>
              </w:rPr>
              <w:t xml:space="preserve"> UN Health </w:t>
            </w:r>
            <w:r w:rsidR="00F144CC">
              <w:rPr>
                <w:sz w:val="20"/>
                <w:szCs w:val="20"/>
                <w:lang w:val="en-GB"/>
              </w:rPr>
              <w:t>R</w:t>
            </w:r>
            <w:r w:rsidR="003971B8">
              <w:rPr>
                <w:sz w:val="20"/>
                <w:szCs w:val="20"/>
                <w:lang w:val="en-GB"/>
              </w:rPr>
              <w:t xml:space="preserve">esponse Contingency </w:t>
            </w:r>
            <w:r w:rsidR="00F144CC">
              <w:rPr>
                <w:sz w:val="20"/>
                <w:szCs w:val="20"/>
                <w:lang w:val="en-GB"/>
              </w:rPr>
              <w:t>Framework</w:t>
            </w:r>
            <w:r w:rsidR="00FE5FEF">
              <w:rPr>
                <w:sz w:val="20"/>
                <w:szCs w:val="20"/>
                <w:lang w:val="en-GB"/>
              </w:rPr>
              <w:t xml:space="preserve">, </w:t>
            </w:r>
            <w:r w:rsidR="002D35E5">
              <w:rPr>
                <w:sz w:val="20"/>
                <w:szCs w:val="20"/>
                <w:lang w:val="en-GB"/>
              </w:rPr>
              <w:t xml:space="preserve">a </w:t>
            </w:r>
            <w:r w:rsidR="00FE5FEF">
              <w:rPr>
                <w:sz w:val="20"/>
                <w:szCs w:val="20"/>
                <w:lang w:val="en-GB"/>
              </w:rPr>
              <w:t xml:space="preserve">comprehensive multi-year plan (cMYP), </w:t>
            </w:r>
            <w:r w:rsidR="004879A1" w:rsidRPr="004879A1">
              <w:rPr>
                <w:sz w:val="20"/>
                <w:szCs w:val="20"/>
                <w:lang w:val="en-GB"/>
              </w:rPr>
              <w:t xml:space="preserve">the Myanmar National Strategic Plan for Reproductive, Maternal, Newborn, Child and Adolescent Health 2021-2025 which is incorporated into the Health National Strategic Plan, 2021-2025. </w:t>
            </w:r>
          </w:p>
          <w:p w14:paraId="5F9C90B7" w14:textId="77777777" w:rsidR="00AD1CE1" w:rsidRDefault="00AD1CE1" w:rsidP="002C5B26">
            <w:pPr>
              <w:rPr>
                <w:sz w:val="20"/>
                <w:szCs w:val="20"/>
                <w:lang w:val="en-GB"/>
              </w:rPr>
            </w:pPr>
          </w:p>
          <w:p w14:paraId="48003D96" w14:textId="3F7B688B" w:rsidR="00C74AEA" w:rsidRDefault="008C0563" w:rsidP="002C5B26">
            <w:pPr>
              <w:rPr>
                <w:color w:val="92D050"/>
                <w:lang w:val="en-GB"/>
              </w:rPr>
            </w:pPr>
            <w:r w:rsidRPr="008C0563">
              <w:rPr>
                <w:sz w:val="20"/>
                <w:szCs w:val="20"/>
                <w:lang w:val="en-GB"/>
              </w:rPr>
              <w:t>The United Nations Country Team (UNCT) is highly</w:t>
            </w:r>
            <w:r w:rsidR="00AD1CE1">
              <w:rPr>
                <w:sz w:val="20"/>
                <w:szCs w:val="20"/>
                <w:lang w:val="en-GB"/>
              </w:rPr>
              <w:t xml:space="preserve"> </w:t>
            </w:r>
            <w:r w:rsidRPr="008C0563">
              <w:rPr>
                <w:sz w:val="20"/>
                <w:szCs w:val="20"/>
                <w:lang w:val="en-GB"/>
              </w:rPr>
              <w:t xml:space="preserve">committed to </w:t>
            </w:r>
            <w:r w:rsidR="00114D5F">
              <w:rPr>
                <w:sz w:val="20"/>
                <w:szCs w:val="20"/>
                <w:lang w:val="en-GB"/>
              </w:rPr>
              <w:t>supporting</w:t>
            </w:r>
            <w:r w:rsidRPr="008C0563">
              <w:rPr>
                <w:sz w:val="20"/>
                <w:szCs w:val="20"/>
                <w:lang w:val="en-GB"/>
              </w:rPr>
              <w:t xml:space="preserve"> and </w:t>
            </w:r>
            <w:r w:rsidR="00114D5F">
              <w:rPr>
                <w:sz w:val="20"/>
                <w:szCs w:val="20"/>
                <w:lang w:val="en-GB"/>
              </w:rPr>
              <w:t>enabling</w:t>
            </w:r>
            <w:r w:rsidRPr="008C0563">
              <w:rPr>
                <w:sz w:val="20"/>
                <w:szCs w:val="20"/>
                <w:lang w:val="en-GB"/>
              </w:rPr>
              <w:t xml:space="preserve"> health service</w:t>
            </w:r>
            <w:r w:rsidR="00114D5F">
              <w:rPr>
                <w:sz w:val="20"/>
                <w:szCs w:val="20"/>
                <w:lang w:val="en-GB"/>
              </w:rPr>
              <w:t xml:space="preserve"> </w:t>
            </w:r>
            <w:r w:rsidRPr="008C0563">
              <w:rPr>
                <w:sz w:val="20"/>
                <w:szCs w:val="20"/>
                <w:lang w:val="en-GB"/>
              </w:rPr>
              <w:t>provision for the population across the country.</w:t>
            </w:r>
            <w:r w:rsidR="00AD1CE1">
              <w:rPr>
                <w:sz w:val="20"/>
                <w:szCs w:val="20"/>
                <w:lang w:val="en-GB"/>
              </w:rPr>
              <w:t xml:space="preserve"> </w:t>
            </w:r>
            <w:r w:rsidRPr="008C0563">
              <w:rPr>
                <w:sz w:val="20"/>
                <w:szCs w:val="20"/>
                <w:lang w:val="en-GB"/>
              </w:rPr>
              <w:t>T</w:t>
            </w:r>
            <w:r w:rsidR="00D00864">
              <w:rPr>
                <w:sz w:val="20"/>
                <w:szCs w:val="20"/>
                <w:lang w:val="en-GB"/>
              </w:rPr>
              <w:t>he UNCT has formulated a framework that leverages all delivery mechanisms - both public and non-public health service providers- towards delivering essential life-saving health, including immunization services for the most vulnerable population</w:t>
            </w:r>
            <w:r w:rsidRPr="008C0563">
              <w:rPr>
                <w:sz w:val="20"/>
                <w:szCs w:val="20"/>
                <w:lang w:val="en-GB"/>
              </w:rPr>
              <w:t>. In this complex</w:t>
            </w:r>
            <w:r w:rsidR="00AD1CE1">
              <w:rPr>
                <w:sz w:val="20"/>
                <w:szCs w:val="20"/>
                <w:lang w:val="en-GB"/>
              </w:rPr>
              <w:t xml:space="preserve"> </w:t>
            </w:r>
            <w:r w:rsidRPr="008C0563">
              <w:rPr>
                <w:sz w:val="20"/>
                <w:szCs w:val="20"/>
                <w:lang w:val="en-GB"/>
              </w:rPr>
              <w:t>and fluid environment, the UNCT takes a pragmatic,</w:t>
            </w:r>
            <w:r w:rsidR="00AD1CE1">
              <w:rPr>
                <w:sz w:val="20"/>
                <w:szCs w:val="20"/>
                <w:lang w:val="en-GB"/>
              </w:rPr>
              <w:t xml:space="preserve"> </w:t>
            </w:r>
            <w:r w:rsidRPr="008C0563">
              <w:rPr>
                <w:sz w:val="20"/>
                <w:szCs w:val="20"/>
                <w:lang w:val="en-GB"/>
              </w:rPr>
              <w:t>flexible, and innovative approach to strengthen</w:t>
            </w:r>
            <w:r w:rsidR="00AD1CE1">
              <w:rPr>
                <w:sz w:val="20"/>
                <w:szCs w:val="20"/>
                <w:lang w:val="en-GB"/>
              </w:rPr>
              <w:t xml:space="preserve"> </w:t>
            </w:r>
            <w:r w:rsidR="00114D5F">
              <w:rPr>
                <w:sz w:val="20"/>
                <w:szCs w:val="20"/>
                <w:lang w:val="en-GB"/>
              </w:rPr>
              <w:t xml:space="preserve">the </w:t>
            </w:r>
            <w:r w:rsidRPr="008C0563">
              <w:rPr>
                <w:sz w:val="20"/>
                <w:szCs w:val="20"/>
                <w:lang w:val="en-GB"/>
              </w:rPr>
              <w:t>provision of services to those most in need.</w:t>
            </w:r>
          </w:p>
        </w:tc>
      </w:tr>
    </w:tbl>
    <w:p w14:paraId="4DAF51E8" w14:textId="0B86255A" w:rsidR="007172E8" w:rsidRDefault="007172E8"/>
    <w:p w14:paraId="058C1B7B" w14:textId="4CE56EFB" w:rsidR="007172E8" w:rsidRPr="00264FC1" w:rsidRDefault="007172E8" w:rsidP="00166D84">
      <w:pPr>
        <w:pStyle w:val="ListParagraph"/>
        <w:numPr>
          <w:ilvl w:val="0"/>
          <w:numId w:val="11"/>
        </w:numPr>
        <w:spacing w:line="300" w:lineRule="exact"/>
        <w:ind w:left="426"/>
        <w:rPr>
          <w:b/>
          <w:bCs/>
          <w:color w:val="70AD47" w:themeColor="accent6"/>
          <w:sz w:val="26"/>
          <w:szCs w:val="26"/>
          <w:lang w:val="en-GB"/>
        </w:rPr>
      </w:pPr>
      <w:r w:rsidRPr="00264FC1">
        <w:rPr>
          <w:b/>
          <w:bCs/>
          <w:color w:val="70AD47" w:themeColor="accent6"/>
          <w:sz w:val="26"/>
          <w:szCs w:val="26"/>
          <w:lang w:val="en-GB"/>
        </w:rPr>
        <w:t>Partner di</w:t>
      </w:r>
      <w:r w:rsidR="00067D86" w:rsidRPr="00264FC1">
        <w:rPr>
          <w:b/>
          <w:bCs/>
          <w:color w:val="70AD47" w:themeColor="accent6"/>
          <w:sz w:val="26"/>
          <w:szCs w:val="26"/>
          <w:lang w:val="en-GB"/>
        </w:rPr>
        <w:t>versification</w:t>
      </w:r>
      <w:r w:rsidR="0033192A">
        <w:rPr>
          <w:b/>
          <w:bCs/>
          <w:color w:val="70AD47" w:themeColor="accent6"/>
          <w:sz w:val="26"/>
          <w:szCs w:val="26"/>
          <w:lang w:val="en-GB"/>
        </w:rPr>
        <w:t xml:space="preserve"> (0.5 page)</w:t>
      </w:r>
    </w:p>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gridCol w:w="22"/>
      </w:tblGrid>
      <w:tr w:rsidR="00E80A44" w14:paraId="3D086D68" w14:textId="77777777" w:rsidTr="00553C62">
        <w:trPr>
          <w:gridAfter w:val="1"/>
          <w:wAfter w:w="22" w:type="dxa"/>
          <w:trHeight w:val="846"/>
        </w:trPr>
        <w:tc>
          <w:tcPr>
            <w:tcW w:w="9170" w:type="dxa"/>
            <w:shd w:val="clear" w:color="auto" w:fill="F2F2F2" w:themeFill="background1" w:themeFillShade="F2"/>
          </w:tcPr>
          <w:p w14:paraId="642D6855" w14:textId="7E92188B" w:rsidR="00E80A44" w:rsidRDefault="006D3657" w:rsidP="00E80A44">
            <w:pPr>
              <w:spacing w:line="300" w:lineRule="exact"/>
              <w:rPr>
                <w:color w:val="92D050"/>
                <w:lang w:val="en-GB"/>
              </w:rPr>
            </w:pPr>
            <w:r>
              <w:rPr>
                <w:b/>
                <w:i/>
                <w:iCs/>
                <w:color w:val="000000" w:themeColor="text1"/>
                <w:sz w:val="20"/>
                <w:szCs w:val="20"/>
                <w:lang w:val="en-GB"/>
              </w:rPr>
              <w:t>3.1</w:t>
            </w:r>
            <w:r w:rsidR="00E80A44">
              <w:rPr>
                <w:b/>
                <w:i/>
                <w:iCs/>
                <w:color w:val="000000" w:themeColor="text1"/>
                <w:sz w:val="20"/>
                <w:szCs w:val="20"/>
                <w:lang w:val="en-GB"/>
              </w:rPr>
              <w:t xml:space="preserve"> </w:t>
            </w:r>
            <w:r w:rsidR="00E80A44" w:rsidRPr="0067359C">
              <w:rPr>
                <w:b/>
                <w:i/>
                <w:iCs/>
                <w:color w:val="000000" w:themeColor="text1"/>
                <w:sz w:val="20"/>
                <w:szCs w:val="20"/>
                <w:lang w:val="en-GB"/>
              </w:rPr>
              <w:t xml:space="preserve">Describe which partners you have already </w:t>
            </w:r>
            <w:r w:rsidR="005E728F">
              <w:rPr>
                <w:b/>
                <w:i/>
                <w:iCs/>
                <w:color w:val="000000" w:themeColor="text1"/>
                <w:sz w:val="20"/>
                <w:szCs w:val="20"/>
                <w:lang w:val="en-GB"/>
              </w:rPr>
              <w:t>mapped</w:t>
            </w:r>
            <w:r w:rsidR="00E80A44" w:rsidRPr="0067359C">
              <w:rPr>
                <w:b/>
                <w:i/>
                <w:iCs/>
                <w:color w:val="000000" w:themeColor="text1"/>
                <w:sz w:val="20"/>
                <w:szCs w:val="20"/>
                <w:lang w:val="en-GB"/>
              </w:rPr>
              <w:t xml:space="preserve">, including Alliance and </w:t>
            </w:r>
            <w:r w:rsidR="00E80A44" w:rsidRPr="57C08CD4">
              <w:rPr>
                <w:b/>
                <w:bCs/>
                <w:i/>
                <w:iCs/>
                <w:color w:val="000000" w:themeColor="text1"/>
                <w:sz w:val="20"/>
                <w:szCs w:val="20"/>
                <w:lang w:val="en-GB"/>
              </w:rPr>
              <w:t>Expanded</w:t>
            </w:r>
            <w:r w:rsidR="00E80A44" w:rsidRPr="0067359C">
              <w:rPr>
                <w:b/>
                <w:i/>
                <w:iCs/>
                <w:color w:val="000000" w:themeColor="text1"/>
                <w:sz w:val="20"/>
                <w:szCs w:val="20"/>
                <w:lang w:val="en-GB"/>
              </w:rPr>
              <w:t xml:space="preserve"> partners </w:t>
            </w:r>
            <w:r w:rsidR="00FD6F4C">
              <w:rPr>
                <w:b/>
                <w:bCs/>
                <w:i/>
                <w:iCs/>
                <w:color w:val="000000" w:themeColor="text1"/>
                <w:sz w:val="20"/>
                <w:szCs w:val="20"/>
                <w:lang w:val="en-GB"/>
              </w:rPr>
              <w:t xml:space="preserve">(including </w:t>
            </w:r>
            <w:r w:rsidR="009A2D50">
              <w:rPr>
                <w:b/>
                <w:bCs/>
                <w:i/>
                <w:iCs/>
                <w:color w:val="000000" w:themeColor="text1"/>
                <w:sz w:val="20"/>
                <w:szCs w:val="20"/>
                <w:lang w:val="en-GB"/>
              </w:rPr>
              <w:t>Global Partners,</w:t>
            </w:r>
            <w:r w:rsidR="00FD6F4C">
              <w:rPr>
                <w:b/>
                <w:bCs/>
                <w:i/>
                <w:iCs/>
                <w:color w:val="000000" w:themeColor="text1"/>
                <w:sz w:val="20"/>
                <w:szCs w:val="20"/>
                <w:lang w:val="en-GB"/>
              </w:rPr>
              <w:t xml:space="preserve"> </w:t>
            </w:r>
            <w:r w:rsidR="00E80A44" w:rsidRPr="57C08CD4">
              <w:rPr>
                <w:b/>
                <w:bCs/>
                <w:i/>
                <w:iCs/>
                <w:color w:val="000000" w:themeColor="text1"/>
                <w:sz w:val="20"/>
                <w:szCs w:val="20"/>
                <w:lang w:val="en-GB"/>
              </w:rPr>
              <w:t>Local Partners</w:t>
            </w:r>
            <w:r w:rsidR="00D00864">
              <w:rPr>
                <w:b/>
                <w:bCs/>
                <w:i/>
                <w:iCs/>
                <w:color w:val="000000" w:themeColor="text1"/>
                <w:sz w:val="20"/>
                <w:szCs w:val="20"/>
                <w:lang w:val="en-GB"/>
              </w:rPr>
              <w:t>,</w:t>
            </w:r>
            <w:r w:rsidR="00FD6F4C">
              <w:rPr>
                <w:b/>
                <w:bCs/>
                <w:i/>
                <w:iCs/>
                <w:color w:val="000000" w:themeColor="text1"/>
                <w:sz w:val="20"/>
                <w:szCs w:val="20"/>
                <w:lang w:val="en-GB"/>
              </w:rPr>
              <w:t xml:space="preserve"> and</w:t>
            </w:r>
            <w:r w:rsidR="00E80A44" w:rsidRPr="0067359C">
              <w:rPr>
                <w:b/>
                <w:i/>
                <w:iCs/>
                <w:color w:val="000000" w:themeColor="text1"/>
                <w:sz w:val="20"/>
                <w:szCs w:val="20"/>
                <w:lang w:val="en-GB"/>
              </w:rPr>
              <w:t xml:space="preserve"> CSOs</w:t>
            </w:r>
            <w:r w:rsidR="00FD6F4C">
              <w:rPr>
                <w:b/>
                <w:i/>
                <w:iCs/>
                <w:color w:val="000000" w:themeColor="text1"/>
                <w:sz w:val="20"/>
                <w:szCs w:val="20"/>
                <w:lang w:val="en-GB"/>
              </w:rPr>
              <w:t>)</w:t>
            </w:r>
            <w:r w:rsidR="00D00864">
              <w:rPr>
                <w:b/>
                <w:i/>
                <w:iCs/>
                <w:color w:val="000000" w:themeColor="text1"/>
                <w:sz w:val="20"/>
                <w:szCs w:val="20"/>
                <w:lang w:val="en-GB"/>
              </w:rPr>
              <w:t>,</w:t>
            </w:r>
            <w:r w:rsidR="00E80A44" w:rsidRPr="0067359C">
              <w:rPr>
                <w:b/>
                <w:i/>
                <w:iCs/>
                <w:color w:val="000000" w:themeColor="text1"/>
                <w:sz w:val="20"/>
                <w:szCs w:val="20"/>
                <w:lang w:val="en-GB"/>
              </w:rPr>
              <w:t xml:space="preserve"> to support the activit</w:t>
            </w:r>
            <w:r w:rsidR="00EB769C">
              <w:rPr>
                <w:b/>
                <w:i/>
                <w:iCs/>
                <w:color w:val="000000" w:themeColor="text1"/>
                <w:sz w:val="20"/>
                <w:szCs w:val="20"/>
                <w:lang w:val="en-GB"/>
              </w:rPr>
              <w:t>ies</w:t>
            </w:r>
            <w:r w:rsidR="00E80A44" w:rsidRPr="0067359C">
              <w:rPr>
                <w:b/>
                <w:i/>
                <w:iCs/>
                <w:color w:val="000000" w:themeColor="text1"/>
                <w:sz w:val="20"/>
                <w:szCs w:val="20"/>
                <w:lang w:val="en-GB"/>
              </w:rPr>
              <w:t xml:space="preserve"> implementation?</w:t>
            </w:r>
            <w:r w:rsidR="005D0F9E">
              <w:rPr>
                <w:b/>
                <w:bCs/>
                <w:i/>
                <w:iCs/>
                <w:sz w:val="20"/>
                <w:szCs w:val="20"/>
                <w:lang w:val="en-GB"/>
              </w:rPr>
              <w:t xml:space="preserve"> (Refer to the</w:t>
            </w:r>
            <w:r w:rsidR="007F2F8B">
              <w:rPr>
                <w:b/>
                <w:bCs/>
                <w:i/>
                <w:iCs/>
                <w:sz w:val="20"/>
                <w:szCs w:val="20"/>
                <w:lang w:val="en-GB"/>
              </w:rPr>
              <w:t xml:space="preserve"> </w:t>
            </w:r>
            <w:hyperlink r:id="rId14" w:history="1">
              <w:r w:rsidR="007F2F8B" w:rsidRPr="007F2F8B">
                <w:rPr>
                  <w:rStyle w:val="Hyperlink"/>
                  <w:b/>
                  <w:bCs/>
                  <w:i/>
                  <w:iCs/>
                  <w:sz w:val="20"/>
                  <w:szCs w:val="20"/>
                  <w:lang w:val="en-GB"/>
                </w:rPr>
                <w:t>PEF Targeted Country Assistance (TCA) Guidance for 2022-2025 Multi-Year Planning</w:t>
              </w:r>
            </w:hyperlink>
            <w:r w:rsidR="005D0F9E">
              <w:rPr>
                <w:b/>
                <w:bCs/>
                <w:i/>
                <w:iCs/>
                <w:sz w:val="20"/>
                <w:szCs w:val="20"/>
                <w:lang w:val="en-GB"/>
              </w:rPr>
              <w:t xml:space="preserve"> for the type of institutions considered global versus local partners and CSOs.)</w:t>
            </w:r>
          </w:p>
        </w:tc>
      </w:tr>
      <w:tr w:rsidR="00520598" w14:paraId="62BDF2A5" w14:textId="77777777" w:rsidTr="004B632A">
        <w:tc>
          <w:tcPr>
            <w:tcW w:w="9170" w:type="dxa"/>
            <w:gridSpan w:val="2"/>
            <w:tcBorders>
              <w:top w:val="single" w:sz="4" w:space="0" w:color="auto"/>
              <w:left w:val="single" w:sz="4" w:space="0" w:color="auto"/>
              <w:bottom w:val="single" w:sz="4" w:space="0" w:color="auto"/>
              <w:right w:val="single" w:sz="4" w:space="0" w:color="auto"/>
            </w:tcBorders>
          </w:tcPr>
          <w:p w14:paraId="18AA925F" w14:textId="47C46CBD" w:rsidR="00520598" w:rsidRPr="00EE27C3" w:rsidRDefault="00883ED9" w:rsidP="004B632A">
            <w:pPr>
              <w:spacing w:line="300" w:lineRule="exact"/>
              <w:rPr>
                <w:color w:val="92D050"/>
                <w:highlight w:val="yellow"/>
                <w:lang w:val="en-GB"/>
              </w:rPr>
            </w:pPr>
            <w:r w:rsidRPr="00A25B4D">
              <w:rPr>
                <w:sz w:val="20"/>
                <w:szCs w:val="20"/>
                <w:lang w:val="en-GB"/>
              </w:rPr>
              <w:t>WHO and UNICEF only</w:t>
            </w:r>
            <w:r w:rsidR="00A25B4D" w:rsidRPr="00A25B4D">
              <w:rPr>
                <w:sz w:val="20"/>
                <w:szCs w:val="20"/>
                <w:lang w:val="en-GB"/>
              </w:rPr>
              <w:t>;</w:t>
            </w:r>
            <w:r w:rsidR="00111CDF" w:rsidRPr="00A25B4D">
              <w:rPr>
                <w:sz w:val="20"/>
                <w:szCs w:val="20"/>
                <w:lang w:val="en-GB"/>
              </w:rPr>
              <w:t xml:space="preserve"> no local partner has been selected </w:t>
            </w:r>
            <w:r w:rsidR="00B85181" w:rsidRPr="00A25B4D">
              <w:rPr>
                <w:sz w:val="20"/>
                <w:szCs w:val="20"/>
                <w:lang w:val="en-GB"/>
              </w:rPr>
              <w:t>for the PEF TCA</w:t>
            </w:r>
            <w:r w:rsidR="00AC13AE" w:rsidRPr="00A25B4D">
              <w:rPr>
                <w:sz w:val="20"/>
                <w:szCs w:val="20"/>
                <w:lang w:val="en-GB"/>
              </w:rPr>
              <w:t>.</w:t>
            </w:r>
          </w:p>
        </w:tc>
      </w:tr>
      <w:tr w:rsidR="00520598" w14:paraId="72481A8B" w14:textId="77777777" w:rsidTr="00721B6C">
        <w:trPr>
          <w:trHeight w:val="323"/>
        </w:trPr>
        <w:tc>
          <w:tcPr>
            <w:tcW w:w="9170" w:type="dxa"/>
            <w:gridSpan w:val="2"/>
            <w:shd w:val="clear" w:color="auto" w:fill="F2F2F2" w:themeFill="background1" w:themeFillShade="F2"/>
          </w:tcPr>
          <w:p w14:paraId="29991F07" w14:textId="55AE8450" w:rsidR="00520598" w:rsidRPr="00520598" w:rsidRDefault="00520598" w:rsidP="57C08CD4">
            <w:pPr>
              <w:spacing w:line="300" w:lineRule="exact"/>
              <w:rPr>
                <w:b/>
                <w:bCs/>
                <w:i/>
                <w:iCs/>
                <w:color w:val="000000" w:themeColor="text1"/>
                <w:sz w:val="20"/>
                <w:szCs w:val="20"/>
                <w:lang w:val="en-GB"/>
              </w:rPr>
            </w:pPr>
            <w:r w:rsidRPr="007B693C">
              <w:rPr>
                <w:b/>
                <w:bCs/>
                <w:i/>
                <w:iCs/>
                <w:sz w:val="20"/>
                <w:szCs w:val="20"/>
                <w:lang w:val="en-GB"/>
              </w:rPr>
              <w:t>3.2 Please indicate how exactly you plan to collaborate with Local Partners</w:t>
            </w:r>
            <w:r w:rsidR="002309F6">
              <w:rPr>
                <w:b/>
                <w:bCs/>
                <w:i/>
                <w:iCs/>
                <w:sz w:val="20"/>
                <w:szCs w:val="20"/>
                <w:lang w:val="en-GB"/>
              </w:rPr>
              <w:t>.</w:t>
            </w:r>
            <w:r w:rsidRPr="007B693C">
              <w:rPr>
                <w:b/>
                <w:bCs/>
                <w:i/>
                <w:iCs/>
                <w:sz w:val="20"/>
                <w:szCs w:val="20"/>
                <w:lang w:val="en-GB"/>
              </w:rPr>
              <w:t xml:space="preserve"> </w:t>
            </w:r>
          </w:p>
        </w:tc>
      </w:tr>
      <w:tr w:rsidR="00E80A44" w14:paraId="5B4D7083" w14:textId="77777777" w:rsidTr="00D353AF">
        <w:trPr>
          <w:gridAfter w:val="1"/>
          <w:wAfter w:w="22" w:type="dxa"/>
        </w:trPr>
        <w:tc>
          <w:tcPr>
            <w:tcW w:w="9170" w:type="dxa"/>
            <w:tcBorders>
              <w:top w:val="single" w:sz="4" w:space="0" w:color="auto"/>
              <w:left w:val="single" w:sz="4" w:space="0" w:color="auto"/>
              <w:bottom w:val="single" w:sz="4" w:space="0" w:color="auto"/>
              <w:right w:val="single" w:sz="4" w:space="0" w:color="auto"/>
            </w:tcBorders>
          </w:tcPr>
          <w:p w14:paraId="482CC251" w14:textId="3D4E05D1" w:rsidR="00B85181" w:rsidRPr="00A25B4D" w:rsidRDefault="00AC13AE" w:rsidP="00F9108C">
            <w:pPr>
              <w:rPr>
                <w:sz w:val="20"/>
                <w:szCs w:val="20"/>
                <w:lang w:val="en-GB"/>
              </w:rPr>
            </w:pPr>
            <w:r w:rsidRPr="00A25B4D">
              <w:rPr>
                <w:sz w:val="20"/>
                <w:szCs w:val="20"/>
                <w:lang w:val="en-GB"/>
              </w:rPr>
              <w:t xml:space="preserve">The </w:t>
            </w:r>
            <w:r w:rsidR="00F5377F" w:rsidRPr="00A25B4D">
              <w:rPr>
                <w:sz w:val="20"/>
                <w:szCs w:val="20"/>
                <w:lang w:val="en-GB"/>
              </w:rPr>
              <w:t xml:space="preserve">following </w:t>
            </w:r>
            <w:r w:rsidRPr="00A25B4D">
              <w:rPr>
                <w:sz w:val="20"/>
                <w:szCs w:val="20"/>
                <w:lang w:val="en-GB"/>
              </w:rPr>
              <w:t>strategic partnership</w:t>
            </w:r>
            <w:r w:rsidR="00D04BE9" w:rsidRPr="00A25B4D">
              <w:rPr>
                <w:sz w:val="20"/>
                <w:szCs w:val="20"/>
                <w:lang w:val="en-GB"/>
              </w:rPr>
              <w:t xml:space="preserve"> (non-funding partnership)</w:t>
            </w:r>
            <w:r w:rsidRPr="00A25B4D">
              <w:rPr>
                <w:sz w:val="20"/>
                <w:szCs w:val="20"/>
                <w:lang w:val="en-GB"/>
              </w:rPr>
              <w:t xml:space="preserve"> will be established</w:t>
            </w:r>
            <w:r w:rsidR="00F5377F" w:rsidRPr="00A25B4D">
              <w:rPr>
                <w:sz w:val="20"/>
                <w:szCs w:val="20"/>
                <w:lang w:val="en-GB"/>
              </w:rPr>
              <w:t>/continued</w:t>
            </w:r>
            <w:r w:rsidRPr="00A25B4D">
              <w:rPr>
                <w:sz w:val="20"/>
                <w:szCs w:val="20"/>
                <w:lang w:val="en-GB"/>
              </w:rPr>
              <w:t xml:space="preserve"> b</w:t>
            </w:r>
            <w:r w:rsidR="00B85181" w:rsidRPr="00A25B4D">
              <w:rPr>
                <w:sz w:val="20"/>
                <w:szCs w:val="20"/>
                <w:lang w:val="en-GB"/>
              </w:rPr>
              <w:t>ased on the</w:t>
            </w:r>
            <w:r w:rsidR="00873129" w:rsidRPr="00A25B4D">
              <w:rPr>
                <w:sz w:val="20"/>
                <w:szCs w:val="20"/>
                <w:lang w:val="en-GB"/>
              </w:rPr>
              <w:t>ir comparative advantage</w:t>
            </w:r>
            <w:r w:rsidR="00F5377F" w:rsidRPr="00A25B4D">
              <w:rPr>
                <w:sz w:val="20"/>
                <w:szCs w:val="20"/>
                <w:lang w:val="en-GB"/>
              </w:rPr>
              <w:t>:</w:t>
            </w:r>
          </w:p>
          <w:p w14:paraId="5F383745" w14:textId="7542090D" w:rsidR="000A128B" w:rsidRPr="00A25B4D" w:rsidRDefault="000A128B" w:rsidP="00F9108C">
            <w:pPr>
              <w:pStyle w:val="ListParagraph"/>
              <w:numPr>
                <w:ilvl w:val="0"/>
                <w:numId w:val="26"/>
              </w:numPr>
              <w:rPr>
                <w:sz w:val="20"/>
                <w:szCs w:val="20"/>
                <w:lang w:val="en-GB"/>
              </w:rPr>
            </w:pPr>
            <w:r w:rsidRPr="00A25B4D">
              <w:rPr>
                <w:sz w:val="20"/>
                <w:szCs w:val="20"/>
                <w:lang w:val="en-GB"/>
              </w:rPr>
              <w:t>In the urban areas: Private sector</w:t>
            </w:r>
            <w:r w:rsidR="00D04BE9" w:rsidRPr="00A25B4D">
              <w:rPr>
                <w:sz w:val="20"/>
                <w:szCs w:val="20"/>
                <w:lang w:val="en-GB"/>
              </w:rPr>
              <w:t>s</w:t>
            </w:r>
            <w:r w:rsidR="00F5377F" w:rsidRPr="00A25B4D">
              <w:rPr>
                <w:sz w:val="20"/>
                <w:szCs w:val="20"/>
                <w:lang w:val="en-GB"/>
              </w:rPr>
              <w:t>, both</w:t>
            </w:r>
            <w:r w:rsidRPr="00A25B4D">
              <w:rPr>
                <w:sz w:val="20"/>
                <w:szCs w:val="20"/>
                <w:lang w:val="en-GB"/>
              </w:rPr>
              <w:t xml:space="preserve"> for-profit and non-profit</w:t>
            </w:r>
            <w:r w:rsidR="00F9108C" w:rsidRPr="00A25B4D">
              <w:rPr>
                <w:sz w:val="20"/>
                <w:szCs w:val="20"/>
                <w:lang w:val="en-GB"/>
              </w:rPr>
              <w:t>;</w:t>
            </w:r>
          </w:p>
          <w:p w14:paraId="0AAD3880" w14:textId="07581F41" w:rsidR="000A128B" w:rsidRPr="00A25B4D" w:rsidRDefault="000A128B" w:rsidP="00F9108C">
            <w:pPr>
              <w:pStyle w:val="ListParagraph"/>
              <w:numPr>
                <w:ilvl w:val="0"/>
                <w:numId w:val="26"/>
              </w:numPr>
              <w:rPr>
                <w:sz w:val="20"/>
                <w:szCs w:val="20"/>
                <w:lang w:val="en-GB"/>
              </w:rPr>
            </w:pPr>
            <w:r w:rsidRPr="00A25B4D">
              <w:rPr>
                <w:sz w:val="20"/>
                <w:szCs w:val="20"/>
                <w:lang w:val="en-GB"/>
              </w:rPr>
              <w:t xml:space="preserve">Rural and </w:t>
            </w:r>
            <w:r w:rsidR="00A25B4D" w:rsidRPr="00A25B4D">
              <w:rPr>
                <w:sz w:val="20"/>
                <w:szCs w:val="20"/>
                <w:lang w:val="en-GB"/>
              </w:rPr>
              <w:t>the hard-to-reach region</w:t>
            </w:r>
            <w:r w:rsidRPr="00A25B4D">
              <w:rPr>
                <w:sz w:val="20"/>
                <w:szCs w:val="20"/>
                <w:lang w:val="en-GB"/>
              </w:rPr>
              <w:t>s</w:t>
            </w:r>
            <w:r w:rsidR="24BA8B7C" w:rsidRPr="00A25B4D">
              <w:rPr>
                <w:sz w:val="20"/>
                <w:szCs w:val="20"/>
                <w:lang w:val="en-GB"/>
              </w:rPr>
              <w:t xml:space="preserve"> including conflicted affected communities</w:t>
            </w:r>
            <w:r w:rsidRPr="00A25B4D">
              <w:rPr>
                <w:sz w:val="20"/>
                <w:szCs w:val="20"/>
                <w:lang w:val="en-GB"/>
              </w:rPr>
              <w:t xml:space="preserve">: NGOs, EHOs, </w:t>
            </w:r>
            <w:r w:rsidR="24BA8B7C" w:rsidRPr="00A25B4D">
              <w:rPr>
                <w:sz w:val="20"/>
                <w:szCs w:val="20"/>
                <w:lang w:val="en-GB"/>
              </w:rPr>
              <w:t>CSOs</w:t>
            </w:r>
            <w:r w:rsidR="00F9108C" w:rsidRPr="00A25B4D">
              <w:rPr>
                <w:sz w:val="20"/>
                <w:szCs w:val="20"/>
                <w:lang w:val="en-GB"/>
              </w:rPr>
              <w:t>;</w:t>
            </w:r>
          </w:p>
          <w:p w14:paraId="5AEFE242" w14:textId="75509756" w:rsidR="00563C85" w:rsidRPr="00A25B4D" w:rsidRDefault="000A128B" w:rsidP="00F9108C">
            <w:pPr>
              <w:pStyle w:val="ListParagraph"/>
              <w:numPr>
                <w:ilvl w:val="0"/>
                <w:numId w:val="26"/>
              </w:numPr>
              <w:rPr>
                <w:sz w:val="20"/>
                <w:szCs w:val="20"/>
                <w:lang w:val="en-GB"/>
              </w:rPr>
            </w:pPr>
            <w:r w:rsidRPr="00A25B4D">
              <w:rPr>
                <w:sz w:val="20"/>
                <w:szCs w:val="20"/>
                <w:lang w:val="en-GB"/>
              </w:rPr>
              <w:t xml:space="preserve">Nationwide: </w:t>
            </w:r>
            <w:r w:rsidR="24BA8B7C" w:rsidRPr="00A25B4D">
              <w:rPr>
                <w:sz w:val="20"/>
                <w:szCs w:val="20"/>
                <w:lang w:val="en-GB"/>
              </w:rPr>
              <w:t>Clinton Health Access Initiative (</w:t>
            </w:r>
            <w:r w:rsidRPr="00A25B4D">
              <w:rPr>
                <w:sz w:val="20"/>
                <w:szCs w:val="20"/>
                <w:lang w:val="en-GB"/>
              </w:rPr>
              <w:t>CHAI</w:t>
            </w:r>
            <w:r w:rsidR="24BA8B7C" w:rsidRPr="00A25B4D">
              <w:rPr>
                <w:sz w:val="20"/>
                <w:szCs w:val="20"/>
                <w:lang w:val="en-GB"/>
              </w:rPr>
              <w:t>)</w:t>
            </w:r>
            <w:r w:rsidRPr="00A25B4D">
              <w:rPr>
                <w:sz w:val="20"/>
                <w:szCs w:val="20"/>
                <w:lang w:val="en-GB"/>
              </w:rPr>
              <w:t xml:space="preserve"> for the </w:t>
            </w:r>
            <w:r w:rsidR="00F5377F" w:rsidRPr="00A25B4D">
              <w:rPr>
                <w:sz w:val="20"/>
                <w:szCs w:val="20"/>
                <w:lang w:val="en-GB"/>
              </w:rPr>
              <w:t xml:space="preserve">rolling out of </w:t>
            </w:r>
            <w:r w:rsidRPr="00A25B4D">
              <w:rPr>
                <w:sz w:val="20"/>
                <w:szCs w:val="20"/>
                <w:lang w:val="en-GB"/>
              </w:rPr>
              <w:t>e-LMIS</w:t>
            </w:r>
            <w:r w:rsidR="00EF420B" w:rsidRPr="00A25B4D">
              <w:rPr>
                <w:sz w:val="20"/>
                <w:szCs w:val="20"/>
                <w:lang w:val="en-GB"/>
              </w:rPr>
              <w:t xml:space="preserve"> and PATH</w:t>
            </w:r>
          </w:p>
          <w:p w14:paraId="325D2AB1" w14:textId="5AB3A3D4" w:rsidR="000A128B" w:rsidRPr="00A25B4D" w:rsidRDefault="00563C85" w:rsidP="00F9108C">
            <w:pPr>
              <w:pStyle w:val="ListParagraph"/>
              <w:numPr>
                <w:ilvl w:val="0"/>
                <w:numId w:val="26"/>
              </w:numPr>
              <w:rPr>
                <w:sz w:val="20"/>
                <w:szCs w:val="20"/>
                <w:lang w:val="en-GB"/>
              </w:rPr>
            </w:pPr>
            <w:r w:rsidRPr="00A25B4D">
              <w:rPr>
                <w:sz w:val="20"/>
                <w:szCs w:val="20"/>
                <w:lang w:val="en-GB"/>
              </w:rPr>
              <w:t xml:space="preserve">Global: </w:t>
            </w:r>
            <w:r w:rsidR="00724D24" w:rsidRPr="00A25B4D">
              <w:rPr>
                <w:sz w:val="20"/>
                <w:szCs w:val="20"/>
                <w:lang w:val="en-GB"/>
              </w:rPr>
              <w:t xml:space="preserve"> </w:t>
            </w:r>
            <w:r w:rsidR="00D50F33" w:rsidRPr="00A25B4D">
              <w:rPr>
                <w:sz w:val="20"/>
                <w:szCs w:val="20"/>
                <w:lang w:val="en-GB"/>
              </w:rPr>
              <w:t xml:space="preserve">US CDC, </w:t>
            </w:r>
            <w:r w:rsidR="00881FBD" w:rsidRPr="00A25B4D">
              <w:rPr>
                <w:sz w:val="20"/>
                <w:szCs w:val="20"/>
                <w:lang w:val="en-GB"/>
              </w:rPr>
              <w:t>Zero</w:t>
            </w:r>
            <w:r w:rsidR="00724D24" w:rsidRPr="00A25B4D">
              <w:rPr>
                <w:sz w:val="20"/>
                <w:szCs w:val="20"/>
                <w:lang w:val="en-GB"/>
              </w:rPr>
              <w:t xml:space="preserve"> dose analysis- J</w:t>
            </w:r>
            <w:r w:rsidR="00881FBD" w:rsidRPr="00A25B4D">
              <w:rPr>
                <w:sz w:val="20"/>
                <w:szCs w:val="20"/>
                <w:lang w:val="en-GB"/>
              </w:rPr>
              <w:t>hpiego</w:t>
            </w:r>
            <w:r w:rsidR="00F9108C" w:rsidRPr="00A25B4D">
              <w:rPr>
                <w:sz w:val="20"/>
                <w:szCs w:val="20"/>
                <w:lang w:val="en-GB"/>
              </w:rPr>
              <w:t xml:space="preserve"> </w:t>
            </w:r>
            <w:r w:rsidR="00F525DA" w:rsidRPr="00A25B4D">
              <w:rPr>
                <w:sz w:val="20"/>
                <w:szCs w:val="20"/>
                <w:lang w:val="en-GB"/>
              </w:rPr>
              <w:t>and</w:t>
            </w:r>
            <w:r w:rsidR="00103925" w:rsidRPr="00A25B4D">
              <w:rPr>
                <w:sz w:val="20"/>
                <w:szCs w:val="20"/>
                <w:lang w:val="en-GB"/>
              </w:rPr>
              <w:t xml:space="preserve"> P4H for health financing</w:t>
            </w:r>
          </w:p>
          <w:p w14:paraId="6420D9B9" w14:textId="13A66EDF" w:rsidR="00E80A44" w:rsidRPr="00F9108C" w:rsidRDefault="00F5377F" w:rsidP="00F9108C">
            <w:pPr>
              <w:pStyle w:val="ListParagraph"/>
              <w:numPr>
                <w:ilvl w:val="0"/>
                <w:numId w:val="26"/>
              </w:numPr>
              <w:rPr>
                <w:color w:val="92D050"/>
                <w:lang w:val="en-GB"/>
              </w:rPr>
            </w:pPr>
            <w:r w:rsidRPr="00F9108C">
              <w:rPr>
                <w:sz w:val="20"/>
                <w:szCs w:val="20"/>
                <w:lang w:val="en-GB"/>
              </w:rPr>
              <w:t>Third-party</w:t>
            </w:r>
            <w:r w:rsidR="000A128B" w:rsidRPr="00F9108C">
              <w:rPr>
                <w:sz w:val="20"/>
                <w:szCs w:val="20"/>
                <w:lang w:val="en-GB"/>
              </w:rPr>
              <w:t xml:space="preserve"> for different contractual </w:t>
            </w:r>
            <w:r w:rsidR="00F9108C">
              <w:rPr>
                <w:sz w:val="20"/>
                <w:szCs w:val="20"/>
                <w:lang w:val="en-GB"/>
              </w:rPr>
              <w:t>arrangements.</w:t>
            </w:r>
          </w:p>
        </w:tc>
      </w:tr>
      <w:tr w:rsidR="38F5364C" w14:paraId="5D1DCA18" w14:textId="77777777" w:rsidTr="00D353AF">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59D43D0B" w14:textId="12890768" w:rsidR="2F92698C" w:rsidRDefault="3D5C2947" w:rsidP="704B32F1">
            <w:pPr>
              <w:spacing w:line="300" w:lineRule="exact"/>
              <w:rPr>
                <w:b/>
                <w:bCs/>
                <w:i/>
                <w:iCs/>
                <w:color w:val="000000" w:themeColor="text1"/>
                <w:sz w:val="20"/>
                <w:szCs w:val="20"/>
              </w:rPr>
            </w:pPr>
            <w:r w:rsidRPr="704B32F1">
              <w:rPr>
                <w:b/>
                <w:bCs/>
                <w:i/>
                <w:iCs/>
                <w:color w:val="000000" w:themeColor="text1"/>
                <w:sz w:val="20"/>
                <w:szCs w:val="20"/>
              </w:rPr>
              <w:lastRenderedPageBreak/>
              <w:t>3.</w:t>
            </w:r>
            <w:r w:rsidR="00520598">
              <w:rPr>
                <w:b/>
                <w:bCs/>
                <w:i/>
                <w:iCs/>
                <w:color w:val="000000" w:themeColor="text1"/>
                <w:sz w:val="20"/>
                <w:szCs w:val="20"/>
              </w:rPr>
              <w:t>3</w:t>
            </w:r>
            <w:r w:rsidRPr="704B32F1">
              <w:rPr>
                <w:b/>
                <w:bCs/>
                <w:i/>
                <w:iCs/>
                <w:color w:val="000000" w:themeColor="text1"/>
                <w:sz w:val="20"/>
                <w:szCs w:val="20"/>
              </w:rPr>
              <w:t xml:space="preserve"> </w:t>
            </w:r>
            <w:r w:rsidR="64431148" w:rsidRPr="704B32F1">
              <w:rPr>
                <w:b/>
                <w:bCs/>
                <w:i/>
                <w:iCs/>
                <w:color w:val="000000" w:themeColor="text1"/>
                <w:sz w:val="20"/>
                <w:szCs w:val="20"/>
              </w:rPr>
              <w:t xml:space="preserve">Please note the allocation of TCA to </w:t>
            </w:r>
            <w:r w:rsidR="009F19F8">
              <w:rPr>
                <w:b/>
                <w:bCs/>
                <w:i/>
                <w:iCs/>
                <w:color w:val="000000" w:themeColor="text1"/>
                <w:sz w:val="20"/>
                <w:szCs w:val="20"/>
              </w:rPr>
              <w:t>Local Partners</w:t>
            </w:r>
            <w:r w:rsidR="00B664EF">
              <w:rPr>
                <w:b/>
                <w:bCs/>
                <w:i/>
                <w:iCs/>
                <w:color w:val="000000" w:themeColor="text1"/>
                <w:sz w:val="20"/>
                <w:szCs w:val="20"/>
              </w:rPr>
              <w:t xml:space="preserve"> (only)</w:t>
            </w:r>
            <w:r w:rsidR="64431148" w:rsidRPr="704B32F1">
              <w:rPr>
                <w:b/>
                <w:bCs/>
                <w:i/>
                <w:iCs/>
                <w:color w:val="000000" w:themeColor="text1"/>
                <w:sz w:val="20"/>
                <w:szCs w:val="20"/>
              </w:rPr>
              <w:t xml:space="preserve"> and describe the approach you will use to comply with the </w:t>
            </w:r>
            <w:r w:rsidR="004E2955">
              <w:rPr>
                <w:b/>
                <w:bCs/>
                <w:i/>
                <w:iCs/>
                <w:color w:val="000000" w:themeColor="text1"/>
                <w:sz w:val="20"/>
                <w:szCs w:val="20"/>
              </w:rPr>
              <w:t>recommendation</w:t>
            </w:r>
            <w:r w:rsidR="64431148" w:rsidRPr="704B32F1">
              <w:rPr>
                <w:b/>
                <w:bCs/>
                <w:i/>
                <w:iCs/>
                <w:color w:val="000000" w:themeColor="text1"/>
                <w:sz w:val="20"/>
                <w:szCs w:val="20"/>
              </w:rPr>
              <w:t xml:space="preserve"> of allocating </w:t>
            </w:r>
            <w:r w:rsidR="004E2955">
              <w:rPr>
                <w:b/>
                <w:bCs/>
                <w:i/>
                <w:iCs/>
                <w:color w:val="000000" w:themeColor="text1"/>
                <w:sz w:val="20"/>
                <w:szCs w:val="20"/>
              </w:rPr>
              <w:t>30</w:t>
            </w:r>
            <w:r w:rsidR="64431148" w:rsidRPr="704B32F1">
              <w:rPr>
                <w:b/>
                <w:bCs/>
                <w:i/>
                <w:iCs/>
                <w:color w:val="000000" w:themeColor="text1"/>
                <w:sz w:val="20"/>
                <w:szCs w:val="20"/>
              </w:rPr>
              <w:t xml:space="preserve">% of TCA </w:t>
            </w:r>
            <w:r w:rsidR="004E2955">
              <w:rPr>
                <w:b/>
                <w:bCs/>
                <w:i/>
                <w:iCs/>
                <w:color w:val="000000" w:themeColor="text1"/>
                <w:sz w:val="20"/>
                <w:szCs w:val="20"/>
              </w:rPr>
              <w:t>to Local Partners</w:t>
            </w:r>
            <w:r w:rsidR="00D603BC">
              <w:rPr>
                <w:b/>
                <w:bCs/>
                <w:i/>
                <w:iCs/>
                <w:color w:val="000000" w:themeColor="text1"/>
                <w:sz w:val="20"/>
                <w:szCs w:val="20"/>
              </w:rPr>
              <w:t xml:space="preserve"> </w:t>
            </w:r>
            <w:r w:rsidR="00A25B4D">
              <w:rPr>
                <w:b/>
                <w:bCs/>
                <w:i/>
                <w:iCs/>
                <w:color w:val="000000" w:themeColor="text1"/>
                <w:sz w:val="20"/>
                <w:szCs w:val="20"/>
              </w:rPr>
              <w:t>throughout</w:t>
            </w:r>
            <w:r w:rsidR="00D603BC">
              <w:rPr>
                <w:b/>
                <w:bCs/>
                <w:i/>
                <w:iCs/>
                <w:color w:val="000000" w:themeColor="text1"/>
                <w:sz w:val="20"/>
                <w:szCs w:val="20"/>
              </w:rPr>
              <w:t xml:space="preserve"> 2022-25</w:t>
            </w:r>
            <w:r w:rsidR="00704813">
              <w:rPr>
                <w:b/>
                <w:bCs/>
                <w:i/>
                <w:iCs/>
                <w:color w:val="000000" w:themeColor="text1"/>
                <w:sz w:val="20"/>
                <w:szCs w:val="20"/>
              </w:rPr>
              <w:t>.</w:t>
            </w:r>
            <w:r w:rsidR="00025BBE">
              <w:rPr>
                <w:b/>
                <w:bCs/>
                <w:i/>
                <w:iCs/>
                <w:color w:val="000000" w:themeColor="text1"/>
                <w:sz w:val="20"/>
                <w:szCs w:val="20"/>
              </w:rPr>
              <w:t xml:space="preserve"> </w:t>
            </w:r>
            <w:r w:rsidR="00025BBE" w:rsidRPr="002C42E8">
              <w:rPr>
                <w:i/>
                <w:sz w:val="20"/>
                <w:szCs w:val="20"/>
                <w:lang w:val="en-GB"/>
              </w:rPr>
              <w:t>Please refer to section 2.3 (3. Partner Mapping) of the PEF TCA Planning Guidelines for more information.</w:t>
            </w:r>
          </w:p>
        </w:tc>
      </w:tr>
      <w:tr w:rsidR="38F5364C" w14:paraId="094E7639" w14:textId="77777777" w:rsidTr="00D353AF">
        <w:tc>
          <w:tcPr>
            <w:tcW w:w="9192" w:type="dxa"/>
            <w:gridSpan w:val="2"/>
            <w:tcBorders>
              <w:top w:val="single" w:sz="4" w:space="0" w:color="auto"/>
              <w:left w:val="single" w:sz="4" w:space="0" w:color="auto"/>
              <w:bottom w:val="single" w:sz="4" w:space="0" w:color="auto"/>
              <w:right w:val="single" w:sz="4" w:space="0" w:color="auto"/>
            </w:tcBorders>
          </w:tcPr>
          <w:p w14:paraId="64958F87" w14:textId="71F32748" w:rsidR="38F5364C" w:rsidRDefault="00A25B4D" w:rsidP="005C7851">
            <w:pPr>
              <w:spacing w:line="300" w:lineRule="exact"/>
              <w:rPr>
                <w:lang w:val="en-GB"/>
              </w:rPr>
            </w:pPr>
            <w:r>
              <w:rPr>
                <w:sz w:val="20"/>
                <w:szCs w:val="20"/>
                <w:lang w:val="en-GB"/>
              </w:rPr>
              <w:t>In t</w:t>
            </w:r>
            <w:r w:rsidR="00D50F33" w:rsidRPr="00123272">
              <w:rPr>
                <w:sz w:val="20"/>
                <w:szCs w:val="20"/>
                <w:lang w:val="en-GB"/>
              </w:rPr>
              <w:t>he current</w:t>
            </w:r>
            <w:r w:rsidR="005454D7" w:rsidRPr="00123272">
              <w:rPr>
                <w:sz w:val="20"/>
                <w:szCs w:val="20"/>
                <w:lang w:val="en-GB"/>
              </w:rPr>
              <w:t xml:space="preserve"> political situation, it</w:t>
            </w:r>
            <w:r w:rsidR="006B3D21">
              <w:rPr>
                <w:sz w:val="20"/>
                <w:szCs w:val="20"/>
                <w:lang w:val="en-GB"/>
              </w:rPr>
              <w:t>'</w:t>
            </w:r>
            <w:r w:rsidR="005454D7" w:rsidRPr="00123272">
              <w:rPr>
                <w:sz w:val="20"/>
                <w:szCs w:val="20"/>
                <w:lang w:val="en-GB"/>
              </w:rPr>
              <w:t>s not feasible to allocate</w:t>
            </w:r>
            <w:r w:rsidR="00D50F33" w:rsidRPr="00123272">
              <w:rPr>
                <w:sz w:val="20"/>
                <w:szCs w:val="20"/>
                <w:lang w:val="en-GB"/>
              </w:rPr>
              <w:t xml:space="preserve"> funds through </w:t>
            </w:r>
            <w:r w:rsidR="00216450" w:rsidRPr="00123272">
              <w:rPr>
                <w:sz w:val="20"/>
                <w:szCs w:val="20"/>
                <w:lang w:val="en-GB"/>
              </w:rPr>
              <w:t>any local partners</w:t>
            </w:r>
            <w:r>
              <w:rPr>
                <w:sz w:val="20"/>
                <w:szCs w:val="20"/>
                <w:lang w:val="en-GB"/>
              </w:rPr>
              <w:t>. H</w:t>
            </w:r>
            <w:r w:rsidR="005454D7" w:rsidRPr="00123272">
              <w:rPr>
                <w:sz w:val="20"/>
                <w:szCs w:val="20"/>
                <w:lang w:val="en-GB"/>
              </w:rPr>
              <w:t>owever</w:t>
            </w:r>
            <w:r w:rsidR="00D50F33" w:rsidRPr="00123272">
              <w:rPr>
                <w:sz w:val="20"/>
                <w:szCs w:val="20"/>
                <w:lang w:val="en-GB"/>
              </w:rPr>
              <w:t>,</w:t>
            </w:r>
            <w:r w:rsidR="005454D7" w:rsidRPr="00123272">
              <w:rPr>
                <w:sz w:val="20"/>
                <w:szCs w:val="20"/>
                <w:lang w:val="en-GB"/>
              </w:rPr>
              <w:t xml:space="preserve"> the </w:t>
            </w:r>
            <w:r>
              <w:rPr>
                <w:sz w:val="20"/>
                <w:szCs w:val="20"/>
                <w:lang w:val="en-GB"/>
              </w:rPr>
              <w:t>rec</w:t>
            </w:r>
            <w:r w:rsidR="005454D7" w:rsidRPr="00123272">
              <w:rPr>
                <w:sz w:val="20"/>
                <w:szCs w:val="20"/>
                <w:lang w:val="en-GB"/>
              </w:rPr>
              <w:t xml:space="preserve">ent partnership with </w:t>
            </w:r>
            <w:r w:rsidR="005D1F4A" w:rsidRPr="00123272">
              <w:rPr>
                <w:sz w:val="20"/>
                <w:szCs w:val="20"/>
                <w:lang w:val="en-GB"/>
              </w:rPr>
              <w:t>different NGOs and CSO will be further explored</w:t>
            </w:r>
            <w:r w:rsidR="001E4D43" w:rsidRPr="00123272">
              <w:rPr>
                <w:sz w:val="20"/>
                <w:szCs w:val="20"/>
                <w:lang w:val="en-GB"/>
              </w:rPr>
              <w:t xml:space="preserve">. </w:t>
            </w:r>
            <w:r w:rsidR="00BE70D1" w:rsidRPr="00123272">
              <w:rPr>
                <w:sz w:val="20"/>
                <w:szCs w:val="20"/>
                <w:lang w:val="en-GB"/>
              </w:rPr>
              <w:t xml:space="preserve">The scope of work for the </w:t>
            </w:r>
            <w:r>
              <w:rPr>
                <w:sz w:val="20"/>
                <w:szCs w:val="20"/>
                <w:lang w:val="en-GB"/>
              </w:rPr>
              <w:t>partners mentioned above</w:t>
            </w:r>
            <w:r w:rsidR="00BE70D1" w:rsidRPr="00123272">
              <w:rPr>
                <w:sz w:val="20"/>
                <w:szCs w:val="20"/>
                <w:lang w:val="en-GB"/>
              </w:rPr>
              <w:t xml:space="preserve"> for </w:t>
            </w:r>
            <w:r>
              <w:rPr>
                <w:sz w:val="20"/>
                <w:szCs w:val="20"/>
                <w:lang w:val="en-GB"/>
              </w:rPr>
              <w:t>other</w:t>
            </w:r>
            <w:r w:rsidR="00BE70D1" w:rsidRPr="00123272">
              <w:rPr>
                <w:sz w:val="20"/>
                <w:szCs w:val="20"/>
                <w:lang w:val="en-GB"/>
              </w:rPr>
              <w:t xml:space="preserve"> </w:t>
            </w:r>
            <w:r w:rsidR="005C7851">
              <w:rPr>
                <w:sz w:val="20"/>
                <w:szCs w:val="20"/>
                <w:lang w:val="en-GB"/>
              </w:rPr>
              <w:t>thematic areas</w:t>
            </w:r>
            <w:r w:rsidR="00BE70D1" w:rsidRPr="00123272">
              <w:rPr>
                <w:sz w:val="20"/>
                <w:szCs w:val="20"/>
                <w:lang w:val="en-GB"/>
              </w:rPr>
              <w:t xml:space="preserve"> will be developed if</w:t>
            </w:r>
            <w:r w:rsidR="005C7851" w:rsidRPr="00123272">
              <w:rPr>
                <w:sz w:val="20"/>
                <w:szCs w:val="20"/>
                <w:lang w:val="en-GB"/>
              </w:rPr>
              <w:t xml:space="preserve"> </w:t>
            </w:r>
            <w:r w:rsidR="005C7851">
              <w:rPr>
                <w:sz w:val="20"/>
                <w:szCs w:val="20"/>
                <w:lang w:val="en-GB"/>
              </w:rPr>
              <w:t xml:space="preserve">the </w:t>
            </w:r>
            <w:r w:rsidR="005C7851" w:rsidRPr="00123272">
              <w:rPr>
                <w:sz w:val="20"/>
                <w:szCs w:val="20"/>
                <w:lang w:val="en-GB"/>
              </w:rPr>
              <w:t xml:space="preserve">situation permits. </w:t>
            </w:r>
          </w:p>
        </w:tc>
      </w:tr>
      <w:tr w:rsidR="009F19F8" w14:paraId="3821C077" w14:textId="77777777" w:rsidTr="00D353AF">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7F609ADB" w14:textId="0DC06F92" w:rsidR="009F19F8" w:rsidRDefault="009F19F8" w:rsidP="00752CEA">
            <w:pPr>
              <w:spacing w:line="300" w:lineRule="exact"/>
              <w:rPr>
                <w:b/>
                <w:bCs/>
                <w:i/>
                <w:iCs/>
                <w:color w:val="000000" w:themeColor="text1"/>
                <w:sz w:val="20"/>
                <w:szCs w:val="20"/>
              </w:rPr>
            </w:pPr>
            <w:r w:rsidRPr="704B32F1">
              <w:rPr>
                <w:b/>
                <w:bCs/>
                <w:i/>
                <w:iCs/>
                <w:color w:val="000000" w:themeColor="text1"/>
                <w:sz w:val="20"/>
                <w:szCs w:val="20"/>
              </w:rPr>
              <w:t>3.</w:t>
            </w:r>
            <w:r w:rsidR="00520598">
              <w:rPr>
                <w:b/>
                <w:bCs/>
                <w:i/>
                <w:iCs/>
                <w:color w:val="000000" w:themeColor="text1"/>
                <w:sz w:val="20"/>
                <w:szCs w:val="20"/>
              </w:rPr>
              <w:t>4</w:t>
            </w:r>
            <w:r w:rsidRPr="704B32F1">
              <w:rPr>
                <w:b/>
                <w:bCs/>
                <w:i/>
                <w:iCs/>
                <w:color w:val="000000" w:themeColor="text1"/>
                <w:sz w:val="20"/>
                <w:szCs w:val="20"/>
              </w:rPr>
              <w:t xml:space="preserve"> Please note the allocation of TCA to CSOs</w:t>
            </w:r>
            <w:r w:rsidR="008F50F8">
              <w:rPr>
                <w:b/>
                <w:bCs/>
                <w:i/>
                <w:iCs/>
                <w:color w:val="000000" w:themeColor="text1"/>
                <w:sz w:val="20"/>
                <w:szCs w:val="20"/>
              </w:rPr>
              <w:t xml:space="preserve"> only</w:t>
            </w:r>
            <w:r w:rsidRPr="704B32F1">
              <w:rPr>
                <w:b/>
                <w:bCs/>
                <w:i/>
                <w:iCs/>
                <w:color w:val="000000" w:themeColor="text1"/>
                <w:sz w:val="20"/>
                <w:szCs w:val="20"/>
              </w:rPr>
              <w:t xml:space="preserve"> (either Global or Local Expanded Partners) and describe the approach you will use to comply with the requirement of allocating 10% of combined TCA, EAF</w:t>
            </w:r>
            <w:r w:rsidR="00A25B4D">
              <w:rPr>
                <w:b/>
                <w:bCs/>
                <w:i/>
                <w:iCs/>
                <w:color w:val="000000" w:themeColor="text1"/>
                <w:sz w:val="20"/>
                <w:szCs w:val="20"/>
              </w:rPr>
              <w:t>,</w:t>
            </w:r>
            <w:r w:rsidRPr="704B32F1">
              <w:rPr>
                <w:b/>
                <w:bCs/>
                <w:i/>
                <w:iCs/>
                <w:color w:val="000000" w:themeColor="text1"/>
                <w:sz w:val="20"/>
                <w:szCs w:val="20"/>
              </w:rPr>
              <w:t xml:space="preserve"> and HSS ceilings for CSO implementation (e.g</w:t>
            </w:r>
            <w:r w:rsidR="00A733BF">
              <w:rPr>
                <w:b/>
                <w:bCs/>
                <w:i/>
                <w:iCs/>
                <w:color w:val="000000" w:themeColor="text1"/>
                <w:sz w:val="20"/>
                <w:szCs w:val="20"/>
              </w:rPr>
              <w:t>.</w:t>
            </w:r>
            <w:r w:rsidR="00A25B4D">
              <w:rPr>
                <w:b/>
                <w:bCs/>
                <w:i/>
                <w:iCs/>
                <w:color w:val="000000" w:themeColor="text1"/>
                <w:sz w:val="20"/>
                <w:szCs w:val="20"/>
              </w:rPr>
              <w:t>,</w:t>
            </w:r>
            <w:r w:rsidRPr="704B32F1">
              <w:rPr>
                <w:b/>
                <w:bCs/>
                <w:i/>
                <w:iCs/>
                <w:color w:val="000000" w:themeColor="text1"/>
                <w:sz w:val="20"/>
                <w:szCs w:val="20"/>
              </w:rPr>
              <w:t xml:space="preserve"> if less than 10% of TCA funding is allocated to CSOs, please indicate how this will be compensated through </w:t>
            </w:r>
            <w:r w:rsidR="00A733BF">
              <w:rPr>
                <w:b/>
                <w:bCs/>
                <w:i/>
                <w:iCs/>
                <w:color w:val="000000" w:themeColor="text1"/>
                <w:sz w:val="20"/>
                <w:szCs w:val="20"/>
              </w:rPr>
              <w:t xml:space="preserve">the </w:t>
            </w:r>
            <w:r w:rsidRPr="00A25B4D">
              <w:rPr>
                <w:b/>
                <w:bCs/>
                <w:i/>
                <w:iCs/>
                <w:color w:val="000000" w:themeColor="text1"/>
                <w:sz w:val="20"/>
                <w:szCs w:val="20"/>
              </w:rPr>
              <w:t>allocation of HSS and EAF</w:t>
            </w:r>
            <w:r w:rsidRPr="704B32F1">
              <w:rPr>
                <w:b/>
                <w:bCs/>
                <w:i/>
                <w:iCs/>
                <w:color w:val="000000" w:themeColor="text1"/>
                <w:sz w:val="20"/>
                <w:szCs w:val="20"/>
              </w:rPr>
              <w:t xml:space="preserve"> funding to CSOs).</w:t>
            </w:r>
            <w:r w:rsidR="00025BBE">
              <w:rPr>
                <w:b/>
                <w:bCs/>
                <w:i/>
                <w:iCs/>
                <w:color w:val="000000" w:themeColor="text1"/>
                <w:sz w:val="20"/>
                <w:szCs w:val="20"/>
              </w:rPr>
              <w:t xml:space="preserve"> </w:t>
            </w:r>
            <w:r w:rsidR="00025BBE" w:rsidRPr="002C42E8">
              <w:rPr>
                <w:i/>
                <w:sz w:val="20"/>
                <w:szCs w:val="20"/>
                <w:lang w:val="en-GB"/>
              </w:rPr>
              <w:t>Please refer to section 2.3 (3. Partner Mapping) of the PEF TCA Planning Guidelines for more information.</w:t>
            </w:r>
          </w:p>
        </w:tc>
      </w:tr>
      <w:tr w:rsidR="009F19F8" w14:paraId="3F43E4A9" w14:textId="77777777" w:rsidTr="00D353AF">
        <w:tc>
          <w:tcPr>
            <w:tcW w:w="9192" w:type="dxa"/>
            <w:gridSpan w:val="2"/>
            <w:tcBorders>
              <w:top w:val="single" w:sz="4" w:space="0" w:color="auto"/>
              <w:left w:val="single" w:sz="4" w:space="0" w:color="auto"/>
              <w:bottom w:val="single" w:sz="4" w:space="0" w:color="auto"/>
              <w:right w:val="single" w:sz="4" w:space="0" w:color="auto"/>
            </w:tcBorders>
          </w:tcPr>
          <w:p w14:paraId="01E16748" w14:textId="1C78C1AA" w:rsidR="009F19F8" w:rsidRDefault="00244833" w:rsidP="00752CEA">
            <w:pPr>
              <w:spacing w:line="300" w:lineRule="exact"/>
              <w:rPr>
                <w:lang w:val="en-GB"/>
              </w:rPr>
            </w:pPr>
            <w:r w:rsidRPr="00A25B4D">
              <w:rPr>
                <w:sz w:val="20"/>
                <w:szCs w:val="20"/>
                <w:lang w:val="en-GB"/>
              </w:rPr>
              <w:t>As mentioned, it will be explored later</w:t>
            </w:r>
          </w:p>
        </w:tc>
      </w:tr>
    </w:tbl>
    <w:p w14:paraId="0FF1AB89" w14:textId="77777777" w:rsidR="00372D1F" w:rsidRPr="009F19F8" w:rsidRDefault="00372D1F" w:rsidP="00372D1F">
      <w:pPr>
        <w:pStyle w:val="ListParagraph"/>
        <w:spacing w:line="300" w:lineRule="exact"/>
        <w:ind w:left="0"/>
        <w:jc w:val="right"/>
        <w:rPr>
          <w:b/>
          <w:color w:val="70AD47" w:themeColor="accent6"/>
          <w:sz w:val="26"/>
          <w:szCs w:val="26"/>
        </w:rPr>
      </w:pPr>
    </w:p>
    <w:p w14:paraId="79848434" w14:textId="5CA61DE4" w:rsidR="009F0292" w:rsidRPr="0033192A" w:rsidRDefault="009F0292" w:rsidP="00166D84">
      <w:pPr>
        <w:pStyle w:val="ListParagraph"/>
        <w:numPr>
          <w:ilvl w:val="0"/>
          <w:numId w:val="11"/>
        </w:numPr>
        <w:spacing w:line="300" w:lineRule="exact"/>
        <w:rPr>
          <w:b/>
          <w:color w:val="84C650"/>
          <w:sz w:val="26"/>
          <w:szCs w:val="26"/>
          <w:lang w:val="en-GB"/>
        </w:rPr>
      </w:pPr>
      <w:r w:rsidRPr="0033192A">
        <w:rPr>
          <w:b/>
          <w:color w:val="70AD47" w:themeColor="accent6"/>
          <w:sz w:val="26"/>
          <w:szCs w:val="26"/>
          <w:lang w:val="en-GB"/>
        </w:rPr>
        <w:t>Lessons learnt from past TA experience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9F0292" w14:paraId="3F8B0CB5" w14:textId="77777777" w:rsidTr="00DD391A">
        <w:tc>
          <w:tcPr>
            <w:tcW w:w="9192" w:type="dxa"/>
            <w:tcBorders>
              <w:bottom w:val="single" w:sz="4" w:space="0" w:color="auto"/>
            </w:tcBorders>
            <w:shd w:val="clear" w:color="auto" w:fill="F2F2F2" w:themeFill="background1" w:themeFillShade="F2"/>
          </w:tcPr>
          <w:p w14:paraId="6BD0AD08" w14:textId="376F045C" w:rsidR="009F0292" w:rsidRPr="00B614D7" w:rsidRDefault="0033192A" w:rsidP="00871FCF">
            <w:pPr>
              <w:spacing w:line="300" w:lineRule="exact"/>
              <w:rPr>
                <w:b/>
                <w:bCs/>
                <w:color w:val="92D050"/>
                <w:lang w:val="en-GB"/>
              </w:rPr>
            </w:pPr>
            <w:r>
              <w:rPr>
                <w:b/>
                <w:bCs/>
                <w:i/>
                <w:iCs/>
                <w:color w:val="000000" w:themeColor="text1"/>
                <w:sz w:val="20"/>
                <w:szCs w:val="20"/>
                <w:lang w:val="en-GB"/>
              </w:rPr>
              <w:t>4.</w:t>
            </w:r>
            <w:r w:rsidR="009F0292">
              <w:rPr>
                <w:b/>
                <w:bCs/>
                <w:i/>
                <w:iCs/>
                <w:color w:val="000000" w:themeColor="text1"/>
                <w:sz w:val="20"/>
                <w:szCs w:val="20"/>
                <w:lang w:val="en-GB"/>
              </w:rPr>
              <w:t xml:space="preserve">1 </w:t>
            </w:r>
            <w:r w:rsidR="009F0292" w:rsidRPr="00B614D7">
              <w:rPr>
                <w:b/>
                <w:bCs/>
                <w:i/>
                <w:iCs/>
                <w:color w:val="000000" w:themeColor="text1"/>
                <w:sz w:val="20"/>
                <w:szCs w:val="20"/>
                <w:lang w:val="en-GB"/>
              </w:rPr>
              <w:t xml:space="preserve">Please explain how the </w:t>
            </w:r>
            <w:r w:rsidR="009F0292">
              <w:rPr>
                <w:b/>
                <w:bCs/>
                <w:i/>
                <w:iCs/>
                <w:color w:val="000000" w:themeColor="text1"/>
                <w:sz w:val="20"/>
                <w:szCs w:val="20"/>
                <w:lang w:val="en-GB"/>
              </w:rPr>
              <w:t>TCA</w:t>
            </w:r>
            <w:r w:rsidR="009F0292" w:rsidRPr="00B614D7">
              <w:rPr>
                <w:b/>
                <w:bCs/>
                <w:i/>
                <w:iCs/>
                <w:color w:val="000000" w:themeColor="text1"/>
                <w:sz w:val="20"/>
                <w:szCs w:val="20"/>
                <w:lang w:val="en-GB"/>
              </w:rPr>
              <w:t xml:space="preserve"> plan will build on previous performance, lessons learned, and best practices of TCA activities from your previous </w:t>
            </w:r>
            <w:r w:rsidR="009F0292">
              <w:rPr>
                <w:b/>
                <w:bCs/>
                <w:i/>
                <w:iCs/>
                <w:color w:val="000000" w:themeColor="text1"/>
                <w:sz w:val="20"/>
                <w:szCs w:val="20"/>
                <w:lang w:val="en-GB"/>
              </w:rPr>
              <w:t>T</w:t>
            </w:r>
            <w:r w:rsidR="009F0292" w:rsidRPr="00B614D7">
              <w:rPr>
                <w:b/>
                <w:bCs/>
                <w:i/>
                <w:iCs/>
                <w:color w:val="000000" w:themeColor="text1"/>
                <w:sz w:val="20"/>
                <w:szCs w:val="20"/>
                <w:lang w:val="en-GB"/>
              </w:rPr>
              <w:t>CA plan</w:t>
            </w:r>
            <w:r w:rsidR="0048676E">
              <w:rPr>
                <w:b/>
                <w:bCs/>
                <w:i/>
                <w:iCs/>
                <w:color w:val="000000" w:themeColor="text1"/>
                <w:sz w:val="20"/>
                <w:szCs w:val="20"/>
                <w:lang w:val="en-GB"/>
              </w:rPr>
              <w:t>, including</w:t>
            </w:r>
            <w:r w:rsidR="009D07BA">
              <w:rPr>
                <w:b/>
                <w:bCs/>
                <w:i/>
                <w:iCs/>
                <w:color w:val="000000" w:themeColor="text1"/>
                <w:sz w:val="20"/>
                <w:szCs w:val="20"/>
                <w:lang w:val="en-GB"/>
              </w:rPr>
              <w:t xml:space="preserve"> </w:t>
            </w:r>
            <w:r w:rsidR="006E0314">
              <w:rPr>
                <w:b/>
                <w:bCs/>
                <w:i/>
                <w:iCs/>
                <w:color w:val="000000" w:themeColor="text1"/>
                <w:sz w:val="20"/>
                <w:szCs w:val="20"/>
                <w:lang w:val="en-GB"/>
              </w:rPr>
              <w:t xml:space="preserve">contributions to the national programme and </w:t>
            </w:r>
            <w:r w:rsidR="00C9453B">
              <w:rPr>
                <w:b/>
                <w:bCs/>
                <w:i/>
                <w:iCs/>
                <w:color w:val="000000" w:themeColor="text1"/>
                <w:sz w:val="20"/>
                <w:szCs w:val="20"/>
                <w:lang w:val="en-GB"/>
              </w:rPr>
              <w:t xml:space="preserve">knowledge/skill </w:t>
            </w:r>
            <w:r w:rsidR="009C20B6">
              <w:rPr>
                <w:b/>
                <w:bCs/>
                <w:i/>
                <w:iCs/>
                <w:color w:val="000000" w:themeColor="text1"/>
                <w:sz w:val="20"/>
                <w:szCs w:val="20"/>
                <w:lang w:val="en-GB"/>
              </w:rPr>
              <w:t>building,</w:t>
            </w:r>
            <w:r w:rsidR="00652E87">
              <w:rPr>
                <w:b/>
                <w:bCs/>
                <w:i/>
                <w:iCs/>
                <w:color w:val="000000" w:themeColor="text1"/>
                <w:sz w:val="20"/>
                <w:szCs w:val="20"/>
                <w:lang w:val="en-GB"/>
              </w:rPr>
              <w:t xml:space="preserve"> and how this has been taken into account in </w:t>
            </w:r>
            <w:r w:rsidR="00FA04B1">
              <w:rPr>
                <w:b/>
                <w:bCs/>
                <w:i/>
                <w:iCs/>
                <w:color w:val="000000" w:themeColor="text1"/>
                <w:sz w:val="20"/>
                <w:szCs w:val="20"/>
                <w:lang w:val="en-GB"/>
              </w:rPr>
              <w:t>this TCA planning and prioritisation</w:t>
            </w:r>
            <w:r w:rsidR="009F0292" w:rsidRPr="00B614D7">
              <w:rPr>
                <w:b/>
                <w:bCs/>
                <w:i/>
                <w:iCs/>
                <w:color w:val="000000" w:themeColor="text1"/>
                <w:sz w:val="20"/>
                <w:szCs w:val="20"/>
                <w:lang w:val="en-GB"/>
              </w:rPr>
              <w:t xml:space="preserve">. </w:t>
            </w:r>
            <w:r w:rsidR="009F0292" w:rsidRPr="00B614D7">
              <w:rPr>
                <w:b/>
                <w:bCs/>
                <w:i/>
                <w:iCs/>
                <w:sz w:val="20"/>
                <w:szCs w:val="20"/>
              </w:rPr>
              <w:t xml:space="preserve"> </w:t>
            </w:r>
          </w:p>
        </w:tc>
      </w:tr>
      <w:tr w:rsidR="009F0292" w14:paraId="690BE9DA" w14:textId="77777777" w:rsidTr="00DD391A">
        <w:tc>
          <w:tcPr>
            <w:tcW w:w="9192" w:type="dxa"/>
            <w:tcBorders>
              <w:top w:val="single" w:sz="4" w:space="0" w:color="auto"/>
              <w:left w:val="single" w:sz="4" w:space="0" w:color="auto"/>
              <w:bottom w:val="single" w:sz="4" w:space="0" w:color="auto"/>
              <w:right w:val="single" w:sz="4" w:space="0" w:color="auto"/>
            </w:tcBorders>
          </w:tcPr>
          <w:p w14:paraId="6B7503DE" w14:textId="7B1B104F" w:rsidR="00E73588" w:rsidRDefault="00E73588" w:rsidP="00E73588">
            <w:pPr>
              <w:jc w:val="both"/>
              <w:rPr>
                <w:sz w:val="20"/>
                <w:szCs w:val="20"/>
              </w:rPr>
            </w:pPr>
            <w:r w:rsidRPr="456D710F">
              <w:rPr>
                <w:sz w:val="20"/>
                <w:szCs w:val="20"/>
                <w:lang w:val="en-GB"/>
              </w:rPr>
              <w:t>The technical assistance through TCA 2021 contributed to the successful implementation of UN-led vaccines to all staff and family members of UN agencies, INGOs</w:t>
            </w:r>
            <w:r>
              <w:rPr>
                <w:sz w:val="20"/>
                <w:szCs w:val="20"/>
                <w:lang w:val="en-GB"/>
              </w:rPr>
              <w:t>,</w:t>
            </w:r>
            <w:r w:rsidRPr="456D710F">
              <w:rPr>
                <w:sz w:val="20"/>
                <w:szCs w:val="20"/>
                <w:lang w:val="en-GB"/>
              </w:rPr>
              <w:t xml:space="preserve"> and NGOs in the country. With </w:t>
            </w:r>
            <w:r>
              <w:rPr>
                <w:sz w:val="20"/>
                <w:szCs w:val="20"/>
                <w:lang w:val="en-GB"/>
              </w:rPr>
              <w:t xml:space="preserve">the </w:t>
            </w:r>
            <w:r w:rsidRPr="456D710F">
              <w:rPr>
                <w:sz w:val="20"/>
                <w:szCs w:val="20"/>
                <w:lang w:val="en-GB"/>
              </w:rPr>
              <w:t xml:space="preserve">collaborative efforts of WHO and UNICEF, the request </w:t>
            </w:r>
            <w:r>
              <w:rPr>
                <w:sz w:val="20"/>
                <w:szCs w:val="20"/>
                <w:lang w:val="en-GB"/>
              </w:rPr>
              <w:t>for</w:t>
            </w:r>
            <w:r w:rsidRPr="456D710F">
              <w:rPr>
                <w:sz w:val="20"/>
                <w:szCs w:val="20"/>
                <w:lang w:val="en-GB"/>
              </w:rPr>
              <w:t xml:space="preserve"> Humanitarian Buffer has been approved by </w:t>
            </w:r>
            <w:r w:rsidRPr="113B1F31">
              <w:rPr>
                <w:sz w:val="20"/>
                <w:szCs w:val="20"/>
                <w:lang w:val="en-GB"/>
              </w:rPr>
              <w:t>Gavi</w:t>
            </w:r>
            <w:r w:rsidRPr="456D710F">
              <w:rPr>
                <w:sz w:val="20"/>
                <w:szCs w:val="20"/>
                <w:lang w:val="en-GB"/>
              </w:rPr>
              <w:t xml:space="preserve"> and </w:t>
            </w:r>
            <w:r>
              <w:rPr>
                <w:sz w:val="20"/>
                <w:szCs w:val="20"/>
                <w:lang w:val="en-GB"/>
              </w:rPr>
              <w:t xml:space="preserve">is </w:t>
            </w:r>
            <w:r w:rsidRPr="456D710F">
              <w:rPr>
                <w:sz w:val="20"/>
                <w:szCs w:val="20"/>
                <w:lang w:val="en-GB"/>
              </w:rPr>
              <w:t xml:space="preserve">presently under advanced discussion for the shipment and deployment of vaccines. For </w:t>
            </w:r>
            <w:r>
              <w:rPr>
                <w:sz w:val="20"/>
                <w:szCs w:val="20"/>
                <w:lang w:val="en-GB"/>
              </w:rPr>
              <w:t xml:space="preserve">the </w:t>
            </w:r>
            <w:r w:rsidRPr="456D710F">
              <w:rPr>
                <w:sz w:val="20"/>
                <w:szCs w:val="20"/>
                <w:lang w:val="en-GB"/>
              </w:rPr>
              <w:t xml:space="preserve">COVAX facility vaccine, the first tranche of 2.2 million doses of SINOVAC has already arrived </w:t>
            </w:r>
            <w:r>
              <w:rPr>
                <w:sz w:val="20"/>
                <w:szCs w:val="20"/>
                <w:lang w:val="en-GB"/>
              </w:rPr>
              <w:t>in</w:t>
            </w:r>
            <w:r w:rsidRPr="456D710F">
              <w:rPr>
                <w:sz w:val="20"/>
                <w:szCs w:val="20"/>
                <w:lang w:val="en-GB"/>
              </w:rPr>
              <w:t xml:space="preserve"> Myanmar. Discussion and negotiation between MOH and partners (WHO, UNICEF, ICRC</w:t>
            </w:r>
            <w:r>
              <w:rPr>
                <w:sz w:val="20"/>
                <w:szCs w:val="20"/>
                <w:lang w:val="en-GB"/>
              </w:rPr>
              <w:t>,</w:t>
            </w:r>
            <w:r w:rsidRPr="456D710F">
              <w:rPr>
                <w:sz w:val="20"/>
                <w:szCs w:val="20"/>
                <w:lang w:val="en-GB"/>
              </w:rPr>
              <w:t xml:space="preserve"> and EHOs) are being conducted</w:t>
            </w:r>
            <w:r w:rsidRPr="456D710F">
              <w:rPr>
                <w:sz w:val="20"/>
                <w:szCs w:val="20"/>
              </w:rPr>
              <w:t xml:space="preserve"> </w:t>
            </w:r>
            <w:r>
              <w:rPr>
                <w:sz w:val="20"/>
                <w:szCs w:val="20"/>
              </w:rPr>
              <w:t>to deploy COVAX facility-supplied vaccines to EHO and</w:t>
            </w:r>
            <w:r w:rsidRPr="456D710F">
              <w:rPr>
                <w:sz w:val="20"/>
                <w:szCs w:val="20"/>
              </w:rPr>
              <w:t xml:space="preserve"> border areas. Training module</w:t>
            </w:r>
            <w:r>
              <w:rPr>
                <w:sz w:val="20"/>
                <w:szCs w:val="20"/>
              </w:rPr>
              <w:t>s</w:t>
            </w:r>
            <w:r w:rsidRPr="456D710F">
              <w:rPr>
                <w:sz w:val="20"/>
                <w:szCs w:val="20"/>
              </w:rPr>
              <w:t xml:space="preserve"> on COVID-19 vaccination, microplanning formats, recording and reporting forms</w:t>
            </w:r>
            <w:r>
              <w:rPr>
                <w:sz w:val="20"/>
                <w:szCs w:val="20"/>
              </w:rPr>
              <w:t>,</w:t>
            </w:r>
            <w:r w:rsidRPr="456D710F">
              <w:rPr>
                <w:sz w:val="20"/>
                <w:szCs w:val="20"/>
              </w:rPr>
              <w:t xml:space="preserve"> and monitoring checklists were developed </w:t>
            </w:r>
            <w:r>
              <w:rPr>
                <w:sz w:val="20"/>
                <w:szCs w:val="20"/>
              </w:rPr>
              <w:t>to train</w:t>
            </w:r>
            <w:r w:rsidRPr="456D710F">
              <w:rPr>
                <w:sz w:val="20"/>
                <w:szCs w:val="20"/>
              </w:rPr>
              <w:t xml:space="preserve"> ethnic health workers. According to UNCT engagement guideline</w:t>
            </w:r>
            <w:r>
              <w:rPr>
                <w:sz w:val="20"/>
                <w:szCs w:val="20"/>
              </w:rPr>
              <w:t>s</w:t>
            </w:r>
            <w:r w:rsidRPr="456D710F">
              <w:rPr>
                <w:sz w:val="20"/>
                <w:szCs w:val="20"/>
              </w:rPr>
              <w:t xml:space="preserve"> and </w:t>
            </w:r>
            <w:r>
              <w:rPr>
                <w:sz w:val="20"/>
                <w:szCs w:val="20"/>
              </w:rPr>
              <w:t xml:space="preserve">the conservative nature of </w:t>
            </w:r>
            <w:r w:rsidR="00695886">
              <w:rPr>
                <w:sz w:val="20"/>
                <w:szCs w:val="20"/>
              </w:rPr>
              <w:t xml:space="preserve">the </w:t>
            </w:r>
            <w:r>
              <w:rPr>
                <w:sz w:val="20"/>
                <w:szCs w:val="20"/>
              </w:rPr>
              <w:t>current MOH, coordination between MOH and WHO/UNICEF is less and</w:t>
            </w:r>
            <w:r w:rsidRPr="456D710F">
              <w:rPr>
                <w:sz w:val="20"/>
                <w:szCs w:val="20"/>
              </w:rPr>
              <w:t xml:space="preserve"> needs to be strengthened. </w:t>
            </w:r>
          </w:p>
          <w:p w14:paraId="0322539D" w14:textId="77777777" w:rsidR="00E73588" w:rsidRDefault="00E73588" w:rsidP="00E73588">
            <w:pPr>
              <w:jc w:val="both"/>
              <w:rPr>
                <w:sz w:val="20"/>
                <w:szCs w:val="20"/>
              </w:rPr>
            </w:pPr>
          </w:p>
          <w:p w14:paraId="54735EE2" w14:textId="2F1100B4" w:rsidR="009F0292" w:rsidRPr="00E73588" w:rsidRDefault="00E73588" w:rsidP="00643FD1">
            <w:r w:rsidRPr="456D710F">
              <w:rPr>
                <w:sz w:val="20"/>
                <w:szCs w:val="20"/>
                <w:lang w:val="en-GB"/>
              </w:rPr>
              <w:t>The lessons learn</w:t>
            </w:r>
            <w:r>
              <w:rPr>
                <w:sz w:val="20"/>
                <w:szCs w:val="20"/>
                <w:lang w:val="en-GB"/>
              </w:rPr>
              <w:t>ed</w:t>
            </w:r>
            <w:r w:rsidRPr="456D710F">
              <w:rPr>
                <w:sz w:val="20"/>
                <w:szCs w:val="20"/>
                <w:lang w:val="en-GB"/>
              </w:rPr>
              <w:t xml:space="preserve"> and best practices of 2021 TCA </w:t>
            </w:r>
            <w:r>
              <w:rPr>
                <w:sz w:val="20"/>
                <w:szCs w:val="20"/>
                <w:lang w:val="en-GB"/>
              </w:rPr>
              <w:t>shape</w:t>
            </w:r>
            <w:r w:rsidRPr="456D710F">
              <w:rPr>
                <w:sz w:val="20"/>
                <w:szCs w:val="20"/>
                <w:lang w:val="en-GB"/>
              </w:rPr>
              <w:t xml:space="preserve"> the 2022 TCA support. Technical assistance is required to support the revitalization of routine immunization</w:t>
            </w:r>
            <w:r>
              <w:rPr>
                <w:sz w:val="20"/>
                <w:szCs w:val="20"/>
                <w:lang w:val="en-GB"/>
              </w:rPr>
              <w:t>,</w:t>
            </w:r>
            <w:r w:rsidRPr="456D710F">
              <w:rPr>
                <w:sz w:val="20"/>
                <w:szCs w:val="20"/>
                <w:lang w:val="en-GB"/>
              </w:rPr>
              <w:t xml:space="preserve"> including catch-up immunization in the low</w:t>
            </w:r>
            <w:r>
              <w:rPr>
                <w:sz w:val="20"/>
                <w:szCs w:val="20"/>
                <w:lang w:val="en-GB"/>
              </w:rPr>
              <w:t>-</w:t>
            </w:r>
            <w:r w:rsidRPr="456D710F">
              <w:rPr>
                <w:sz w:val="20"/>
                <w:szCs w:val="20"/>
                <w:lang w:val="en-GB"/>
              </w:rPr>
              <w:t>performing a</w:t>
            </w:r>
            <w:r>
              <w:rPr>
                <w:sz w:val="20"/>
                <w:szCs w:val="20"/>
                <w:lang w:val="en-GB"/>
              </w:rPr>
              <w:t>nd hard-to-reach areas, to vaccinate zero-dose</w:t>
            </w:r>
            <w:r w:rsidRPr="456D710F">
              <w:rPr>
                <w:sz w:val="20"/>
                <w:szCs w:val="20"/>
                <w:lang w:val="en-GB"/>
              </w:rPr>
              <w:t xml:space="preserve"> and under-immunized children. Continuous technical assistance is required to support the data management, implementation of eLMIS, post</w:t>
            </w:r>
            <w:r>
              <w:rPr>
                <w:sz w:val="20"/>
                <w:szCs w:val="20"/>
                <w:lang w:val="en-GB"/>
              </w:rPr>
              <w:t>-</w:t>
            </w:r>
            <w:r w:rsidRPr="456D710F">
              <w:rPr>
                <w:sz w:val="20"/>
                <w:szCs w:val="20"/>
                <w:lang w:val="en-GB"/>
              </w:rPr>
              <w:t>introduction evaluation of HPV and Rota &amp; intussusception surveillance, laboratory capacity building for quality assurance in VPD surveillance</w:t>
            </w:r>
            <w:r>
              <w:rPr>
                <w:sz w:val="20"/>
                <w:szCs w:val="20"/>
                <w:lang w:val="en-GB"/>
              </w:rPr>
              <w:t>,</w:t>
            </w:r>
            <w:r w:rsidRPr="456D710F">
              <w:rPr>
                <w:sz w:val="20"/>
                <w:szCs w:val="20"/>
                <w:lang w:val="en-GB"/>
              </w:rPr>
              <w:t xml:space="preserve"> and cold chain extension and expansion to rural health facilities. Continuation of Coverage Evaluation Survey and Data Quality Assessment</w:t>
            </w:r>
            <w:r>
              <w:rPr>
                <w:sz w:val="20"/>
                <w:szCs w:val="20"/>
                <w:lang w:val="en-GB"/>
              </w:rPr>
              <w:t xml:space="preserve"> and EVM assessment will also support</w:t>
            </w:r>
            <w:r w:rsidRPr="456D710F">
              <w:rPr>
                <w:sz w:val="20"/>
                <w:szCs w:val="20"/>
                <w:lang w:val="en-GB"/>
              </w:rPr>
              <w:t xml:space="preserve"> the WHO and UNICEF TCA funded staff.</w:t>
            </w:r>
          </w:p>
        </w:tc>
      </w:tr>
    </w:tbl>
    <w:p w14:paraId="4B96F6BD" w14:textId="77777777" w:rsidR="009F0292" w:rsidRDefault="009F0292" w:rsidP="00372D1F">
      <w:pPr>
        <w:pStyle w:val="ListParagraph"/>
        <w:spacing w:line="300" w:lineRule="exact"/>
        <w:ind w:left="0"/>
        <w:jc w:val="right"/>
        <w:rPr>
          <w:b/>
          <w:color w:val="70AD47" w:themeColor="accent6"/>
          <w:sz w:val="26"/>
          <w:szCs w:val="26"/>
          <w:lang w:val="en-GB"/>
        </w:rPr>
      </w:pPr>
    </w:p>
    <w:p w14:paraId="11BFC6A9" w14:textId="753345FA" w:rsidR="00610D71" w:rsidRPr="00A957C9" w:rsidRDefault="003F0221" w:rsidP="00166D84">
      <w:pPr>
        <w:pStyle w:val="ListParagraph"/>
        <w:numPr>
          <w:ilvl w:val="0"/>
          <w:numId w:val="11"/>
        </w:numPr>
        <w:spacing w:line="300" w:lineRule="exact"/>
        <w:rPr>
          <w:b/>
          <w:bCs/>
          <w:color w:val="84C650"/>
          <w:sz w:val="26"/>
          <w:szCs w:val="26"/>
          <w:lang w:val="en-GB"/>
        </w:rPr>
      </w:pPr>
      <w:r w:rsidRPr="08473C56">
        <w:rPr>
          <w:b/>
          <w:bCs/>
          <w:color w:val="70AD47" w:themeColor="accent6"/>
          <w:sz w:val="26"/>
          <w:szCs w:val="26"/>
          <w:lang w:val="en-GB"/>
        </w:rPr>
        <w:t>Align</w:t>
      </w:r>
      <w:r w:rsidR="000A3F37" w:rsidRPr="08473C56">
        <w:rPr>
          <w:b/>
          <w:bCs/>
          <w:color w:val="70AD47" w:themeColor="accent6"/>
          <w:sz w:val="26"/>
          <w:szCs w:val="26"/>
          <w:lang w:val="en-GB"/>
        </w:rPr>
        <w:t xml:space="preserve">ment of </w:t>
      </w:r>
      <w:r w:rsidR="000A6AC3" w:rsidRPr="08473C56">
        <w:rPr>
          <w:b/>
          <w:bCs/>
          <w:color w:val="70AD47" w:themeColor="accent6"/>
          <w:sz w:val="26"/>
          <w:szCs w:val="26"/>
          <w:lang w:val="en-GB"/>
        </w:rPr>
        <w:t>the</w:t>
      </w:r>
      <w:r w:rsidR="000A3F37" w:rsidRPr="08473C56">
        <w:rPr>
          <w:b/>
          <w:bCs/>
          <w:color w:val="70AD47" w:themeColor="accent6"/>
          <w:sz w:val="26"/>
          <w:szCs w:val="26"/>
          <w:lang w:val="en-GB"/>
        </w:rPr>
        <w:t xml:space="preserve"> One T</w:t>
      </w:r>
      <w:r w:rsidR="002510AA" w:rsidRPr="08473C56">
        <w:rPr>
          <w:b/>
          <w:bCs/>
          <w:color w:val="70AD47" w:themeColor="accent6"/>
          <w:sz w:val="26"/>
          <w:szCs w:val="26"/>
          <w:lang w:val="en-GB"/>
        </w:rPr>
        <w:t>C</w:t>
      </w:r>
      <w:r w:rsidR="000A3F37" w:rsidRPr="08473C56">
        <w:rPr>
          <w:b/>
          <w:bCs/>
          <w:color w:val="70AD47" w:themeColor="accent6"/>
          <w:sz w:val="26"/>
          <w:szCs w:val="26"/>
          <w:lang w:val="en-GB"/>
        </w:rPr>
        <w:t xml:space="preserve">A plan with </w:t>
      </w:r>
      <w:r w:rsidR="00106608" w:rsidRPr="08473C56">
        <w:rPr>
          <w:b/>
          <w:bCs/>
          <w:color w:val="70AD47" w:themeColor="accent6"/>
          <w:sz w:val="26"/>
          <w:szCs w:val="26"/>
          <w:lang w:val="en-GB"/>
        </w:rPr>
        <w:t xml:space="preserve">future </w:t>
      </w:r>
      <w:r w:rsidR="00600378">
        <w:rPr>
          <w:b/>
          <w:bCs/>
          <w:color w:val="70AD47" w:themeColor="accent6"/>
          <w:sz w:val="26"/>
          <w:szCs w:val="26"/>
          <w:lang w:val="en-GB"/>
        </w:rPr>
        <w:t xml:space="preserve">Gavi </w:t>
      </w:r>
      <w:r w:rsidR="00106608" w:rsidRPr="08473C56">
        <w:rPr>
          <w:b/>
          <w:bCs/>
          <w:color w:val="70AD47" w:themeColor="accent6"/>
          <w:sz w:val="26"/>
          <w:szCs w:val="26"/>
          <w:lang w:val="en-GB"/>
        </w:rPr>
        <w:t>planned investments</w:t>
      </w:r>
      <w:r w:rsidR="005747F6" w:rsidRPr="08473C56">
        <w:rPr>
          <w:b/>
          <w:bCs/>
          <w:color w:val="70AD47" w:themeColor="accent6"/>
          <w:sz w:val="26"/>
          <w:szCs w:val="26"/>
          <w:lang w:val="en-GB"/>
        </w:rPr>
        <w:t xml:space="preserve">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A957C9" w14:paraId="3F6BA8B3" w14:textId="77777777" w:rsidTr="005F26FC">
        <w:tc>
          <w:tcPr>
            <w:tcW w:w="9192" w:type="dxa"/>
            <w:tcBorders>
              <w:bottom w:val="single" w:sz="4" w:space="0" w:color="auto"/>
            </w:tcBorders>
            <w:shd w:val="clear" w:color="auto" w:fill="F2F2F2" w:themeFill="background1" w:themeFillShade="F2"/>
          </w:tcPr>
          <w:p w14:paraId="518A3DA4" w14:textId="2C18AF85" w:rsidR="00A957C9" w:rsidRPr="00CF3BC4" w:rsidRDefault="007476F9" w:rsidP="00FC4A11">
            <w:pPr>
              <w:pStyle w:val="ListParagraph"/>
              <w:spacing w:line="300" w:lineRule="exact"/>
              <w:ind w:left="0"/>
              <w:rPr>
                <w:b/>
                <w:bCs/>
                <w:i/>
                <w:iCs/>
                <w:color w:val="84C650"/>
                <w:sz w:val="26"/>
                <w:szCs w:val="26"/>
                <w:lang w:val="en-GB"/>
              </w:rPr>
            </w:pPr>
            <w:r>
              <w:rPr>
                <w:b/>
                <w:bCs/>
                <w:i/>
                <w:iCs/>
                <w:sz w:val="20"/>
                <w:szCs w:val="20"/>
              </w:rPr>
              <w:t>5</w:t>
            </w:r>
            <w:r w:rsidR="00B80406">
              <w:rPr>
                <w:b/>
                <w:bCs/>
                <w:i/>
                <w:iCs/>
                <w:sz w:val="20"/>
                <w:szCs w:val="20"/>
              </w:rPr>
              <w:t xml:space="preserve">.1 </w:t>
            </w:r>
            <w:r w:rsidR="00A957C9" w:rsidRPr="00CF3BC4">
              <w:rPr>
                <w:b/>
                <w:bCs/>
                <w:i/>
                <w:iCs/>
                <w:sz w:val="20"/>
                <w:szCs w:val="20"/>
              </w:rPr>
              <w:t xml:space="preserve">Please list all planned upcoming Gavi investments (e.g.  </w:t>
            </w:r>
            <w:r w:rsidR="00016A9B">
              <w:rPr>
                <w:b/>
                <w:bCs/>
                <w:i/>
                <w:iCs/>
                <w:sz w:val="20"/>
                <w:szCs w:val="20"/>
              </w:rPr>
              <w:t>new vaccine support</w:t>
            </w:r>
            <w:r w:rsidR="00A957C9" w:rsidRPr="00CF3BC4">
              <w:rPr>
                <w:b/>
                <w:bCs/>
                <w:i/>
                <w:iCs/>
                <w:sz w:val="20"/>
                <w:szCs w:val="20"/>
              </w:rPr>
              <w:t xml:space="preserve">, CCEOP) that would require TA support within the planned period, including Full Portfolio Planning </w:t>
            </w:r>
            <w:r w:rsidR="00A957C9" w:rsidRPr="00CF3BC4">
              <w:rPr>
                <w:b/>
                <w:bCs/>
                <w:i/>
                <w:iCs/>
                <w:sz w:val="20"/>
                <w:szCs w:val="20"/>
              </w:rPr>
              <w:lastRenderedPageBreak/>
              <w:t xml:space="preserve">process and describe how the </w:t>
            </w:r>
            <w:r w:rsidR="00372D1F">
              <w:rPr>
                <w:b/>
                <w:bCs/>
                <w:i/>
                <w:iCs/>
                <w:sz w:val="20"/>
                <w:szCs w:val="20"/>
              </w:rPr>
              <w:t>TCA</w:t>
            </w:r>
            <w:r w:rsidR="00A957C9" w:rsidRPr="00CF3BC4">
              <w:rPr>
                <w:b/>
                <w:bCs/>
                <w:i/>
                <w:iCs/>
                <w:sz w:val="20"/>
                <w:szCs w:val="20"/>
              </w:rPr>
              <w:t xml:space="preserve"> plan will be aligned with the ongoing and/or planned investments made by Gavi</w:t>
            </w:r>
            <w:r w:rsidR="005F6AD5">
              <w:rPr>
                <w:b/>
                <w:bCs/>
                <w:i/>
                <w:iCs/>
                <w:sz w:val="20"/>
                <w:szCs w:val="20"/>
              </w:rPr>
              <w:t>.</w:t>
            </w:r>
          </w:p>
        </w:tc>
      </w:tr>
      <w:tr w:rsidR="00A957C9" w:rsidRPr="006A272B" w14:paraId="7B4C9334" w14:textId="77777777" w:rsidTr="005F26FC">
        <w:trPr>
          <w:trHeight w:val="50"/>
        </w:trPr>
        <w:tc>
          <w:tcPr>
            <w:tcW w:w="9192" w:type="dxa"/>
            <w:tcBorders>
              <w:top w:val="single" w:sz="4" w:space="0" w:color="auto"/>
              <w:left w:val="single" w:sz="4" w:space="0" w:color="auto"/>
              <w:bottom w:val="single" w:sz="4" w:space="0" w:color="auto"/>
              <w:right w:val="single" w:sz="4" w:space="0" w:color="auto"/>
            </w:tcBorders>
          </w:tcPr>
          <w:p w14:paraId="7DDCE11B" w14:textId="77777777" w:rsidR="00195924" w:rsidRDefault="00195924" w:rsidP="00195924">
            <w:pPr>
              <w:rPr>
                <w:sz w:val="20"/>
                <w:szCs w:val="20"/>
                <w:lang w:val="en-GB"/>
              </w:rPr>
            </w:pPr>
            <w:r w:rsidRPr="456D710F">
              <w:rPr>
                <w:sz w:val="20"/>
                <w:szCs w:val="20"/>
                <w:lang w:val="en-GB"/>
              </w:rPr>
              <w:lastRenderedPageBreak/>
              <w:t>The plan of strengthening routine immunization services in peri-urban, slum, migrant</w:t>
            </w:r>
            <w:r>
              <w:rPr>
                <w:sz w:val="20"/>
                <w:szCs w:val="20"/>
                <w:lang w:val="en-GB"/>
              </w:rPr>
              <w:t>,</w:t>
            </w:r>
            <w:r w:rsidRPr="456D710F">
              <w:rPr>
                <w:sz w:val="20"/>
                <w:szCs w:val="20"/>
                <w:lang w:val="en-GB"/>
              </w:rPr>
              <w:t xml:space="preserve"> and conflict areas </w:t>
            </w:r>
            <w:r>
              <w:rPr>
                <w:sz w:val="20"/>
                <w:szCs w:val="20"/>
                <w:lang w:val="en-GB"/>
              </w:rPr>
              <w:t xml:space="preserve">and </w:t>
            </w:r>
            <w:r w:rsidRPr="456D710F">
              <w:rPr>
                <w:sz w:val="20"/>
                <w:szCs w:val="20"/>
                <w:lang w:val="en-GB"/>
              </w:rPr>
              <w:t xml:space="preserve">strengthening </w:t>
            </w:r>
            <w:r>
              <w:rPr>
                <w:sz w:val="20"/>
                <w:szCs w:val="20"/>
                <w:lang w:val="en-GB"/>
              </w:rPr>
              <w:t>catch-up</w:t>
            </w:r>
            <w:r w:rsidRPr="456D710F">
              <w:rPr>
                <w:sz w:val="20"/>
                <w:szCs w:val="20"/>
                <w:lang w:val="en-GB"/>
              </w:rPr>
              <w:t xml:space="preserve"> immunization for zero-dose and missed children </w:t>
            </w:r>
            <w:r w:rsidRPr="00A248E8">
              <w:rPr>
                <w:sz w:val="20"/>
                <w:szCs w:val="20"/>
                <w:lang w:val="en-GB"/>
              </w:rPr>
              <w:t>is in line with Gavi's ongoing activities</w:t>
            </w:r>
            <w:r w:rsidRPr="456D710F">
              <w:rPr>
                <w:sz w:val="20"/>
                <w:szCs w:val="20"/>
                <w:lang w:val="en-GB"/>
              </w:rPr>
              <w:t>. Ministry of Health, Myanmar</w:t>
            </w:r>
            <w:r>
              <w:rPr>
                <w:sz w:val="20"/>
                <w:szCs w:val="20"/>
                <w:lang w:val="en-GB"/>
              </w:rPr>
              <w:t>,</w:t>
            </w:r>
            <w:r w:rsidRPr="456D710F">
              <w:rPr>
                <w:sz w:val="20"/>
                <w:szCs w:val="20"/>
                <w:lang w:val="en-GB"/>
              </w:rPr>
              <w:t xml:space="preserve"> with </w:t>
            </w:r>
            <w:r>
              <w:rPr>
                <w:sz w:val="20"/>
                <w:szCs w:val="20"/>
                <w:lang w:val="en-GB"/>
              </w:rPr>
              <w:t xml:space="preserve">the </w:t>
            </w:r>
            <w:r w:rsidRPr="456D710F">
              <w:rPr>
                <w:sz w:val="20"/>
                <w:szCs w:val="20"/>
                <w:lang w:val="en-GB"/>
              </w:rPr>
              <w:t>support of WHO, UNICEF, Gavi</w:t>
            </w:r>
            <w:r>
              <w:rPr>
                <w:sz w:val="20"/>
                <w:szCs w:val="20"/>
                <w:lang w:val="en-GB"/>
              </w:rPr>
              <w:t>,</w:t>
            </w:r>
            <w:r w:rsidRPr="456D710F">
              <w:rPr>
                <w:sz w:val="20"/>
                <w:szCs w:val="20"/>
                <w:lang w:val="en-GB"/>
              </w:rPr>
              <w:t xml:space="preserve"> and other developmental partners</w:t>
            </w:r>
            <w:r>
              <w:rPr>
                <w:sz w:val="20"/>
                <w:szCs w:val="20"/>
                <w:lang w:val="en-GB"/>
              </w:rPr>
              <w:t>,</w:t>
            </w:r>
            <w:r w:rsidRPr="456D710F">
              <w:rPr>
                <w:sz w:val="20"/>
                <w:szCs w:val="20"/>
                <w:lang w:val="en-GB"/>
              </w:rPr>
              <w:t xml:space="preserve"> will continue its effort to improve immunization coverage in Myanmar. </w:t>
            </w:r>
          </w:p>
          <w:p w14:paraId="1DB4BED3" w14:textId="77777777" w:rsidR="00195924" w:rsidRPr="006A272B" w:rsidRDefault="00195924" w:rsidP="00195924"/>
          <w:p w14:paraId="2033B8FD" w14:textId="32A9693B" w:rsidR="00A957C9" w:rsidRPr="009B1CC3" w:rsidRDefault="00195924" w:rsidP="00643FD1">
            <w:r w:rsidRPr="456D710F">
              <w:rPr>
                <w:sz w:val="20"/>
                <w:szCs w:val="20"/>
                <w:lang w:val="en-GB"/>
              </w:rPr>
              <w:t xml:space="preserve">It will be in line with reprogramming activities of </w:t>
            </w:r>
            <w:r>
              <w:rPr>
                <w:sz w:val="20"/>
                <w:szCs w:val="20"/>
                <w:lang w:val="en-GB"/>
              </w:rPr>
              <w:t xml:space="preserve">the </w:t>
            </w:r>
            <w:r w:rsidRPr="113B1F31">
              <w:rPr>
                <w:sz w:val="20"/>
                <w:szCs w:val="20"/>
                <w:lang w:val="en-GB"/>
              </w:rPr>
              <w:t>Gavi</w:t>
            </w:r>
            <w:r w:rsidRPr="456D710F">
              <w:rPr>
                <w:sz w:val="20"/>
                <w:szCs w:val="20"/>
                <w:lang w:val="en-GB"/>
              </w:rPr>
              <w:t xml:space="preserve"> HSS 2 budget which will include special catch up/crash activities in inaccessible areas, capacity building of immunization staff at all levels, expansion of cold chain up to Rural Health Center (RHC) levels, strengthening of </w:t>
            </w:r>
            <w:r>
              <w:rPr>
                <w:sz w:val="20"/>
                <w:szCs w:val="20"/>
                <w:lang w:val="en-GB"/>
              </w:rPr>
              <w:t xml:space="preserve">the </w:t>
            </w:r>
            <w:r w:rsidRPr="456D710F">
              <w:rPr>
                <w:sz w:val="20"/>
                <w:szCs w:val="20"/>
                <w:lang w:val="en-GB"/>
              </w:rPr>
              <w:t xml:space="preserve">immunization supply chain, demand generation, supervision, monitoring and use of data for appropriate actions. TCA 2022 will continue emphasizing those </w:t>
            </w:r>
            <w:r>
              <w:rPr>
                <w:sz w:val="20"/>
                <w:szCs w:val="20"/>
                <w:lang w:val="en-GB"/>
              </w:rPr>
              <w:t>critical</w:t>
            </w:r>
            <w:r w:rsidRPr="456D710F">
              <w:rPr>
                <w:sz w:val="20"/>
                <w:szCs w:val="20"/>
                <w:lang w:val="en-GB"/>
              </w:rPr>
              <w:t xml:space="preserve"> interventions through </w:t>
            </w:r>
            <w:r>
              <w:rPr>
                <w:sz w:val="20"/>
                <w:szCs w:val="20"/>
                <w:lang w:val="en-GB"/>
              </w:rPr>
              <w:t>various</w:t>
            </w:r>
            <w:r w:rsidRPr="456D710F">
              <w:rPr>
                <w:sz w:val="20"/>
                <w:szCs w:val="20"/>
                <w:lang w:val="en-GB"/>
              </w:rPr>
              <w:t xml:space="preserve"> activities covered under Gavi HSS-2, TCA</w:t>
            </w:r>
            <w:r>
              <w:rPr>
                <w:sz w:val="20"/>
                <w:szCs w:val="20"/>
                <w:lang w:val="en-GB"/>
              </w:rPr>
              <w:t>,</w:t>
            </w:r>
            <w:r w:rsidRPr="456D710F">
              <w:rPr>
                <w:sz w:val="20"/>
                <w:szCs w:val="20"/>
                <w:lang w:val="en-GB"/>
              </w:rPr>
              <w:t xml:space="preserve"> and CCEOP grants.</w:t>
            </w:r>
          </w:p>
        </w:tc>
      </w:tr>
    </w:tbl>
    <w:p w14:paraId="658606AB" w14:textId="77777777" w:rsidR="0090123D" w:rsidRDefault="0090123D" w:rsidP="00FC4A11">
      <w:pPr>
        <w:spacing w:line="300" w:lineRule="exact"/>
        <w:rPr>
          <w:b/>
          <w:color w:val="70AD47" w:themeColor="accent6"/>
          <w:sz w:val="26"/>
          <w:szCs w:val="26"/>
          <w:lang w:val="en-GB"/>
        </w:rPr>
      </w:pPr>
    </w:p>
    <w:p w14:paraId="603C9386" w14:textId="749E72E5" w:rsidR="00AB4B2D" w:rsidRPr="00721B6C" w:rsidRDefault="00672E21" w:rsidP="00166D84">
      <w:pPr>
        <w:pStyle w:val="ListParagraph"/>
        <w:numPr>
          <w:ilvl w:val="0"/>
          <w:numId w:val="11"/>
        </w:numPr>
        <w:spacing w:line="300" w:lineRule="exact"/>
        <w:ind w:left="426"/>
        <w:rPr>
          <w:lang w:val="en-GB"/>
        </w:rPr>
      </w:pPr>
      <w:r>
        <w:rPr>
          <w:b/>
          <w:bCs/>
          <w:color w:val="70AD47" w:themeColor="accent6"/>
          <w:sz w:val="26"/>
          <w:szCs w:val="26"/>
          <w:lang w:val="en-GB"/>
        </w:rPr>
        <w:t>TCA Monitoring</w:t>
      </w:r>
      <w:r w:rsidR="00D14702" w:rsidRPr="08473C56">
        <w:rPr>
          <w:b/>
          <w:bCs/>
          <w:color w:val="70AD47" w:themeColor="accent6"/>
          <w:sz w:val="26"/>
          <w:szCs w:val="26"/>
          <w:lang w:val="en-GB"/>
        </w:rPr>
        <w:t xml:space="preserve"> (</w:t>
      </w:r>
      <w:r w:rsidR="0023395F">
        <w:rPr>
          <w:b/>
          <w:bCs/>
          <w:color w:val="70AD47" w:themeColor="accent6"/>
          <w:sz w:val="26"/>
          <w:szCs w:val="26"/>
          <w:lang w:val="en-GB"/>
        </w:rPr>
        <w:t>1</w:t>
      </w:r>
      <w:r w:rsidR="00D14702" w:rsidRPr="08473C56">
        <w:rPr>
          <w:b/>
          <w:bCs/>
          <w:color w:val="70AD47" w:themeColor="accent6"/>
          <w:sz w:val="26"/>
          <w:szCs w:val="26"/>
          <w:lang w:val="en-GB"/>
        </w:rPr>
        <w:t xml:space="preserve"> page)</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957C9" w:rsidRPr="00A957C9" w14:paraId="4BFA7B74" w14:textId="77777777" w:rsidTr="007612C6">
        <w:tc>
          <w:tcPr>
            <w:tcW w:w="9214" w:type="dxa"/>
            <w:tcBorders>
              <w:bottom w:val="single" w:sz="4" w:space="0" w:color="auto"/>
            </w:tcBorders>
            <w:shd w:val="clear" w:color="auto" w:fill="F2F2F2" w:themeFill="background1" w:themeFillShade="F2"/>
          </w:tcPr>
          <w:p w14:paraId="4522328F" w14:textId="19D81915" w:rsidR="00AB4B2D" w:rsidRPr="00A957C9" w:rsidRDefault="0023395F" w:rsidP="00FC4A11">
            <w:pPr>
              <w:pStyle w:val="ListParagraph"/>
              <w:spacing w:line="300" w:lineRule="exact"/>
              <w:ind w:left="0"/>
              <w:rPr>
                <w:b/>
                <w:sz w:val="26"/>
                <w:szCs w:val="26"/>
              </w:rPr>
            </w:pPr>
            <w:r>
              <w:rPr>
                <w:b/>
                <w:bCs/>
                <w:i/>
                <w:iCs/>
                <w:sz w:val="20"/>
                <w:szCs w:val="20"/>
              </w:rPr>
              <w:t>6</w:t>
            </w:r>
            <w:r w:rsidR="005876B5">
              <w:rPr>
                <w:b/>
                <w:bCs/>
                <w:i/>
                <w:iCs/>
                <w:sz w:val="20"/>
                <w:szCs w:val="20"/>
              </w:rPr>
              <w:t xml:space="preserve">.1 </w:t>
            </w:r>
            <w:r w:rsidR="00C47384" w:rsidRPr="00A957C9">
              <w:rPr>
                <w:b/>
                <w:bCs/>
                <w:i/>
                <w:iCs/>
                <w:sz w:val="20"/>
                <w:szCs w:val="20"/>
              </w:rPr>
              <w:t>Please provide an outline of the TCA</w:t>
            </w:r>
            <w:r w:rsidR="0023057A">
              <w:rPr>
                <w:b/>
                <w:bCs/>
                <w:i/>
                <w:iCs/>
                <w:sz w:val="20"/>
                <w:szCs w:val="20"/>
              </w:rPr>
              <w:t xml:space="preserve">  in-country</w:t>
            </w:r>
            <w:r w:rsidR="00C47384" w:rsidRPr="00A957C9">
              <w:rPr>
                <w:b/>
                <w:bCs/>
                <w:i/>
                <w:iCs/>
                <w:sz w:val="20"/>
                <w:szCs w:val="20"/>
              </w:rPr>
              <w:t xml:space="preserve"> </w:t>
            </w:r>
            <w:r w:rsidR="00D57494">
              <w:rPr>
                <w:b/>
                <w:bCs/>
                <w:i/>
                <w:iCs/>
                <w:sz w:val="20"/>
                <w:szCs w:val="20"/>
              </w:rPr>
              <w:t xml:space="preserve">mechanism </w:t>
            </w:r>
            <w:r w:rsidR="00C47384" w:rsidRPr="00A957C9">
              <w:rPr>
                <w:b/>
                <w:bCs/>
                <w:i/>
                <w:iCs/>
                <w:sz w:val="20"/>
                <w:szCs w:val="20"/>
              </w:rPr>
              <w:t xml:space="preserve">to jointly monitor and track implementation progress and generation of results of the </w:t>
            </w:r>
            <w:r w:rsidR="00372D1F">
              <w:rPr>
                <w:b/>
                <w:bCs/>
                <w:i/>
                <w:iCs/>
                <w:sz w:val="20"/>
                <w:szCs w:val="20"/>
              </w:rPr>
              <w:t>TCA</w:t>
            </w:r>
            <w:r w:rsidR="00C47384" w:rsidRPr="00A957C9">
              <w:rPr>
                <w:b/>
                <w:bCs/>
                <w:i/>
                <w:iCs/>
                <w:sz w:val="20"/>
                <w:szCs w:val="20"/>
              </w:rPr>
              <w:t xml:space="preserve"> plan as a whole</w:t>
            </w:r>
            <w:r w:rsidR="00564856">
              <w:rPr>
                <w:b/>
                <w:bCs/>
                <w:i/>
                <w:iCs/>
                <w:sz w:val="20"/>
                <w:szCs w:val="20"/>
              </w:rPr>
              <w:t xml:space="preserve">. </w:t>
            </w:r>
            <w:r w:rsidR="00564856" w:rsidRPr="00A957C9">
              <w:rPr>
                <w:b/>
                <w:bCs/>
                <w:i/>
                <w:iCs/>
                <w:sz w:val="20"/>
                <w:szCs w:val="20"/>
              </w:rPr>
              <w:t>How will that information be used to adjust and improve programme implementation?</w:t>
            </w:r>
            <w:r w:rsidR="00DD391A" w:rsidRPr="00A957C9">
              <w:rPr>
                <w:b/>
                <w:bCs/>
                <w:i/>
                <w:iCs/>
                <w:sz w:val="20"/>
                <w:szCs w:val="20"/>
              </w:rPr>
              <w:t xml:space="preserve"> How frequently are data reviewed and used and who will be responsible to ensure that review and learning occurs?</w:t>
            </w:r>
          </w:p>
        </w:tc>
      </w:tr>
      <w:tr w:rsidR="00A957C9" w:rsidRPr="006A272B" w14:paraId="4CAB625F" w14:textId="77777777" w:rsidTr="007612C6">
        <w:tc>
          <w:tcPr>
            <w:tcW w:w="9214" w:type="dxa"/>
            <w:tcBorders>
              <w:top w:val="single" w:sz="4" w:space="0" w:color="auto"/>
              <w:left w:val="single" w:sz="4" w:space="0" w:color="auto"/>
              <w:bottom w:val="single" w:sz="4" w:space="0" w:color="auto"/>
              <w:right w:val="single" w:sz="4" w:space="0" w:color="auto"/>
            </w:tcBorders>
          </w:tcPr>
          <w:p w14:paraId="429E9C49" w14:textId="77777777" w:rsidR="009B1CC3" w:rsidRPr="00195924" w:rsidRDefault="009B1CC3" w:rsidP="009B1CC3">
            <w:pPr>
              <w:spacing w:line="300" w:lineRule="exact"/>
              <w:rPr>
                <w:sz w:val="20"/>
                <w:szCs w:val="20"/>
                <w:lang w:val="en-GB"/>
              </w:rPr>
            </w:pPr>
            <w:r w:rsidRPr="00195924">
              <w:rPr>
                <w:sz w:val="20"/>
                <w:szCs w:val="20"/>
                <w:lang w:val="en-GB"/>
              </w:rPr>
              <w:t>Considering the limited engagement with the De Facto Authority's Ministry of Health, the alternative mechanisms for the program implementation, monitoring</w:t>
            </w:r>
            <w:r>
              <w:rPr>
                <w:sz w:val="20"/>
                <w:szCs w:val="20"/>
                <w:lang w:val="en-GB"/>
              </w:rPr>
              <w:t>,</w:t>
            </w:r>
            <w:r w:rsidRPr="00195924">
              <w:rPr>
                <w:sz w:val="20"/>
                <w:szCs w:val="20"/>
                <w:lang w:val="en-GB"/>
              </w:rPr>
              <w:t xml:space="preserve"> and tracking </w:t>
            </w:r>
            <w:r>
              <w:rPr>
                <w:sz w:val="20"/>
                <w:szCs w:val="20"/>
                <w:lang w:val="en-GB"/>
              </w:rPr>
              <w:t xml:space="preserve">of </w:t>
            </w:r>
            <w:r w:rsidRPr="00195924">
              <w:rPr>
                <w:sz w:val="20"/>
                <w:szCs w:val="20"/>
                <w:lang w:val="en-GB"/>
              </w:rPr>
              <w:t>the program performance will be established. This includes exploring the partnership arrangements and involvement of NGOs, private providers, EHOs</w:t>
            </w:r>
            <w:r>
              <w:rPr>
                <w:sz w:val="20"/>
                <w:szCs w:val="20"/>
                <w:lang w:val="en-GB"/>
              </w:rPr>
              <w:t>,</w:t>
            </w:r>
            <w:r w:rsidRPr="00195924">
              <w:rPr>
                <w:sz w:val="20"/>
                <w:szCs w:val="20"/>
                <w:lang w:val="en-GB"/>
              </w:rPr>
              <w:t xml:space="preserve"> and CSOs in the provision of immunization services</w:t>
            </w:r>
            <w:r>
              <w:rPr>
                <w:sz w:val="20"/>
                <w:szCs w:val="20"/>
                <w:lang w:val="en-GB"/>
              </w:rPr>
              <w:t>,</w:t>
            </w:r>
            <w:r w:rsidRPr="00195924">
              <w:rPr>
                <w:sz w:val="20"/>
                <w:szCs w:val="20"/>
                <w:lang w:val="en-GB"/>
              </w:rPr>
              <w:t xml:space="preserve"> especially where the areas are controlled by EAOs/ or mixed ones to ensure equity.</w:t>
            </w:r>
          </w:p>
          <w:p w14:paraId="59DE6FD7" w14:textId="77777777" w:rsidR="009B1CC3" w:rsidRPr="00195924" w:rsidRDefault="009B1CC3" w:rsidP="009B1CC3">
            <w:pPr>
              <w:pStyle w:val="ListParagraph"/>
              <w:numPr>
                <w:ilvl w:val="0"/>
                <w:numId w:val="27"/>
              </w:numPr>
              <w:spacing w:line="300" w:lineRule="exact"/>
              <w:rPr>
                <w:sz w:val="20"/>
                <w:szCs w:val="20"/>
                <w:lang w:val="en-GB"/>
              </w:rPr>
            </w:pPr>
            <w:r w:rsidRPr="00195924">
              <w:rPr>
                <w:sz w:val="20"/>
                <w:szCs w:val="20"/>
                <w:lang w:val="en-GB"/>
              </w:rPr>
              <w:t>Monthly catch-up meeting with Gavi and WHO and UNICEF's regional offices. Relevant development partners and CSOs could be invited based on the agenda and needs.</w:t>
            </w:r>
          </w:p>
          <w:p w14:paraId="45756458" w14:textId="77777777" w:rsidR="009B1CC3" w:rsidRPr="00195924" w:rsidRDefault="009B1CC3" w:rsidP="009B1CC3">
            <w:pPr>
              <w:pStyle w:val="ListParagraph"/>
              <w:numPr>
                <w:ilvl w:val="0"/>
                <w:numId w:val="28"/>
              </w:numPr>
              <w:spacing w:line="300" w:lineRule="exact"/>
              <w:rPr>
                <w:sz w:val="20"/>
                <w:szCs w:val="20"/>
                <w:lang w:val="en-GB"/>
              </w:rPr>
            </w:pPr>
            <w:r w:rsidRPr="00195924">
              <w:rPr>
                <w:sz w:val="20"/>
                <w:szCs w:val="20"/>
                <w:lang w:val="en-GB"/>
              </w:rPr>
              <w:t xml:space="preserve">Coordination meetings with in-country donors and development partners to update on the progress, obtain advice on the operations and discuss challenges to find solutions. </w:t>
            </w:r>
          </w:p>
          <w:p w14:paraId="43976A9F" w14:textId="7DD620DA" w:rsidR="009B1CC3" w:rsidRPr="00A248E8" w:rsidRDefault="009B1CC3" w:rsidP="009B1CC3">
            <w:pPr>
              <w:pStyle w:val="ListParagraph"/>
              <w:numPr>
                <w:ilvl w:val="0"/>
                <w:numId w:val="28"/>
              </w:numPr>
              <w:spacing w:line="300" w:lineRule="exact"/>
              <w:rPr>
                <w:sz w:val="20"/>
                <w:szCs w:val="20"/>
                <w:lang w:val="en-GB"/>
              </w:rPr>
            </w:pPr>
            <w:r w:rsidRPr="00195924">
              <w:rPr>
                <w:sz w:val="20"/>
                <w:szCs w:val="20"/>
                <w:lang w:val="en-GB"/>
              </w:rPr>
              <w:t>Maintain regular coordination and discussions with NGOs, CSOs</w:t>
            </w:r>
            <w:r>
              <w:rPr>
                <w:sz w:val="20"/>
                <w:szCs w:val="20"/>
                <w:lang w:val="en-GB"/>
              </w:rPr>
              <w:t>,</w:t>
            </w:r>
            <w:r w:rsidRPr="00195924">
              <w:rPr>
                <w:sz w:val="20"/>
                <w:szCs w:val="20"/>
                <w:lang w:val="en-GB"/>
              </w:rPr>
              <w:t xml:space="preserve"> and EHOs </w:t>
            </w:r>
            <w:r>
              <w:rPr>
                <w:sz w:val="20"/>
                <w:szCs w:val="20"/>
                <w:lang w:val="en-GB"/>
              </w:rPr>
              <w:t>to exchange the progress of immunization services deliveries in hard-to-reach areas and explore</w:t>
            </w:r>
            <w:r w:rsidRPr="00195924">
              <w:rPr>
                <w:sz w:val="20"/>
                <w:szCs w:val="20"/>
                <w:lang w:val="en-GB"/>
              </w:rPr>
              <w:t xml:space="preserve"> the partnership opportunities for both RI and COVID-19 vaccinations. </w:t>
            </w:r>
          </w:p>
          <w:p w14:paraId="22E229C2" w14:textId="77777777" w:rsidR="009B1CC3" w:rsidRDefault="009B1CC3" w:rsidP="009B1CC3">
            <w:pPr>
              <w:pStyle w:val="ListParagraph"/>
              <w:numPr>
                <w:ilvl w:val="0"/>
                <w:numId w:val="27"/>
              </w:numPr>
              <w:spacing w:line="300" w:lineRule="exact"/>
              <w:rPr>
                <w:sz w:val="20"/>
                <w:szCs w:val="20"/>
              </w:rPr>
            </w:pPr>
            <w:r w:rsidRPr="00195924">
              <w:rPr>
                <w:sz w:val="20"/>
                <w:szCs w:val="20"/>
                <w:lang w:val="en-GB"/>
              </w:rPr>
              <w:t xml:space="preserve">If </w:t>
            </w:r>
            <w:r>
              <w:rPr>
                <w:sz w:val="20"/>
                <w:szCs w:val="20"/>
                <w:lang w:val="en-GB"/>
              </w:rPr>
              <w:t>DFA</w:t>
            </w:r>
            <w:r w:rsidRPr="00195924">
              <w:rPr>
                <w:sz w:val="20"/>
                <w:szCs w:val="20"/>
                <w:lang w:val="en-GB"/>
              </w:rPr>
              <w:t xml:space="preserve"> approves, data from the proposed quarterly pulse survey will be shared and discussed.</w:t>
            </w:r>
            <w:r w:rsidRPr="00195924">
              <w:rPr>
                <w:sz w:val="20"/>
                <w:szCs w:val="20"/>
              </w:rPr>
              <w:t xml:space="preserve"> </w:t>
            </w:r>
          </w:p>
          <w:p w14:paraId="5968C2B4" w14:textId="77777777" w:rsidR="009B1CC3" w:rsidRPr="00195924" w:rsidRDefault="009B1CC3" w:rsidP="009B1CC3">
            <w:pPr>
              <w:pStyle w:val="ListParagraph"/>
              <w:numPr>
                <w:ilvl w:val="0"/>
                <w:numId w:val="27"/>
              </w:numPr>
              <w:spacing w:line="300" w:lineRule="exact"/>
              <w:rPr>
                <w:sz w:val="20"/>
                <w:szCs w:val="20"/>
              </w:rPr>
            </w:pPr>
            <w:r w:rsidRPr="00195924">
              <w:rPr>
                <w:sz w:val="20"/>
                <w:szCs w:val="20"/>
              </w:rPr>
              <w:t xml:space="preserve">If </w:t>
            </w:r>
            <w:r>
              <w:rPr>
                <w:sz w:val="20"/>
                <w:szCs w:val="20"/>
              </w:rPr>
              <w:t>DFA</w:t>
            </w:r>
            <w:r w:rsidRPr="00195924">
              <w:rPr>
                <w:sz w:val="20"/>
                <w:szCs w:val="20"/>
              </w:rPr>
              <w:t xml:space="preserve"> approves, a periodic EPI review will be conducted along with MoH and all states/regional health departments and partners to:</w:t>
            </w:r>
          </w:p>
          <w:p w14:paraId="23025B51" w14:textId="77777777" w:rsidR="009B1CC3" w:rsidRPr="00195924" w:rsidRDefault="009B1CC3" w:rsidP="009B1CC3">
            <w:pPr>
              <w:pStyle w:val="ListParagraph"/>
              <w:numPr>
                <w:ilvl w:val="1"/>
                <w:numId w:val="27"/>
              </w:numPr>
              <w:spacing w:line="300" w:lineRule="exact"/>
              <w:rPr>
                <w:sz w:val="20"/>
                <w:szCs w:val="20"/>
              </w:rPr>
            </w:pPr>
            <w:r w:rsidRPr="00195924">
              <w:rPr>
                <w:sz w:val="20"/>
                <w:szCs w:val="20"/>
              </w:rPr>
              <w:t xml:space="preserve">provide a snapshot to public health program directors and public health policymakers on the status of the EPI and VPD surveillance; </w:t>
            </w:r>
          </w:p>
          <w:p w14:paraId="2C7609CB" w14:textId="77777777" w:rsidR="009B1CC3" w:rsidRPr="00195924" w:rsidRDefault="009B1CC3" w:rsidP="009B1CC3">
            <w:pPr>
              <w:pStyle w:val="ListParagraph"/>
              <w:numPr>
                <w:ilvl w:val="1"/>
                <w:numId w:val="27"/>
              </w:numPr>
              <w:spacing w:line="300" w:lineRule="exact"/>
              <w:rPr>
                <w:sz w:val="20"/>
                <w:szCs w:val="20"/>
              </w:rPr>
            </w:pPr>
            <w:r w:rsidRPr="00195924">
              <w:rPr>
                <w:sz w:val="20"/>
                <w:szCs w:val="20"/>
              </w:rPr>
              <w:t>assess progress in meeting key national goals; and</w:t>
            </w:r>
          </w:p>
          <w:p w14:paraId="476282A5" w14:textId="77777777" w:rsidR="009B1CC3" w:rsidRPr="00A248E8" w:rsidRDefault="009B1CC3" w:rsidP="009B1CC3">
            <w:pPr>
              <w:pStyle w:val="ListParagraph"/>
              <w:numPr>
                <w:ilvl w:val="1"/>
                <w:numId w:val="27"/>
              </w:numPr>
              <w:spacing w:line="300" w:lineRule="exact"/>
              <w:rPr>
                <w:sz w:val="20"/>
                <w:szCs w:val="20"/>
              </w:rPr>
            </w:pPr>
            <w:r w:rsidRPr="00195924">
              <w:rPr>
                <w:sz w:val="20"/>
                <w:szCs w:val="20"/>
              </w:rPr>
              <w:t xml:space="preserve">provide an opportunity to share lessons learned </w:t>
            </w:r>
          </w:p>
          <w:p w14:paraId="293ABBE0" w14:textId="77777777" w:rsidR="009B1CC3" w:rsidRPr="00195924" w:rsidRDefault="009B1CC3" w:rsidP="009B1CC3">
            <w:pPr>
              <w:pStyle w:val="ListParagraph"/>
              <w:numPr>
                <w:ilvl w:val="0"/>
                <w:numId w:val="27"/>
              </w:numPr>
              <w:spacing w:line="300" w:lineRule="exact"/>
              <w:rPr>
                <w:color w:val="000000"/>
                <w:sz w:val="20"/>
                <w:szCs w:val="20"/>
              </w:rPr>
            </w:pPr>
            <w:r w:rsidRPr="00195924">
              <w:rPr>
                <w:color w:val="000000" w:themeColor="text1"/>
                <w:sz w:val="20"/>
                <w:szCs w:val="20"/>
              </w:rPr>
              <w:t xml:space="preserve">An annual multi-stakeholder dialogue exercise will be tailored to the country's context, taking into account current constraints in terms of securing visas, political instability, travel, meetings, and workload. The process will involve preparatory work on data for the review, potentially multiple exchanges with at least one event for live discussion (likely a virtual meeting), concluding with the finalization of a report and relevant additional documents (e.g., </w:t>
            </w:r>
            <w:r w:rsidRPr="00195924">
              <w:rPr>
                <w:color w:val="000000" w:themeColor="text1"/>
                <w:sz w:val="20"/>
                <w:szCs w:val="20"/>
              </w:rPr>
              <w:lastRenderedPageBreak/>
              <w:t>work plan and budget for short-term response/recovery activities, the roadmap for further planning). The process should be inclusive and transparent, with meaningful engagement of partners and civil society organizations</w:t>
            </w:r>
            <w:r>
              <w:rPr>
                <w:color w:val="000000" w:themeColor="text1"/>
                <w:sz w:val="20"/>
                <w:szCs w:val="20"/>
              </w:rPr>
              <w:t>.</w:t>
            </w:r>
          </w:p>
          <w:p w14:paraId="635EF35F" w14:textId="4D46423D" w:rsidR="00AB4B2D" w:rsidRPr="00195924" w:rsidRDefault="009B1CC3" w:rsidP="009B1CC3">
            <w:pPr>
              <w:pStyle w:val="ListParagraph"/>
              <w:numPr>
                <w:ilvl w:val="0"/>
                <w:numId w:val="28"/>
              </w:numPr>
              <w:spacing w:line="300" w:lineRule="exact"/>
              <w:rPr>
                <w:sz w:val="20"/>
                <w:szCs w:val="20"/>
                <w:lang w:val="en-GB"/>
              </w:rPr>
            </w:pPr>
            <w:r w:rsidRPr="00195924">
              <w:rPr>
                <w:sz w:val="20"/>
                <w:szCs w:val="20"/>
              </w:rPr>
              <w:t>Submission of the bi-annual progress report, including financial report</w:t>
            </w:r>
          </w:p>
        </w:tc>
      </w:tr>
    </w:tbl>
    <w:p w14:paraId="146AE6CC" w14:textId="77777777" w:rsidR="007612C6" w:rsidRDefault="007612C6" w:rsidP="00FC4A11">
      <w:pPr>
        <w:spacing w:line="300" w:lineRule="exact"/>
        <w:rPr>
          <w:lang w:val="en-GB"/>
        </w:rPr>
      </w:pPr>
    </w:p>
    <w:sectPr w:rsidR="007612C6" w:rsidSect="007612C6">
      <w:headerReference w:type="even" r:id="rId15"/>
      <w:headerReference w:type="default" r:id="rId16"/>
      <w:footerReference w:type="even" r:id="rId17"/>
      <w:footerReference w:type="default" r:id="rId18"/>
      <w:headerReference w:type="first" r:id="rId19"/>
      <w:footerReference w:type="first" r:id="rId20"/>
      <w:pgSz w:w="12240" w:h="15840"/>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F1019" w14:textId="77777777" w:rsidR="008353A2" w:rsidRDefault="008353A2" w:rsidP="00431CA9">
      <w:pPr>
        <w:spacing w:line="240" w:lineRule="auto"/>
      </w:pPr>
      <w:r>
        <w:separator/>
      </w:r>
    </w:p>
  </w:endnote>
  <w:endnote w:type="continuationSeparator" w:id="0">
    <w:p w14:paraId="7737B1DC" w14:textId="77777777" w:rsidR="008353A2" w:rsidRDefault="008353A2" w:rsidP="00431CA9">
      <w:pPr>
        <w:spacing w:line="240" w:lineRule="auto"/>
      </w:pPr>
      <w:r>
        <w:continuationSeparator/>
      </w:r>
    </w:p>
  </w:endnote>
  <w:endnote w:type="continuationNotice" w:id="1">
    <w:p w14:paraId="125B0CA3" w14:textId="77777777" w:rsidR="008353A2" w:rsidRDefault="008353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E2471" w14:textId="77777777" w:rsidR="00AB7F9F" w:rsidRDefault="00AB7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769279477"/>
      <w:docPartObj>
        <w:docPartGallery w:val="Page Numbers (Bottom of Page)"/>
        <w:docPartUnique/>
      </w:docPartObj>
    </w:sdtPr>
    <w:sdtEndPr>
      <w:rPr>
        <w:noProof/>
      </w:rPr>
    </w:sdtEndPr>
    <w:sdtContent>
      <w:p w14:paraId="25F050AA" w14:textId="59C85FE8" w:rsidR="008A79C9" w:rsidRDefault="00356CDE">
        <w:pPr>
          <w:pStyle w:val="Footer"/>
        </w:pPr>
        <w:r w:rsidRPr="00DA777C">
          <w:rPr>
            <w:sz w:val="20"/>
            <w:szCs w:val="20"/>
          </w:rPr>
          <w:fldChar w:fldCharType="begin"/>
        </w:r>
        <w:r w:rsidRPr="00DA777C">
          <w:rPr>
            <w:sz w:val="20"/>
            <w:szCs w:val="20"/>
          </w:rPr>
          <w:instrText xml:space="preserve"> PAGE   \* MERGEFORMAT </w:instrText>
        </w:r>
        <w:r w:rsidRPr="00DA777C">
          <w:rPr>
            <w:sz w:val="20"/>
            <w:szCs w:val="20"/>
          </w:rPr>
          <w:fldChar w:fldCharType="separate"/>
        </w:r>
        <w:r w:rsidRPr="00DA777C">
          <w:rPr>
            <w:noProof/>
            <w:sz w:val="20"/>
            <w:szCs w:val="20"/>
          </w:rPr>
          <w:t>2</w:t>
        </w:r>
        <w:r w:rsidRPr="00DA777C">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AD567" w14:textId="77777777" w:rsidR="00AB7F9F" w:rsidRDefault="00AB7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83908" w14:textId="77777777" w:rsidR="008353A2" w:rsidRDefault="008353A2" w:rsidP="00431CA9">
      <w:pPr>
        <w:spacing w:line="240" w:lineRule="auto"/>
      </w:pPr>
      <w:r>
        <w:separator/>
      </w:r>
    </w:p>
  </w:footnote>
  <w:footnote w:type="continuationSeparator" w:id="0">
    <w:p w14:paraId="17FB0FAF" w14:textId="77777777" w:rsidR="008353A2" w:rsidRDefault="008353A2" w:rsidP="00431CA9">
      <w:pPr>
        <w:spacing w:line="240" w:lineRule="auto"/>
      </w:pPr>
      <w:r>
        <w:continuationSeparator/>
      </w:r>
    </w:p>
  </w:footnote>
  <w:footnote w:type="continuationNotice" w:id="1">
    <w:p w14:paraId="22CB73C5" w14:textId="77777777" w:rsidR="008353A2" w:rsidRDefault="008353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F08DC" w14:textId="77777777" w:rsidR="00AB7F9F" w:rsidRDefault="00AB7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57D54" w14:textId="6021F0DD" w:rsidR="00431CA9" w:rsidRDefault="003A0D3A">
    <w:pPr>
      <w:pStyle w:val="Header"/>
    </w:pPr>
    <w:r w:rsidRPr="00892432">
      <w:rPr>
        <w:noProof/>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14:paraId="70F2D3FD" w14:textId="30B324B9" w:rsidR="00BD1FEE" w:rsidRDefault="004C6B53" w:rsidP="00055BF9">
                          <w:pPr>
                            <w:rPr>
                              <w:b/>
                              <w:bCs/>
                              <w:color w:val="0070C0"/>
                              <w:sz w:val="24"/>
                              <w:szCs w:val="24"/>
                              <w:lang w:val="en-US"/>
                            </w:rPr>
                          </w:pPr>
                          <w:r>
                            <w:rPr>
                              <w:b/>
                              <w:bCs/>
                              <w:color w:val="0070C0"/>
                              <w:sz w:val="24"/>
                              <w:szCs w:val="24"/>
                              <w:lang w:val="en-US"/>
                            </w:rPr>
                            <w:t xml:space="preserve">PEF </w:t>
                          </w:r>
                          <w:r w:rsidR="0019737F">
                            <w:rPr>
                              <w:b/>
                              <w:bCs/>
                              <w:color w:val="0070C0"/>
                              <w:sz w:val="24"/>
                              <w:szCs w:val="24"/>
                              <w:lang w:val="en-US"/>
                            </w:rPr>
                            <w:t>Target</w:t>
                          </w:r>
                          <w:r w:rsidR="009F7930">
                            <w:rPr>
                              <w:b/>
                              <w:bCs/>
                              <w:color w:val="0070C0"/>
                              <w:sz w:val="24"/>
                              <w:szCs w:val="24"/>
                              <w:lang w:val="en-US"/>
                            </w:rPr>
                            <w:t>ed</w:t>
                          </w:r>
                          <w:r w:rsidR="0019737F">
                            <w:rPr>
                              <w:b/>
                              <w:bCs/>
                              <w:color w:val="0070C0"/>
                              <w:sz w:val="24"/>
                              <w:szCs w:val="24"/>
                              <w:lang w:val="en-US"/>
                            </w:rPr>
                            <w:t xml:space="preserve"> Country Assistance Narrative</w:t>
                          </w:r>
                          <w:r w:rsidR="00EA4DE2">
                            <w:rPr>
                              <w:b/>
                              <w:bCs/>
                              <w:color w:val="0070C0"/>
                              <w:sz w:val="24"/>
                              <w:szCs w:val="24"/>
                              <w:lang w:val="en-US"/>
                            </w:rPr>
                            <w:t xml:space="preserve"> </w:t>
                          </w:r>
                          <w:r w:rsidR="00BD1FEE">
                            <w:rPr>
                              <w:b/>
                              <w:bCs/>
                              <w:color w:val="0070C0"/>
                              <w:sz w:val="24"/>
                              <w:szCs w:val="24"/>
                              <w:lang w:val="en-US"/>
                            </w:rPr>
                            <w:t xml:space="preserve"> </w:t>
                          </w:r>
                        </w:p>
                        <w:p w14:paraId="4599C1BA" w14:textId="1E37035E" w:rsidR="00892432" w:rsidRPr="00C4436D" w:rsidRDefault="00F43296" w:rsidP="00055BF9">
                          <w:pPr>
                            <w:rPr>
                              <w:color w:val="0070C0"/>
                            </w:rPr>
                          </w:pPr>
                          <w:r>
                            <w:rPr>
                              <w:color w:val="0070C0"/>
                            </w:rPr>
                            <w:t>April</w:t>
                          </w:r>
                          <w:r w:rsidR="00BD1FEE" w:rsidRPr="00BD1FEE">
                            <w:rPr>
                              <w:color w:val="0070C0"/>
                            </w:rPr>
                            <w:t xml:space="preserve"> </w:t>
                          </w:r>
                          <w:r w:rsidR="00DC7614" w:rsidRPr="00C4436D">
                            <w:rPr>
                              <w:color w:val="0070C0"/>
                            </w:rPr>
                            <w:t>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072E57" id="_x0000_t202" coordsize="21600,21600" o:spt="202" path="m,l,21600r21600,l21600,xe">
              <v:stroke joinstyle="miter"/>
              <v:path gradientshapeok="t" o:connecttype="rect"/>
            </v:shapetype>
            <v:shape id="Text Box 2" o:spid="_x0000_s1026" type="#_x0000_t20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" filled="f" stroked="f" strokecolor="#0070c0" strokeweight=".5pt">
              <v:textbox>
                <w:txbxContent>
                  <w:p w14:paraId="70F2D3FD" w14:textId="30B324B9" w:rsidR="00BD1FEE" w:rsidRDefault="004C6B53" w:rsidP="00055BF9">
                    <w:pPr>
                      <w:rPr>
                        <w:b/>
                        <w:bCs/>
                        <w:color w:val="0070C0"/>
                        <w:sz w:val="24"/>
                        <w:szCs w:val="24"/>
                        <w:lang w:val="en-US"/>
                      </w:rPr>
                    </w:pPr>
                    <w:r>
                      <w:rPr>
                        <w:b/>
                        <w:bCs/>
                        <w:color w:val="0070C0"/>
                        <w:sz w:val="24"/>
                        <w:szCs w:val="24"/>
                        <w:lang w:val="en-US"/>
                      </w:rPr>
                      <w:t xml:space="preserve">PEF </w:t>
                    </w:r>
                    <w:r w:rsidR="0019737F">
                      <w:rPr>
                        <w:b/>
                        <w:bCs/>
                        <w:color w:val="0070C0"/>
                        <w:sz w:val="24"/>
                        <w:szCs w:val="24"/>
                        <w:lang w:val="en-US"/>
                      </w:rPr>
                      <w:t>Target</w:t>
                    </w:r>
                    <w:r w:rsidR="009F7930">
                      <w:rPr>
                        <w:b/>
                        <w:bCs/>
                        <w:color w:val="0070C0"/>
                        <w:sz w:val="24"/>
                        <w:szCs w:val="24"/>
                        <w:lang w:val="en-US"/>
                      </w:rPr>
                      <w:t>ed</w:t>
                    </w:r>
                    <w:r w:rsidR="0019737F">
                      <w:rPr>
                        <w:b/>
                        <w:bCs/>
                        <w:color w:val="0070C0"/>
                        <w:sz w:val="24"/>
                        <w:szCs w:val="24"/>
                        <w:lang w:val="en-US"/>
                      </w:rPr>
                      <w:t xml:space="preserve"> Country Assistance Narrative</w:t>
                    </w:r>
                    <w:r w:rsidR="00EA4DE2">
                      <w:rPr>
                        <w:b/>
                        <w:bCs/>
                        <w:color w:val="0070C0"/>
                        <w:sz w:val="24"/>
                        <w:szCs w:val="24"/>
                        <w:lang w:val="en-US"/>
                      </w:rPr>
                      <w:t xml:space="preserve"> </w:t>
                    </w:r>
                    <w:r w:rsidR="00BD1FEE">
                      <w:rPr>
                        <w:b/>
                        <w:bCs/>
                        <w:color w:val="0070C0"/>
                        <w:sz w:val="24"/>
                        <w:szCs w:val="24"/>
                        <w:lang w:val="en-US"/>
                      </w:rPr>
                      <w:t xml:space="preserve"> </w:t>
                    </w:r>
                  </w:p>
                  <w:p w14:paraId="4599C1BA" w14:textId="1E37035E" w:rsidR="00892432" w:rsidRPr="00C4436D" w:rsidRDefault="00F43296" w:rsidP="00055BF9">
                    <w:pPr>
                      <w:rPr>
                        <w:color w:val="0070C0"/>
                      </w:rPr>
                    </w:pPr>
                    <w:r>
                      <w:rPr>
                        <w:color w:val="0070C0"/>
                      </w:rPr>
                      <w:t>April</w:t>
                    </w:r>
                    <w:r w:rsidR="00BD1FEE" w:rsidRPr="00BD1FEE">
                      <w:rPr>
                        <w:color w:val="0070C0"/>
                      </w:rPr>
                      <w:t xml:space="preserve"> </w:t>
                    </w:r>
                    <w:r w:rsidR="00DC7614" w:rsidRPr="00C4436D">
                      <w:rPr>
                        <w:color w:val="0070C0"/>
                      </w:rPr>
                      <w:t>2022</w:t>
                    </w:r>
                  </w:p>
                </w:txbxContent>
              </v:textbox>
              <w10:wrap anchorx="page" anchory="margin"/>
            </v:shape>
          </w:pict>
        </mc:Fallback>
      </mc:AlternateContent>
    </w:r>
    <w:r w:rsidR="00BD4EFD" w:rsidRPr="00892432">
      <w:rPr>
        <w:noProof/>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AED412" id="Straight Connector 14" o:spid="_x0000_s1026"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43.4pt,15.55pt" to="43.4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" strokecolor="#5b9bd5 [3208]">
              <v:stroke joinstyle="miter"/>
              <o:lock v:ext="edit" shapetype="f"/>
              <w10:wrap anchory="page"/>
            </v:line>
          </w:pict>
        </mc:Fallback>
      </mc:AlternateContent>
    </w:r>
    <w:r w:rsidR="004D1017" w:rsidRPr="00892432">
      <w:rPr>
        <w:noProof/>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14:paraId="3DB0E3A5" w14:textId="77777777" w:rsidR="00892432" w:rsidRDefault="00892432" w:rsidP="00892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3C187" id="Rectangle 8" o:spid="_x0000_s1027"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" fillcolor="#f2f2f1" stroked="f" strokeweight=".5pt">
              <v:textbox>
                <w:txbxContent>
                  <w:p w14:paraId="3DB0E3A5" w14:textId="77777777" w:rsidR="00892432" w:rsidRDefault="00892432" w:rsidP="00892432">
                    <w:pPr>
                      <w:jc w:val="center"/>
                    </w:pPr>
                  </w:p>
                </w:txbxContent>
              </v:textbox>
              <w10:wrap anchorx="page" anchory="page"/>
            </v:rect>
          </w:pict>
        </mc:Fallback>
      </mc:AlternateContent>
    </w:r>
    <w:r w:rsidR="001B6E82" w:rsidRPr="00892432">
      <w:rPr>
        <w:noProof/>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63856" w14:textId="77777777" w:rsidR="00AB7F9F" w:rsidRDefault="00AB7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E6CEA"/>
    <w:multiLevelType w:val="hybridMultilevel"/>
    <w:tmpl w:val="2FA68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322C52"/>
    <w:multiLevelType w:val="hybridMultilevel"/>
    <w:tmpl w:val="13EED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7E188F"/>
    <w:multiLevelType w:val="hybridMultilevel"/>
    <w:tmpl w:val="AE2C5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E62230"/>
    <w:multiLevelType w:val="hybridMultilevel"/>
    <w:tmpl w:val="D0328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16B6E"/>
    <w:multiLevelType w:val="hybridMultilevel"/>
    <w:tmpl w:val="350ED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B2BE6"/>
    <w:multiLevelType w:val="hybridMultilevel"/>
    <w:tmpl w:val="C88053E6"/>
    <w:lvl w:ilvl="0" w:tplc="1A78A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A872E"/>
    <w:multiLevelType w:val="hybridMultilevel"/>
    <w:tmpl w:val="FFFFFFFF"/>
    <w:lvl w:ilvl="0" w:tplc="1D36F046">
      <w:start w:val="1"/>
      <w:numFmt w:val="bullet"/>
      <w:lvlText w:val="·"/>
      <w:lvlJc w:val="left"/>
      <w:pPr>
        <w:ind w:left="720" w:hanging="360"/>
      </w:pPr>
      <w:rPr>
        <w:rFonts w:ascii="Symbol" w:hAnsi="Symbol" w:hint="default"/>
      </w:rPr>
    </w:lvl>
    <w:lvl w:ilvl="1" w:tplc="3F609DD0">
      <w:start w:val="1"/>
      <w:numFmt w:val="bullet"/>
      <w:lvlText w:val="o"/>
      <w:lvlJc w:val="left"/>
      <w:pPr>
        <w:ind w:left="1440" w:hanging="360"/>
      </w:pPr>
      <w:rPr>
        <w:rFonts w:ascii="Courier New" w:hAnsi="Courier New" w:hint="default"/>
      </w:rPr>
    </w:lvl>
    <w:lvl w:ilvl="2" w:tplc="A81CCBEE">
      <w:start w:val="1"/>
      <w:numFmt w:val="bullet"/>
      <w:lvlText w:val=""/>
      <w:lvlJc w:val="left"/>
      <w:pPr>
        <w:ind w:left="2160" w:hanging="360"/>
      </w:pPr>
      <w:rPr>
        <w:rFonts w:ascii="Wingdings" w:hAnsi="Wingdings" w:hint="default"/>
      </w:rPr>
    </w:lvl>
    <w:lvl w:ilvl="3" w:tplc="108C3636">
      <w:start w:val="1"/>
      <w:numFmt w:val="bullet"/>
      <w:lvlText w:val=""/>
      <w:lvlJc w:val="left"/>
      <w:pPr>
        <w:ind w:left="2880" w:hanging="360"/>
      </w:pPr>
      <w:rPr>
        <w:rFonts w:ascii="Symbol" w:hAnsi="Symbol" w:hint="default"/>
      </w:rPr>
    </w:lvl>
    <w:lvl w:ilvl="4" w:tplc="2116BACA">
      <w:start w:val="1"/>
      <w:numFmt w:val="bullet"/>
      <w:lvlText w:val="o"/>
      <w:lvlJc w:val="left"/>
      <w:pPr>
        <w:ind w:left="3600" w:hanging="360"/>
      </w:pPr>
      <w:rPr>
        <w:rFonts w:ascii="Courier New" w:hAnsi="Courier New" w:hint="default"/>
      </w:rPr>
    </w:lvl>
    <w:lvl w:ilvl="5" w:tplc="76A6611A">
      <w:start w:val="1"/>
      <w:numFmt w:val="bullet"/>
      <w:lvlText w:val=""/>
      <w:lvlJc w:val="left"/>
      <w:pPr>
        <w:ind w:left="4320" w:hanging="360"/>
      </w:pPr>
      <w:rPr>
        <w:rFonts w:ascii="Wingdings" w:hAnsi="Wingdings" w:hint="default"/>
      </w:rPr>
    </w:lvl>
    <w:lvl w:ilvl="6" w:tplc="8BEC5A82">
      <w:start w:val="1"/>
      <w:numFmt w:val="bullet"/>
      <w:lvlText w:val=""/>
      <w:lvlJc w:val="left"/>
      <w:pPr>
        <w:ind w:left="5040" w:hanging="360"/>
      </w:pPr>
      <w:rPr>
        <w:rFonts w:ascii="Symbol" w:hAnsi="Symbol" w:hint="default"/>
      </w:rPr>
    </w:lvl>
    <w:lvl w:ilvl="7" w:tplc="9B5A53FE">
      <w:start w:val="1"/>
      <w:numFmt w:val="bullet"/>
      <w:lvlText w:val="o"/>
      <w:lvlJc w:val="left"/>
      <w:pPr>
        <w:ind w:left="5760" w:hanging="360"/>
      </w:pPr>
      <w:rPr>
        <w:rFonts w:ascii="Courier New" w:hAnsi="Courier New" w:hint="default"/>
      </w:rPr>
    </w:lvl>
    <w:lvl w:ilvl="8" w:tplc="CF4AC9E4">
      <w:start w:val="1"/>
      <w:numFmt w:val="bullet"/>
      <w:lvlText w:val=""/>
      <w:lvlJc w:val="left"/>
      <w:pPr>
        <w:ind w:left="6480" w:hanging="360"/>
      </w:pPr>
      <w:rPr>
        <w:rFonts w:ascii="Wingdings" w:hAnsi="Wingdings" w:hint="default"/>
      </w:rPr>
    </w:lvl>
  </w:abstractNum>
  <w:abstractNum w:abstractNumId="7" w15:restartNumberingAfterBreak="0">
    <w:nsid w:val="228921F2"/>
    <w:multiLevelType w:val="hybridMultilevel"/>
    <w:tmpl w:val="143E0BB8"/>
    <w:lvl w:ilvl="0" w:tplc="689E102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06730"/>
    <w:multiLevelType w:val="hybridMultilevel"/>
    <w:tmpl w:val="C6402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495DA7"/>
    <w:multiLevelType w:val="hybridMultilevel"/>
    <w:tmpl w:val="8FB21F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CD3AE9"/>
    <w:multiLevelType w:val="hybridMultilevel"/>
    <w:tmpl w:val="5372A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8458C"/>
    <w:multiLevelType w:val="hybridMultilevel"/>
    <w:tmpl w:val="7C880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C7761C"/>
    <w:multiLevelType w:val="multilevel"/>
    <w:tmpl w:val="9D4A94C8"/>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6" w15:restartNumberingAfterBreak="0">
    <w:nsid w:val="44CA4645"/>
    <w:multiLevelType w:val="hybridMultilevel"/>
    <w:tmpl w:val="FFFFFFFF"/>
    <w:lvl w:ilvl="0" w:tplc="F866FECC">
      <w:start w:val="1"/>
      <w:numFmt w:val="bullet"/>
      <w:lvlText w:val=""/>
      <w:lvlJc w:val="left"/>
      <w:pPr>
        <w:ind w:left="720" w:hanging="360"/>
      </w:pPr>
      <w:rPr>
        <w:rFonts w:ascii="Symbol" w:hAnsi="Symbol" w:hint="default"/>
      </w:rPr>
    </w:lvl>
    <w:lvl w:ilvl="1" w:tplc="A5CC1160">
      <w:start w:val="1"/>
      <w:numFmt w:val="bullet"/>
      <w:lvlText w:val="o"/>
      <w:lvlJc w:val="left"/>
      <w:pPr>
        <w:ind w:left="1440" w:hanging="360"/>
      </w:pPr>
      <w:rPr>
        <w:rFonts w:ascii="Courier New" w:hAnsi="Courier New" w:hint="default"/>
      </w:rPr>
    </w:lvl>
    <w:lvl w:ilvl="2" w:tplc="F746ECDA">
      <w:start w:val="1"/>
      <w:numFmt w:val="bullet"/>
      <w:lvlText w:val=""/>
      <w:lvlJc w:val="left"/>
      <w:pPr>
        <w:ind w:left="2160" w:hanging="360"/>
      </w:pPr>
      <w:rPr>
        <w:rFonts w:ascii="Wingdings" w:hAnsi="Wingdings" w:hint="default"/>
      </w:rPr>
    </w:lvl>
    <w:lvl w:ilvl="3" w:tplc="06123466">
      <w:start w:val="1"/>
      <w:numFmt w:val="bullet"/>
      <w:lvlText w:val=""/>
      <w:lvlJc w:val="left"/>
      <w:pPr>
        <w:ind w:left="2880" w:hanging="360"/>
      </w:pPr>
      <w:rPr>
        <w:rFonts w:ascii="Symbol" w:hAnsi="Symbol" w:hint="default"/>
      </w:rPr>
    </w:lvl>
    <w:lvl w:ilvl="4" w:tplc="A5EE480E">
      <w:start w:val="1"/>
      <w:numFmt w:val="bullet"/>
      <w:lvlText w:val="o"/>
      <w:lvlJc w:val="left"/>
      <w:pPr>
        <w:ind w:left="3600" w:hanging="360"/>
      </w:pPr>
      <w:rPr>
        <w:rFonts w:ascii="Courier New" w:hAnsi="Courier New" w:hint="default"/>
      </w:rPr>
    </w:lvl>
    <w:lvl w:ilvl="5" w:tplc="90849A8A">
      <w:start w:val="1"/>
      <w:numFmt w:val="bullet"/>
      <w:lvlText w:val=""/>
      <w:lvlJc w:val="left"/>
      <w:pPr>
        <w:ind w:left="4320" w:hanging="360"/>
      </w:pPr>
      <w:rPr>
        <w:rFonts w:ascii="Wingdings" w:hAnsi="Wingdings" w:hint="default"/>
      </w:rPr>
    </w:lvl>
    <w:lvl w:ilvl="6" w:tplc="46A8F4C6">
      <w:start w:val="1"/>
      <w:numFmt w:val="bullet"/>
      <w:lvlText w:val=""/>
      <w:lvlJc w:val="left"/>
      <w:pPr>
        <w:ind w:left="5040" w:hanging="360"/>
      </w:pPr>
      <w:rPr>
        <w:rFonts w:ascii="Symbol" w:hAnsi="Symbol" w:hint="default"/>
      </w:rPr>
    </w:lvl>
    <w:lvl w:ilvl="7" w:tplc="0B66911A">
      <w:start w:val="1"/>
      <w:numFmt w:val="bullet"/>
      <w:lvlText w:val="o"/>
      <w:lvlJc w:val="left"/>
      <w:pPr>
        <w:ind w:left="5760" w:hanging="360"/>
      </w:pPr>
      <w:rPr>
        <w:rFonts w:ascii="Courier New" w:hAnsi="Courier New" w:hint="default"/>
      </w:rPr>
    </w:lvl>
    <w:lvl w:ilvl="8" w:tplc="3962D6FC">
      <w:start w:val="1"/>
      <w:numFmt w:val="bullet"/>
      <w:lvlText w:val=""/>
      <w:lvlJc w:val="left"/>
      <w:pPr>
        <w:ind w:left="6480" w:hanging="360"/>
      </w:pPr>
      <w:rPr>
        <w:rFonts w:ascii="Wingdings" w:hAnsi="Wingdings" w:hint="default"/>
      </w:rPr>
    </w:lvl>
  </w:abstractNum>
  <w:abstractNum w:abstractNumId="17" w15:restartNumberingAfterBreak="0">
    <w:nsid w:val="451E3FDC"/>
    <w:multiLevelType w:val="hybridMultilevel"/>
    <w:tmpl w:val="3A4E4A30"/>
    <w:lvl w:ilvl="0" w:tplc="689E102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428D6"/>
    <w:multiLevelType w:val="hybridMultilevel"/>
    <w:tmpl w:val="27D68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47172"/>
    <w:multiLevelType w:val="hybridMultilevel"/>
    <w:tmpl w:val="F014E662"/>
    <w:lvl w:ilvl="0" w:tplc="04090001">
      <w:start w:val="1"/>
      <w:numFmt w:val="bullet"/>
      <w:lvlText w:val=""/>
      <w:lvlJc w:val="left"/>
      <w:pPr>
        <w:ind w:left="4897"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0" w15:restartNumberingAfterBreak="0">
    <w:nsid w:val="54D36B53"/>
    <w:multiLevelType w:val="hybridMultilevel"/>
    <w:tmpl w:val="5C00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E2BE4"/>
    <w:multiLevelType w:val="hybridMultilevel"/>
    <w:tmpl w:val="1E6A3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D24FB9"/>
    <w:multiLevelType w:val="hybridMultilevel"/>
    <w:tmpl w:val="42123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277EE9"/>
    <w:multiLevelType w:val="hybridMultilevel"/>
    <w:tmpl w:val="FFFFFFFF"/>
    <w:lvl w:ilvl="0" w:tplc="6EE25AE2">
      <w:start w:val="1"/>
      <w:numFmt w:val="decimal"/>
      <w:lvlText w:val="%1."/>
      <w:lvlJc w:val="left"/>
      <w:pPr>
        <w:ind w:left="720" w:hanging="360"/>
      </w:pPr>
    </w:lvl>
    <w:lvl w:ilvl="1" w:tplc="E5B28ABA">
      <w:start w:val="1"/>
      <w:numFmt w:val="lowerLetter"/>
      <w:lvlText w:val="%2."/>
      <w:lvlJc w:val="left"/>
      <w:pPr>
        <w:ind w:left="1440" w:hanging="360"/>
      </w:pPr>
    </w:lvl>
    <w:lvl w:ilvl="2" w:tplc="8A1CC5F4">
      <w:start w:val="1"/>
      <w:numFmt w:val="lowerRoman"/>
      <w:lvlText w:val="%3."/>
      <w:lvlJc w:val="right"/>
      <w:pPr>
        <w:ind w:left="2160" w:hanging="180"/>
      </w:pPr>
    </w:lvl>
    <w:lvl w:ilvl="3" w:tplc="96780BA4">
      <w:start w:val="1"/>
      <w:numFmt w:val="decimal"/>
      <w:lvlText w:val="%4."/>
      <w:lvlJc w:val="left"/>
      <w:pPr>
        <w:ind w:left="2880" w:hanging="360"/>
      </w:pPr>
    </w:lvl>
    <w:lvl w:ilvl="4" w:tplc="F13047FA">
      <w:start w:val="1"/>
      <w:numFmt w:val="lowerLetter"/>
      <w:lvlText w:val="%5."/>
      <w:lvlJc w:val="left"/>
      <w:pPr>
        <w:ind w:left="3600" w:hanging="360"/>
      </w:pPr>
    </w:lvl>
    <w:lvl w:ilvl="5" w:tplc="D3FC035E">
      <w:start w:val="1"/>
      <w:numFmt w:val="lowerRoman"/>
      <w:lvlText w:val="%6."/>
      <w:lvlJc w:val="right"/>
      <w:pPr>
        <w:ind w:left="4320" w:hanging="180"/>
      </w:pPr>
    </w:lvl>
    <w:lvl w:ilvl="6" w:tplc="9DCE56FE">
      <w:start w:val="1"/>
      <w:numFmt w:val="decimal"/>
      <w:lvlText w:val="%7."/>
      <w:lvlJc w:val="left"/>
      <w:pPr>
        <w:ind w:left="5040" w:hanging="360"/>
      </w:pPr>
    </w:lvl>
    <w:lvl w:ilvl="7" w:tplc="E3D630E0">
      <w:start w:val="1"/>
      <w:numFmt w:val="lowerLetter"/>
      <w:lvlText w:val="%8."/>
      <w:lvlJc w:val="left"/>
      <w:pPr>
        <w:ind w:left="5760" w:hanging="360"/>
      </w:pPr>
    </w:lvl>
    <w:lvl w:ilvl="8" w:tplc="6FEE5746">
      <w:start w:val="1"/>
      <w:numFmt w:val="lowerRoman"/>
      <w:lvlText w:val="%9."/>
      <w:lvlJc w:val="right"/>
      <w:pPr>
        <w:ind w:left="6480" w:hanging="180"/>
      </w:pPr>
    </w:lvl>
  </w:abstractNum>
  <w:abstractNum w:abstractNumId="24" w15:restartNumberingAfterBreak="0">
    <w:nsid w:val="5FA176B1"/>
    <w:multiLevelType w:val="hybridMultilevel"/>
    <w:tmpl w:val="4EC08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187741"/>
    <w:multiLevelType w:val="hybridMultilevel"/>
    <w:tmpl w:val="17546E22"/>
    <w:lvl w:ilvl="0" w:tplc="1A78AEDA">
      <w:start w:val="1"/>
      <w:numFmt w:val="bullet"/>
      <w:lvlText w:val=""/>
      <w:lvlJc w:val="left"/>
      <w:pPr>
        <w:ind w:left="720" w:hanging="360"/>
      </w:pPr>
      <w:rPr>
        <w:rFonts w:ascii="Symbol" w:hAnsi="Symbol" w:hint="default"/>
        <w:color w:val="auto"/>
      </w:rPr>
    </w:lvl>
    <w:lvl w:ilvl="1" w:tplc="771CD454">
      <w:numFmt w:val="bullet"/>
      <w:lvlText w:val="•"/>
      <w:lvlJc w:val="left"/>
      <w:pPr>
        <w:ind w:left="1800" w:hanging="72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468F2"/>
    <w:multiLevelType w:val="hybridMultilevel"/>
    <w:tmpl w:val="ACC45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F86B99"/>
    <w:multiLevelType w:val="hybridMultilevel"/>
    <w:tmpl w:val="99ACEC18"/>
    <w:lvl w:ilvl="0" w:tplc="1A78A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0A0AE4"/>
    <w:multiLevelType w:val="hybridMultilevel"/>
    <w:tmpl w:val="E3829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14"/>
  </w:num>
  <w:num w:numId="3">
    <w:abstractNumId w:val="11"/>
  </w:num>
  <w:num w:numId="4">
    <w:abstractNumId w:val="15"/>
  </w:num>
  <w:num w:numId="5">
    <w:abstractNumId w:val="19"/>
  </w:num>
  <w:num w:numId="6">
    <w:abstractNumId w:val="6"/>
  </w:num>
  <w:num w:numId="7">
    <w:abstractNumId w:val="23"/>
  </w:num>
  <w:num w:numId="8">
    <w:abstractNumId w:val="13"/>
  </w:num>
  <w:num w:numId="9">
    <w:abstractNumId w:val="26"/>
  </w:num>
  <w:num w:numId="10">
    <w:abstractNumId w:val="3"/>
  </w:num>
  <w:num w:numId="11">
    <w:abstractNumId w:val="9"/>
  </w:num>
  <w:num w:numId="12">
    <w:abstractNumId w:val="18"/>
  </w:num>
  <w:num w:numId="13">
    <w:abstractNumId w:val="24"/>
  </w:num>
  <w:num w:numId="14">
    <w:abstractNumId w:val="10"/>
  </w:num>
  <w:num w:numId="15">
    <w:abstractNumId w:val="22"/>
  </w:num>
  <w:num w:numId="16">
    <w:abstractNumId w:val="17"/>
  </w:num>
  <w:num w:numId="17">
    <w:abstractNumId w:val="7"/>
  </w:num>
  <w:num w:numId="18">
    <w:abstractNumId w:val="29"/>
  </w:num>
  <w:num w:numId="19">
    <w:abstractNumId w:val="0"/>
  </w:num>
  <w:num w:numId="20">
    <w:abstractNumId w:val="1"/>
  </w:num>
  <w:num w:numId="21">
    <w:abstractNumId w:val="12"/>
  </w:num>
  <w:num w:numId="22">
    <w:abstractNumId w:val="2"/>
  </w:num>
  <w:num w:numId="23">
    <w:abstractNumId w:val="8"/>
  </w:num>
  <w:num w:numId="24">
    <w:abstractNumId w:val="20"/>
  </w:num>
  <w:num w:numId="25">
    <w:abstractNumId w:val="4"/>
  </w:num>
  <w:num w:numId="26">
    <w:abstractNumId w:val="27"/>
  </w:num>
  <w:num w:numId="27">
    <w:abstractNumId w:val="25"/>
  </w:num>
  <w:num w:numId="28">
    <w:abstractNumId w:val="5"/>
  </w:num>
  <w:num w:numId="29">
    <w:abstractNumId w:val="21"/>
  </w:num>
  <w:num w:numId="3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szAwNQGSlqamlko6SsGpxcWZ+XkgBUbGtQBqS1WQLQAAAA=="/>
  </w:docVars>
  <w:rsids>
    <w:rsidRoot w:val="00BD4BCE"/>
    <w:rsid w:val="0000278E"/>
    <w:rsid w:val="00002CAE"/>
    <w:rsid w:val="00002D07"/>
    <w:rsid w:val="00003862"/>
    <w:rsid w:val="0000542A"/>
    <w:rsid w:val="0000592E"/>
    <w:rsid w:val="0000599F"/>
    <w:rsid w:val="00005F0A"/>
    <w:rsid w:val="0000717A"/>
    <w:rsid w:val="00007EAE"/>
    <w:rsid w:val="0001063F"/>
    <w:rsid w:val="000115EE"/>
    <w:rsid w:val="00011B02"/>
    <w:rsid w:val="00011B86"/>
    <w:rsid w:val="0001244B"/>
    <w:rsid w:val="000129C9"/>
    <w:rsid w:val="00012FFC"/>
    <w:rsid w:val="000148A1"/>
    <w:rsid w:val="000148F9"/>
    <w:rsid w:val="00014AFF"/>
    <w:rsid w:val="00014F67"/>
    <w:rsid w:val="000155D3"/>
    <w:rsid w:val="00015D31"/>
    <w:rsid w:val="00016A9B"/>
    <w:rsid w:val="00016C3F"/>
    <w:rsid w:val="00017E5F"/>
    <w:rsid w:val="00017FBF"/>
    <w:rsid w:val="00020272"/>
    <w:rsid w:val="00023D98"/>
    <w:rsid w:val="0002459F"/>
    <w:rsid w:val="00024F57"/>
    <w:rsid w:val="000251A6"/>
    <w:rsid w:val="00025589"/>
    <w:rsid w:val="000256EE"/>
    <w:rsid w:val="00025BBE"/>
    <w:rsid w:val="00025C70"/>
    <w:rsid w:val="00026908"/>
    <w:rsid w:val="00027322"/>
    <w:rsid w:val="000275DB"/>
    <w:rsid w:val="00027CA6"/>
    <w:rsid w:val="00027D74"/>
    <w:rsid w:val="000301CD"/>
    <w:rsid w:val="00030751"/>
    <w:rsid w:val="000313E1"/>
    <w:rsid w:val="00031A36"/>
    <w:rsid w:val="0003251B"/>
    <w:rsid w:val="00034931"/>
    <w:rsid w:val="00035446"/>
    <w:rsid w:val="000357F6"/>
    <w:rsid w:val="000369C9"/>
    <w:rsid w:val="00037694"/>
    <w:rsid w:val="000378BB"/>
    <w:rsid w:val="000400A6"/>
    <w:rsid w:val="00040A2E"/>
    <w:rsid w:val="00041E9B"/>
    <w:rsid w:val="00042592"/>
    <w:rsid w:val="0004304D"/>
    <w:rsid w:val="000439C4"/>
    <w:rsid w:val="00043A07"/>
    <w:rsid w:val="00044437"/>
    <w:rsid w:val="000449D1"/>
    <w:rsid w:val="000449DE"/>
    <w:rsid w:val="00044DB7"/>
    <w:rsid w:val="000452B9"/>
    <w:rsid w:val="00051114"/>
    <w:rsid w:val="000511DA"/>
    <w:rsid w:val="0005220D"/>
    <w:rsid w:val="0005232A"/>
    <w:rsid w:val="00052358"/>
    <w:rsid w:val="000529E3"/>
    <w:rsid w:val="000538E2"/>
    <w:rsid w:val="00053C8E"/>
    <w:rsid w:val="00054939"/>
    <w:rsid w:val="00054E05"/>
    <w:rsid w:val="00055340"/>
    <w:rsid w:val="00055A30"/>
    <w:rsid w:val="00055BF9"/>
    <w:rsid w:val="00056DDF"/>
    <w:rsid w:val="00060071"/>
    <w:rsid w:val="00060794"/>
    <w:rsid w:val="0006084B"/>
    <w:rsid w:val="00061950"/>
    <w:rsid w:val="0006207D"/>
    <w:rsid w:val="000629D3"/>
    <w:rsid w:val="00063358"/>
    <w:rsid w:val="000660A3"/>
    <w:rsid w:val="0006633A"/>
    <w:rsid w:val="0006639D"/>
    <w:rsid w:val="000663B9"/>
    <w:rsid w:val="00066A17"/>
    <w:rsid w:val="00066E42"/>
    <w:rsid w:val="00067D86"/>
    <w:rsid w:val="00071836"/>
    <w:rsid w:val="00071CDB"/>
    <w:rsid w:val="00071E35"/>
    <w:rsid w:val="000728A2"/>
    <w:rsid w:val="000728B2"/>
    <w:rsid w:val="00072D93"/>
    <w:rsid w:val="000731C0"/>
    <w:rsid w:val="00075315"/>
    <w:rsid w:val="000759BE"/>
    <w:rsid w:val="00076373"/>
    <w:rsid w:val="00076888"/>
    <w:rsid w:val="000779B1"/>
    <w:rsid w:val="00077FE0"/>
    <w:rsid w:val="00080ED4"/>
    <w:rsid w:val="0008165C"/>
    <w:rsid w:val="0008192A"/>
    <w:rsid w:val="000820EE"/>
    <w:rsid w:val="00083EE4"/>
    <w:rsid w:val="000840D7"/>
    <w:rsid w:val="00084609"/>
    <w:rsid w:val="0008474E"/>
    <w:rsid w:val="00085506"/>
    <w:rsid w:val="00085C9D"/>
    <w:rsid w:val="0008622F"/>
    <w:rsid w:val="00087410"/>
    <w:rsid w:val="0008793A"/>
    <w:rsid w:val="00090755"/>
    <w:rsid w:val="00091225"/>
    <w:rsid w:val="000915AC"/>
    <w:rsid w:val="0009314C"/>
    <w:rsid w:val="00093E6A"/>
    <w:rsid w:val="00094077"/>
    <w:rsid w:val="00094439"/>
    <w:rsid w:val="00094A86"/>
    <w:rsid w:val="000A128B"/>
    <w:rsid w:val="000A22D4"/>
    <w:rsid w:val="000A2FAE"/>
    <w:rsid w:val="000A32AF"/>
    <w:rsid w:val="000A3F37"/>
    <w:rsid w:val="000A4B39"/>
    <w:rsid w:val="000A5C09"/>
    <w:rsid w:val="000A6141"/>
    <w:rsid w:val="000A6514"/>
    <w:rsid w:val="000A6AC3"/>
    <w:rsid w:val="000A7C47"/>
    <w:rsid w:val="000B0314"/>
    <w:rsid w:val="000B0F84"/>
    <w:rsid w:val="000B1003"/>
    <w:rsid w:val="000B136D"/>
    <w:rsid w:val="000B179D"/>
    <w:rsid w:val="000B34E9"/>
    <w:rsid w:val="000B35EB"/>
    <w:rsid w:val="000B3AF4"/>
    <w:rsid w:val="000B4252"/>
    <w:rsid w:val="000B519F"/>
    <w:rsid w:val="000B57CE"/>
    <w:rsid w:val="000B6F36"/>
    <w:rsid w:val="000B7057"/>
    <w:rsid w:val="000B752A"/>
    <w:rsid w:val="000B7B44"/>
    <w:rsid w:val="000C00DA"/>
    <w:rsid w:val="000C1057"/>
    <w:rsid w:val="000C118A"/>
    <w:rsid w:val="000C17FB"/>
    <w:rsid w:val="000C25DD"/>
    <w:rsid w:val="000C25E7"/>
    <w:rsid w:val="000C3AD4"/>
    <w:rsid w:val="000C455D"/>
    <w:rsid w:val="000C5A6A"/>
    <w:rsid w:val="000C7FB1"/>
    <w:rsid w:val="000D0267"/>
    <w:rsid w:val="000D0403"/>
    <w:rsid w:val="000D048D"/>
    <w:rsid w:val="000D3849"/>
    <w:rsid w:val="000D4A27"/>
    <w:rsid w:val="000D4C95"/>
    <w:rsid w:val="000D5B5A"/>
    <w:rsid w:val="000D5DEA"/>
    <w:rsid w:val="000D5E7B"/>
    <w:rsid w:val="000D7667"/>
    <w:rsid w:val="000E0555"/>
    <w:rsid w:val="000E08AF"/>
    <w:rsid w:val="000E092B"/>
    <w:rsid w:val="000E0FA6"/>
    <w:rsid w:val="000E16B2"/>
    <w:rsid w:val="000E28EF"/>
    <w:rsid w:val="000E28FB"/>
    <w:rsid w:val="000E2A0C"/>
    <w:rsid w:val="000E387E"/>
    <w:rsid w:val="000E45DD"/>
    <w:rsid w:val="000E5047"/>
    <w:rsid w:val="000E6346"/>
    <w:rsid w:val="000E68BF"/>
    <w:rsid w:val="000E69CF"/>
    <w:rsid w:val="000E6BC0"/>
    <w:rsid w:val="000E7ABF"/>
    <w:rsid w:val="000F1AA4"/>
    <w:rsid w:val="000F309B"/>
    <w:rsid w:val="000F34D2"/>
    <w:rsid w:val="000F45F9"/>
    <w:rsid w:val="000F494D"/>
    <w:rsid w:val="000F4B25"/>
    <w:rsid w:val="000F51E0"/>
    <w:rsid w:val="000F62B5"/>
    <w:rsid w:val="000F7405"/>
    <w:rsid w:val="000F74FF"/>
    <w:rsid w:val="000F7CEA"/>
    <w:rsid w:val="0010039E"/>
    <w:rsid w:val="00100A48"/>
    <w:rsid w:val="00102D7C"/>
    <w:rsid w:val="00103925"/>
    <w:rsid w:val="001052BA"/>
    <w:rsid w:val="0010613E"/>
    <w:rsid w:val="00106608"/>
    <w:rsid w:val="00106CE4"/>
    <w:rsid w:val="001072A0"/>
    <w:rsid w:val="00107D9F"/>
    <w:rsid w:val="00107F44"/>
    <w:rsid w:val="001119C3"/>
    <w:rsid w:val="00111CDF"/>
    <w:rsid w:val="00112041"/>
    <w:rsid w:val="001121C1"/>
    <w:rsid w:val="00112228"/>
    <w:rsid w:val="00112852"/>
    <w:rsid w:val="0011324C"/>
    <w:rsid w:val="0011340A"/>
    <w:rsid w:val="001135FC"/>
    <w:rsid w:val="00114D5F"/>
    <w:rsid w:val="001151FB"/>
    <w:rsid w:val="00115DB0"/>
    <w:rsid w:val="00116111"/>
    <w:rsid w:val="00116509"/>
    <w:rsid w:val="00120084"/>
    <w:rsid w:val="00120220"/>
    <w:rsid w:val="00120AAE"/>
    <w:rsid w:val="00123272"/>
    <w:rsid w:val="0012478F"/>
    <w:rsid w:val="00125F79"/>
    <w:rsid w:val="00131FD5"/>
    <w:rsid w:val="00132E4A"/>
    <w:rsid w:val="00133193"/>
    <w:rsid w:val="00134659"/>
    <w:rsid w:val="00134D8A"/>
    <w:rsid w:val="001360DB"/>
    <w:rsid w:val="00136630"/>
    <w:rsid w:val="0014070F"/>
    <w:rsid w:val="00140843"/>
    <w:rsid w:val="001409AB"/>
    <w:rsid w:val="00140BF0"/>
    <w:rsid w:val="001416C5"/>
    <w:rsid w:val="00142231"/>
    <w:rsid w:val="00143261"/>
    <w:rsid w:val="0014327F"/>
    <w:rsid w:val="00143CCE"/>
    <w:rsid w:val="0014527F"/>
    <w:rsid w:val="001455DD"/>
    <w:rsid w:val="00145600"/>
    <w:rsid w:val="00146789"/>
    <w:rsid w:val="001472C1"/>
    <w:rsid w:val="00147483"/>
    <w:rsid w:val="001477C4"/>
    <w:rsid w:val="00147F9B"/>
    <w:rsid w:val="00150D82"/>
    <w:rsid w:val="0015170E"/>
    <w:rsid w:val="00151B12"/>
    <w:rsid w:val="001543AD"/>
    <w:rsid w:val="00155110"/>
    <w:rsid w:val="00156439"/>
    <w:rsid w:val="00160C34"/>
    <w:rsid w:val="00161593"/>
    <w:rsid w:val="00161611"/>
    <w:rsid w:val="00162C55"/>
    <w:rsid w:val="00162F02"/>
    <w:rsid w:val="001634CF"/>
    <w:rsid w:val="00163B04"/>
    <w:rsid w:val="00163F8E"/>
    <w:rsid w:val="0016435C"/>
    <w:rsid w:val="001651AF"/>
    <w:rsid w:val="00166454"/>
    <w:rsid w:val="001665A3"/>
    <w:rsid w:val="00166D25"/>
    <w:rsid w:val="00166D84"/>
    <w:rsid w:val="001708D2"/>
    <w:rsid w:val="001711B8"/>
    <w:rsid w:val="0017125B"/>
    <w:rsid w:val="00171C81"/>
    <w:rsid w:val="00171FC5"/>
    <w:rsid w:val="0017292E"/>
    <w:rsid w:val="00173991"/>
    <w:rsid w:val="00174D23"/>
    <w:rsid w:val="00175B5E"/>
    <w:rsid w:val="00180F6B"/>
    <w:rsid w:val="00181364"/>
    <w:rsid w:val="00181B12"/>
    <w:rsid w:val="001821EA"/>
    <w:rsid w:val="001822DB"/>
    <w:rsid w:val="00182F5F"/>
    <w:rsid w:val="00183082"/>
    <w:rsid w:val="00183CE0"/>
    <w:rsid w:val="001843D0"/>
    <w:rsid w:val="00184FFA"/>
    <w:rsid w:val="00185093"/>
    <w:rsid w:val="001850E7"/>
    <w:rsid w:val="00185112"/>
    <w:rsid w:val="00185924"/>
    <w:rsid w:val="00186FF8"/>
    <w:rsid w:val="001903BE"/>
    <w:rsid w:val="0019040A"/>
    <w:rsid w:val="00190C9A"/>
    <w:rsid w:val="00190D29"/>
    <w:rsid w:val="00191568"/>
    <w:rsid w:val="00191597"/>
    <w:rsid w:val="001919B1"/>
    <w:rsid w:val="00191D88"/>
    <w:rsid w:val="001921A9"/>
    <w:rsid w:val="001925CC"/>
    <w:rsid w:val="00192FE8"/>
    <w:rsid w:val="001930A7"/>
    <w:rsid w:val="00193633"/>
    <w:rsid w:val="00194067"/>
    <w:rsid w:val="00194786"/>
    <w:rsid w:val="00195924"/>
    <w:rsid w:val="0019681F"/>
    <w:rsid w:val="0019737F"/>
    <w:rsid w:val="00197957"/>
    <w:rsid w:val="00197BA9"/>
    <w:rsid w:val="001A02C4"/>
    <w:rsid w:val="001A1634"/>
    <w:rsid w:val="001A2AFB"/>
    <w:rsid w:val="001A2B4F"/>
    <w:rsid w:val="001A2BBC"/>
    <w:rsid w:val="001A2C5C"/>
    <w:rsid w:val="001A378C"/>
    <w:rsid w:val="001A4060"/>
    <w:rsid w:val="001A42A3"/>
    <w:rsid w:val="001A67A0"/>
    <w:rsid w:val="001A6804"/>
    <w:rsid w:val="001A69D7"/>
    <w:rsid w:val="001A701E"/>
    <w:rsid w:val="001A7DB8"/>
    <w:rsid w:val="001B0284"/>
    <w:rsid w:val="001B032E"/>
    <w:rsid w:val="001B0487"/>
    <w:rsid w:val="001B0F6A"/>
    <w:rsid w:val="001B12D7"/>
    <w:rsid w:val="001B197D"/>
    <w:rsid w:val="001B19F2"/>
    <w:rsid w:val="001B2DC5"/>
    <w:rsid w:val="001B31AC"/>
    <w:rsid w:val="001B4F0E"/>
    <w:rsid w:val="001B6764"/>
    <w:rsid w:val="001B6E82"/>
    <w:rsid w:val="001B7196"/>
    <w:rsid w:val="001B790D"/>
    <w:rsid w:val="001C1877"/>
    <w:rsid w:val="001C1D82"/>
    <w:rsid w:val="001C2586"/>
    <w:rsid w:val="001C259F"/>
    <w:rsid w:val="001C2745"/>
    <w:rsid w:val="001C3904"/>
    <w:rsid w:val="001C3A94"/>
    <w:rsid w:val="001C3D34"/>
    <w:rsid w:val="001C3EC1"/>
    <w:rsid w:val="001C406E"/>
    <w:rsid w:val="001C467D"/>
    <w:rsid w:val="001C4DB8"/>
    <w:rsid w:val="001C77D7"/>
    <w:rsid w:val="001D069C"/>
    <w:rsid w:val="001D1572"/>
    <w:rsid w:val="001D18B0"/>
    <w:rsid w:val="001D2927"/>
    <w:rsid w:val="001D3CC6"/>
    <w:rsid w:val="001D4CBA"/>
    <w:rsid w:val="001D540C"/>
    <w:rsid w:val="001D591E"/>
    <w:rsid w:val="001D5ACA"/>
    <w:rsid w:val="001D5C6A"/>
    <w:rsid w:val="001D6E9E"/>
    <w:rsid w:val="001D7094"/>
    <w:rsid w:val="001E1AB1"/>
    <w:rsid w:val="001E1B7F"/>
    <w:rsid w:val="001E1C11"/>
    <w:rsid w:val="001E1D6E"/>
    <w:rsid w:val="001E1E64"/>
    <w:rsid w:val="001E3FED"/>
    <w:rsid w:val="001E4D43"/>
    <w:rsid w:val="001E6363"/>
    <w:rsid w:val="001E7090"/>
    <w:rsid w:val="001E7F8D"/>
    <w:rsid w:val="001F0381"/>
    <w:rsid w:val="001F1286"/>
    <w:rsid w:val="001F3298"/>
    <w:rsid w:val="001F3A2F"/>
    <w:rsid w:val="001F56B2"/>
    <w:rsid w:val="001F5945"/>
    <w:rsid w:val="001F5D1F"/>
    <w:rsid w:val="001F7004"/>
    <w:rsid w:val="001F7E34"/>
    <w:rsid w:val="0020034E"/>
    <w:rsid w:val="00201C59"/>
    <w:rsid w:val="00203B04"/>
    <w:rsid w:val="00204900"/>
    <w:rsid w:val="00206145"/>
    <w:rsid w:val="00206C09"/>
    <w:rsid w:val="00206FE8"/>
    <w:rsid w:val="002074A9"/>
    <w:rsid w:val="00207BBE"/>
    <w:rsid w:val="002101DE"/>
    <w:rsid w:val="002110DF"/>
    <w:rsid w:val="002117C8"/>
    <w:rsid w:val="00212F37"/>
    <w:rsid w:val="00213F13"/>
    <w:rsid w:val="00214406"/>
    <w:rsid w:val="00214B69"/>
    <w:rsid w:val="00214CAA"/>
    <w:rsid w:val="002157CF"/>
    <w:rsid w:val="00216450"/>
    <w:rsid w:val="0021646F"/>
    <w:rsid w:val="00217C23"/>
    <w:rsid w:val="002205D1"/>
    <w:rsid w:val="002206AD"/>
    <w:rsid w:val="002214F0"/>
    <w:rsid w:val="0022163D"/>
    <w:rsid w:val="00222FD0"/>
    <w:rsid w:val="00224526"/>
    <w:rsid w:val="0022530F"/>
    <w:rsid w:val="00225EDA"/>
    <w:rsid w:val="002274E0"/>
    <w:rsid w:val="002279A5"/>
    <w:rsid w:val="00227BBB"/>
    <w:rsid w:val="0023057A"/>
    <w:rsid w:val="0023071D"/>
    <w:rsid w:val="002309F6"/>
    <w:rsid w:val="00232758"/>
    <w:rsid w:val="0023299A"/>
    <w:rsid w:val="0023395F"/>
    <w:rsid w:val="00234E61"/>
    <w:rsid w:val="00235256"/>
    <w:rsid w:val="00235947"/>
    <w:rsid w:val="0023766B"/>
    <w:rsid w:val="0023788F"/>
    <w:rsid w:val="002430BB"/>
    <w:rsid w:val="00243394"/>
    <w:rsid w:val="00244787"/>
    <w:rsid w:val="00244833"/>
    <w:rsid w:val="00245E87"/>
    <w:rsid w:val="00246A98"/>
    <w:rsid w:val="002510AA"/>
    <w:rsid w:val="002518B4"/>
    <w:rsid w:val="00251F24"/>
    <w:rsid w:val="00253B51"/>
    <w:rsid w:val="00254FF2"/>
    <w:rsid w:val="00255484"/>
    <w:rsid w:val="00255854"/>
    <w:rsid w:val="00255A57"/>
    <w:rsid w:val="0025684C"/>
    <w:rsid w:val="002571F1"/>
    <w:rsid w:val="00257A1B"/>
    <w:rsid w:val="00257F5B"/>
    <w:rsid w:val="00260780"/>
    <w:rsid w:val="00261C06"/>
    <w:rsid w:val="00261E2E"/>
    <w:rsid w:val="00262241"/>
    <w:rsid w:val="00262983"/>
    <w:rsid w:val="00263283"/>
    <w:rsid w:val="00263335"/>
    <w:rsid w:val="002633EB"/>
    <w:rsid w:val="002639F3"/>
    <w:rsid w:val="00263D91"/>
    <w:rsid w:val="00264286"/>
    <w:rsid w:val="00264C96"/>
    <w:rsid w:val="00264FC1"/>
    <w:rsid w:val="0026544E"/>
    <w:rsid w:val="002659D4"/>
    <w:rsid w:val="00267ABF"/>
    <w:rsid w:val="00267C0E"/>
    <w:rsid w:val="00267D2E"/>
    <w:rsid w:val="002703E1"/>
    <w:rsid w:val="00270AE6"/>
    <w:rsid w:val="00270FC9"/>
    <w:rsid w:val="0027288A"/>
    <w:rsid w:val="0027323E"/>
    <w:rsid w:val="002733FB"/>
    <w:rsid w:val="00273B72"/>
    <w:rsid w:val="00274298"/>
    <w:rsid w:val="00274F89"/>
    <w:rsid w:val="0027606E"/>
    <w:rsid w:val="002768B0"/>
    <w:rsid w:val="00276FD7"/>
    <w:rsid w:val="0028001A"/>
    <w:rsid w:val="00280B5B"/>
    <w:rsid w:val="00282C24"/>
    <w:rsid w:val="00282E76"/>
    <w:rsid w:val="00283FAF"/>
    <w:rsid w:val="002840C8"/>
    <w:rsid w:val="00284412"/>
    <w:rsid w:val="002848BB"/>
    <w:rsid w:val="00284A22"/>
    <w:rsid w:val="002857C1"/>
    <w:rsid w:val="002859B6"/>
    <w:rsid w:val="00285A19"/>
    <w:rsid w:val="00285B59"/>
    <w:rsid w:val="00285B73"/>
    <w:rsid w:val="00286849"/>
    <w:rsid w:val="002901E0"/>
    <w:rsid w:val="002908DE"/>
    <w:rsid w:val="00291921"/>
    <w:rsid w:val="00291E7D"/>
    <w:rsid w:val="00292233"/>
    <w:rsid w:val="00293BA5"/>
    <w:rsid w:val="00294171"/>
    <w:rsid w:val="00294306"/>
    <w:rsid w:val="00294C50"/>
    <w:rsid w:val="00296E66"/>
    <w:rsid w:val="00296E78"/>
    <w:rsid w:val="00297346"/>
    <w:rsid w:val="002977CA"/>
    <w:rsid w:val="00297D0F"/>
    <w:rsid w:val="002A0F02"/>
    <w:rsid w:val="002A2011"/>
    <w:rsid w:val="002A2C17"/>
    <w:rsid w:val="002A4451"/>
    <w:rsid w:val="002A44A9"/>
    <w:rsid w:val="002A46AE"/>
    <w:rsid w:val="002A4F84"/>
    <w:rsid w:val="002A5CBE"/>
    <w:rsid w:val="002A5CE7"/>
    <w:rsid w:val="002A6A4D"/>
    <w:rsid w:val="002A708A"/>
    <w:rsid w:val="002A791F"/>
    <w:rsid w:val="002B0630"/>
    <w:rsid w:val="002B0C61"/>
    <w:rsid w:val="002B1AC5"/>
    <w:rsid w:val="002B1B80"/>
    <w:rsid w:val="002B3ECA"/>
    <w:rsid w:val="002B424F"/>
    <w:rsid w:val="002B5367"/>
    <w:rsid w:val="002B6243"/>
    <w:rsid w:val="002B63B0"/>
    <w:rsid w:val="002B6D64"/>
    <w:rsid w:val="002B6DCF"/>
    <w:rsid w:val="002C00AC"/>
    <w:rsid w:val="002C0185"/>
    <w:rsid w:val="002C0581"/>
    <w:rsid w:val="002C0F5F"/>
    <w:rsid w:val="002C1CAC"/>
    <w:rsid w:val="002C2EF7"/>
    <w:rsid w:val="002C3C49"/>
    <w:rsid w:val="002C3DC2"/>
    <w:rsid w:val="002C42E8"/>
    <w:rsid w:val="002C5B26"/>
    <w:rsid w:val="002C6AD3"/>
    <w:rsid w:val="002C6F61"/>
    <w:rsid w:val="002C728E"/>
    <w:rsid w:val="002C73F5"/>
    <w:rsid w:val="002D109B"/>
    <w:rsid w:val="002D31D5"/>
    <w:rsid w:val="002D3462"/>
    <w:rsid w:val="002D35E5"/>
    <w:rsid w:val="002D5862"/>
    <w:rsid w:val="002D61D8"/>
    <w:rsid w:val="002D6BED"/>
    <w:rsid w:val="002D7B91"/>
    <w:rsid w:val="002E03AD"/>
    <w:rsid w:val="002E0882"/>
    <w:rsid w:val="002E0983"/>
    <w:rsid w:val="002E0A55"/>
    <w:rsid w:val="002E3451"/>
    <w:rsid w:val="002E38C1"/>
    <w:rsid w:val="002E5FF8"/>
    <w:rsid w:val="002E652B"/>
    <w:rsid w:val="002E71FA"/>
    <w:rsid w:val="002F5CD9"/>
    <w:rsid w:val="002F61AD"/>
    <w:rsid w:val="002F62C0"/>
    <w:rsid w:val="002F736A"/>
    <w:rsid w:val="002F7947"/>
    <w:rsid w:val="002F799C"/>
    <w:rsid w:val="00301307"/>
    <w:rsid w:val="0030149C"/>
    <w:rsid w:val="00301B44"/>
    <w:rsid w:val="003024AB"/>
    <w:rsid w:val="003036DC"/>
    <w:rsid w:val="00304323"/>
    <w:rsid w:val="003043B2"/>
    <w:rsid w:val="00304ACD"/>
    <w:rsid w:val="003060DE"/>
    <w:rsid w:val="00306D02"/>
    <w:rsid w:val="00306F64"/>
    <w:rsid w:val="00306F8D"/>
    <w:rsid w:val="00307D24"/>
    <w:rsid w:val="0031007B"/>
    <w:rsid w:val="0031009F"/>
    <w:rsid w:val="0031093E"/>
    <w:rsid w:val="0031153A"/>
    <w:rsid w:val="003115F3"/>
    <w:rsid w:val="003124F7"/>
    <w:rsid w:val="00312F6D"/>
    <w:rsid w:val="00314A20"/>
    <w:rsid w:val="003153C5"/>
    <w:rsid w:val="00315E25"/>
    <w:rsid w:val="003161B5"/>
    <w:rsid w:val="00316220"/>
    <w:rsid w:val="00316DE0"/>
    <w:rsid w:val="00317522"/>
    <w:rsid w:val="00317A88"/>
    <w:rsid w:val="00317ECE"/>
    <w:rsid w:val="0032033D"/>
    <w:rsid w:val="00320689"/>
    <w:rsid w:val="00321652"/>
    <w:rsid w:val="00322A79"/>
    <w:rsid w:val="00322FAC"/>
    <w:rsid w:val="003239B9"/>
    <w:rsid w:val="0032454D"/>
    <w:rsid w:val="00325B21"/>
    <w:rsid w:val="003268D0"/>
    <w:rsid w:val="00330401"/>
    <w:rsid w:val="00330BA7"/>
    <w:rsid w:val="0033136F"/>
    <w:rsid w:val="00331590"/>
    <w:rsid w:val="0033192A"/>
    <w:rsid w:val="00331E40"/>
    <w:rsid w:val="003325BE"/>
    <w:rsid w:val="0033266B"/>
    <w:rsid w:val="00332ACA"/>
    <w:rsid w:val="00332E3F"/>
    <w:rsid w:val="003333A3"/>
    <w:rsid w:val="00334629"/>
    <w:rsid w:val="00334887"/>
    <w:rsid w:val="00334BDE"/>
    <w:rsid w:val="00336291"/>
    <w:rsid w:val="00340C55"/>
    <w:rsid w:val="0034188F"/>
    <w:rsid w:val="003427FA"/>
    <w:rsid w:val="00342EB5"/>
    <w:rsid w:val="00343659"/>
    <w:rsid w:val="00343A42"/>
    <w:rsid w:val="003449D6"/>
    <w:rsid w:val="00344FEB"/>
    <w:rsid w:val="003452F4"/>
    <w:rsid w:val="003454A5"/>
    <w:rsid w:val="0034613F"/>
    <w:rsid w:val="00346234"/>
    <w:rsid w:val="00346802"/>
    <w:rsid w:val="0034776E"/>
    <w:rsid w:val="003503D1"/>
    <w:rsid w:val="00352AE9"/>
    <w:rsid w:val="00352FA5"/>
    <w:rsid w:val="003536EC"/>
    <w:rsid w:val="00353728"/>
    <w:rsid w:val="0035504E"/>
    <w:rsid w:val="00356B27"/>
    <w:rsid w:val="00356C0F"/>
    <w:rsid w:val="00356CDE"/>
    <w:rsid w:val="00357A29"/>
    <w:rsid w:val="00360703"/>
    <w:rsid w:val="00360B97"/>
    <w:rsid w:val="00364218"/>
    <w:rsid w:val="003649C6"/>
    <w:rsid w:val="00364C4B"/>
    <w:rsid w:val="003658FC"/>
    <w:rsid w:val="00367472"/>
    <w:rsid w:val="00367AE5"/>
    <w:rsid w:val="00367BF6"/>
    <w:rsid w:val="003707B5"/>
    <w:rsid w:val="00372C37"/>
    <w:rsid w:val="00372D1F"/>
    <w:rsid w:val="00373444"/>
    <w:rsid w:val="003741E6"/>
    <w:rsid w:val="0037484A"/>
    <w:rsid w:val="003753AB"/>
    <w:rsid w:val="0037595F"/>
    <w:rsid w:val="0037615E"/>
    <w:rsid w:val="00376DF7"/>
    <w:rsid w:val="003814E6"/>
    <w:rsid w:val="003816F7"/>
    <w:rsid w:val="00381F32"/>
    <w:rsid w:val="003822DF"/>
    <w:rsid w:val="00382DB2"/>
    <w:rsid w:val="00383F2B"/>
    <w:rsid w:val="00385061"/>
    <w:rsid w:val="00385206"/>
    <w:rsid w:val="00385810"/>
    <w:rsid w:val="00386A20"/>
    <w:rsid w:val="003873AF"/>
    <w:rsid w:val="00387639"/>
    <w:rsid w:val="003901C3"/>
    <w:rsid w:val="003905D3"/>
    <w:rsid w:val="00390EC4"/>
    <w:rsid w:val="0039120B"/>
    <w:rsid w:val="003914E6"/>
    <w:rsid w:val="00392496"/>
    <w:rsid w:val="00393332"/>
    <w:rsid w:val="0039336C"/>
    <w:rsid w:val="00393D45"/>
    <w:rsid w:val="00393E88"/>
    <w:rsid w:val="0039400D"/>
    <w:rsid w:val="003940CD"/>
    <w:rsid w:val="003954DD"/>
    <w:rsid w:val="003957C0"/>
    <w:rsid w:val="00395D29"/>
    <w:rsid w:val="00396A81"/>
    <w:rsid w:val="003971B8"/>
    <w:rsid w:val="00397AF0"/>
    <w:rsid w:val="00397BD4"/>
    <w:rsid w:val="00397C5C"/>
    <w:rsid w:val="003A0D3A"/>
    <w:rsid w:val="003A1BAB"/>
    <w:rsid w:val="003A1DD3"/>
    <w:rsid w:val="003A248E"/>
    <w:rsid w:val="003A28B9"/>
    <w:rsid w:val="003A3738"/>
    <w:rsid w:val="003A507D"/>
    <w:rsid w:val="003A55C8"/>
    <w:rsid w:val="003A583B"/>
    <w:rsid w:val="003A678D"/>
    <w:rsid w:val="003A7036"/>
    <w:rsid w:val="003A7614"/>
    <w:rsid w:val="003B1B93"/>
    <w:rsid w:val="003B1E3B"/>
    <w:rsid w:val="003B2284"/>
    <w:rsid w:val="003B2419"/>
    <w:rsid w:val="003B28B9"/>
    <w:rsid w:val="003B4433"/>
    <w:rsid w:val="003B492D"/>
    <w:rsid w:val="003B4A72"/>
    <w:rsid w:val="003B5750"/>
    <w:rsid w:val="003B5975"/>
    <w:rsid w:val="003B5C01"/>
    <w:rsid w:val="003B5FC8"/>
    <w:rsid w:val="003B66D3"/>
    <w:rsid w:val="003C0412"/>
    <w:rsid w:val="003C048B"/>
    <w:rsid w:val="003C13C9"/>
    <w:rsid w:val="003C19A5"/>
    <w:rsid w:val="003C19FE"/>
    <w:rsid w:val="003C2454"/>
    <w:rsid w:val="003C5E20"/>
    <w:rsid w:val="003C66EE"/>
    <w:rsid w:val="003C6773"/>
    <w:rsid w:val="003C77E0"/>
    <w:rsid w:val="003D0156"/>
    <w:rsid w:val="003D0473"/>
    <w:rsid w:val="003D0D8C"/>
    <w:rsid w:val="003D16BF"/>
    <w:rsid w:val="003D2384"/>
    <w:rsid w:val="003D2564"/>
    <w:rsid w:val="003D2828"/>
    <w:rsid w:val="003D4323"/>
    <w:rsid w:val="003D545D"/>
    <w:rsid w:val="003D5E1F"/>
    <w:rsid w:val="003D6FDD"/>
    <w:rsid w:val="003E289A"/>
    <w:rsid w:val="003E28A0"/>
    <w:rsid w:val="003E52F0"/>
    <w:rsid w:val="003E6751"/>
    <w:rsid w:val="003F0221"/>
    <w:rsid w:val="003F05CF"/>
    <w:rsid w:val="003F0CF3"/>
    <w:rsid w:val="003F129C"/>
    <w:rsid w:val="003F1471"/>
    <w:rsid w:val="003F1888"/>
    <w:rsid w:val="003F27C4"/>
    <w:rsid w:val="003F29B4"/>
    <w:rsid w:val="003F3455"/>
    <w:rsid w:val="003F3D2A"/>
    <w:rsid w:val="003F3F50"/>
    <w:rsid w:val="003F54AE"/>
    <w:rsid w:val="003F62C8"/>
    <w:rsid w:val="004010B7"/>
    <w:rsid w:val="004019A4"/>
    <w:rsid w:val="004023A3"/>
    <w:rsid w:val="0040248D"/>
    <w:rsid w:val="004034F2"/>
    <w:rsid w:val="004039BD"/>
    <w:rsid w:val="0040553D"/>
    <w:rsid w:val="00405F9A"/>
    <w:rsid w:val="00406338"/>
    <w:rsid w:val="00406DAA"/>
    <w:rsid w:val="0041092A"/>
    <w:rsid w:val="00411A6D"/>
    <w:rsid w:val="00412BE5"/>
    <w:rsid w:val="00412EDF"/>
    <w:rsid w:val="004145FE"/>
    <w:rsid w:val="00414627"/>
    <w:rsid w:val="004151A0"/>
    <w:rsid w:val="004161CC"/>
    <w:rsid w:val="0041751A"/>
    <w:rsid w:val="00420376"/>
    <w:rsid w:val="00421904"/>
    <w:rsid w:val="00423711"/>
    <w:rsid w:val="00423A70"/>
    <w:rsid w:val="00423DFC"/>
    <w:rsid w:val="004240CD"/>
    <w:rsid w:val="00424360"/>
    <w:rsid w:val="004249A7"/>
    <w:rsid w:val="00424A13"/>
    <w:rsid w:val="00425A3C"/>
    <w:rsid w:val="004264ED"/>
    <w:rsid w:val="00426D6B"/>
    <w:rsid w:val="00427165"/>
    <w:rsid w:val="0043175C"/>
    <w:rsid w:val="00431CA9"/>
    <w:rsid w:val="004327BC"/>
    <w:rsid w:val="0043316D"/>
    <w:rsid w:val="004333D4"/>
    <w:rsid w:val="00433D45"/>
    <w:rsid w:val="00433D48"/>
    <w:rsid w:val="00433F0B"/>
    <w:rsid w:val="00434C26"/>
    <w:rsid w:val="004368F7"/>
    <w:rsid w:val="00436CBE"/>
    <w:rsid w:val="004400C8"/>
    <w:rsid w:val="004410AD"/>
    <w:rsid w:val="00442653"/>
    <w:rsid w:val="004435AF"/>
    <w:rsid w:val="00444495"/>
    <w:rsid w:val="00444F75"/>
    <w:rsid w:val="004452AA"/>
    <w:rsid w:val="0044714D"/>
    <w:rsid w:val="00451FC2"/>
    <w:rsid w:val="00452ACD"/>
    <w:rsid w:val="00452C3B"/>
    <w:rsid w:val="00453430"/>
    <w:rsid w:val="00453444"/>
    <w:rsid w:val="004534BC"/>
    <w:rsid w:val="00453B72"/>
    <w:rsid w:val="00453CB5"/>
    <w:rsid w:val="00454285"/>
    <w:rsid w:val="0045520F"/>
    <w:rsid w:val="0045525C"/>
    <w:rsid w:val="00455E02"/>
    <w:rsid w:val="0045621C"/>
    <w:rsid w:val="004574D6"/>
    <w:rsid w:val="00457FF9"/>
    <w:rsid w:val="004600CF"/>
    <w:rsid w:val="0046030E"/>
    <w:rsid w:val="0046062C"/>
    <w:rsid w:val="00460674"/>
    <w:rsid w:val="00460A66"/>
    <w:rsid w:val="00463C66"/>
    <w:rsid w:val="00464113"/>
    <w:rsid w:val="00465598"/>
    <w:rsid w:val="004663B5"/>
    <w:rsid w:val="00466AE1"/>
    <w:rsid w:val="00466DBC"/>
    <w:rsid w:val="00467632"/>
    <w:rsid w:val="00470005"/>
    <w:rsid w:val="004718A7"/>
    <w:rsid w:val="00471A7D"/>
    <w:rsid w:val="00471B91"/>
    <w:rsid w:val="00472199"/>
    <w:rsid w:val="004721FB"/>
    <w:rsid w:val="00472667"/>
    <w:rsid w:val="00472FB1"/>
    <w:rsid w:val="004745FD"/>
    <w:rsid w:val="0047570D"/>
    <w:rsid w:val="00476E05"/>
    <w:rsid w:val="00477627"/>
    <w:rsid w:val="00480B35"/>
    <w:rsid w:val="0048253E"/>
    <w:rsid w:val="00482A9D"/>
    <w:rsid w:val="00482E7C"/>
    <w:rsid w:val="0048306F"/>
    <w:rsid w:val="00483273"/>
    <w:rsid w:val="004832F3"/>
    <w:rsid w:val="0048350E"/>
    <w:rsid w:val="004843BC"/>
    <w:rsid w:val="004849BD"/>
    <w:rsid w:val="00485A90"/>
    <w:rsid w:val="00485F2C"/>
    <w:rsid w:val="00486519"/>
    <w:rsid w:val="0048676E"/>
    <w:rsid w:val="00486A4E"/>
    <w:rsid w:val="00486FE9"/>
    <w:rsid w:val="004879A1"/>
    <w:rsid w:val="00487E95"/>
    <w:rsid w:val="004905F8"/>
    <w:rsid w:val="00492B49"/>
    <w:rsid w:val="00493B22"/>
    <w:rsid w:val="00493FAD"/>
    <w:rsid w:val="00494980"/>
    <w:rsid w:val="00495278"/>
    <w:rsid w:val="00495355"/>
    <w:rsid w:val="004954E9"/>
    <w:rsid w:val="00496961"/>
    <w:rsid w:val="00497705"/>
    <w:rsid w:val="00497815"/>
    <w:rsid w:val="004979CC"/>
    <w:rsid w:val="004A0005"/>
    <w:rsid w:val="004A0816"/>
    <w:rsid w:val="004A2F87"/>
    <w:rsid w:val="004A4825"/>
    <w:rsid w:val="004A4C01"/>
    <w:rsid w:val="004A4D76"/>
    <w:rsid w:val="004A6165"/>
    <w:rsid w:val="004A7B18"/>
    <w:rsid w:val="004B0610"/>
    <w:rsid w:val="004B47C0"/>
    <w:rsid w:val="004B4BBC"/>
    <w:rsid w:val="004B632A"/>
    <w:rsid w:val="004B6589"/>
    <w:rsid w:val="004B6BE4"/>
    <w:rsid w:val="004B7F95"/>
    <w:rsid w:val="004C0594"/>
    <w:rsid w:val="004C0A98"/>
    <w:rsid w:val="004C158F"/>
    <w:rsid w:val="004C1E1C"/>
    <w:rsid w:val="004C2703"/>
    <w:rsid w:val="004C28FB"/>
    <w:rsid w:val="004C404C"/>
    <w:rsid w:val="004C5FEA"/>
    <w:rsid w:val="004C6406"/>
    <w:rsid w:val="004C6B53"/>
    <w:rsid w:val="004C7286"/>
    <w:rsid w:val="004C728C"/>
    <w:rsid w:val="004D044B"/>
    <w:rsid w:val="004D0B1D"/>
    <w:rsid w:val="004D0C16"/>
    <w:rsid w:val="004D1017"/>
    <w:rsid w:val="004D14AB"/>
    <w:rsid w:val="004D2D29"/>
    <w:rsid w:val="004D3289"/>
    <w:rsid w:val="004D3DE5"/>
    <w:rsid w:val="004D3E3C"/>
    <w:rsid w:val="004D43C1"/>
    <w:rsid w:val="004D4AB2"/>
    <w:rsid w:val="004D4F17"/>
    <w:rsid w:val="004D4F34"/>
    <w:rsid w:val="004D5408"/>
    <w:rsid w:val="004D6C66"/>
    <w:rsid w:val="004D7715"/>
    <w:rsid w:val="004D7AF2"/>
    <w:rsid w:val="004E088E"/>
    <w:rsid w:val="004E199F"/>
    <w:rsid w:val="004E1A4F"/>
    <w:rsid w:val="004E2247"/>
    <w:rsid w:val="004E2955"/>
    <w:rsid w:val="004E2AE6"/>
    <w:rsid w:val="004E2BC5"/>
    <w:rsid w:val="004E356B"/>
    <w:rsid w:val="004E4361"/>
    <w:rsid w:val="004E467F"/>
    <w:rsid w:val="004E4DD0"/>
    <w:rsid w:val="004E5150"/>
    <w:rsid w:val="004E5A90"/>
    <w:rsid w:val="004E5BC8"/>
    <w:rsid w:val="004E5BE5"/>
    <w:rsid w:val="004E6249"/>
    <w:rsid w:val="004E6CFE"/>
    <w:rsid w:val="004E6E54"/>
    <w:rsid w:val="004E7663"/>
    <w:rsid w:val="004F0316"/>
    <w:rsid w:val="004F0591"/>
    <w:rsid w:val="004F06C5"/>
    <w:rsid w:val="004F0A8F"/>
    <w:rsid w:val="004F1203"/>
    <w:rsid w:val="004F25DD"/>
    <w:rsid w:val="004F2649"/>
    <w:rsid w:val="004F3B7A"/>
    <w:rsid w:val="004F3B7F"/>
    <w:rsid w:val="004F3C18"/>
    <w:rsid w:val="004F3ECC"/>
    <w:rsid w:val="004F42B6"/>
    <w:rsid w:val="004F450A"/>
    <w:rsid w:val="004F467F"/>
    <w:rsid w:val="004F4B1C"/>
    <w:rsid w:val="004F5915"/>
    <w:rsid w:val="004F6829"/>
    <w:rsid w:val="004F6C33"/>
    <w:rsid w:val="00500013"/>
    <w:rsid w:val="00500509"/>
    <w:rsid w:val="00500E2A"/>
    <w:rsid w:val="0050279C"/>
    <w:rsid w:val="005033E4"/>
    <w:rsid w:val="00503455"/>
    <w:rsid w:val="00504F79"/>
    <w:rsid w:val="00505896"/>
    <w:rsid w:val="005062C6"/>
    <w:rsid w:val="00506684"/>
    <w:rsid w:val="005066AA"/>
    <w:rsid w:val="005067E6"/>
    <w:rsid w:val="00507313"/>
    <w:rsid w:val="005077A3"/>
    <w:rsid w:val="0050789A"/>
    <w:rsid w:val="005101DC"/>
    <w:rsid w:val="005113A3"/>
    <w:rsid w:val="00511402"/>
    <w:rsid w:val="0051199B"/>
    <w:rsid w:val="00511F76"/>
    <w:rsid w:val="005134D4"/>
    <w:rsid w:val="00513C55"/>
    <w:rsid w:val="005141F5"/>
    <w:rsid w:val="0051581E"/>
    <w:rsid w:val="00516796"/>
    <w:rsid w:val="00516B63"/>
    <w:rsid w:val="0051704F"/>
    <w:rsid w:val="00520598"/>
    <w:rsid w:val="00520D45"/>
    <w:rsid w:val="00522400"/>
    <w:rsid w:val="005224B0"/>
    <w:rsid w:val="005232B1"/>
    <w:rsid w:val="005243A8"/>
    <w:rsid w:val="005244E2"/>
    <w:rsid w:val="005248FE"/>
    <w:rsid w:val="00525F66"/>
    <w:rsid w:val="00530D8A"/>
    <w:rsid w:val="0053127B"/>
    <w:rsid w:val="005314B0"/>
    <w:rsid w:val="00531545"/>
    <w:rsid w:val="00532C21"/>
    <w:rsid w:val="00532C23"/>
    <w:rsid w:val="0053378F"/>
    <w:rsid w:val="00534259"/>
    <w:rsid w:val="00534F85"/>
    <w:rsid w:val="00535915"/>
    <w:rsid w:val="00535E76"/>
    <w:rsid w:val="00536043"/>
    <w:rsid w:val="005369FC"/>
    <w:rsid w:val="00536C3A"/>
    <w:rsid w:val="005374BC"/>
    <w:rsid w:val="0053755B"/>
    <w:rsid w:val="005376EF"/>
    <w:rsid w:val="00540197"/>
    <w:rsid w:val="00540A06"/>
    <w:rsid w:val="00543846"/>
    <w:rsid w:val="00544D9B"/>
    <w:rsid w:val="00544DBF"/>
    <w:rsid w:val="005454D7"/>
    <w:rsid w:val="00545688"/>
    <w:rsid w:val="005472AB"/>
    <w:rsid w:val="00547752"/>
    <w:rsid w:val="0054784D"/>
    <w:rsid w:val="00550A66"/>
    <w:rsid w:val="00550B90"/>
    <w:rsid w:val="005516FE"/>
    <w:rsid w:val="00551D5F"/>
    <w:rsid w:val="00553C62"/>
    <w:rsid w:val="0055427F"/>
    <w:rsid w:val="00554377"/>
    <w:rsid w:val="00554633"/>
    <w:rsid w:val="00554C81"/>
    <w:rsid w:val="00555A71"/>
    <w:rsid w:val="0055632E"/>
    <w:rsid w:val="0056073B"/>
    <w:rsid w:val="00560AD3"/>
    <w:rsid w:val="005618A0"/>
    <w:rsid w:val="00563C85"/>
    <w:rsid w:val="005640D8"/>
    <w:rsid w:val="00564856"/>
    <w:rsid w:val="00564C4C"/>
    <w:rsid w:val="005654A4"/>
    <w:rsid w:val="005656E2"/>
    <w:rsid w:val="00565B2C"/>
    <w:rsid w:val="00565DD4"/>
    <w:rsid w:val="00565E37"/>
    <w:rsid w:val="005663CD"/>
    <w:rsid w:val="00566B59"/>
    <w:rsid w:val="00567289"/>
    <w:rsid w:val="005672DA"/>
    <w:rsid w:val="0056779A"/>
    <w:rsid w:val="00570AB6"/>
    <w:rsid w:val="00571E26"/>
    <w:rsid w:val="00573627"/>
    <w:rsid w:val="00573C30"/>
    <w:rsid w:val="0057409D"/>
    <w:rsid w:val="005747C1"/>
    <w:rsid w:val="005747F6"/>
    <w:rsid w:val="00575290"/>
    <w:rsid w:val="005757FA"/>
    <w:rsid w:val="0057753B"/>
    <w:rsid w:val="00577B41"/>
    <w:rsid w:val="00580063"/>
    <w:rsid w:val="00580F57"/>
    <w:rsid w:val="00581E16"/>
    <w:rsid w:val="0058345B"/>
    <w:rsid w:val="005836D9"/>
    <w:rsid w:val="005838AC"/>
    <w:rsid w:val="00584D15"/>
    <w:rsid w:val="00584D47"/>
    <w:rsid w:val="005857FE"/>
    <w:rsid w:val="00585AE8"/>
    <w:rsid w:val="00585D4A"/>
    <w:rsid w:val="00585E34"/>
    <w:rsid w:val="0058636E"/>
    <w:rsid w:val="0058661C"/>
    <w:rsid w:val="005876B5"/>
    <w:rsid w:val="0059098F"/>
    <w:rsid w:val="00591A92"/>
    <w:rsid w:val="005920F0"/>
    <w:rsid w:val="00592463"/>
    <w:rsid w:val="00592554"/>
    <w:rsid w:val="00593006"/>
    <w:rsid w:val="005930E9"/>
    <w:rsid w:val="00593487"/>
    <w:rsid w:val="00593828"/>
    <w:rsid w:val="005939B8"/>
    <w:rsid w:val="00594771"/>
    <w:rsid w:val="00594DFE"/>
    <w:rsid w:val="005954F8"/>
    <w:rsid w:val="00596004"/>
    <w:rsid w:val="00596B8C"/>
    <w:rsid w:val="0059BFD2"/>
    <w:rsid w:val="005A060B"/>
    <w:rsid w:val="005A0AD4"/>
    <w:rsid w:val="005A0B38"/>
    <w:rsid w:val="005A0E05"/>
    <w:rsid w:val="005A108B"/>
    <w:rsid w:val="005A2CF2"/>
    <w:rsid w:val="005A341E"/>
    <w:rsid w:val="005A3519"/>
    <w:rsid w:val="005A3722"/>
    <w:rsid w:val="005A37E3"/>
    <w:rsid w:val="005A38B5"/>
    <w:rsid w:val="005A46D0"/>
    <w:rsid w:val="005A5036"/>
    <w:rsid w:val="005A53C2"/>
    <w:rsid w:val="005A5414"/>
    <w:rsid w:val="005A56D3"/>
    <w:rsid w:val="005A644C"/>
    <w:rsid w:val="005A6518"/>
    <w:rsid w:val="005A6689"/>
    <w:rsid w:val="005B0051"/>
    <w:rsid w:val="005B054F"/>
    <w:rsid w:val="005B0899"/>
    <w:rsid w:val="005B154B"/>
    <w:rsid w:val="005B2B1A"/>
    <w:rsid w:val="005B340A"/>
    <w:rsid w:val="005B3633"/>
    <w:rsid w:val="005B4481"/>
    <w:rsid w:val="005B46BB"/>
    <w:rsid w:val="005B5997"/>
    <w:rsid w:val="005B715F"/>
    <w:rsid w:val="005B7983"/>
    <w:rsid w:val="005C0027"/>
    <w:rsid w:val="005C0DFC"/>
    <w:rsid w:val="005C0EB2"/>
    <w:rsid w:val="005C15CE"/>
    <w:rsid w:val="005C2245"/>
    <w:rsid w:val="005C22EA"/>
    <w:rsid w:val="005C25AF"/>
    <w:rsid w:val="005C2A9E"/>
    <w:rsid w:val="005C34E8"/>
    <w:rsid w:val="005C3EFD"/>
    <w:rsid w:val="005C4118"/>
    <w:rsid w:val="005C4ADC"/>
    <w:rsid w:val="005C6289"/>
    <w:rsid w:val="005C7851"/>
    <w:rsid w:val="005D02A2"/>
    <w:rsid w:val="005D0F9E"/>
    <w:rsid w:val="005D1F4A"/>
    <w:rsid w:val="005D20D8"/>
    <w:rsid w:val="005D23B7"/>
    <w:rsid w:val="005D4D00"/>
    <w:rsid w:val="005D520B"/>
    <w:rsid w:val="005D6304"/>
    <w:rsid w:val="005D694A"/>
    <w:rsid w:val="005D752C"/>
    <w:rsid w:val="005E0072"/>
    <w:rsid w:val="005E0593"/>
    <w:rsid w:val="005E0BA7"/>
    <w:rsid w:val="005E0C17"/>
    <w:rsid w:val="005E1B90"/>
    <w:rsid w:val="005E2684"/>
    <w:rsid w:val="005E2A50"/>
    <w:rsid w:val="005E2B5E"/>
    <w:rsid w:val="005E4623"/>
    <w:rsid w:val="005E4B32"/>
    <w:rsid w:val="005E54E1"/>
    <w:rsid w:val="005E55F4"/>
    <w:rsid w:val="005E5647"/>
    <w:rsid w:val="005E564C"/>
    <w:rsid w:val="005E567D"/>
    <w:rsid w:val="005E5694"/>
    <w:rsid w:val="005E5B03"/>
    <w:rsid w:val="005E639D"/>
    <w:rsid w:val="005E728F"/>
    <w:rsid w:val="005E77C8"/>
    <w:rsid w:val="005E7AD1"/>
    <w:rsid w:val="005F0001"/>
    <w:rsid w:val="005F0401"/>
    <w:rsid w:val="005F0DDE"/>
    <w:rsid w:val="005F0F57"/>
    <w:rsid w:val="005F1B86"/>
    <w:rsid w:val="005F1E73"/>
    <w:rsid w:val="005F2060"/>
    <w:rsid w:val="005F26FC"/>
    <w:rsid w:val="005F3EC5"/>
    <w:rsid w:val="005F478A"/>
    <w:rsid w:val="005F52B2"/>
    <w:rsid w:val="005F59D5"/>
    <w:rsid w:val="005F644C"/>
    <w:rsid w:val="005F6AD5"/>
    <w:rsid w:val="005F77C5"/>
    <w:rsid w:val="005F793E"/>
    <w:rsid w:val="00600378"/>
    <w:rsid w:val="0060363A"/>
    <w:rsid w:val="00603971"/>
    <w:rsid w:val="00603CB9"/>
    <w:rsid w:val="006071F2"/>
    <w:rsid w:val="00607CB7"/>
    <w:rsid w:val="00610D71"/>
    <w:rsid w:val="00610E21"/>
    <w:rsid w:val="00610E68"/>
    <w:rsid w:val="00611995"/>
    <w:rsid w:val="00611D39"/>
    <w:rsid w:val="00611F92"/>
    <w:rsid w:val="00613368"/>
    <w:rsid w:val="00614F7D"/>
    <w:rsid w:val="0061573A"/>
    <w:rsid w:val="00615B5C"/>
    <w:rsid w:val="00617429"/>
    <w:rsid w:val="00620417"/>
    <w:rsid w:val="00621028"/>
    <w:rsid w:val="0062156F"/>
    <w:rsid w:val="00621D99"/>
    <w:rsid w:val="006239EA"/>
    <w:rsid w:val="00623B11"/>
    <w:rsid w:val="006251FE"/>
    <w:rsid w:val="0062521D"/>
    <w:rsid w:val="006258BD"/>
    <w:rsid w:val="00625987"/>
    <w:rsid w:val="00625E52"/>
    <w:rsid w:val="0062705E"/>
    <w:rsid w:val="0062744B"/>
    <w:rsid w:val="00627F55"/>
    <w:rsid w:val="006303D1"/>
    <w:rsid w:val="00630859"/>
    <w:rsid w:val="00630A26"/>
    <w:rsid w:val="00632F5E"/>
    <w:rsid w:val="00634874"/>
    <w:rsid w:val="00635575"/>
    <w:rsid w:val="006361FF"/>
    <w:rsid w:val="00636C2A"/>
    <w:rsid w:val="00636D45"/>
    <w:rsid w:val="006371B7"/>
    <w:rsid w:val="00640091"/>
    <w:rsid w:val="0064099D"/>
    <w:rsid w:val="00641187"/>
    <w:rsid w:val="006412E7"/>
    <w:rsid w:val="00641B37"/>
    <w:rsid w:val="0064338F"/>
    <w:rsid w:val="0064386B"/>
    <w:rsid w:val="00643AAD"/>
    <w:rsid w:val="00643F51"/>
    <w:rsid w:val="00643FD1"/>
    <w:rsid w:val="00644CD0"/>
    <w:rsid w:val="00645F0B"/>
    <w:rsid w:val="00646811"/>
    <w:rsid w:val="00646BBB"/>
    <w:rsid w:val="00646D08"/>
    <w:rsid w:val="00650262"/>
    <w:rsid w:val="00650576"/>
    <w:rsid w:val="00650EB6"/>
    <w:rsid w:val="00652197"/>
    <w:rsid w:val="0065227C"/>
    <w:rsid w:val="00652297"/>
    <w:rsid w:val="00652E87"/>
    <w:rsid w:val="00652F94"/>
    <w:rsid w:val="0065351E"/>
    <w:rsid w:val="00653969"/>
    <w:rsid w:val="00654BBD"/>
    <w:rsid w:val="00655D56"/>
    <w:rsid w:val="0065655B"/>
    <w:rsid w:val="00656ECA"/>
    <w:rsid w:val="00660947"/>
    <w:rsid w:val="006615C2"/>
    <w:rsid w:val="00661FAD"/>
    <w:rsid w:val="00662ACF"/>
    <w:rsid w:val="00664DD8"/>
    <w:rsid w:val="00665CC3"/>
    <w:rsid w:val="0066678F"/>
    <w:rsid w:val="00667C35"/>
    <w:rsid w:val="00670384"/>
    <w:rsid w:val="00670738"/>
    <w:rsid w:val="00671D7C"/>
    <w:rsid w:val="00672E21"/>
    <w:rsid w:val="00672E58"/>
    <w:rsid w:val="00672E95"/>
    <w:rsid w:val="0067359C"/>
    <w:rsid w:val="00673A15"/>
    <w:rsid w:val="00673D74"/>
    <w:rsid w:val="00673E18"/>
    <w:rsid w:val="006753F3"/>
    <w:rsid w:val="00676509"/>
    <w:rsid w:val="006771AB"/>
    <w:rsid w:val="00680F5A"/>
    <w:rsid w:val="00681FC8"/>
    <w:rsid w:val="00682F34"/>
    <w:rsid w:val="00682FE0"/>
    <w:rsid w:val="006837CE"/>
    <w:rsid w:val="00684504"/>
    <w:rsid w:val="006848EC"/>
    <w:rsid w:val="00685B65"/>
    <w:rsid w:val="006868B9"/>
    <w:rsid w:val="0068740B"/>
    <w:rsid w:val="00687CD8"/>
    <w:rsid w:val="0069004D"/>
    <w:rsid w:val="006904AE"/>
    <w:rsid w:val="00691302"/>
    <w:rsid w:val="00691486"/>
    <w:rsid w:val="00691A7C"/>
    <w:rsid w:val="00691F1B"/>
    <w:rsid w:val="00692022"/>
    <w:rsid w:val="00692D14"/>
    <w:rsid w:val="00692FDB"/>
    <w:rsid w:val="006938EF"/>
    <w:rsid w:val="00694018"/>
    <w:rsid w:val="00694ABD"/>
    <w:rsid w:val="00694DE8"/>
    <w:rsid w:val="00695034"/>
    <w:rsid w:val="00695886"/>
    <w:rsid w:val="00696105"/>
    <w:rsid w:val="006972FB"/>
    <w:rsid w:val="00697AD0"/>
    <w:rsid w:val="00697EED"/>
    <w:rsid w:val="006A0128"/>
    <w:rsid w:val="006A0CD1"/>
    <w:rsid w:val="006A0DD8"/>
    <w:rsid w:val="006A1097"/>
    <w:rsid w:val="006A11FB"/>
    <w:rsid w:val="006A256E"/>
    <w:rsid w:val="006A272B"/>
    <w:rsid w:val="006A403F"/>
    <w:rsid w:val="006A458E"/>
    <w:rsid w:val="006A4C71"/>
    <w:rsid w:val="006A5757"/>
    <w:rsid w:val="006A57BF"/>
    <w:rsid w:val="006A5966"/>
    <w:rsid w:val="006A5CF1"/>
    <w:rsid w:val="006A659D"/>
    <w:rsid w:val="006A79C5"/>
    <w:rsid w:val="006B090C"/>
    <w:rsid w:val="006B0F9B"/>
    <w:rsid w:val="006B1FBD"/>
    <w:rsid w:val="006B20DC"/>
    <w:rsid w:val="006B221C"/>
    <w:rsid w:val="006B3D21"/>
    <w:rsid w:val="006B4EDC"/>
    <w:rsid w:val="006B4F8F"/>
    <w:rsid w:val="006B5E98"/>
    <w:rsid w:val="006B6956"/>
    <w:rsid w:val="006B7C73"/>
    <w:rsid w:val="006C01EA"/>
    <w:rsid w:val="006C0B37"/>
    <w:rsid w:val="006C10B8"/>
    <w:rsid w:val="006C1146"/>
    <w:rsid w:val="006C1ABF"/>
    <w:rsid w:val="006C1E0D"/>
    <w:rsid w:val="006C2E7C"/>
    <w:rsid w:val="006C39BF"/>
    <w:rsid w:val="006C41D0"/>
    <w:rsid w:val="006C4301"/>
    <w:rsid w:val="006C451E"/>
    <w:rsid w:val="006C47A8"/>
    <w:rsid w:val="006C566A"/>
    <w:rsid w:val="006C63B1"/>
    <w:rsid w:val="006C6B4C"/>
    <w:rsid w:val="006C700E"/>
    <w:rsid w:val="006D01E1"/>
    <w:rsid w:val="006D1F74"/>
    <w:rsid w:val="006D1FB9"/>
    <w:rsid w:val="006D3657"/>
    <w:rsid w:val="006D37EB"/>
    <w:rsid w:val="006D4530"/>
    <w:rsid w:val="006D49D3"/>
    <w:rsid w:val="006D4F0A"/>
    <w:rsid w:val="006D5892"/>
    <w:rsid w:val="006D647D"/>
    <w:rsid w:val="006D76FF"/>
    <w:rsid w:val="006E0314"/>
    <w:rsid w:val="006E0F0D"/>
    <w:rsid w:val="006E0FBB"/>
    <w:rsid w:val="006E2714"/>
    <w:rsid w:val="006E3A34"/>
    <w:rsid w:val="006E44BE"/>
    <w:rsid w:val="006E52F6"/>
    <w:rsid w:val="006E7767"/>
    <w:rsid w:val="006E788B"/>
    <w:rsid w:val="006F1C4A"/>
    <w:rsid w:val="006F35E7"/>
    <w:rsid w:val="006F39D8"/>
    <w:rsid w:val="006F3C12"/>
    <w:rsid w:val="006F5849"/>
    <w:rsid w:val="006F61B1"/>
    <w:rsid w:val="006F6339"/>
    <w:rsid w:val="006F6357"/>
    <w:rsid w:val="00700CC3"/>
    <w:rsid w:val="0070125B"/>
    <w:rsid w:val="00702895"/>
    <w:rsid w:val="00704813"/>
    <w:rsid w:val="0070520E"/>
    <w:rsid w:val="007054E6"/>
    <w:rsid w:val="0070551A"/>
    <w:rsid w:val="00706DEC"/>
    <w:rsid w:val="00707F89"/>
    <w:rsid w:val="007117A5"/>
    <w:rsid w:val="007122E8"/>
    <w:rsid w:val="007132AB"/>
    <w:rsid w:val="007134F7"/>
    <w:rsid w:val="0071439C"/>
    <w:rsid w:val="00715463"/>
    <w:rsid w:val="007172E8"/>
    <w:rsid w:val="00717EEB"/>
    <w:rsid w:val="007203BA"/>
    <w:rsid w:val="00721B6C"/>
    <w:rsid w:val="00722948"/>
    <w:rsid w:val="00722F56"/>
    <w:rsid w:val="00723F80"/>
    <w:rsid w:val="00724D24"/>
    <w:rsid w:val="00725AA6"/>
    <w:rsid w:val="00727B9A"/>
    <w:rsid w:val="00727D92"/>
    <w:rsid w:val="00730878"/>
    <w:rsid w:val="007319F9"/>
    <w:rsid w:val="00731B29"/>
    <w:rsid w:val="007327EA"/>
    <w:rsid w:val="0073302E"/>
    <w:rsid w:val="007330BC"/>
    <w:rsid w:val="00734900"/>
    <w:rsid w:val="00734C99"/>
    <w:rsid w:val="007353BF"/>
    <w:rsid w:val="00735D79"/>
    <w:rsid w:val="00736B6D"/>
    <w:rsid w:val="0074043C"/>
    <w:rsid w:val="007419F1"/>
    <w:rsid w:val="00741EDB"/>
    <w:rsid w:val="00743B3F"/>
    <w:rsid w:val="007445D0"/>
    <w:rsid w:val="00744CE3"/>
    <w:rsid w:val="007454E0"/>
    <w:rsid w:val="00746130"/>
    <w:rsid w:val="00746E5E"/>
    <w:rsid w:val="007476F9"/>
    <w:rsid w:val="007504C2"/>
    <w:rsid w:val="00750687"/>
    <w:rsid w:val="00750C4F"/>
    <w:rsid w:val="00751093"/>
    <w:rsid w:val="00752561"/>
    <w:rsid w:val="00752922"/>
    <w:rsid w:val="00752CEA"/>
    <w:rsid w:val="007530C5"/>
    <w:rsid w:val="00753754"/>
    <w:rsid w:val="00753F43"/>
    <w:rsid w:val="007544B9"/>
    <w:rsid w:val="00754731"/>
    <w:rsid w:val="00755728"/>
    <w:rsid w:val="007557B1"/>
    <w:rsid w:val="00755F05"/>
    <w:rsid w:val="00756954"/>
    <w:rsid w:val="00756B11"/>
    <w:rsid w:val="00756C4E"/>
    <w:rsid w:val="00756F59"/>
    <w:rsid w:val="0075753A"/>
    <w:rsid w:val="00760AA6"/>
    <w:rsid w:val="00760FCB"/>
    <w:rsid w:val="00761232"/>
    <w:rsid w:val="007612C6"/>
    <w:rsid w:val="007612EC"/>
    <w:rsid w:val="00761962"/>
    <w:rsid w:val="0076309A"/>
    <w:rsid w:val="00764768"/>
    <w:rsid w:val="0076536F"/>
    <w:rsid w:val="00765D1F"/>
    <w:rsid w:val="007663ED"/>
    <w:rsid w:val="00766585"/>
    <w:rsid w:val="007665AF"/>
    <w:rsid w:val="007711D9"/>
    <w:rsid w:val="00771C71"/>
    <w:rsid w:val="00771DA0"/>
    <w:rsid w:val="00771FC9"/>
    <w:rsid w:val="00773AA4"/>
    <w:rsid w:val="00773C11"/>
    <w:rsid w:val="00773F49"/>
    <w:rsid w:val="00773F9D"/>
    <w:rsid w:val="00775AC8"/>
    <w:rsid w:val="00775FA2"/>
    <w:rsid w:val="00776B79"/>
    <w:rsid w:val="007770F8"/>
    <w:rsid w:val="007771F1"/>
    <w:rsid w:val="00777596"/>
    <w:rsid w:val="00777960"/>
    <w:rsid w:val="00780382"/>
    <w:rsid w:val="00780650"/>
    <w:rsid w:val="00780A04"/>
    <w:rsid w:val="00782140"/>
    <w:rsid w:val="007828C0"/>
    <w:rsid w:val="00783B50"/>
    <w:rsid w:val="00785EC4"/>
    <w:rsid w:val="007860B6"/>
    <w:rsid w:val="00787014"/>
    <w:rsid w:val="007906EB"/>
    <w:rsid w:val="00791188"/>
    <w:rsid w:val="007920FE"/>
    <w:rsid w:val="0079410B"/>
    <w:rsid w:val="0079577C"/>
    <w:rsid w:val="00796EAD"/>
    <w:rsid w:val="00797CEE"/>
    <w:rsid w:val="007A01FE"/>
    <w:rsid w:val="007A03B7"/>
    <w:rsid w:val="007A075A"/>
    <w:rsid w:val="007A0BE8"/>
    <w:rsid w:val="007A140D"/>
    <w:rsid w:val="007A286E"/>
    <w:rsid w:val="007A2907"/>
    <w:rsid w:val="007A3140"/>
    <w:rsid w:val="007A3D9B"/>
    <w:rsid w:val="007A3FC1"/>
    <w:rsid w:val="007A5A29"/>
    <w:rsid w:val="007A5D3F"/>
    <w:rsid w:val="007A68ED"/>
    <w:rsid w:val="007A7B07"/>
    <w:rsid w:val="007B008C"/>
    <w:rsid w:val="007B0489"/>
    <w:rsid w:val="007B0839"/>
    <w:rsid w:val="007B0B7F"/>
    <w:rsid w:val="007B138C"/>
    <w:rsid w:val="007B2DAD"/>
    <w:rsid w:val="007B3D50"/>
    <w:rsid w:val="007B42BF"/>
    <w:rsid w:val="007B4D35"/>
    <w:rsid w:val="007B53D1"/>
    <w:rsid w:val="007B57CE"/>
    <w:rsid w:val="007B5D74"/>
    <w:rsid w:val="007B6820"/>
    <w:rsid w:val="007B693C"/>
    <w:rsid w:val="007B6CDD"/>
    <w:rsid w:val="007C037E"/>
    <w:rsid w:val="007C0B45"/>
    <w:rsid w:val="007C1739"/>
    <w:rsid w:val="007C1FA0"/>
    <w:rsid w:val="007C4006"/>
    <w:rsid w:val="007C4268"/>
    <w:rsid w:val="007C5BD8"/>
    <w:rsid w:val="007C635F"/>
    <w:rsid w:val="007C707D"/>
    <w:rsid w:val="007D092D"/>
    <w:rsid w:val="007D1591"/>
    <w:rsid w:val="007D1643"/>
    <w:rsid w:val="007D192B"/>
    <w:rsid w:val="007D22B4"/>
    <w:rsid w:val="007D28B7"/>
    <w:rsid w:val="007D3491"/>
    <w:rsid w:val="007D354C"/>
    <w:rsid w:val="007D3D6D"/>
    <w:rsid w:val="007D48DC"/>
    <w:rsid w:val="007D5474"/>
    <w:rsid w:val="007D565D"/>
    <w:rsid w:val="007D6C51"/>
    <w:rsid w:val="007E012F"/>
    <w:rsid w:val="007E013D"/>
    <w:rsid w:val="007E04D4"/>
    <w:rsid w:val="007E19AE"/>
    <w:rsid w:val="007E2A2A"/>
    <w:rsid w:val="007E38FB"/>
    <w:rsid w:val="007E45E5"/>
    <w:rsid w:val="007E5112"/>
    <w:rsid w:val="007E5321"/>
    <w:rsid w:val="007E719F"/>
    <w:rsid w:val="007E798C"/>
    <w:rsid w:val="007F0C16"/>
    <w:rsid w:val="007F0EE6"/>
    <w:rsid w:val="007F1297"/>
    <w:rsid w:val="007F129C"/>
    <w:rsid w:val="007F2F8B"/>
    <w:rsid w:val="007F2F92"/>
    <w:rsid w:val="007F44A9"/>
    <w:rsid w:val="007F5746"/>
    <w:rsid w:val="007F5F66"/>
    <w:rsid w:val="007F67C7"/>
    <w:rsid w:val="007F6CEF"/>
    <w:rsid w:val="007F6E37"/>
    <w:rsid w:val="00800B08"/>
    <w:rsid w:val="00801057"/>
    <w:rsid w:val="00801224"/>
    <w:rsid w:val="0080146B"/>
    <w:rsid w:val="0080167C"/>
    <w:rsid w:val="00801AFB"/>
    <w:rsid w:val="0080260C"/>
    <w:rsid w:val="00802DCD"/>
    <w:rsid w:val="00802ECA"/>
    <w:rsid w:val="00803DC8"/>
    <w:rsid w:val="00804F18"/>
    <w:rsid w:val="00806832"/>
    <w:rsid w:val="008071BE"/>
    <w:rsid w:val="0080767E"/>
    <w:rsid w:val="0081033F"/>
    <w:rsid w:val="008103BF"/>
    <w:rsid w:val="00810AF0"/>
    <w:rsid w:val="008118D1"/>
    <w:rsid w:val="00813F4B"/>
    <w:rsid w:val="00814B4D"/>
    <w:rsid w:val="00815E40"/>
    <w:rsid w:val="0081613E"/>
    <w:rsid w:val="00817047"/>
    <w:rsid w:val="008177A2"/>
    <w:rsid w:val="00817CFA"/>
    <w:rsid w:val="00820CD3"/>
    <w:rsid w:val="0082176F"/>
    <w:rsid w:val="0082199C"/>
    <w:rsid w:val="00822CDD"/>
    <w:rsid w:val="008237C2"/>
    <w:rsid w:val="00825A5E"/>
    <w:rsid w:val="00826985"/>
    <w:rsid w:val="00826D88"/>
    <w:rsid w:val="00827798"/>
    <w:rsid w:val="00830620"/>
    <w:rsid w:val="00830DDC"/>
    <w:rsid w:val="00831282"/>
    <w:rsid w:val="0083230A"/>
    <w:rsid w:val="008323B2"/>
    <w:rsid w:val="008341B6"/>
    <w:rsid w:val="00834E25"/>
    <w:rsid w:val="00834F37"/>
    <w:rsid w:val="008353A2"/>
    <w:rsid w:val="008361E1"/>
    <w:rsid w:val="00836211"/>
    <w:rsid w:val="00836389"/>
    <w:rsid w:val="00836E57"/>
    <w:rsid w:val="0083726D"/>
    <w:rsid w:val="0084111C"/>
    <w:rsid w:val="0084226D"/>
    <w:rsid w:val="00842499"/>
    <w:rsid w:val="00843074"/>
    <w:rsid w:val="0084385A"/>
    <w:rsid w:val="00844137"/>
    <w:rsid w:val="008447E6"/>
    <w:rsid w:val="00845548"/>
    <w:rsid w:val="00845CF8"/>
    <w:rsid w:val="0084686E"/>
    <w:rsid w:val="00846A75"/>
    <w:rsid w:val="00847933"/>
    <w:rsid w:val="0085019F"/>
    <w:rsid w:val="008502A9"/>
    <w:rsid w:val="00850654"/>
    <w:rsid w:val="0085070C"/>
    <w:rsid w:val="0085207D"/>
    <w:rsid w:val="00852796"/>
    <w:rsid w:val="008532B2"/>
    <w:rsid w:val="0085341F"/>
    <w:rsid w:val="00853875"/>
    <w:rsid w:val="0085389A"/>
    <w:rsid w:val="00854111"/>
    <w:rsid w:val="00854489"/>
    <w:rsid w:val="008551A7"/>
    <w:rsid w:val="00855992"/>
    <w:rsid w:val="008566F5"/>
    <w:rsid w:val="0085754B"/>
    <w:rsid w:val="0085754C"/>
    <w:rsid w:val="00860039"/>
    <w:rsid w:val="008606B9"/>
    <w:rsid w:val="00861752"/>
    <w:rsid w:val="00861B69"/>
    <w:rsid w:val="00861D56"/>
    <w:rsid w:val="00862143"/>
    <w:rsid w:val="00863767"/>
    <w:rsid w:val="00863A24"/>
    <w:rsid w:val="00863A71"/>
    <w:rsid w:val="00865910"/>
    <w:rsid w:val="00865EE9"/>
    <w:rsid w:val="008660D4"/>
    <w:rsid w:val="008663C1"/>
    <w:rsid w:val="008703AA"/>
    <w:rsid w:val="00870E1D"/>
    <w:rsid w:val="00871CEB"/>
    <w:rsid w:val="00871DA2"/>
    <w:rsid w:val="00871FCF"/>
    <w:rsid w:val="008721B8"/>
    <w:rsid w:val="008730B1"/>
    <w:rsid w:val="00873129"/>
    <w:rsid w:val="008750A5"/>
    <w:rsid w:val="00875935"/>
    <w:rsid w:val="00876030"/>
    <w:rsid w:val="008779D5"/>
    <w:rsid w:val="00877AA1"/>
    <w:rsid w:val="0088037D"/>
    <w:rsid w:val="00880CEE"/>
    <w:rsid w:val="00881023"/>
    <w:rsid w:val="008810FA"/>
    <w:rsid w:val="00881396"/>
    <w:rsid w:val="00881459"/>
    <w:rsid w:val="0088199F"/>
    <w:rsid w:val="00881FBD"/>
    <w:rsid w:val="00882A77"/>
    <w:rsid w:val="00883710"/>
    <w:rsid w:val="00883783"/>
    <w:rsid w:val="008837F3"/>
    <w:rsid w:val="008839F8"/>
    <w:rsid w:val="00883ED9"/>
    <w:rsid w:val="00887C33"/>
    <w:rsid w:val="00887C81"/>
    <w:rsid w:val="008902E6"/>
    <w:rsid w:val="00890C73"/>
    <w:rsid w:val="00891051"/>
    <w:rsid w:val="00892432"/>
    <w:rsid w:val="00892829"/>
    <w:rsid w:val="008940AB"/>
    <w:rsid w:val="00894285"/>
    <w:rsid w:val="0089522A"/>
    <w:rsid w:val="008966DB"/>
    <w:rsid w:val="008975C2"/>
    <w:rsid w:val="008A0380"/>
    <w:rsid w:val="008A13A1"/>
    <w:rsid w:val="008A1DF1"/>
    <w:rsid w:val="008A3F31"/>
    <w:rsid w:val="008A5244"/>
    <w:rsid w:val="008A79C9"/>
    <w:rsid w:val="008B2965"/>
    <w:rsid w:val="008B2F8A"/>
    <w:rsid w:val="008B3B43"/>
    <w:rsid w:val="008B3BA6"/>
    <w:rsid w:val="008B3E5F"/>
    <w:rsid w:val="008B3F7B"/>
    <w:rsid w:val="008B5064"/>
    <w:rsid w:val="008B5523"/>
    <w:rsid w:val="008C0563"/>
    <w:rsid w:val="008C16E1"/>
    <w:rsid w:val="008C1BF7"/>
    <w:rsid w:val="008C2F6D"/>
    <w:rsid w:val="008C343B"/>
    <w:rsid w:val="008C4182"/>
    <w:rsid w:val="008C4702"/>
    <w:rsid w:val="008C50F9"/>
    <w:rsid w:val="008C5969"/>
    <w:rsid w:val="008C5B93"/>
    <w:rsid w:val="008C6A16"/>
    <w:rsid w:val="008C7464"/>
    <w:rsid w:val="008C753C"/>
    <w:rsid w:val="008D1187"/>
    <w:rsid w:val="008D13DC"/>
    <w:rsid w:val="008D19E6"/>
    <w:rsid w:val="008D24DC"/>
    <w:rsid w:val="008D2934"/>
    <w:rsid w:val="008D34C1"/>
    <w:rsid w:val="008D3F16"/>
    <w:rsid w:val="008D3F8B"/>
    <w:rsid w:val="008D4BE6"/>
    <w:rsid w:val="008D4C22"/>
    <w:rsid w:val="008D64C9"/>
    <w:rsid w:val="008D73E2"/>
    <w:rsid w:val="008D7F55"/>
    <w:rsid w:val="008E039D"/>
    <w:rsid w:val="008E0D97"/>
    <w:rsid w:val="008E1249"/>
    <w:rsid w:val="008E14DB"/>
    <w:rsid w:val="008E1B0F"/>
    <w:rsid w:val="008E21D7"/>
    <w:rsid w:val="008E2600"/>
    <w:rsid w:val="008E29B9"/>
    <w:rsid w:val="008E30ED"/>
    <w:rsid w:val="008E3202"/>
    <w:rsid w:val="008E4A8F"/>
    <w:rsid w:val="008E517E"/>
    <w:rsid w:val="008E6030"/>
    <w:rsid w:val="008E6274"/>
    <w:rsid w:val="008F3180"/>
    <w:rsid w:val="008F34C2"/>
    <w:rsid w:val="008F35C0"/>
    <w:rsid w:val="008F3634"/>
    <w:rsid w:val="008F421E"/>
    <w:rsid w:val="008F422C"/>
    <w:rsid w:val="008F50F8"/>
    <w:rsid w:val="008F56BC"/>
    <w:rsid w:val="008F5CE3"/>
    <w:rsid w:val="008F6B3C"/>
    <w:rsid w:val="0090123D"/>
    <w:rsid w:val="009017D7"/>
    <w:rsid w:val="00903D2C"/>
    <w:rsid w:val="00905BB2"/>
    <w:rsid w:val="00906672"/>
    <w:rsid w:val="00906989"/>
    <w:rsid w:val="00907DB1"/>
    <w:rsid w:val="009101D6"/>
    <w:rsid w:val="009102E2"/>
    <w:rsid w:val="00911E33"/>
    <w:rsid w:val="009133D1"/>
    <w:rsid w:val="00914FFD"/>
    <w:rsid w:val="00915114"/>
    <w:rsid w:val="009151C0"/>
    <w:rsid w:val="0091528C"/>
    <w:rsid w:val="009213AB"/>
    <w:rsid w:val="00921772"/>
    <w:rsid w:val="00923B14"/>
    <w:rsid w:val="009240D5"/>
    <w:rsid w:val="0092449D"/>
    <w:rsid w:val="0092482D"/>
    <w:rsid w:val="0092551E"/>
    <w:rsid w:val="00925949"/>
    <w:rsid w:val="00925F5B"/>
    <w:rsid w:val="00925F94"/>
    <w:rsid w:val="00926EB7"/>
    <w:rsid w:val="0092713F"/>
    <w:rsid w:val="009304BF"/>
    <w:rsid w:val="009307D7"/>
    <w:rsid w:val="00930E42"/>
    <w:rsid w:val="00930E5E"/>
    <w:rsid w:val="00931014"/>
    <w:rsid w:val="009311BA"/>
    <w:rsid w:val="00931DE6"/>
    <w:rsid w:val="009330ED"/>
    <w:rsid w:val="009342E6"/>
    <w:rsid w:val="00934393"/>
    <w:rsid w:val="00934ACE"/>
    <w:rsid w:val="00935177"/>
    <w:rsid w:val="00936CAE"/>
    <w:rsid w:val="0094128B"/>
    <w:rsid w:val="009427B5"/>
    <w:rsid w:val="009433FD"/>
    <w:rsid w:val="00943C34"/>
    <w:rsid w:val="009443A4"/>
    <w:rsid w:val="00945993"/>
    <w:rsid w:val="0094628D"/>
    <w:rsid w:val="00946312"/>
    <w:rsid w:val="009469F4"/>
    <w:rsid w:val="00946C49"/>
    <w:rsid w:val="00947944"/>
    <w:rsid w:val="00947C9F"/>
    <w:rsid w:val="0095046F"/>
    <w:rsid w:val="0095142E"/>
    <w:rsid w:val="0095370A"/>
    <w:rsid w:val="0095469D"/>
    <w:rsid w:val="00955158"/>
    <w:rsid w:val="009552CA"/>
    <w:rsid w:val="00955361"/>
    <w:rsid w:val="009553BD"/>
    <w:rsid w:val="009569EF"/>
    <w:rsid w:val="00957085"/>
    <w:rsid w:val="00960EEE"/>
    <w:rsid w:val="00962F37"/>
    <w:rsid w:val="00963AC6"/>
    <w:rsid w:val="0096492D"/>
    <w:rsid w:val="00964BBB"/>
    <w:rsid w:val="00964C87"/>
    <w:rsid w:val="00965030"/>
    <w:rsid w:val="00966312"/>
    <w:rsid w:val="0096631A"/>
    <w:rsid w:val="009667C4"/>
    <w:rsid w:val="00966ADA"/>
    <w:rsid w:val="00966BB1"/>
    <w:rsid w:val="00967CFF"/>
    <w:rsid w:val="009714C8"/>
    <w:rsid w:val="00971806"/>
    <w:rsid w:val="00971B8A"/>
    <w:rsid w:val="009724E6"/>
    <w:rsid w:val="00972AF4"/>
    <w:rsid w:val="009731D8"/>
    <w:rsid w:val="00974727"/>
    <w:rsid w:val="0097530B"/>
    <w:rsid w:val="009756EF"/>
    <w:rsid w:val="00977070"/>
    <w:rsid w:val="009771ED"/>
    <w:rsid w:val="009772C9"/>
    <w:rsid w:val="00977D2A"/>
    <w:rsid w:val="009802A0"/>
    <w:rsid w:val="0098165A"/>
    <w:rsid w:val="0098207C"/>
    <w:rsid w:val="009829EE"/>
    <w:rsid w:val="00982F1E"/>
    <w:rsid w:val="009834B5"/>
    <w:rsid w:val="0098415C"/>
    <w:rsid w:val="009843FD"/>
    <w:rsid w:val="00984606"/>
    <w:rsid w:val="00984A76"/>
    <w:rsid w:val="00984BD3"/>
    <w:rsid w:val="00985BDE"/>
    <w:rsid w:val="00985D25"/>
    <w:rsid w:val="00986549"/>
    <w:rsid w:val="009912B7"/>
    <w:rsid w:val="009924CF"/>
    <w:rsid w:val="00992659"/>
    <w:rsid w:val="009928DD"/>
    <w:rsid w:val="00992DD3"/>
    <w:rsid w:val="00993015"/>
    <w:rsid w:val="009933D1"/>
    <w:rsid w:val="0099431C"/>
    <w:rsid w:val="00994470"/>
    <w:rsid w:val="009948E5"/>
    <w:rsid w:val="00994D6A"/>
    <w:rsid w:val="00994E9B"/>
    <w:rsid w:val="009962B6"/>
    <w:rsid w:val="009A0033"/>
    <w:rsid w:val="009A04EC"/>
    <w:rsid w:val="009A0766"/>
    <w:rsid w:val="009A13B4"/>
    <w:rsid w:val="009A19DB"/>
    <w:rsid w:val="009A1E47"/>
    <w:rsid w:val="009A2150"/>
    <w:rsid w:val="009A2D50"/>
    <w:rsid w:val="009A3C28"/>
    <w:rsid w:val="009A49B5"/>
    <w:rsid w:val="009A5EFC"/>
    <w:rsid w:val="009A5F3B"/>
    <w:rsid w:val="009B07F0"/>
    <w:rsid w:val="009B1228"/>
    <w:rsid w:val="009B1408"/>
    <w:rsid w:val="009B1CC3"/>
    <w:rsid w:val="009B1DA1"/>
    <w:rsid w:val="009B1FAA"/>
    <w:rsid w:val="009B1FD5"/>
    <w:rsid w:val="009B21B5"/>
    <w:rsid w:val="009B3A3E"/>
    <w:rsid w:val="009B3DBB"/>
    <w:rsid w:val="009B4DFE"/>
    <w:rsid w:val="009B5438"/>
    <w:rsid w:val="009B5502"/>
    <w:rsid w:val="009B7A42"/>
    <w:rsid w:val="009B7CDD"/>
    <w:rsid w:val="009C0510"/>
    <w:rsid w:val="009C08E7"/>
    <w:rsid w:val="009C0B87"/>
    <w:rsid w:val="009C1BB4"/>
    <w:rsid w:val="009C20B6"/>
    <w:rsid w:val="009C292C"/>
    <w:rsid w:val="009C2DB2"/>
    <w:rsid w:val="009C4A4F"/>
    <w:rsid w:val="009C62B6"/>
    <w:rsid w:val="009C7A68"/>
    <w:rsid w:val="009C7BFC"/>
    <w:rsid w:val="009D01A4"/>
    <w:rsid w:val="009D07BA"/>
    <w:rsid w:val="009D0A48"/>
    <w:rsid w:val="009D1051"/>
    <w:rsid w:val="009D188D"/>
    <w:rsid w:val="009D1E3E"/>
    <w:rsid w:val="009D2454"/>
    <w:rsid w:val="009D263A"/>
    <w:rsid w:val="009D2DBE"/>
    <w:rsid w:val="009D46F1"/>
    <w:rsid w:val="009D4A7C"/>
    <w:rsid w:val="009D4A88"/>
    <w:rsid w:val="009D4B34"/>
    <w:rsid w:val="009D671C"/>
    <w:rsid w:val="009D68F5"/>
    <w:rsid w:val="009D6E90"/>
    <w:rsid w:val="009D7988"/>
    <w:rsid w:val="009D7AE5"/>
    <w:rsid w:val="009E0030"/>
    <w:rsid w:val="009E04F1"/>
    <w:rsid w:val="009E1A7E"/>
    <w:rsid w:val="009E251F"/>
    <w:rsid w:val="009E2F3F"/>
    <w:rsid w:val="009E385D"/>
    <w:rsid w:val="009E57DA"/>
    <w:rsid w:val="009E5993"/>
    <w:rsid w:val="009E671B"/>
    <w:rsid w:val="009E67A7"/>
    <w:rsid w:val="009E78AA"/>
    <w:rsid w:val="009E7D87"/>
    <w:rsid w:val="009F0292"/>
    <w:rsid w:val="009F0811"/>
    <w:rsid w:val="009F1795"/>
    <w:rsid w:val="009F19F8"/>
    <w:rsid w:val="009F3923"/>
    <w:rsid w:val="009F4958"/>
    <w:rsid w:val="009F6873"/>
    <w:rsid w:val="009F7930"/>
    <w:rsid w:val="00A00119"/>
    <w:rsid w:val="00A02AB8"/>
    <w:rsid w:val="00A03A9E"/>
    <w:rsid w:val="00A03D2C"/>
    <w:rsid w:val="00A03E8B"/>
    <w:rsid w:val="00A04AAF"/>
    <w:rsid w:val="00A0555C"/>
    <w:rsid w:val="00A0594C"/>
    <w:rsid w:val="00A05A7D"/>
    <w:rsid w:val="00A06602"/>
    <w:rsid w:val="00A06E5B"/>
    <w:rsid w:val="00A07150"/>
    <w:rsid w:val="00A0721C"/>
    <w:rsid w:val="00A10410"/>
    <w:rsid w:val="00A107FA"/>
    <w:rsid w:val="00A1289D"/>
    <w:rsid w:val="00A13F0F"/>
    <w:rsid w:val="00A14010"/>
    <w:rsid w:val="00A14542"/>
    <w:rsid w:val="00A149D4"/>
    <w:rsid w:val="00A1573C"/>
    <w:rsid w:val="00A204F4"/>
    <w:rsid w:val="00A213CA"/>
    <w:rsid w:val="00A22BA9"/>
    <w:rsid w:val="00A23E9F"/>
    <w:rsid w:val="00A25B4D"/>
    <w:rsid w:val="00A26F75"/>
    <w:rsid w:val="00A27B13"/>
    <w:rsid w:val="00A3055C"/>
    <w:rsid w:val="00A30624"/>
    <w:rsid w:val="00A31D8E"/>
    <w:rsid w:val="00A31F0D"/>
    <w:rsid w:val="00A32072"/>
    <w:rsid w:val="00A334A7"/>
    <w:rsid w:val="00A3353E"/>
    <w:rsid w:val="00A33919"/>
    <w:rsid w:val="00A33D4E"/>
    <w:rsid w:val="00A3485F"/>
    <w:rsid w:val="00A34FBD"/>
    <w:rsid w:val="00A362B8"/>
    <w:rsid w:val="00A36389"/>
    <w:rsid w:val="00A36B96"/>
    <w:rsid w:val="00A36BBB"/>
    <w:rsid w:val="00A37A8C"/>
    <w:rsid w:val="00A4007B"/>
    <w:rsid w:val="00A40C69"/>
    <w:rsid w:val="00A42713"/>
    <w:rsid w:val="00A427F8"/>
    <w:rsid w:val="00A44774"/>
    <w:rsid w:val="00A44CA4"/>
    <w:rsid w:val="00A47FCF"/>
    <w:rsid w:val="00A50132"/>
    <w:rsid w:val="00A5400A"/>
    <w:rsid w:val="00A5480B"/>
    <w:rsid w:val="00A555CC"/>
    <w:rsid w:val="00A56E43"/>
    <w:rsid w:val="00A5791E"/>
    <w:rsid w:val="00A60B3A"/>
    <w:rsid w:val="00A61551"/>
    <w:rsid w:val="00A61684"/>
    <w:rsid w:val="00A61C7C"/>
    <w:rsid w:val="00A61D95"/>
    <w:rsid w:val="00A63A90"/>
    <w:rsid w:val="00A641D3"/>
    <w:rsid w:val="00A64E34"/>
    <w:rsid w:val="00A65444"/>
    <w:rsid w:val="00A67AE9"/>
    <w:rsid w:val="00A70C81"/>
    <w:rsid w:val="00A7282C"/>
    <w:rsid w:val="00A73334"/>
    <w:rsid w:val="00A733BF"/>
    <w:rsid w:val="00A73B23"/>
    <w:rsid w:val="00A765BA"/>
    <w:rsid w:val="00A772AA"/>
    <w:rsid w:val="00A77372"/>
    <w:rsid w:val="00A80397"/>
    <w:rsid w:val="00A81F6C"/>
    <w:rsid w:val="00A82597"/>
    <w:rsid w:val="00A82901"/>
    <w:rsid w:val="00A8339B"/>
    <w:rsid w:val="00A8620B"/>
    <w:rsid w:val="00A90E6D"/>
    <w:rsid w:val="00A9157A"/>
    <w:rsid w:val="00A919E9"/>
    <w:rsid w:val="00A9354B"/>
    <w:rsid w:val="00A93EDB"/>
    <w:rsid w:val="00A94C10"/>
    <w:rsid w:val="00A95102"/>
    <w:rsid w:val="00A957C9"/>
    <w:rsid w:val="00A95F01"/>
    <w:rsid w:val="00A971D1"/>
    <w:rsid w:val="00A97226"/>
    <w:rsid w:val="00A9737C"/>
    <w:rsid w:val="00AA12AB"/>
    <w:rsid w:val="00AA14A4"/>
    <w:rsid w:val="00AA1505"/>
    <w:rsid w:val="00AA22E2"/>
    <w:rsid w:val="00AA32F8"/>
    <w:rsid w:val="00AA39CC"/>
    <w:rsid w:val="00AA41A0"/>
    <w:rsid w:val="00AA543E"/>
    <w:rsid w:val="00AA5E54"/>
    <w:rsid w:val="00AA5EEF"/>
    <w:rsid w:val="00AA5F22"/>
    <w:rsid w:val="00AA6EB5"/>
    <w:rsid w:val="00AB3458"/>
    <w:rsid w:val="00AB4AEE"/>
    <w:rsid w:val="00AB4B2D"/>
    <w:rsid w:val="00AB5B93"/>
    <w:rsid w:val="00AB6B19"/>
    <w:rsid w:val="00AB7056"/>
    <w:rsid w:val="00AB765A"/>
    <w:rsid w:val="00AB7D55"/>
    <w:rsid w:val="00AB7F9F"/>
    <w:rsid w:val="00AC0E0B"/>
    <w:rsid w:val="00AC13AE"/>
    <w:rsid w:val="00AC1D96"/>
    <w:rsid w:val="00AC1F31"/>
    <w:rsid w:val="00AC3BD9"/>
    <w:rsid w:val="00AC42F9"/>
    <w:rsid w:val="00AC4557"/>
    <w:rsid w:val="00AC55EB"/>
    <w:rsid w:val="00AC7583"/>
    <w:rsid w:val="00AC783B"/>
    <w:rsid w:val="00AD0A42"/>
    <w:rsid w:val="00AD10CE"/>
    <w:rsid w:val="00AD17F8"/>
    <w:rsid w:val="00AD1CE1"/>
    <w:rsid w:val="00AD2EDF"/>
    <w:rsid w:val="00AD4720"/>
    <w:rsid w:val="00AD4A5B"/>
    <w:rsid w:val="00AD5447"/>
    <w:rsid w:val="00AD656C"/>
    <w:rsid w:val="00AE01AD"/>
    <w:rsid w:val="00AE07B9"/>
    <w:rsid w:val="00AE2304"/>
    <w:rsid w:val="00AE241B"/>
    <w:rsid w:val="00AE2D4D"/>
    <w:rsid w:val="00AE43EB"/>
    <w:rsid w:val="00AF0472"/>
    <w:rsid w:val="00AF0863"/>
    <w:rsid w:val="00AF103C"/>
    <w:rsid w:val="00AF226A"/>
    <w:rsid w:val="00AF294B"/>
    <w:rsid w:val="00AF4BE7"/>
    <w:rsid w:val="00AF4F7C"/>
    <w:rsid w:val="00AF78DB"/>
    <w:rsid w:val="00B00A2A"/>
    <w:rsid w:val="00B00E22"/>
    <w:rsid w:val="00B00F4C"/>
    <w:rsid w:val="00B015EE"/>
    <w:rsid w:val="00B01B27"/>
    <w:rsid w:val="00B0235E"/>
    <w:rsid w:val="00B037E3"/>
    <w:rsid w:val="00B040AC"/>
    <w:rsid w:val="00B05758"/>
    <w:rsid w:val="00B0585F"/>
    <w:rsid w:val="00B05E8E"/>
    <w:rsid w:val="00B06122"/>
    <w:rsid w:val="00B07323"/>
    <w:rsid w:val="00B07701"/>
    <w:rsid w:val="00B07B94"/>
    <w:rsid w:val="00B10AB6"/>
    <w:rsid w:val="00B10FF1"/>
    <w:rsid w:val="00B12434"/>
    <w:rsid w:val="00B127C8"/>
    <w:rsid w:val="00B13769"/>
    <w:rsid w:val="00B1393A"/>
    <w:rsid w:val="00B153E5"/>
    <w:rsid w:val="00B16600"/>
    <w:rsid w:val="00B16DF5"/>
    <w:rsid w:val="00B176B1"/>
    <w:rsid w:val="00B177EC"/>
    <w:rsid w:val="00B22019"/>
    <w:rsid w:val="00B224F9"/>
    <w:rsid w:val="00B22692"/>
    <w:rsid w:val="00B227F0"/>
    <w:rsid w:val="00B22F29"/>
    <w:rsid w:val="00B247AA"/>
    <w:rsid w:val="00B276DA"/>
    <w:rsid w:val="00B27A76"/>
    <w:rsid w:val="00B27DEC"/>
    <w:rsid w:val="00B29BBB"/>
    <w:rsid w:val="00B30348"/>
    <w:rsid w:val="00B315AD"/>
    <w:rsid w:val="00B3175B"/>
    <w:rsid w:val="00B330AE"/>
    <w:rsid w:val="00B3364C"/>
    <w:rsid w:val="00B33C79"/>
    <w:rsid w:val="00B33F93"/>
    <w:rsid w:val="00B34599"/>
    <w:rsid w:val="00B354EB"/>
    <w:rsid w:val="00B36B73"/>
    <w:rsid w:val="00B4070C"/>
    <w:rsid w:val="00B40E3F"/>
    <w:rsid w:val="00B41597"/>
    <w:rsid w:val="00B4234E"/>
    <w:rsid w:val="00B42E72"/>
    <w:rsid w:val="00B43CE1"/>
    <w:rsid w:val="00B43DEC"/>
    <w:rsid w:val="00B43F39"/>
    <w:rsid w:val="00B45BEE"/>
    <w:rsid w:val="00B47A21"/>
    <w:rsid w:val="00B51083"/>
    <w:rsid w:val="00B510C2"/>
    <w:rsid w:val="00B519E1"/>
    <w:rsid w:val="00B5279A"/>
    <w:rsid w:val="00B5323A"/>
    <w:rsid w:val="00B53AA3"/>
    <w:rsid w:val="00B56B46"/>
    <w:rsid w:val="00B56D41"/>
    <w:rsid w:val="00B57375"/>
    <w:rsid w:val="00B57E22"/>
    <w:rsid w:val="00B60765"/>
    <w:rsid w:val="00B614D7"/>
    <w:rsid w:val="00B61754"/>
    <w:rsid w:val="00B628BF"/>
    <w:rsid w:val="00B629E6"/>
    <w:rsid w:val="00B631B0"/>
    <w:rsid w:val="00B64743"/>
    <w:rsid w:val="00B64A9D"/>
    <w:rsid w:val="00B65080"/>
    <w:rsid w:val="00B65A19"/>
    <w:rsid w:val="00B664EF"/>
    <w:rsid w:val="00B67475"/>
    <w:rsid w:val="00B70E7E"/>
    <w:rsid w:val="00B735BA"/>
    <w:rsid w:val="00B7388D"/>
    <w:rsid w:val="00B738B0"/>
    <w:rsid w:val="00B741D0"/>
    <w:rsid w:val="00B74F8E"/>
    <w:rsid w:val="00B7503B"/>
    <w:rsid w:val="00B76951"/>
    <w:rsid w:val="00B80406"/>
    <w:rsid w:val="00B80521"/>
    <w:rsid w:val="00B807B4"/>
    <w:rsid w:val="00B80F5B"/>
    <w:rsid w:val="00B81CA4"/>
    <w:rsid w:val="00B8308C"/>
    <w:rsid w:val="00B8351A"/>
    <w:rsid w:val="00B83554"/>
    <w:rsid w:val="00B85181"/>
    <w:rsid w:val="00B85287"/>
    <w:rsid w:val="00B8575C"/>
    <w:rsid w:val="00B85B3E"/>
    <w:rsid w:val="00B8689D"/>
    <w:rsid w:val="00B87772"/>
    <w:rsid w:val="00B878A3"/>
    <w:rsid w:val="00B87DEF"/>
    <w:rsid w:val="00B90616"/>
    <w:rsid w:val="00B91314"/>
    <w:rsid w:val="00B91F37"/>
    <w:rsid w:val="00B920A1"/>
    <w:rsid w:val="00B92D45"/>
    <w:rsid w:val="00B9327B"/>
    <w:rsid w:val="00B9516E"/>
    <w:rsid w:val="00B954F8"/>
    <w:rsid w:val="00B95590"/>
    <w:rsid w:val="00B962BB"/>
    <w:rsid w:val="00B96E0F"/>
    <w:rsid w:val="00BA0EF3"/>
    <w:rsid w:val="00BA2282"/>
    <w:rsid w:val="00BA23C2"/>
    <w:rsid w:val="00BA2633"/>
    <w:rsid w:val="00BA38C9"/>
    <w:rsid w:val="00BA47C3"/>
    <w:rsid w:val="00BA5928"/>
    <w:rsid w:val="00BA5D62"/>
    <w:rsid w:val="00BA6719"/>
    <w:rsid w:val="00BA72E0"/>
    <w:rsid w:val="00BB0131"/>
    <w:rsid w:val="00BB14BE"/>
    <w:rsid w:val="00BB3C52"/>
    <w:rsid w:val="00BB46C4"/>
    <w:rsid w:val="00BB4710"/>
    <w:rsid w:val="00BB4D47"/>
    <w:rsid w:val="00BB59CD"/>
    <w:rsid w:val="00BB5A9F"/>
    <w:rsid w:val="00BB600C"/>
    <w:rsid w:val="00BB6BB7"/>
    <w:rsid w:val="00BB7DFC"/>
    <w:rsid w:val="00BB7F65"/>
    <w:rsid w:val="00BC022A"/>
    <w:rsid w:val="00BC14BC"/>
    <w:rsid w:val="00BC1F75"/>
    <w:rsid w:val="00BC3D1C"/>
    <w:rsid w:val="00BC43FB"/>
    <w:rsid w:val="00BC5CF9"/>
    <w:rsid w:val="00BC6114"/>
    <w:rsid w:val="00BD0046"/>
    <w:rsid w:val="00BD0839"/>
    <w:rsid w:val="00BD0DBA"/>
    <w:rsid w:val="00BD14EF"/>
    <w:rsid w:val="00BD172E"/>
    <w:rsid w:val="00BD1DE9"/>
    <w:rsid w:val="00BD1FEE"/>
    <w:rsid w:val="00BD237D"/>
    <w:rsid w:val="00BD2F19"/>
    <w:rsid w:val="00BD309E"/>
    <w:rsid w:val="00BD3894"/>
    <w:rsid w:val="00BD3BE4"/>
    <w:rsid w:val="00BD4BCE"/>
    <w:rsid w:val="00BD4E5D"/>
    <w:rsid w:val="00BD4EFD"/>
    <w:rsid w:val="00BD5EF9"/>
    <w:rsid w:val="00BD62EA"/>
    <w:rsid w:val="00BD6671"/>
    <w:rsid w:val="00BD6A93"/>
    <w:rsid w:val="00BD7134"/>
    <w:rsid w:val="00BE01DD"/>
    <w:rsid w:val="00BE0DA0"/>
    <w:rsid w:val="00BE2AB1"/>
    <w:rsid w:val="00BE411F"/>
    <w:rsid w:val="00BE4270"/>
    <w:rsid w:val="00BE5C69"/>
    <w:rsid w:val="00BE66F8"/>
    <w:rsid w:val="00BE70D1"/>
    <w:rsid w:val="00BE715D"/>
    <w:rsid w:val="00BE7553"/>
    <w:rsid w:val="00BE7CDD"/>
    <w:rsid w:val="00BF04C1"/>
    <w:rsid w:val="00BF26E3"/>
    <w:rsid w:val="00BF2ABC"/>
    <w:rsid w:val="00BF431C"/>
    <w:rsid w:val="00BF442C"/>
    <w:rsid w:val="00BF4A4B"/>
    <w:rsid w:val="00BF4D04"/>
    <w:rsid w:val="00BF6818"/>
    <w:rsid w:val="00BF6BFF"/>
    <w:rsid w:val="00C007F4"/>
    <w:rsid w:val="00C01C22"/>
    <w:rsid w:val="00C038C5"/>
    <w:rsid w:val="00C057FB"/>
    <w:rsid w:val="00C058BA"/>
    <w:rsid w:val="00C06BE6"/>
    <w:rsid w:val="00C071DF"/>
    <w:rsid w:val="00C078E2"/>
    <w:rsid w:val="00C07B99"/>
    <w:rsid w:val="00C104CB"/>
    <w:rsid w:val="00C1185B"/>
    <w:rsid w:val="00C12C54"/>
    <w:rsid w:val="00C14E8F"/>
    <w:rsid w:val="00C1617F"/>
    <w:rsid w:val="00C21E0A"/>
    <w:rsid w:val="00C21F4F"/>
    <w:rsid w:val="00C2241D"/>
    <w:rsid w:val="00C22B50"/>
    <w:rsid w:val="00C235A7"/>
    <w:rsid w:val="00C24068"/>
    <w:rsid w:val="00C24424"/>
    <w:rsid w:val="00C245E7"/>
    <w:rsid w:val="00C24A12"/>
    <w:rsid w:val="00C25AE2"/>
    <w:rsid w:val="00C26435"/>
    <w:rsid w:val="00C26B13"/>
    <w:rsid w:val="00C27A2D"/>
    <w:rsid w:val="00C30EA5"/>
    <w:rsid w:val="00C31E67"/>
    <w:rsid w:val="00C327B6"/>
    <w:rsid w:val="00C32FE5"/>
    <w:rsid w:val="00C33B48"/>
    <w:rsid w:val="00C33B95"/>
    <w:rsid w:val="00C33EE7"/>
    <w:rsid w:val="00C3495D"/>
    <w:rsid w:val="00C34D1D"/>
    <w:rsid w:val="00C34D52"/>
    <w:rsid w:val="00C351C0"/>
    <w:rsid w:val="00C36406"/>
    <w:rsid w:val="00C36C18"/>
    <w:rsid w:val="00C372DD"/>
    <w:rsid w:val="00C3792E"/>
    <w:rsid w:val="00C42CE1"/>
    <w:rsid w:val="00C43795"/>
    <w:rsid w:val="00C44092"/>
    <w:rsid w:val="00C4436D"/>
    <w:rsid w:val="00C44856"/>
    <w:rsid w:val="00C47384"/>
    <w:rsid w:val="00C4790D"/>
    <w:rsid w:val="00C47E15"/>
    <w:rsid w:val="00C503CA"/>
    <w:rsid w:val="00C509D9"/>
    <w:rsid w:val="00C517A1"/>
    <w:rsid w:val="00C5322D"/>
    <w:rsid w:val="00C544F6"/>
    <w:rsid w:val="00C5465C"/>
    <w:rsid w:val="00C55C42"/>
    <w:rsid w:val="00C567F1"/>
    <w:rsid w:val="00C56F79"/>
    <w:rsid w:val="00C57733"/>
    <w:rsid w:val="00C577A1"/>
    <w:rsid w:val="00C577EF"/>
    <w:rsid w:val="00C57EF0"/>
    <w:rsid w:val="00C600CF"/>
    <w:rsid w:val="00C60296"/>
    <w:rsid w:val="00C60546"/>
    <w:rsid w:val="00C637F3"/>
    <w:rsid w:val="00C64508"/>
    <w:rsid w:val="00C64872"/>
    <w:rsid w:val="00C6514E"/>
    <w:rsid w:val="00C705BD"/>
    <w:rsid w:val="00C70BE6"/>
    <w:rsid w:val="00C722AA"/>
    <w:rsid w:val="00C72327"/>
    <w:rsid w:val="00C7272D"/>
    <w:rsid w:val="00C7461F"/>
    <w:rsid w:val="00C74683"/>
    <w:rsid w:val="00C74AEA"/>
    <w:rsid w:val="00C75F46"/>
    <w:rsid w:val="00C77EAA"/>
    <w:rsid w:val="00C824AD"/>
    <w:rsid w:val="00C8328F"/>
    <w:rsid w:val="00C8352F"/>
    <w:rsid w:val="00C8399B"/>
    <w:rsid w:val="00C86A98"/>
    <w:rsid w:val="00C905CF"/>
    <w:rsid w:val="00C90697"/>
    <w:rsid w:val="00C90AA3"/>
    <w:rsid w:val="00C92A31"/>
    <w:rsid w:val="00C932C9"/>
    <w:rsid w:val="00C934B5"/>
    <w:rsid w:val="00C93788"/>
    <w:rsid w:val="00C93E7C"/>
    <w:rsid w:val="00C9453B"/>
    <w:rsid w:val="00C95FE6"/>
    <w:rsid w:val="00C96033"/>
    <w:rsid w:val="00C97F61"/>
    <w:rsid w:val="00CA07E1"/>
    <w:rsid w:val="00CA07EB"/>
    <w:rsid w:val="00CA2465"/>
    <w:rsid w:val="00CA25C3"/>
    <w:rsid w:val="00CA271C"/>
    <w:rsid w:val="00CA3612"/>
    <w:rsid w:val="00CA3E7A"/>
    <w:rsid w:val="00CA4D5E"/>
    <w:rsid w:val="00CA628D"/>
    <w:rsid w:val="00CA6B8C"/>
    <w:rsid w:val="00CA6D57"/>
    <w:rsid w:val="00CB111D"/>
    <w:rsid w:val="00CB1544"/>
    <w:rsid w:val="00CB1764"/>
    <w:rsid w:val="00CB1BE3"/>
    <w:rsid w:val="00CB1F78"/>
    <w:rsid w:val="00CB2E8F"/>
    <w:rsid w:val="00CB38A5"/>
    <w:rsid w:val="00CB4075"/>
    <w:rsid w:val="00CB4531"/>
    <w:rsid w:val="00CB4A35"/>
    <w:rsid w:val="00CB5C26"/>
    <w:rsid w:val="00CB6930"/>
    <w:rsid w:val="00CB6D26"/>
    <w:rsid w:val="00CB72C7"/>
    <w:rsid w:val="00CB7C93"/>
    <w:rsid w:val="00CC05EA"/>
    <w:rsid w:val="00CC1C30"/>
    <w:rsid w:val="00CC2B39"/>
    <w:rsid w:val="00CC33F7"/>
    <w:rsid w:val="00CC4071"/>
    <w:rsid w:val="00CC4B86"/>
    <w:rsid w:val="00CC6960"/>
    <w:rsid w:val="00CC726B"/>
    <w:rsid w:val="00CD0801"/>
    <w:rsid w:val="00CD099E"/>
    <w:rsid w:val="00CD166C"/>
    <w:rsid w:val="00CD1A34"/>
    <w:rsid w:val="00CD1C0A"/>
    <w:rsid w:val="00CD1F99"/>
    <w:rsid w:val="00CD323D"/>
    <w:rsid w:val="00CD3E63"/>
    <w:rsid w:val="00CD4C26"/>
    <w:rsid w:val="00CD54EB"/>
    <w:rsid w:val="00CD598D"/>
    <w:rsid w:val="00CD59A9"/>
    <w:rsid w:val="00CD7CD6"/>
    <w:rsid w:val="00CE0D54"/>
    <w:rsid w:val="00CE180C"/>
    <w:rsid w:val="00CE1F57"/>
    <w:rsid w:val="00CE25B9"/>
    <w:rsid w:val="00CE2BD2"/>
    <w:rsid w:val="00CE2E2F"/>
    <w:rsid w:val="00CE3BD9"/>
    <w:rsid w:val="00CE3BF7"/>
    <w:rsid w:val="00CE4793"/>
    <w:rsid w:val="00CE5E0B"/>
    <w:rsid w:val="00CE610A"/>
    <w:rsid w:val="00CE643F"/>
    <w:rsid w:val="00CE6445"/>
    <w:rsid w:val="00CE6886"/>
    <w:rsid w:val="00CE7301"/>
    <w:rsid w:val="00CF0186"/>
    <w:rsid w:val="00CF12CF"/>
    <w:rsid w:val="00CF3BC4"/>
    <w:rsid w:val="00CF414C"/>
    <w:rsid w:val="00CF47BD"/>
    <w:rsid w:val="00CF5598"/>
    <w:rsid w:val="00CF60FF"/>
    <w:rsid w:val="00CF7780"/>
    <w:rsid w:val="00D005C1"/>
    <w:rsid w:val="00D00864"/>
    <w:rsid w:val="00D02684"/>
    <w:rsid w:val="00D02A57"/>
    <w:rsid w:val="00D04BE9"/>
    <w:rsid w:val="00D04EFA"/>
    <w:rsid w:val="00D05B3C"/>
    <w:rsid w:val="00D06096"/>
    <w:rsid w:val="00D110D7"/>
    <w:rsid w:val="00D117EE"/>
    <w:rsid w:val="00D11C6B"/>
    <w:rsid w:val="00D124FC"/>
    <w:rsid w:val="00D12BA4"/>
    <w:rsid w:val="00D13A5B"/>
    <w:rsid w:val="00D13E22"/>
    <w:rsid w:val="00D146BA"/>
    <w:rsid w:val="00D14702"/>
    <w:rsid w:val="00D153D3"/>
    <w:rsid w:val="00D15CB4"/>
    <w:rsid w:val="00D16A6D"/>
    <w:rsid w:val="00D17E32"/>
    <w:rsid w:val="00D20DCB"/>
    <w:rsid w:val="00D20DF4"/>
    <w:rsid w:val="00D2109B"/>
    <w:rsid w:val="00D21A5D"/>
    <w:rsid w:val="00D229FB"/>
    <w:rsid w:val="00D22E59"/>
    <w:rsid w:val="00D23EB7"/>
    <w:rsid w:val="00D26F3F"/>
    <w:rsid w:val="00D2782F"/>
    <w:rsid w:val="00D312C1"/>
    <w:rsid w:val="00D31784"/>
    <w:rsid w:val="00D31B52"/>
    <w:rsid w:val="00D320CD"/>
    <w:rsid w:val="00D33290"/>
    <w:rsid w:val="00D338B0"/>
    <w:rsid w:val="00D344CB"/>
    <w:rsid w:val="00D3460D"/>
    <w:rsid w:val="00D353AF"/>
    <w:rsid w:val="00D359F1"/>
    <w:rsid w:val="00D35D47"/>
    <w:rsid w:val="00D369A3"/>
    <w:rsid w:val="00D37417"/>
    <w:rsid w:val="00D374B6"/>
    <w:rsid w:val="00D407BD"/>
    <w:rsid w:val="00D41E9E"/>
    <w:rsid w:val="00D428E2"/>
    <w:rsid w:val="00D430A2"/>
    <w:rsid w:val="00D43806"/>
    <w:rsid w:val="00D44638"/>
    <w:rsid w:val="00D44D03"/>
    <w:rsid w:val="00D44FBD"/>
    <w:rsid w:val="00D45AF2"/>
    <w:rsid w:val="00D4639E"/>
    <w:rsid w:val="00D46ED5"/>
    <w:rsid w:val="00D47702"/>
    <w:rsid w:val="00D503CB"/>
    <w:rsid w:val="00D506DC"/>
    <w:rsid w:val="00D5081F"/>
    <w:rsid w:val="00D50F33"/>
    <w:rsid w:val="00D51278"/>
    <w:rsid w:val="00D52021"/>
    <w:rsid w:val="00D52157"/>
    <w:rsid w:val="00D533B6"/>
    <w:rsid w:val="00D53E62"/>
    <w:rsid w:val="00D542F2"/>
    <w:rsid w:val="00D5485E"/>
    <w:rsid w:val="00D54AE9"/>
    <w:rsid w:val="00D5697F"/>
    <w:rsid w:val="00D57494"/>
    <w:rsid w:val="00D57AF5"/>
    <w:rsid w:val="00D57F9D"/>
    <w:rsid w:val="00D5C6D6"/>
    <w:rsid w:val="00D60262"/>
    <w:rsid w:val="00D603BC"/>
    <w:rsid w:val="00D60E8C"/>
    <w:rsid w:val="00D61AC3"/>
    <w:rsid w:val="00D634C1"/>
    <w:rsid w:val="00D65C5D"/>
    <w:rsid w:val="00D6619B"/>
    <w:rsid w:val="00D67985"/>
    <w:rsid w:val="00D706E5"/>
    <w:rsid w:val="00D71E33"/>
    <w:rsid w:val="00D72665"/>
    <w:rsid w:val="00D739D5"/>
    <w:rsid w:val="00D740FF"/>
    <w:rsid w:val="00D77BD9"/>
    <w:rsid w:val="00D810A9"/>
    <w:rsid w:val="00D812A2"/>
    <w:rsid w:val="00D81EE2"/>
    <w:rsid w:val="00D8344B"/>
    <w:rsid w:val="00D86723"/>
    <w:rsid w:val="00D8693B"/>
    <w:rsid w:val="00D86950"/>
    <w:rsid w:val="00D86FD6"/>
    <w:rsid w:val="00D87641"/>
    <w:rsid w:val="00D8775C"/>
    <w:rsid w:val="00D87A24"/>
    <w:rsid w:val="00D87E53"/>
    <w:rsid w:val="00D90799"/>
    <w:rsid w:val="00D9173A"/>
    <w:rsid w:val="00D92452"/>
    <w:rsid w:val="00D938D5"/>
    <w:rsid w:val="00D93986"/>
    <w:rsid w:val="00D95683"/>
    <w:rsid w:val="00D9703F"/>
    <w:rsid w:val="00D9723A"/>
    <w:rsid w:val="00DA0D20"/>
    <w:rsid w:val="00DA3172"/>
    <w:rsid w:val="00DA43B8"/>
    <w:rsid w:val="00DA488C"/>
    <w:rsid w:val="00DA4C59"/>
    <w:rsid w:val="00DA52A0"/>
    <w:rsid w:val="00DA5A7C"/>
    <w:rsid w:val="00DA6323"/>
    <w:rsid w:val="00DA650B"/>
    <w:rsid w:val="00DA6C11"/>
    <w:rsid w:val="00DA6EE6"/>
    <w:rsid w:val="00DA777C"/>
    <w:rsid w:val="00DA7CD9"/>
    <w:rsid w:val="00DA7D19"/>
    <w:rsid w:val="00DA7E56"/>
    <w:rsid w:val="00DB14B3"/>
    <w:rsid w:val="00DB251C"/>
    <w:rsid w:val="00DB2D75"/>
    <w:rsid w:val="00DB3EDA"/>
    <w:rsid w:val="00DB3FD3"/>
    <w:rsid w:val="00DB41DD"/>
    <w:rsid w:val="00DB5226"/>
    <w:rsid w:val="00DB594A"/>
    <w:rsid w:val="00DB7620"/>
    <w:rsid w:val="00DC0C9D"/>
    <w:rsid w:val="00DC1A8D"/>
    <w:rsid w:val="00DC26D7"/>
    <w:rsid w:val="00DC271B"/>
    <w:rsid w:val="00DC2D5A"/>
    <w:rsid w:val="00DC3133"/>
    <w:rsid w:val="00DC403E"/>
    <w:rsid w:val="00DC4D30"/>
    <w:rsid w:val="00DC6EFC"/>
    <w:rsid w:val="00DC7614"/>
    <w:rsid w:val="00DC791F"/>
    <w:rsid w:val="00DD1218"/>
    <w:rsid w:val="00DD1A2A"/>
    <w:rsid w:val="00DD2766"/>
    <w:rsid w:val="00DD2899"/>
    <w:rsid w:val="00DD391A"/>
    <w:rsid w:val="00DD40D3"/>
    <w:rsid w:val="00DD55D2"/>
    <w:rsid w:val="00DD56F7"/>
    <w:rsid w:val="00DD5888"/>
    <w:rsid w:val="00DD5F36"/>
    <w:rsid w:val="00DD6A66"/>
    <w:rsid w:val="00DD7030"/>
    <w:rsid w:val="00DE0688"/>
    <w:rsid w:val="00DE0955"/>
    <w:rsid w:val="00DE166A"/>
    <w:rsid w:val="00DE24F0"/>
    <w:rsid w:val="00DE3352"/>
    <w:rsid w:val="00DE3474"/>
    <w:rsid w:val="00DE402B"/>
    <w:rsid w:val="00DE4592"/>
    <w:rsid w:val="00DE4627"/>
    <w:rsid w:val="00DE4D0F"/>
    <w:rsid w:val="00DE4D1D"/>
    <w:rsid w:val="00DE5572"/>
    <w:rsid w:val="00DE5AFD"/>
    <w:rsid w:val="00DE5E3E"/>
    <w:rsid w:val="00DE5FD5"/>
    <w:rsid w:val="00DE6D95"/>
    <w:rsid w:val="00DE6F78"/>
    <w:rsid w:val="00DE7617"/>
    <w:rsid w:val="00DF05D2"/>
    <w:rsid w:val="00DF12FC"/>
    <w:rsid w:val="00DF1BA5"/>
    <w:rsid w:val="00DF2467"/>
    <w:rsid w:val="00DF2FF6"/>
    <w:rsid w:val="00DF310C"/>
    <w:rsid w:val="00DF5364"/>
    <w:rsid w:val="00DF5556"/>
    <w:rsid w:val="00DF5786"/>
    <w:rsid w:val="00DF620C"/>
    <w:rsid w:val="00DF666C"/>
    <w:rsid w:val="00DF6BD8"/>
    <w:rsid w:val="00DF76B5"/>
    <w:rsid w:val="00E00096"/>
    <w:rsid w:val="00E00C2F"/>
    <w:rsid w:val="00E00D3E"/>
    <w:rsid w:val="00E019BA"/>
    <w:rsid w:val="00E02B9C"/>
    <w:rsid w:val="00E03DAD"/>
    <w:rsid w:val="00E040FC"/>
    <w:rsid w:val="00E047E9"/>
    <w:rsid w:val="00E04E95"/>
    <w:rsid w:val="00E0590A"/>
    <w:rsid w:val="00E065D7"/>
    <w:rsid w:val="00E067A3"/>
    <w:rsid w:val="00E06C83"/>
    <w:rsid w:val="00E07F44"/>
    <w:rsid w:val="00E10AB9"/>
    <w:rsid w:val="00E1116B"/>
    <w:rsid w:val="00E11E27"/>
    <w:rsid w:val="00E125AC"/>
    <w:rsid w:val="00E13397"/>
    <w:rsid w:val="00E14236"/>
    <w:rsid w:val="00E148E3"/>
    <w:rsid w:val="00E14E31"/>
    <w:rsid w:val="00E152B4"/>
    <w:rsid w:val="00E165B4"/>
    <w:rsid w:val="00E20111"/>
    <w:rsid w:val="00E21200"/>
    <w:rsid w:val="00E2368E"/>
    <w:rsid w:val="00E2568E"/>
    <w:rsid w:val="00E27DDF"/>
    <w:rsid w:val="00E301B9"/>
    <w:rsid w:val="00E31CCA"/>
    <w:rsid w:val="00E334DD"/>
    <w:rsid w:val="00E33614"/>
    <w:rsid w:val="00E3372F"/>
    <w:rsid w:val="00E34942"/>
    <w:rsid w:val="00E34E25"/>
    <w:rsid w:val="00E350B1"/>
    <w:rsid w:val="00E35401"/>
    <w:rsid w:val="00E36C1A"/>
    <w:rsid w:val="00E3761E"/>
    <w:rsid w:val="00E40D15"/>
    <w:rsid w:val="00E411A6"/>
    <w:rsid w:val="00E41678"/>
    <w:rsid w:val="00E42186"/>
    <w:rsid w:val="00E42B24"/>
    <w:rsid w:val="00E449AC"/>
    <w:rsid w:val="00E4535E"/>
    <w:rsid w:val="00E45644"/>
    <w:rsid w:val="00E45B47"/>
    <w:rsid w:val="00E45BF0"/>
    <w:rsid w:val="00E4643C"/>
    <w:rsid w:val="00E47E48"/>
    <w:rsid w:val="00E50185"/>
    <w:rsid w:val="00E504F3"/>
    <w:rsid w:val="00E50D7D"/>
    <w:rsid w:val="00E52024"/>
    <w:rsid w:val="00E5302A"/>
    <w:rsid w:val="00E536CF"/>
    <w:rsid w:val="00E53C96"/>
    <w:rsid w:val="00E5405A"/>
    <w:rsid w:val="00E54974"/>
    <w:rsid w:val="00E54F0E"/>
    <w:rsid w:val="00E557D2"/>
    <w:rsid w:val="00E5596D"/>
    <w:rsid w:val="00E559E2"/>
    <w:rsid w:val="00E55A99"/>
    <w:rsid w:val="00E55CD7"/>
    <w:rsid w:val="00E55CFA"/>
    <w:rsid w:val="00E560BA"/>
    <w:rsid w:val="00E5683A"/>
    <w:rsid w:val="00E57E81"/>
    <w:rsid w:val="00E6011C"/>
    <w:rsid w:val="00E612D0"/>
    <w:rsid w:val="00E62FE0"/>
    <w:rsid w:val="00E6420C"/>
    <w:rsid w:val="00E646CA"/>
    <w:rsid w:val="00E65BFB"/>
    <w:rsid w:val="00E66ACB"/>
    <w:rsid w:val="00E66C80"/>
    <w:rsid w:val="00E6746F"/>
    <w:rsid w:val="00E6756F"/>
    <w:rsid w:val="00E7013A"/>
    <w:rsid w:val="00E707CA"/>
    <w:rsid w:val="00E7088E"/>
    <w:rsid w:val="00E7195E"/>
    <w:rsid w:val="00E72955"/>
    <w:rsid w:val="00E72AE7"/>
    <w:rsid w:val="00E730C9"/>
    <w:rsid w:val="00E73588"/>
    <w:rsid w:val="00E7392A"/>
    <w:rsid w:val="00E7474C"/>
    <w:rsid w:val="00E749E3"/>
    <w:rsid w:val="00E74BD5"/>
    <w:rsid w:val="00E74D02"/>
    <w:rsid w:val="00E74E32"/>
    <w:rsid w:val="00E75139"/>
    <w:rsid w:val="00E761FE"/>
    <w:rsid w:val="00E77DE7"/>
    <w:rsid w:val="00E802EF"/>
    <w:rsid w:val="00E80A44"/>
    <w:rsid w:val="00E80FC8"/>
    <w:rsid w:val="00E827A0"/>
    <w:rsid w:val="00E82CF0"/>
    <w:rsid w:val="00E84304"/>
    <w:rsid w:val="00E8443E"/>
    <w:rsid w:val="00E856CC"/>
    <w:rsid w:val="00E85E40"/>
    <w:rsid w:val="00E86A94"/>
    <w:rsid w:val="00E87819"/>
    <w:rsid w:val="00E87889"/>
    <w:rsid w:val="00E87C96"/>
    <w:rsid w:val="00E90265"/>
    <w:rsid w:val="00E905D3"/>
    <w:rsid w:val="00E90615"/>
    <w:rsid w:val="00E91C65"/>
    <w:rsid w:val="00E93836"/>
    <w:rsid w:val="00E940B9"/>
    <w:rsid w:val="00E9452A"/>
    <w:rsid w:val="00E94841"/>
    <w:rsid w:val="00E94D13"/>
    <w:rsid w:val="00E95219"/>
    <w:rsid w:val="00E9690C"/>
    <w:rsid w:val="00EA0CEE"/>
    <w:rsid w:val="00EA0E8B"/>
    <w:rsid w:val="00EA1792"/>
    <w:rsid w:val="00EA335A"/>
    <w:rsid w:val="00EA3669"/>
    <w:rsid w:val="00EA4DE2"/>
    <w:rsid w:val="00EA552E"/>
    <w:rsid w:val="00EA5601"/>
    <w:rsid w:val="00EA70FD"/>
    <w:rsid w:val="00EA7614"/>
    <w:rsid w:val="00EA76B2"/>
    <w:rsid w:val="00EB03C9"/>
    <w:rsid w:val="00EB074D"/>
    <w:rsid w:val="00EB0A8B"/>
    <w:rsid w:val="00EB21E6"/>
    <w:rsid w:val="00EB2414"/>
    <w:rsid w:val="00EB2A5A"/>
    <w:rsid w:val="00EB3BA9"/>
    <w:rsid w:val="00EB52EA"/>
    <w:rsid w:val="00EB5619"/>
    <w:rsid w:val="00EB63B6"/>
    <w:rsid w:val="00EB65C1"/>
    <w:rsid w:val="00EB74F8"/>
    <w:rsid w:val="00EB769C"/>
    <w:rsid w:val="00EC0A18"/>
    <w:rsid w:val="00EC1023"/>
    <w:rsid w:val="00EC2386"/>
    <w:rsid w:val="00EC26AC"/>
    <w:rsid w:val="00EC2702"/>
    <w:rsid w:val="00EC2A95"/>
    <w:rsid w:val="00EC2EA5"/>
    <w:rsid w:val="00EC339A"/>
    <w:rsid w:val="00EC3A56"/>
    <w:rsid w:val="00EC3DE8"/>
    <w:rsid w:val="00EC5390"/>
    <w:rsid w:val="00EC589D"/>
    <w:rsid w:val="00EC6BB0"/>
    <w:rsid w:val="00EC7215"/>
    <w:rsid w:val="00EC7231"/>
    <w:rsid w:val="00EC7322"/>
    <w:rsid w:val="00EC7FB8"/>
    <w:rsid w:val="00ED0818"/>
    <w:rsid w:val="00ED081D"/>
    <w:rsid w:val="00ED0AF2"/>
    <w:rsid w:val="00ED1252"/>
    <w:rsid w:val="00ED1332"/>
    <w:rsid w:val="00ED1F38"/>
    <w:rsid w:val="00ED2634"/>
    <w:rsid w:val="00ED2A79"/>
    <w:rsid w:val="00ED469A"/>
    <w:rsid w:val="00ED6218"/>
    <w:rsid w:val="00ED6C0E"/>
    <w:rsid w:val="00ED6D3A"/>
    <w:rsid w:val="00ED6DE9"/>
    <w:rsid w:val="00ED7372"/>
    <w:rsid w:val="00EE13B6"/>
    <w:rsid w:val="00EE15C4"/>
    <w:rsid w:val="00EE27C3"/>
    <w:rsid w:val="00EE2AA0"/>
    <w:rsid w:val="00EE4729"/>
    <w:rsid w:val="00EE566A"/>
    <w:rsid w:val="00EE5EF0"/>
    <w:rsid w:val="00EE6AAB"/>
    <w:rsid w:val="00EF03AD"/>
    <w:rsid w:val="00EF113D"/>
    <w:rsid w:val="00EF23F6"/>
    <w:rsid w:val="00EF2FBD"/>
    <w:rsid w:val="00EF41C8"/>
    <w:rsid w:val="00EF420B"/>
    <w:rsid w:val="00EF4894"/>
    <w:rsid w:val="00EF52EE"/>
    <w:rsid w:val="00EF56A6"/>
    <w:rsid w:val="00EF7B57"/>
    <w:rsid w:val="00F005AF"/>
    <w:rsid w:val="00F005FE"/>
    <w:rsid w:val="00F00D89"/>
    <w:rsid w:val="00F025EC"/>
    <w:rsid w:val="00F02CD4"/>
    <w:rsid w:val="00F05612"/>
    <w:rsid w:val="00F0655E"/>
    <w:rsid w:val="00F10203"/>
    <w:rsid w:val="00F10DE4"/>
    <w:rsid w:val="00F1125E"/>
    <w:rsid w:val="00F116DF"/>
    <w:rsid w:val="00F12878"/>
    <w:rsid w:val="00F13976"/>
    <w:rsid w:val="00F144CC"/>
    <w:rsid w:val="00F14791"/>
    <w:rsid w:val="00F16F85"/>
    <w:rsid w:val="00F171DD"/>
    <w:rsid w:val="00F173AF"/>
    <w:rsid w:val="00F2096C"/>
    <w:rsid w:val="00F20DC1"/>
    <w:rsid w:val="00F21D2A"/>
    <w:rsid w:val="00F233E7"/>
    <w:rsid w:val="00F23535"/>
    <w:rsid w:val="00F23ECB"/>
    <w:rsid w:val="00F257BF"/>
    <w:rsid w:val="00F2661D"/>
    <w:rsid w:val="00F308AB"/>
    <w:rsid w:val="00F31F21"/>
    <w:rsid w:val="00F329FB"/>
    <w:rsid w:val="00F337EC"/>
    <w:rsid w:val="00F34BAC"/>
    <w:rsid w:val="00F35D4E"/>
    <w:rsid w:val="00F362F4"/>
    <w:rsid w:val="00F36B32"/>
    <w:rsid w:val="00F3721F"/>
    <w:rsid w:val="00F37C8D"/>
    <w:rsid w:val="00F42443"/>
    <w:rsid w:val="00F43296"/>
    <w:rsid w:val="00F443BD"/>
    <w:rsid w:val="00F45522"/>
    <w:rsid w:val="00F46409"/>
    <w:rsid w:val="00F464AE"/>
    <w:rsid w:val="00F466B8"/>
    <w:rsid w:val="00F50283"/>
    <w:rsid w:val="00F50774"/>
    <w:rsid w:val="00F50E6F"/>
    <w:rsid w:val="00F525DA"/>
    <w:rsid w:val="00F53489"/>
    <w:rsid w:val="00F5377F"/>
    <w:rsid w:val="00F5445C"/>
    <w:rsid w:val="00F54926"/>
    <w:rsid w:val="00F54B62"/>
    <w:rsid w:val="00F54B76"/>
    <w:rsid w:val="00F54C32"/>
    <w:rsid w:val="00F55034"/>
    <w:rsid w:val="00F55D6B"/>
    <w:rsid w:val="00F5697C"/>
    <w:rsid w:val="00F574D5"/>
    <w:rsid w:val="00F605F9"/>
    <w:rsid w:val="00F6082D"/>
    <w:rsid w:val="00F6144D"/>
    <w:rsid w:val="00F61481"/>
    <w:rsid w:val="00F61488"/>
    <w:rsid w:val="00F61C33"/>
    <w:rsid w:val="00F62E65"/>
    <w:rsid w:val="00F6367E"/>
    <w:rsid w:val="00F64903"/>
    <w:rsid w:val="00F6622C"/>
    <w:rsid w:val="00F6689B"/>
    <w:rsid w:val="00F6698C"/>
    <w:rsid w:val="00F67578"/>
    <w:rsid w:val="00F67EDF"/>
    <w:rsid w:val="00F70423"/>
    <w:rsid w:val="00F70D0E"/>
    <w:rsid w:val="00F70DE2"/>
    <w:rsid w:val="00F7103C"/>
    <w:rsid w:val="00F71663"/>
    <w:rsid w:val="00F72137"/>
    <w:rsid w:val="00F723F1"/>
    <w:rsid w:val="00F726D5"/>
    <w:rsid w:val="00F73FF8"/>
    <w:rsid w:val="00F74481"/>
    <w:rsid w:val="00F75612"/>
    <w:rsid w:val="00F76935"/>
    <w:rsid w:val="00F76A64"/>
    <w:rsid w:val="00F80A5F"/>
    <w:rsid w:val="00F80A7D"/>
    <w:rsid w:val="00F82AF0"/>
    <w:rsid w:val="00F847FF"/>
    <w:rsid w:val="00F84AE8"/>
    <w:rsid w:val="00F85295"/>
    <w:rsid w:val="00F8797F"/>
    <w:rsid w:val="00F9108C"/>
    <w:rsid w:val="00F910FE"/>
    <w:rsid w:val="00F91B66"/>
    <w:rsid w:val="00F91BA2"/>
    <w:rsid w:val="00F93606"/>
    <w:rsid w:val="00F94129"/>
    <w:rsid w:val="00F9472A"/>
    <w:rsid w:val="00F948A1"/>
    <w:rsid w:val="00F97889"/>
    <w:rsid w:val="00FA04B1"/>
    <w:rsid w:val="00FA0AC0"/>
    <w:rsid w:val="00FA0D06"/>
    <w:rsid w:val="00FA0F24"/>
    <w:rsid w:val="00FA1982"/>
    <w:rsid w:val="00FA19C2"/>
    <w:rsid w:val="00FA23AF"/>
    <w:rsid w:val="00FA2E0E"/>
    <w:rsid w:val="00FA63B6"/>
    <w:rsid w:val="00FA6F69"/>
    <w:rsid w:val="00FA7F9E"/>
    <w:rsid w:val="00FB048D"/>
    <w:rsid w:val="00FB065F"/>
    <w:rsid w:val="00FB0963"/>
    <w:rsid w:val="00FB18F4"/>
    <w:rsid w:val="00FB3569"/>
    <w:rsid w:val="00FB4334"/>
    <w:rsid w:val="00FB5D9F"/>
    <w:rsid w:val="00FB7375"/>
    <w:rsid w:val="00FC0CCC"/>
    <w:rsid w:val="00FC1658"/>
    <w:rsid w:val="00FC2518"/>
    <w:rsid w:val="00FC27E9"/>
    <w:rsid w:val="00FC2E1B"/>
    <w:rsid w:val="00FC3247"/>
    <w:rsid w:val="00FC42D7"/>
    <w:rsid w:val="00FC4898"/>
    <w:rsid w:val="00FC4A11"/>
    <w:rsid w:val="00FC5415"/>
    <w:rsid w:val="00FC5A9E"/>
    <w:rsid w:val="00FC6A27"/>
    <w:rsid w:val="00FC6D6F"/>
    <w:rsid w:val="00FC6F49"/>
    <w:rsid w:val="00FC76F6"/>
    <w:rsid w:val="00FD05CA"/>
    <w:rsid w:val="00FD1F75"/>
    <w:rsid w:val="00FD27FA"/>
    <w:rsid w:val="00FD2B4C"/>
    <w:rsid w:val="00FD397F"/>
    <w:rsid w:val="00FD4292"/>
    <w:rsid w:val="00FD4299"/>
    <w:rsid w:val="00FD5008"/>
    <w:rsid w:val="00FD5956"/>
    <w:rsid w:val="00FD63E6"/>
    <w:rsid w:val="00FD6F4C"/>
    <w:rsid w:val="00FD778D"/>
    <w:rsid w:val="00FE12FC"/>
    <w:rsid w:val="00FE1BC9"/>
    <w:rsid w:val="00FE2A60"/>
    <w:rsid w:val="00FE3487"/>
    <w:rsid w:val="00FE53B0"/>
    <w:rsid w:val="00FE5712"/>
    <w:rsid w:val="00FE5FEF"/>
    <w:rsid w:val="00FE670E"/>
    <w:rsid w:val="00FF00C8"/>
    <w:rsid w:val="00FF02BB"/>
    <w:rsid w:val="00FF0674"/>
    <w:rsid w:val="00FF0C52"/>
    <w:rsid w:val="00FF1750"/>
    <w:rsid w:val="00FF19D7"/>
    <w:rsid w:val="00FF19EE"/>
    <w:rsid w:val="00FF1D71"/>
    <w:rsid w:val="00FF2C35"/>
    <w:rsid w:val="00FF31C1"/>
    <w:rsid w:val="00FF45B2"/>
    <w:rsid w:val="00FF460F"/>
    <w:rsid w:val="00FF6184"/>
    <w:rsid w:val="00FF78C2"/>
    <w:rsid w:val="00FF7A65"/>
    <w:rsid w:val="00FF7F4C"/>
    <w:rsid w:val="01116B03"/>
    <w:rsid w:val="011B9C26"/>
    <w:rsid w:val="011EE41D"/>
    <w:rsid w:val="0127F11C"/>
    <w:rsid w:val="0144117D"/>
    <w:rsid w:val="01546DF1"/>
    <w:rsid w:val="0166581D"/>
    <w:rsid w:val="0177CA5A"/>
    <w:rsid w:val="018F0252"/>
    <w:rsid w:val="01940749"/>
    <w:rsid w:val="01AE5C40"/>
    <w:rsid w:val="01B6232E"/>
    <w:rsid w:val="01B97BB1"/>
    <w:rsid w:val="01D73B5C"/>
    <w:rsid w:val="01DA9506"/>
    <w:rsid w:val="01DCF0E0"/>
    <w:rsid w:val="01F5EDA2"/>
    <w:rsid w:val="02065493"/>
    <w:rsid w:val="02177440"/>
    <w:rsid w:val="0236C2C0"/>
    <w:rsid w:val="0266E86B"/>
    <w:rsid w:val="027BEC80"/>
    <w:rsid w:val="028F22AF"/>
    <w:rsid w:val="029B7D7B"/>
    <w:rsid w:val="02A8B731"/>
    <w:rsid w:val="02BDB9CA"/>
    <w:rsid w:val="02D09E76"/>
    <w:rsid w:val="030223CD"/>
    <w:rsid w:val="030F1F19"/>
    <w:rsid w:val="031B05B1"/>
    <w:rsid w:val="031EDC2E"/>
    <w:rsid w:val="032BA92C"/>
    <w:rsid w:val="0354E017"/>
    <w:rsid w:val="035E9963"/>
    <w:rsid w:val="03629516"/>
    <w:rsid w:val="03672A75"/>
    <w:rsid w:val="03DFD29E"/>
    <w:rsid w:val="03E55BB2"/>
    <w:rsid w:val="03EEAF77"/>
    <w:rsid w:val="03F36808"/>
    <w:rsid w:val="03F6DC57"/>
    <w:rsid w:val="040E8F06"/>
    <w:rsid w:val="041418D5"/>
    <w:rsid w:val="041D2136"/>
    <w:rsid w:val="04216E58"/>
    <w:rsid w:val="0426596E"/>
    <w:rsid w:val="0427137D"/>
    <w:rsid w:val="04274C7A"/>
    <w:rsid w:val="04594EF3"/>
    <w:rsid w:val="04601727"/>
    <w:rsid w:val="0463215A"/>
    <w:rsid w:val="04691B12"/>
    <w:rsid w:val="046E7910"/>
    <w:rsid w:val="046FBBF7"/>
    <w:rsid w:val="04814981"/>
    <w:rsid w:val="04828E15"/>
    <w:rsid w:val="0496336F"/>
    <w:rsid w:val="04B63F4F"/>
    <w:rsid w:val="04BA4E04"/>
    <w:rsid w:val="04C60B9C"/>
    <w:rsid w:val="04D09F03"/>
    <w:rsid w:val="0503354B"/>
    <w:rsid w:val="0534E132"/>
    <w:rsid w:val="05355F99"/>
    <w:rsid w:val="053E3C44"/>
    <w:rsid w:val="054E098F"/>
    <w:rsid w:val="057A189E"/>
    <w:rsid w:val="0590C616"/>
    <w:rsid w:val="0595C54A"/>
    <w:rsid w:val="059D885A"/>
    <w:rsid w:val="05CD92F2"/>
    <w:rsid w:val="05FDC2CB"/>
    <w:rsid w:val="0602ECB2"/>
    <w:rsid w:val="06231216"/>
    <w:rsid w:val="0632FCD2"/>
    <w:rsid w:val="063CF83E"/>
    <w:rsid w:val="06446B8C"/>
    <w:rsid w:val="0648FC9C"/>
    <w:rsid w:val="064E8E3F"/>
    <w:rsid w:val="0651C982"/>
    <w:rsid w:val="065C64F9"/>
    <w:rsid w:val="0668B0BE"/>
    <w:rsid w:val="06899451"/>
    <w:rsid w:val="06A068E1"/>
    <w:rsid w:val="06AC2DEE"/>
    <w:rsid w:val="06B13E60"/>
    <w:rsid w:val="06B3C338"/>
    <w:rsid w:val="06DAA22B"/>
    <w:rsid w:val="06E71543"/>
    <w:rsid w:val="06F4FB81"/>
    <w:rsid w:val="06F60DDE"/>
    <w:rsid w:val="07094014"/>
    <w:rsid w:val="0752B34B"/>
    <w:rsid w:val="075533B5"/>
    <w:rsid w:val="077D115B"/>
    <w:rsid w:val="07AC0E1F"/>
    <w:rsid w:val="07C5AF00"/>
    <w:rsid w:val="07F90ED3"/>
    <w:rsid w:val="08066EC5"/>
    <w:rsid w:val="080DA826"/>
    <w:rsid w:val="080F9D59"/>
    <w:rsid w:val="082564B2"/>
    <w:rsid w:val="0828BE6B"/>
    <w:rsid w:val="083F98C7"/>
    <w:rsid w:val="08473C56"/>
    <w:rsid w:val="0861878D"/>
    <w:rsid w:val="0872521B"/>
    <w:rsid w:val="087561D9"/>
    <w:rsid w:val="08783D74"/>
    <w:rsid w:val="087AD018"/>
    <w:rsid w:val="08811A0A"/>
    <w:rsid w:val="08856012"/>
    <w:rsid w:val="0887D7A5"/>
    <w:rsid w:val="088F7E10"/>
    <w:rsid w:val="089B2C68"/>
    <w:rsid w:val="08B555EF"/>
    <w:rsid w:val="091DE138"/>
    <w:rsid w:val="091E4445"/>
    <w:rsid w:val="09367DE7"/>
    <w:rsid w:val="095CB440"/>
    <w:rsid w:val="0960858B"/>
    <w:rsid w:val="096C65D7"/>
    <w:rsid w:val="09752946"/>
    <w:rsid w:val="0976A26A"/>
    <w:rsid w:val="097A2714"/>
    <w:rsid w:val="09A0FF0A"/>
    <w:rsid w:val="09AEBF66"/>
    <w:rsid w:val="09B39F40"/>
    <w:rsid w:val="09B4E7D2"/>
    <w:rsid w:val="09BE687E"/>
    <w:rsid w:val="09DF16B9"/>
    <w:rsid w:val="09F01EBF"/>
    <w:rsid w:val="09FC5E60"/>
    <w:rsid w:val="09FC847A"/>
    <w:rsid w:val="0A1C0005"/>
    <w:rsid w:val="0A269557"/>
    <w:rsid w:val="0A2F6252"/>
    <w:rsid w:val="0A394393"/>
    <w:rsid w:val="0A3A220D"/>
    <w:rsid w:val="0A51655C"/>
    <w:rsid w:val="0AA234B6"/>
    <w:rsid w:val="0AB4B921"/>
    <w:rsid w:val="0AC0AC53"/>
    <w:rsid w:val="0ACC370D"/>
    <w:rsid w:val="0AF88E2F"/>
    <w:rsid w:val="0B103690"/>
    <w:rsid w:val="0B1054CB"/>
    <w:rsid w:val="0B28E339"/>
    <w:rsid w:val="0B68015E"/>
    <w:rsid w:val="0B7990EC"/>
    <w:rsid w:val="0B959018"/>
    <w:rsid w:val="0BBEE0EF"/>
    <w:rsid w:val="0BE661F8"/>
    <w:rsid w:val="0BEF3870"/>
    <w:rsid w:val="0BFD6225"/>
    <w:rsid w:val="0C05DBAF"/>
    <w:rsid w:val="0C0D0F69"/>
    <w:rsid w:val="0C1516ED"/>
    <w:rsid w:val="0C2A3F03"/>
    <w:rsid w:val="0C391661"/>
    <w:rsid w:val="0C60E45A"/>
    <w:rsid w:val="0C6D2E3E"/>
    <w:rsid w:val="0C8EE8ED"/>
    <w:rsid w:val="0CB2B8A6"/>
    <w:rsid w:val="0CE3F2EB"/>
    <w:rsid w:val="0CE6C6D2"/>
    <w:rsid w:val="0CEAE7EE"/>
    <w:rsid w:val="0CF72076"/>
    <w:rsid w:val="0D0B48B8"/>
    <w:rsid w:val="0D1480D9"/>
    <w:rsid w:val="0D172931"/>
    <w:rsid w:val="0D209C44"/>
    <w:rsid w:val="0D2BFA75"/>
    <w:rsid w:val="0D2F796F"/>
    <w:rsid w:val="0D440878"/>
    <w:rsid w:val="0D5852A5"/>
    <w:rsid w:val="0D6FD4F4"/>
    <w:rsid w:val="0D79E738"/>
    <w:rsid w:val="0D95957F"/>
    <w:rsid w:val="0DA160C9"/>
    <w:rsid w:val="0DB9FC9C"/>
    <w:rsid w:val="0DDBAAF1"/>
    <w:rsid w:val="0E3F1FAF"/>
    <w:rsid w:val="0E5DEC15"/>
    <w:rsid w:val="0E5EE505"/>
    <w:rsid w:val="0E63DE32"/>
    <w:rsid w:val="0E90396C"/>
    <w:rsid w:val="0E94A636"/>
    <w:rsid w:val="0E96601F"/>
    <w:rsid w:val="0EB30E31"/>
    <w:rsid w:val="0EC0BC2F"/>
    <w:rsid w:val="0EC16D3C"/>
    <w:rsid w:val="0EC56B7A"/>
    <w:rsid w:val="0EED9907"/>
    <w:rsid w:val="0EFD9913"/>
    <w:rsid w:val="0F15DDF5"/>
    <w:rsid w:val="0F2557EC"/>
    <w:rsid w:val="0F5FCC5D"/>
    <w:rsid w:val="0F77F028"/>
    <w:rsid w:val="0F8C6506"/>
    <w:rsid w:val="0F8D0193"/>
    <w:rsid w:val="0FA4A511"/>
    <w:rsid w:val="10242956"/>
    <w:rsid w:val="102536D4"/>
    <w:rsid w:val="1030F000"/>
    <w:rsid w:val="10436085"/>
    <w:rsid w:val="1049C073"/>
    <w:rsid w:val="10559C24"/>
    <w:rsid w:val="107F815F"/>
    <w:rsid w:val="1085F190"/>
    <w:rsid w:val="108ACA2E"/>
    <w:rsid w:val="10A6B45A"/>
    <w:rsid w:val="10AF8292"/>
    <w:rsid w:val="10B35924"/>
    <w:rsid w:val="10B6AF45"/>
    <w:rsid w:val="10B9C0E9"/>
    <w:rsid w:val="10C77BFF"/>
    <w:rsid w:val="10CAF87A"/>
    <w:rsid w:val="10DBF678"/>
    <w:rsid w:val="10E4394D"/>
    <w:rsid w:val="111A1F62"/>
    <w:rsid w:val="1122E177"/>
    <w:rsid w:val="1139A341"/>
    <w:rsid w:val="113B1F31"/>
    <w:rsid w:val="1150D574"/>
    <w:rsid w:val="1158F1C1"/>
    <w:rsid w:val="115B0FC1"/>
    <w:rsid w:val="116124E4"/>
    <w:rsid w:val="116C562B"/>
    <w:rsid w:val="11708410"/>
    <w:rsid w:val="1179D5A4"/>
    <w:rsid w:val="117E7BF5"/>
    <w:rsid w:val="1186A1E5"/>
    <w:rsid w:val="11903832"/>
    <w:rsid w:val="11A7B7EC"/>
    <w:rsid w:val="11AB6365"/>
    <w:rsid w:val="11C28629"/>
    <w:rsid w:val="11CBB3E1"/>
    <w:rsid w:val="11DECB50"/>
    <w:rsid w:val="11F07066"/>
    <w:rsid w:val="11FF6DA3"/>
    <w:rsid w:val="120B154D"/>
    <w:rsid w:val="121B51C0"/>
    <w:rsid w:val="124DB732"/>
    <w:rsid w:val="125DFAF3"/>
    <w:rsid w:val="1285E661"/>
    <w:rsid w:val="128ACE3B"/>
    <w:rsid w:val="128F0EF0"/>
    <w:rsid w:val="1291A69D"/>
    <w:rsid w:val="1298B114"/>
    <w:rsid w:val="1299CAFF"/>
    <w:rsid w:val="12B9FD3E"/>
    <w:rsid w:val="12D59147"/>
    <w:rsid w:val="12EA1310"/>
    <w:rsid w:val="1332C8A5"/>
    <w:rsid w:val="13484453"/>
    <w:rsid w:val="1376B80D"/>
    <w:rsid w:val="13C7695C"/>
    <w:rsid w:val="13C97C32"/>
    <w:rsid w:val="13F22AF9"/>
    <w:rsid w:val="1405E871"/>
    <w:rsid w:val="141ECE6C"/>
    <w:rsid w:val="142F3FF5"/>
    <w:rsid w:val="143ACB6C"/>
    <w:rsid w:val="143B4FCD"/>
    <w:rsid w:val="144B18B2"/>
    <w:rsid w:val="145054DD"/>
    <w:rsid w:val="1459001E"/>
    <w:rsid w:val="14626495"/>
    <w:rsid w:val="146BA74E"/>
    <w:rsid w:val="1484BDE5"/>
    <w:rsid w:val="1497C97C"/>
    <w:rsid w:val="14BD29E2"/>
    <w:rsid w:val="14C41174"/>
    <w:rsid w:val="14CD7683"/>
    <w:rsid w:val="14E9B95B"/>
    <w:rsid w:val="15115953"/>
    <w:rsid w:val="154E6E4F"/>
    <w:rsid w:val="15652125"/>
    <w:rsid w:val="156C709F"/>
    <w:rsid w:val="1573F883"/>
    <w:rsid w:val="158D2CBE"/>
    <w:rsid w:val="15A86953"/>
    <w:rsid w:val="15B85170"/>
    <w:rsid w:val="15C0AE6F"/>
    <w:rsid w:val="15C84337"/>
    <w:rsid w:val="15DCF8BF"/>
    <w:rsid w:val="15FA81DF"/>
    <w:rsid w:val="15FC4A2A"/>
    <w:rsid w:val="1608C0CF"/>
    <w:rsid w:val="16208AC0"/>
    <w:rsid w:val="16220B6A"/>
    <w:rsid w:val="16438833"/>
    <w:rsid w:val="16457E32"/>
    <w:rsid w:val="166E95D0"/>
    <w:rsid w:val="167ED604"/>
    <w:rsid w:val="168132EA"/>
    <w:rsid w:val="16853B22"/>
    <w:rsid w:val="168A7521"/>
    <w:rsid w:val="16A0F65C"/>
    <w:rsid w:val="16ABD386"/>
    <w:rsid w:val="16B1DDD1"/>
    <w:rsid w:val="16B71894"/>
    <w:rsid w:val="16C06816"/>
    <w:rsid w:val="1735BFE8"/>
    <w:rsid w:val="17426738"/>
    <w:rsid w:val="176AC69B"/>
    <w:rsid w:val="178DA8B1"/>
    <w:rsid w:val="1796F5DA"/>
    <w:rsid w:val="17BBE38D"/>
    <w:rsid w:val="17D35B88"/>
    <w:rsid w:val="17E2EE5B"/>
    <w:rsid w:val="1800DA7C"/>
    <w:rsid w:val="180FF8AC"/>
    <w:rsid w:val="1831F0B3"/>
    <w:rsid w:val="184080AA"/>
    <w:rsid w:val="1840E64C"/>
    <w:rsid w:val="18437602"/>
    <w:rsid w:val="184BF02E"/>
    <w:rsid w:val="184EECE6"/>
    <w:rsid w:val="1866ACA6"/>
    <w:rsid w:val="186744E9"/>
    <w:rsid w:val="18779747"/>
    <w:rsid w:val="188FB6D3"/>
    <w:rsid w:val="18943C20"/>
    <w:rsid w:val="1898D16B"/>
    <w:rsid w:val="18C93384"/>
    <w:rsid w:val="18CAD1B3"/>
    <w:rsid w:val="1907390C"/>
    <w:rsid w:val="1924054C"/>
    <w:rsid w:val="194B2013"/>
    <w:rsid w:val="194F62BC"/>
    <w:rsid w:val="19516592"/>
    <w:rsid w:val="1956F9F3"/>
    <w:rsid w:val="198E8C86"/>
    <w:rsid w:val="1993EAA7"/>
    <w:rsid w:val="19EB1882"/>
    <w:rsid w:val="1A2707E3"/>
    <w:rsid w:val="1A2FEE75"/>
    <w:rsid w:val="1A3C6CF3"/>
    <w:rsid w:val="1A42928C"/>
    <w:rsid w:val="1A46894B"/>
    <w:rsid w:val="1A5F7EE5"/>
    <w:rsid w:val="1A92BA78"/>
    <w:rsid w:val="1AB8C5E9"/>
    <w:rsid w:val="1ACC2875"/>
    <w:rsid w:val="1AD405AF"/>
    <w:rsid w:val="1AD53CE2"/>
    <w:rsid w:val="1AFE6632"/>
    <w:rsid w:val="1B04300A"/>
    <w:rsid w:val="1B09A208"/>
    <w:rsid w:val="1B589477"/>
    <w:rsid w:val="1B6B40AF"/>
    <w:rsid w:val="1B784F97"/>
    <w:rsid w:val="1B78E0E7"/>
    <w:rsid w:val="1BA2DD48"/>
    <w:rsid w:val="1BD4C1B7"/>
    <w:rsid w:val="1BDE5C16"/>
    <w:rsid w:val="1BE46828"/>
    <w:rsid w:val="1BE8FEAD"/>
    <w:rsid w:val="1C093604"/>
    <w:rsid w:val="1C15A04B"/>
    <w:rsid w:val="1C2CD5A9"/>
    <w:rsid w:val="1C3A5FE2"/>
    <w:rsid w:val="1C662C98"/>
    <w:rsid w:val="1CA9A06A"/>
    <w:rsid w:val="1CAA4E0D"/>
    <w:rsid w:val="1CAC3A7B"/>
    <w:rsid w:val="1CBD8B76"/>
    <w:rsid w:val="1CDE6D43"/>
    <w:rsid w:val="1CFDA188"/>
    <w:rsid w:val="1D078DA8"/>
    <w:rsid w:val="1D19E49E"/>
    <w:rsid w:val="1D255266"/>
    <w:rsid w:val="1D3DDEFB"/>
    <w:rsid w:val="1D4220CF"/>
    <w:rsid w:val="1D52D1E8"/>
    <w:rsid w:val="1D8C5873"/>
    <w:rsid w:val="1D9C9914"/>
    <w:rsid w:val="1DAD7CBC"/>
    <w:rsid w:val="1DAE575D"/>
    <w:rsid w:val="1DB59772"/>
    <w:rsid w:val="1DCD4A57"/>
    <w:rsid w:val="1DE8DF7D"/>
    <w:rsid w:val="1DF06761"/>
    <w:rsid w:val="1DF8E7A9"/>
    <w:rsid w:val="1E34408C"/>
    <w:rsid w:val="1E444D6E"/>
    <w:rsid w:val="1E4870BB"/>
    <w:rsid w:val="1E7A8C0F"/>
    <w:rsid w:val="1E7BC9A8"/>
    <w:rsid w:val="1E7EBF6E"/>
    <w:rsid w:val="1E81FB5E"/>
    <w:rsid w:val="1E918394"/>
    <w:rsid w:val="1E942E7A"/>
    <w:rsid w:val="1E975806"/>
    <w:rsid w:val="1EB2B786"/>
    <w:rsid w:val="1EC1CE01"/>
    <w:rsid w:val="1ECF85C9"/>
    <w:rsid w:val="1ED07C44"/>
    <w:rsid w:val="1EDB86DD"/>
    <w:rsid w:val="1EE1CA08"/>
    <w:rsid w:val="1EE640CD"/>
    <w:rsid w:val="1F06E3FF"/>
    <w:rsid w:val="1F133E4F"/>
    <w:rsid w:val="1F1624E4"/>
    <w:rsid w:val="1F1FFA5A"/>
    <w:rsid w:val="1F239489"/>
    <w:rsid w:val="1F41EF54"/>
    <w:rsid w:val="1F4559C1"/>
    <w:rsid w:val="1F540A14"/>
    <w:rsid w:val="1F6A5AC9"/>
    <w:rsid w:val="1FBE2822"/>
    <w:rsid w:val="1FD9297D"/>
    <w:rsid w:val="20152F1A"/>
    <w:rsid w:val="201BF85B"/>
    <w:rsid w:val="202BAB1B"/>
    <w:rsid w:val="2039C30E"/>
    <w:rsid w:val="203C32B6"/>
    <w:rsid w:val="203E8FC7"/>
    <w:rsid w:val="203F282A"/>
    <w:rsid w:val="207B20C2"/>
    <w:rsid w:val="207FFA77"/>
    <w:rsid w:val="2089F1A5"/>
    <w:rsid w:val="208DB2D3"/>
    <w:rsid w:val="209080F1"/>
    <w:rsid w:val="20B4F3A9"/>
    <w:rsid w:val="20B924CE"/>
    <w:rsid w:val="20BE770B"/>
    <w:rsid w:val="20C3C294"/>
    <w:rsid w:val="21119884"/>
    <w:rsid w:val="21135258"/>
    <w:rsid w:val="213597B1"/>
    <w:rsid w:val="2140A1B2"/>
    <w:rsid w:val="214312BF"/>
    <w:rsid w:val="214E1192"/>
    <w:rsid w:val="2173EF7E"/>
    <w:rsid w:val="21896A61"/>
    <w:rsid w:val="21AFA3E3"/>
    <w:rsid w:val="21B1BBDB"/>
    <w:rsid w:val="21E5E3EF"/>
    <w:rsid w:val="21ECE682"/>
    <w:rsid w:val="21EFE577"/>
    <w:rsid w:val="220BDE80"/>
    <w:rsid w:val="221F817B"/>
    <w:rsid w:val="2228CE0F"/>
    <w:rsid w:val="22320F5A"/>
    <w:rsid w:val="2276E74E"/>
    <w:rsid w:val="228FC197"/>
    <w:rsid w:val="22BC50A0"/>
    <w:rsid w:val="22C02072"/>
    <w:rsid w:val="23047F75"/>
    <w:rsid w:val="231DBD76"/>
    <w:rsid w:val="232472AA"/>
    <w:rsid w:val="2325387D"/>
    <w:rsid w:val="2335B85F"/>
    <w:rsid w:val="2335EB30"/>
    <w:rsid w:val="233FAADF"/>
    <w:rsid w:val="23516EF6"/>
    <w:rsid w:val="23572F85"/>
    <w:rsid w:val="2360464B"/>
    <w:rsid w:val="236D47B3"/>
    <w:rsid w:val="237907D3"/>
    <w:rsid w:val="238F7897"/>
    <w:rsid w:val="2399E9A5"/>
    <w:rsid w:val="23BCAC80"/>
    <w:rsid w:val="23BFBAD3"/>
    <w:rsid w:val="23DF278E"/>
    <w:rsid w:val="23E63DBC"/>
    <w:rsid w:val="23EE9DA4"/>
    <w:rsid w:val="241FC94E"/>
    <w:rsid w:val="2420B782"/>
    <w:rsid w:val="24274334"/>
    <w:rsid w:val="2429D5E3"/>
    <w:rsid w:val="242A5FCA"/>
    <w:rsid w:val="2465B0D5"/>
    <w:rsid w:val="24781825"/>
    <w:rsid w:val="247E9952"/>
    <w:rsid w:val="249CCF0D"/>
    <w:rsid w:val="24BA8B7C"/>
    <w:rsid w:val="24CF2964"/>
    <w:rsid w:val="250C2A66"/>
    <w:rsid w:val="2516F8EC"/>
    <w:rsid w:val="25176231"/>
    <w:rsid w:val="2522C218"/>
    <w:rsid w:val="252924B2"/>
    <w:rsid w:val="2534ACB8"/>
    <w:rsid w:val="255CA317"/>
    <w:rsid w:val="25639E99"/>
    <w:rsid w:val="25AE62FB"/>
    <w:rsid w:val="25CE9559"/>
    <w:rsid w:val="25F5C8F6"/>
    <w:rsid w:val="25FD7B05"/>
    <w:rsid w:val="2619A1AA"/>
    <w:rsid w:val="261A631F"/>
    <w:rsid w:val="261B9929"/>
    <w:rsid w:val="2626A14D"/>
    <w:rsid w:val="26333270"/>
    <w:rsid w:val="2638BC14"/>
    <w:rsid w:val="26A179E0"/>
    <w:rsid w:val="26ABB73C"/>
    <w:rsid w:val="26C32CB3"/>
    <w:rsid w:val="26E8690D"/>
    <w:rsid w:val="26FDDC55"/>
    <w:rsid w:val="2706B54C"/>
    <w:rsid w:val="271FFCD5"/>
    <w:rsid w:val="272CB665"/>
    <w:rsid w:val="2736EFFA"/>
    <w:rsid w:val="273E812F"/>
    <w:rsid w:val="2781DC8C"/>
    <w:rsid w:val="2784293A"/>
    <w:rsid w:val="2784CE4F"/>
    <w:rsid w:val="27861DB9"/>
    <w:rsid w:val="278651E5"/>
    <w:rsid w:val="2789C283"/>
    <w:rsid w:val="278E0C87"/>
    <w:rsid w:val="27AE0C47"/>
    <w:rsid w:val="27CA4ED3"/>
    <w:rsid w:val="27D4A41C"/>
    <w:rsid w:val="27D4B8B2"/>
    <w:rsid w:val="27E06EB1"/>
    <w:rsid w:val="28085DBD"/>
    <w:rsid w:val="280C3370"/>
    <w:rsid w:val="2822B50A"/>
    <w:rsid w:val="282B71F0"/>
    <w:rsid w:val="28315498"/>
    <w:rsid w:val="28322B9B"/>
    <w:rsid w:val="2838D8F4"/>
    <w:rsid w:val="287F025B"/>
    <w:rsid w:val="2899C8E7"/>
    <w:rsid w:val="28B355EB"/>
    <w:rsid w:val="28C1C3A3"/>
    <w:rsid w:val="28ED1264"/>
    <w:rsid w:val="28ED4DE6"/>
    <w:rsid w:val="28F78739"/>
    <w:rsid w:val="291D19D4"/>
    <w:rsid w:val="29278712"/>
    <w:rsid w:val="293386AD"/>
    <w:rsid w:val="293C868F"/>
    <w:rsid w:val="296FC55E"/>
    <w:rsid w:val="298F0E45"/>
    <w:rsid w:val="29B2029C"/>
    <w:rsid w:val="29BA24B5"/>
    <w:rsid w:val="29E12F66"/>
    <w:rsid w:val="29F31264"/>
    <w:rsid w:val="29F90649"/>
    <w:rsid w:val="29FACB6A"/>
    <w:rsid w:val="2A05D93F"/>
    <w:rsid w:val="2A245E71"/>
    <w:rsid w:val="2A3ED903"/>
    <w:rsid w:val="2A6B74DC"/>
    <w:rsid w:val="2A710A12"/>
    <w:rsid w:val="2A7E1C0C"/>
    <w:rsid w:val="2A8843D7"/>
    <w:rsid w:val="2AA9B27A"/>
    <w:rsid w:val="2ABBC9FC"/>
    <w:rsid w:val="2AC59512"/>
    <w:rsid w:val="2AC6E7CC"/>
    <w:rsid w:val="2AD5ED04"/>
    <w:rsid w:val="2AEB6039"/>
    <w:rsid w:val="2AFBC1F9"/>
    <w:rsid w:val="2B304A62"/>
    <w:rsid w:val="2B39C704"/>
    <w:rsid w:val="2B494CCB"/>
    <w:rsid w:val="2B7DB66D"/>
    <w:rsid w:val="2BA56846"/>
    <w:rsid w:val="2BA797B3"/>
    <w:rsid w:val="2BABA11E"/>
    <w:rsid w:val="2BB2273D"/>
    <w:rsid w:val="2BC9AC76"/>
    <w:rsid w:val="2BFE299F"/>
    <w:rsid w:val="2C24A712"/>
    <w:rsid w:val="2C39D0F0"/>
    <w:rsid w:val="2C3AE791"/>
    <w:rsid w:val="2C9E2367"/>
    <w:rsid w:val="2CA06784"/>
    <w:rsid w:val="2CA2525F"/>
    <w:rsid w:val="2CAC5668"/>
    <w:rsid w:val="2CB22C93"/>
    <w:rsid w:val="2CC174E6"/>
    <w:rsid w:val="2CC9EF74"/>
    <w:rsid w:val="2CCF0C63"/>
    <w:rsid w:val="2CD4D138"/>
    <w:rsid w:val="2CE28EF2"/>
    <w:rsid w:val="2CF54BB8"/>
    <w:rsid w:val="2CFB0830"/>
    <w:rsid w:val="2D090A12"/>
    <w:rsid w:val="2D0E8441"/>
    <w:rsid w:val="2D226FB6"/>
    <w:rsid w:val="2D48D11E"/>
    <w:rsid w:val="2D4DBAEA"/>
    <w:rsid w:val="2D53791D"/>
    <w:rsid w:val="2D608846"/>
    <w:rsid w:val="2D619B22"/>
    <w:rsid w:val="2DA27E26"/>
    <w:rsid w:val="2DAE01A3"/>
    <w:rsid w:val="2DBFE9CA"/>
    <w:rsid w:val="2DD127E1"/>
    <w:rsid w:val="2DE6E95C"/>
    <w:rsid w:val="2DECACDD"/>
    <w:rsid w:val="2E0B49B3"/>
    <w:rsid w:val="2E14E2D1"/>
    <w:rsid w:val="2E1A9C21"/>
    <w:rsid w:val="2E4AA436"/>
    <w:rsid w:val="2E626AD2"/>
    <w:rsid w:val="2E687443"/>
    <w:rsid w:val="2E695F7A"/>
    <w:rsid w:val="2E7161D3"/>
    <w:rsid w:val="2E838518"/>
    <w:rsid w:val="2E8EB46F"/>
    <w:rsid w:val="2ECBA6F3"/>
    <w:rsid w:val="2EEA50E0"/>
    <w:rsid w:val="2EEDB7FA"/>
    <w:rsid w:val="2F013E8A"/>
    <w:rsid w:val="2F0F00E9"/>
    <w:rsid w:val="2F19CB12"/>
    <w:rsid w:val="2F3ECA62"/>
    <w:rsid w:val="2F57F1B6"/>
    <w:rsid w:val="2F63B325"/>
    <w:rsid w:val="2F6F17CB"/>
    <w:rsid w:val="2F829A74"/>
    <w:rsid w:val="2F92698C"/>
    <w:rsid w:val="2FA6FAD3"/>
    <w:rsid w:val="2FBA86FB"/>
    <w:rsid w:val="2FC0FC82"/>
    <w:rsid w:val="2FD46499"/>
    <w:rsid w:val="2FF485B2"/>
    <w:rsid w:val="3004A8BD"/>
    <w:rsid w:val="3008788F"/>
    <w:rsid w:val="3032117A"/>
    <w:rsid w:val="305D5EBF"/>
    <w:rsid w:val="306BF6E7"/>
    <w:rsid w:val="3072B24B"/>
    <w:rsid w:val="307A12F1"/>
    <w:rsid w:val="307DD1AA"/>
    <w:rsid w:val="309F23E8"/>
    <w:rsid w:val="30C7CA3A"/>
    <w:rsid w:val="30CF71C4"/>
    <w:rsid w:val="30EB10C1"/>
    <w:rsid w:val="30F0E7D1"/>
    <w:rsid w:val="30FA96BF"/>
    <w:rsid w:val="30FB40D3"/>
    <w:rsid w:val="3106F52C"/>
    <w:rsid w:val="3114D617"/>
    <w:rsid w:val="311B12EC"/>
    <w:rsid w:val="313196FF"/>
    <w:rsid w:val="31339EA4"/>
    <w:rsid w:val="317034FA"/>
    <w:rsid w:val="31711AAA"/>
    <w:rsid w:val="31A73D4D"/>
    <w:rsid w:val="31AAE483"/>
    <w:rsid w:val="320BA99E"/>
    <w:rsid w:val="32151511"/>
    <w:rsid w:val="3228E1AD"/>
    <w:rsid w:val="322A1E19"/>
    <w:rsid w:val="323F1912"/>
    <w:rsid w:val="3257E760"/>
    <w:rsid w:val="326832DD"/>
    <w:rsid w:val="32818005"/>
    <w:rsid w:val="3282481D"/>
    <w:rsid w:val="329EB32A"/>
    <w:rsid w:val="32A39A6E"/>
    <w:rsid w:val="32A6E661"/>
    <w:rsid w:val="32AD8032"/>
    <w:rsid w:val="32C492C3"/>
    <w:rsid w:val="32C64423"/>
    <w:rsid w:val="32CE700A"/>
    <w:rsid w:val="32D5481D"/>
    <w:rsid w:val="32DACDEA"/>
    <w:rsid w:val="32DC4290"/>
    <w:rsid w:val="32FA64E2"/>
    <w:rsid w:val="32FCB2C6"/>
    <w:rsid w:val="33183CFF"/>
    <w:rsid w:val="3323B89A"/>
    <w:rsid w:val="334A73EE"/>
    <w:rsid w:val="336901B1"/>
    <w:rsid w:val="337AB4A9"/>
    <w:rsid w:val="338C7A6C"/>
    <w:rsid w:val="339EDAAD"/>
    <w:rsid w:val="33CE2AAE"/>
    <w:rsid w:val="33FA254B"/>
    <w:rsid w:val="33FD4D54"/>
    <w:rsid w:val="342D4E45"/>
    <w:rsid w:val="342F28ED"/>
    <w:rsid w:val="34669C00"/>
    <w:rsid w:val="348A7F7F"/>
    <w:rsid w:val="348BB948"/>
    <w:rsid w:val="34938528"/>
    <w:rsid w:val="34A8F098"/>
    <w:rsid w:val="34C26841"/>
    <w:rsid w:val="34D5F597"/>
    <w:rsid w:val="34E3137B"/>
    <w:rsid w:val="34FC9C67"/>
    <w:rsid w:val="35081854"/>
    <w:rsid w:val="351CFC39"/>
    <w:rsid w:val="35251529"/>
    <w:rsid w:val="353FA472"/>
    <w:rsid w:val="3553C5D5"/>
    <w:rsid w:val="35772A0E"/>
    <w:rsid w:val="358A0FDA"/>
    <w:rsid w:val="358AF31F"/>
    <w:rsid w:val="3598103D"/>
    <w:rsid w:val="359B5A96"/>
    <w:rsid w:val="35A43028"/>
    <w:rsid w:val="35AE58AD"/>
    <w:rsid w:val="35D3FC2F"/>
    <w:rsid w:val="360892C1"/>
    <w:rsid w:val="3625E903"/>
    <w:rsid w:val="362846E3"/>
    <w:rsid w:val="3633661D"/>
    <w:rsid w:val="364610DD"/>
    <w:rsid w:val="36484DB1"/>
    <w:rsid w:val="364D96BF"/>
    <w:rsid w:val="364EB8A0"/>
    <w:rsid w:val="365DF24F"/>
    <w:rsid w:val="368336E0"/>
    <w:rsid w:val="3683489E"/>
    <w:rsid w:val="3684DEAC"/>
    <w:rsid w:val="369A68DD"/>
    <w:rsid w:val="36C3D526"/>
    <w:rsid w:val="36C59C34"/>
    <w:rsid w:val="36F6E7B3"/>
    <w:rsid w:val="36FB9B1B"/>
    <w:rsid w:val="36FDE94B"/>
    <w:rsid w:val="3720DB47"/>
    <w:rsid w:val="372861AF"/>
    <w:rsid w:val="37328DFD"/>
    <w:rsid w:val="37383128"/>
    <w:rsid w:val="3738652F"/>
    <w:rsid w:val="373F886C"/>
    <w:rsid w:val="37464866"/>
    <w:rsid w:val="37467063"/>
    <w:rsid w:val="375AFBD7"/>
    <w:rsid w:val="375F2635"/>
    <w:rsid w:val="37663237"/>
    <w:rsid w:val="3769EAC3"/>
    <w:rsid w:val="37907C02"/>
    <w:rsid w:val="379D2EB9"/>
    <w:rsid w:val="379FDB2E"/>
    <w:rsid w:val="37A26AE4"/>
    <w:rsid w:val="37C5E1E1"/>
    <w:rsid w:val="37D58F24"/>
    <w:rsid w:val="37E2D6B5"/>
    <w:rsid w:val="37F5A50D"/>
    <w:rsid w:val="37FF8D29"/>
    <w:rsid w:val="380B75B0"/>
    <w:rsid w:val="380E8606"/>
    <w:rsid w:val="3844B6D6"/>
    <w:rsid w:val="385EAA4F"/>
    <w:rsid w:val="3864AB4C"/>
    <w:rsid w:val="38A08456"/>
    <w:rsid w:val="38BA4A9C"/>
    <w:rsid w:val="38E2DAA0"/>
    <w:rsid w:val="38F5364C"/>
    <w:rsid w:val="38FAA51C"/>
    <w:rsid w:val="3926F325"/>
    <w:rsid w:val="39361D65"/>
    <w:rsid w:val="393974ED"/>
    <w:rsid w:val="393FA91A"/>
    <w:rsid w:val="394BF3CD"/>
    <w:rsid w:val="3957844C"/>
    <w:rsid w:val="3957A287"/>
    <w:rsid w:val="3978D72C"/>
    <w:rsid w:val="398F02ED"/>
    <w:rsid w:val="39979439"/>
    <w:rsid w:val="39A0F7B5"/>
    <w:rsid w:val="39A976BE"/>
    <w:rsid w:val="39CE6CD0"/>
    <w:rsid w:val="39D0EC0B"/>
    <w:rsid w:val="3A25A6A4"/>
    <w:rsid w:val="3A5B0CBA"/>
    <w:rsid w:val="3A5C3933"/>
    <w:rsid w:val="3A5EBE51"/>
    <w:rsid w:val="3A6F2A30"/>
    <w:rsid w:val="3AA70B99"/>
    <w:rsid w:val="3AC672EF"/>
    <w:rsid w:val="3ACCCCDE"/>
    <w:rsid w:val="3AEC4FAB"/>
    <w:rsid w:val="3AF4524B"/>
    <w:rsid w:val="3B0BAD68"/>
    <w:rsid w:val="3B290834"/>
    <w:rsid w:val="3B2FCD32"/>
    <w:rsid w:val="3B37F821"/>
    <w:rsid w:val="3B7329F6"/>
    <w:rsid w:val="3B744F4B"/>
    <w:rsid w:val="3B8ECBF7"/>
    <w:rsid w:val="3B9296B1"/>
    <w:rsid w:val="3BA231DD"/>
    <w:rsid w:val="3BB17476"/>
    <w:rsid w:val="3BE5F9DC"/>
    <w:rsid w:val="3BE8942A"/>
    <w:rsid w:val="3C0B3CA9"/>
    <w:rsid w:val="3C0C1732"/>
    <w:rsid w:val="3C48F25B"/>
    <w:rsid w:val="3C73929A"/>
    <w:rsid w:val="3C8C4D9D"/>
    <w:rsid w:val="3C96157A"/>
    <w:rsid w:val="3CB34B12"/>
    <w:rsid w:val="3CEBA27B"/>
    <w:rsid w:val="3CF386E8"/>
    <w:rsid w:val="3D058A20"/>
    <w:rsid w:val="3D09A416"/>
    <w:rsid w:val="3D106D57"/>
    <w:rsid w:val="3D2C3A87"/>
    <w:rsid w:val="3D5C2947"/>
    <w:rsid w:val="3D6D5A4A"/>
    <w:rsid w:val="3D773EBE"/>
    <w:rsid w:val="3DB88ED4"/>
    <w:rsid w:val="3DC66899"/>
    <w:rsid w:val="3DC6FB6B"/>
    <w:rsid w:val="3DDA0113"/>
    <w:rsid w:val="3DF55000"/>
    <w:rsid w:val="3E706A9A"/>
    <w:rsid w:val="3E735659"/>
    <w:rsid w:val="3E88C045"/>
    <w:rsid w:val="3E98FBB1"/>
    <w:rsid w:val="3ED3BABB"/>
    <w:rsid w:val="3EFFB77C"/>
    <w:rsid w:val="3F0D5BE6"/>
    <w:rsid w:val="3F167995"/>
    <w:rsid w:val="3F26D7BE"/>
    <w:rsid w:val="3F367E2F"/>
    <w:rsid w:val="3F4B085A"/>
    <w:rsid w:val="3F77FA49"/>
    <w:rsid w:val="3F78379B"/>
    <w:rsid w:val="3FA02142"/>
    <w:rsid w:val="3FB838EA"/>
    <w:rsid w:val="3FB999B0"/>
    <w:rsid w:val="3FC49D96"/>
    <w:rsid w:val="3FE3E89B"/>
    <w:rsid w:val="3FF1B3F0"/>
    <w:rsid w:val="3FFBB671"/>
    <w:rsid w:val="4007DEA5"/>
    <w:rsid w:val="401848B5"/>
    <w:rsid w:val="402CED6B"/>
    <w:rsid w:val="402E30F2"/>
    <w:rsid w:val="403F1335"/>
    <w:rsid w:val="4057D943"/>
    <w:rsid w:val="409348AA"/>
    <w:rsid w:val="40A43C82"/>
    <w:rsid w:val="40B02734"/>
    <w:rsid w:val="40C125B4"/>
    <w:rsid w:val="40D0A732"/>
    <w:rsid w:val="40DD78D1"/>
    <w:rsid w:val="410BD964"/>
    <w:rsid w:val="4112EA45"/>
    <w:rsid w:val="411D565F"/>
    <w:rsid w:val="411FFF35"/>
    <w:rsid w:val="413ADF72"/>
    <w:rsid w:val="41427D68"/>
    <w:rsid w:val="415105AD"/>
    <w:rsid w:val="415FADF9"/>
    <w:rsid w:val="4178FDA8"/>
    <w:rsid w:val="417A1661"/>
    <w:rsid w:val="4181F527"/>
    <w:rsid w:val="418E7E7B"/>
    <w:rsid w:val="41AFAB46"/>
    <w:rsid w:val="41B1FE33"/>
    <w:rsid w:val="41BC77F9"/>
    <w:rsid w:val="41D9FB99"/>
    <w:rsid w:val="41E3999B"/>
    <w:rsid w:val="42039C3A"/>
    <w:rsid w:val="420BCA4E"/>
    <w:rsid w:val="421D4F1F"/>
    <w:rsid w:val="422474A0"/>
    <w:rsid w:val="422BDA00"/>
    <w:rsid w:val="424ABCB5"/>
    <w:rsid w:val="4251D70C"/>
    <w:rsid w:val="425F8401"/>
    <w:rsid w:val="42972E5D"/>
    <w:rsid w:val="429BD0DB"/>
    <w:rsid w:val="42AA5FDB"/>
    <w:rsid w:val="42B30D20"/>
    <w:rsid w:val="42D8A811"/>
    <w:rsid w:val="42E1346E"/>
    <w:rsid w:val="42E4ED31"/>
    <w:rsid w:val="42EC4CDC"/>
    <w:rsid w:val="42F10B89"/>
    <w:rsid w:val="42F2E5F3"/>
    <w:rsid w:val="430444CD"/>
    <w:rsid w:val="4312E6B1"/>
    <w:rsid w:val="4342E1CD"/>
    <w:rsid w:val="4368BE89"/>
    <w:rsid w:val="436DBB90"/>
    <w:rsid w:val="439A5714"/>
    <w:rsid w:val="43ADCA0E"/>
    <w:rsid w:val="43C71E66"/>
    <w:rsid w:val="43C7895C"/>
    <w:rsid w:val="44026559"/>
    <w:rsid w:val="4425B865"/>
    <w:rsid w:val="4437C034"/>
    <w:rsid w:val="443EEB5A"/>
    <w:rsid w:val="4461FC51"/>
    <w:rsid w:val="4464B56E"/>
    <w:rsid w:val="4466D8D4"/>
    <w:rsid w:val="44C623C0"/>
    <w:rsid w:val="454889BA"/>
    <w:rsid w:val="45536AA2"/>
    <w:rsid w:val="4560D027"/>
    <w:rsid w:val="4563F38C"/>
    <w:rsid w:val="456D710F"/>
    <w:rsid w:val="4584277F"/>
    <w:rsid w:val="4585F6EC"/>
    <w:rsid w:val="45BF3679"/>
    <w:rsid w:val="45C79559"/>
    <w:rsid w:val="45DDB113"/>
    <w:rsid w:val="45E3EB3A"/>
    <w:rsid w:val="45F10F96"/>
    <w:rsid w:val="45FF8F49"/>
    <w:rsid w:val="460E66A7"/>
    <w:rsid w:val="4611C68E"/>
    <w:rsid w:val="46236731"/>
    <w:rsid w:val="465AD0E4"/>
    <w:rsid w:val="4671DB88"/>
    <w:rsid w:val="4672FD22"/>
    <w:rsid w:val="4687CE66"/>
    <w:rsid w:val="46A54A6A"/>
    <w:rsid w:val="46A7A84A"/>
    <w:rsid w:val="46CCF5AF"/>
    <w:rsid w:val="46D80C5F"/>
    <w:rsid w:val="46FD4D30"/>
    <w:rsid w:val="471797DF"/>
    <w:rsid w:val="47203D37"/>
    <w:rsid w:val="47313D95"/>
    <w:rsid w:val="4731522B"/>
    <w:rsid w:val="47372111"/>
    <w:rsid w:val="4746E468"/>
    <w:rsid w:val="475968AB"/>
    <w:rsid w:val="478BCB6B"/>
    <w:rsid w:val="47A4E6FA"/>
    <w:rsid w:val="47AA9BAF"/>
    <w:rsid w:val="47B8361B"/>
    <w:rsid w:val="47C5A638"/>
    <w:rsid w:val="47C92AB4"/>
    <w:rsid w:val="47F8A9AA"/>
    <w:rsid w:val="47FA2B9E"/>
    <w:rsid w:val="47FD2D0A"/>
    <w:rsid w:val="4814E792"/>
    <w:rsid w:val="48213F6B"/>
    <w:rsid w:val="4822846D"/>
    <w:rsid w:val="482EB104"/>
    <w:rsid w:val="485A31FC"/>
    <w:rsid w:val="48643384"/>
    <w:rsid w:val="48716051"/>
    <w:rsid w:val="4872472D"/>
    <w:rsid w:val="4872ADB6"/>
    <w:rsid w:val="48844D83"/>
    <w:rsid w:val="48A433C1"/>
    <w:rsid w:val="48BC899C"/>
    <w:rsid w:val="48EBC382"/>
    <w:rsid w:val="4920188E"/>
    <w:rsid w:val="49204B5F"/>
    <w:rsid w:val="492FAB9A"/>
    <w:rsid w:val="4943D88C"/>
    <w:rsid w:val="49566F15"/>
    <w:rsid w:val="49618003"/>
    <w:rsid w:val="4974B10C"/>
    <w:rsid w:val="4991EEC4"/>
    <w:rsid w:val="4995988E"/>
    <w:rsid w:val="49988BB5"/>
    <w:rsid w:val="49B15B7F"/>
    <w:rsid w:val="49B17015"/>
    <w:rsid w:val="49D30A36"/>
    <w:rsid w:val="49DF2ECA"/>
    <w:rsid w:val="4A0A937E"/>
    <w:rsid w:val="4A0B5683"/>
    <w:rsid w:val="4A0DAA3C"/>
    <w:rsid w:val="4A34567A"/>
    <w:rsid w:val="4A75F353"/>
    <w:rsid w:val="4A7A4F83"/>
    <w:rsid w:val="4ABA013D"/>
    <w:rsid w:val="4ABAAAAB"/>
    <w:rsid w:val="4AC82A1C"/>
    <w:rsid w:val="4ACBB049"/>
    <w:rsid w:val="4ADA4FE6"/>
    <w:rsid w:val="4B41B8C7"/>
    <w:rsid w:val="4B41BFD7"/>
    <w:rsid w:val="4B4A09FD"/>
    <w:rsid w:val="4B4FBA1A"/>
    <w:rsid w:val="4B647C40"/>
    <w:rsid w:val="4B6A37AA"/>
    <w:rsid w:val="4B6BE3E3"/>
    <w:rsid w:val="4B7100EB"/>
    <w:rsid w:val="4B8CD9DD"/>
    <w:rsid w:val="4B8EC416"/>
    <w:rsid w:val="4BE10334"/>
    <w:rsid w:val="4BE33807"/>
    <w:rsid w:val="4BF65B2F"/>
    <w:rsid w:val="4C07D5A0"/>
    <w:rsid w:val="4C0A3162"/>
    <w:rsid w:val="4C0C369C"/>
    <w:rsid w:val="4C0FF6B8"/>
    <w:rsid w:val="4C11EC17"/>
    <w:rsid w:val="4C122AE9"/>
    <w:rsid w:val="4C12BDBB"/>
    <w:rsid w:val="4C22CCCC"/>
    <w:rsid w:val="4C33BF82"/>
    <w:rsid w:val="4C39F158"/>
    <w:rsid w:val="4C6266E6"/>
    <w:rsid w:val="4C64C5FC"/>
    <w:rsid w:val="4CC9A9F5"/>
    <w:rsid w:val="4CDDE611"/>
    <w:rsid w:val="4CE18F87"/>
    <w:rsid w:val="4CE1BC4E"/>
    <w:rsid w:val="4CED28AA"/>
    <w:rsid w:val="4D1920AB"/>
    <w:rsid w:val="4D255023"/>
    <w:rsid w:val="4D41DE17"/>
    <w:rsid w:val="4D5E9757"/>
    <w:rsid w:val="4D6805AE"/>
    <w:rsid w:val="4D7A5F71"/>
    <w:rsid w:val="4D7B8943"/>
    <w:rsid w:val="4D9F5029"/>
    <w:rsid w:val="4DAEADCD"/>
    <w:rsid w:val="4DB42D95"/>
    <w:rsid w:val="4DBA3C77"/>
    <w:rsid w:val="4DC103A3"/>
    <w:rsid w:val="4DCD7955"/>
    <w:rsid w:val="4DEC949F"/>
    <w:rsid w:val="4E0D1B47"/>
    <w:rsid w:val="4E251843"/>
    <w:rsid w:val="4E3870B1"/>
    <w:rsid w:val="4E4DD800"/>
    <w:rsid w:val="4E53A0F5"/>
    <w:rsid w:val="4E5CF7A8"/>
    <w:rsid w:val="4E6BC79A"/>
    <w:rsid w:val="4E6FEE4F"/>
    <w:rsid w:val="4E7ADF92"/>
    <w:rsid w:val="4E7D5954"/>
    <w:rsid w:val="4E967265"/>
    <w:rsid w:val="4E9B62D2"/>
    <w:rsid w:val="4EA54AF0"/>
    <w:rsid w:val="4EAA4240"/>
    <w:rsid w:val="4EAA9AD3"/>
    <w:rsid w:val="4F210A29"/>
    <w:rsid w:val="4F4332D7"/>
    <w:rsid w:val="4F4949C6"/>
    <w:rsid w:val="4F5FE078"/>
    <w:rsid w:val="4F6ECD4E"/>
    <w:rsid w:val="4F75C012"/>
    <w:rsid w:val="4F791A6C"/>
    <w:rsid w:val="4F8794C5"/>
    <w:rsid w:val="4F92E46B"/>
    <w:rsid w:val="4FA4AB27"/>
    <w:rsid w:val="4FB20E8B"/>
    <w:rsid w:val="4FDAA9F5"/>
    <w:rsid w:val="4FDB6278"/>
    <w:rsid w:val="4FDC58B6"/>
    <w:rsid w:val="4FEC7AC8"/>
    <w:rsid w:val="4FF0396E"/>
    <w:rsid w:val="5012EC85"/>
    <w:rsid w:val="50141931"/>
    <w:rsid w:val="502B8BA1"/>
    <w:rsid w:val="5034A4F9"/>
    <w:rsid w:val="50590FF5"/>
    <w:rsid w:val="5090C865"/>
    <w:rsid w:val="50A81E2A"/>
    <w:rsid w:val="50B04AE1"/>
    <w:rsid w:val="50D72977"/>
    <w:rsid w:val="50F60D95"/>
    <w:rsid w:val="50F99924"/>
    <w:rsid w:val="511227F5"/>
    <w:rsid w:val="51159B85"/>
    <w:rsid w:val="515927B3"/>
    <w:rsid w:val="515C1237"/>
    <w:rsid w:val="515F409A"/>
    <w:rsid w:val="5186614E"/>
    <w:rsid w:val="51963ACD"/>
    <w:rsid w:val="519CBA3D"/>
    <w:rsid w:val="51B30771"/>
    <w:rsid w:val="51C1DECF"/>
    <w:rsid w:val="51C4D427"/>
    <w:rsid w:val="51D003A4"/>
    <w:rsid w:val="51D26C1C"/>
    <w:rsid w:val="51F895FB"/>
    <w:rsid w:val="520E5DA2"/>
    <w:rsid w:val="52162983"/>
    <w:rsid w:val="5226F51B"/>
    <w:rsid w:val="52630CFD"/>
    <w:rsid w:val="528D45B3"/>
    <w:rsid w:val="528D7979"/>
    <w:rsid w:val="52B0F87A"/>
    <w:rsid w:val="52BF3587"/>
    <w:rsid w:val="52CC7D7E"/>
    <w:rsid w:val="52DD835C"/>
    <w:rsid w:val="52EC6866"/>
    <w:rsid w:val="52EDC1B1"/>
    <w:rsid w:val="52FA39A3"/>
    <w:rsid w:val="530A5E2C"/>
    <w:rsid w:val="5316EB04"/>
    <w:rsid w:val="53355661"/>
    <w:rsid w:val="53357E08"/>
    <w:rsid w:val="533E596C"/>
    <w:rsid w:val="5348C6DF"/>
    <w:rsid w:val="534DC10E"/>
    <w:rsid w:val="538883F3"/>
    <w:rsid w:val="538BC266"/>
    <w:rsid w:val="538F13FC"/>
    <w:rsid w:val="53993696"/>
    <w:rsid w:val="53A063EC"/>
    <w:rsid w:val="53A24269"/>
    <w:rsid w:val="53B25EC0"/>
    <w:rsid w:val="53BB553F"/>
    <w:rsid w:val="53C8B335"/>
    <w:rsid w:val="53D02683"/>
    <w:rsid w:val="53D5AB91"/>
    <w:rsid w:val="53D76D48"/>
    <w:rsid w:val="53E83486"/>
    <w:rsid w:val="53EED177"/>
    <w:rsid w:val="54155043"/>
    <w:rsid w:val="54590B33"/>
    <w:rsid w:val="545B05E8"/>
    <w:rsid w:val="546486CE"/>
    <w:rsid w:val="5466EC1E"/>
    <w:rsid w:val="546EE41D"/>
    <w:rsid w:val="5496E15C"/>
    <w:rsid w:val="54977456"/>
    <w:rsid w:val="54A69334"/>
    <w:rsid w:val="54B741A2"/>
    <w:rsid w:val="54CB720A"/>
    <w:rsid w:val="54D222E1"/>
    <w:rsid w:val="54D390B6"/>
    <w:rsid w:val="54DA29CD"/>
    <w:rsid w:val="54DE0486"/>
    <w:rsid w:val="54F30D77"/>
    <w:rsid w:val="54F95354"/>
    <w:rsid w:val="54FFB2C5"/>
    <w:rsid w:val="55061032"/>
    <w:rsid w:val="5531E05C"/>
    <w:rsid w:val="55407FEA"/>
    <w:rsid w:val="55516BBF"/>
    <w:rsid w:val="55533545"/>
    <w:rsid w:val="555DFE65"/>
    <w:rsid w:val="558CC767"/>
    <w:rsid w:val="55915887"/>
    <w:rsid w:val="55ADE1CF"/>
    <w:rsid w:val="55B7C698"/>
    <w:rsid w:val="55C4E675"/>
    <w:rsid w:val="55C7DE12"/>
    <w:rsid w:val="55E0318E"/>
    <w:rsid w:val="55FF9639"/>
    <w:rsid w:val="561A4EFE"/>
    <w:rsid w:val="5621FE70"/>
    <w:rsid w:val="5632B1BD"/>
    <w:rsid w:val="563B4058"/>
    <w:rsid w:val="5641A138"/>
    <w:rsid w:val="565D82B7"/>
    <w:rsid w:val="56748FEA"/>
    <w:rsid w:val="5674EE2F"/>
    <w:rsid w:val="567600E9"/>
    <w:rsid w:val="567DD4C1"/>
    <w:rsid w:val="567EF0B0"/>
    <w:rsid w:val="56817A88"/>
    <w:rsid w:val="56AD97F4"/>
    <w:rsid w:val="56AFECB8"/>
    <w:rsid w:val="56B57930"/>
    <w:rsid w:val="56B7E395"/>
    <w:rsid w:val="56BAC590"/>
    <w:rsid w:val="56C0B701"/>
    <w:rsid w:val="56C61D46"/>
    <w:rsid w:val="56D52E09"/>
    <w:rsid w:val="56D95738"/>
    <w:rsid w:val="56E212C2"/>
    <w:rsid w:val="56EBE5DD"/>
    <w:rsid w:val="570F0EFC"/>
    <w:rsid w:val="571F3DD0"/>
    <w:rsid w:val="574C3B52"/>
    <w:rsid w:val="575F896E"/>
    <w:rsid w:val="576B1B75"/>
    <w:rsid w:val="576BA80D"/>
    <w:rsid w:val="57777F4C"/>
    <w:rsid w:val="5783D44B"/>
    <w:rsid w:val="57913241"/>
    <w:rsid w:val="57939AFC"/>
    <w:rsid w:val="57BE55E3"/>
    <w:rsid w:val="57C08CD4"/>
    <w:rsid w:val="57ED5785"/>
    <w:rsid w:val="57F3D7E7"/>
    <w:rsid w:val="57F4716D"/>
    <w:rsid w:val="580833FF"/>
    <w:rsid w:val="580DAE85"/>
    <w:rsid w:val="5842BCAC"/>
    <w:rsid w:val="584E6DFE"/>
    <w:rsid w:val="58694CF0"/>
    <w:rsid w:val="5894CA06"/>
    <w:rsid w:val="589FF42A"/>
    <w:rsid w:val="58B1E447"/>
    <w:rsid w:val="58CC8353"/>
    <w:rsid w:val="58CCA718"/>
    <w:rsid w:val="58D686E7"/>
    <w:rsid w:val="58EDE99E"/>
    <w:rsid w:val="590951B3"/>
    <w:rsid w:val="593EB34C"/>
    <w:rsid w:val="5943CCE4"/>
    <w:rsid w:val="59760802"/>
    <w:rsid w:val="599806A7"/>
    <w:rsid w:val="599A63B8"/>
    <w:rsid w:val="599F9FB7"/>
    <w:rsid w:val="599FACC6"/>
    <w:rsid w:val="59ADB360"/>
    <w:rsid w:val="59E3030F"/>
    <w:rsid w:val="5A0A3382"/>
    <w:rsid w:val="5A1C386B"/>
    <w:rsid w:val="5A20AF83"/>
    <w:rsid w:val="5A4849F1"/>
    <w:rsid w:val="5A51A7E8"/>
    <w:rsid w:val="5A65FF86"/>
    <w:rsid w:val="5A9233BA"/>
    <w:rsid w:val="5A9DD822"/>
    <w:rsid w:val="5AC8A6C6"/>
    <w:rsid w:val="5AF1F135"/>
    <w:rsid w:val="5B3D7E7D"/>
    <w:rsid w:val="5B41B7E0"/>
    <w:rsid w:val="5B542644"/>
    <w:rsid w:val="5B57196C"/>
    <w:rsid w:val="5B5EBAA7"/>
    <w:rsid w:val="5B61249B"/>
    <w:rsid w:val="5B613931"/>
    <w:rsid w:val="5B75EBFC"/>
    <w:rsid w:val="5B87F076"/>
    <w:rsid w:val="5B93400D"/>
    <w:rsid w:val="5B9FC6EA"/>
    <w:rsid w:val="5BA7BCA7"/>
    <w:rsid w:val="5BB44AA6"/>
    <w:rsid w:val="5BBD05E0"/>
    <w:rsid w:val="5BBE0A5F"/>
    <w:rsid w:val="5BCB9128"/>
    <w:rsid w:val="5BD7080C"/>
    <w:rsid w:val="5BE31800"/>
    <w:rsid w:val="5BFC5498"/>
    <w:rsid w:val="5C157E2F"/>
    <w:rsid w:val="5C293923"/>
    <w:rsid w:val="5C3427F9"/>
    <w:rsid w:val="5C3FA564"/>
    <w:rsid w:val="5C40A32F"/>
    <w:rsid w:val="5C4E4974"/>
    <w:rsid w:val="5C62132C"/>
    <w:rsid w:val="5C8296A3"/>
    <w:rsid w:val="5C91BF21"/>
    <w:rsid w:val="5C984008"/>
    <w:rsid w:val="5CAF0854"/>
    <w:rsid w:val="5CD2F9E5"/>
    <w:rsid w:val="5CFC45DD"/>
    <w:rsid w:val="5D125766"/>
    <w:rsid w:val="5D18F1A4"/>
    <w:rsid w:val="5D1B8EC4"/>
    <w:rsid w:val="5D3AFB7F"/>
    <w:rsid w:val="5D6E5632"/>
    <w:rsid w:val="5D986397"/>
    <w:rsid w:val="5DBFE1F9"/>
    <w:rsid w:val="5DE40390"/>
    <w:rsid w:val="5E06CCB9"/>
    <w:rsid w:val="5E26FF17"/>
    <w:rsid w:val="5E2A50AD"/>
    <w:rsid w:val="5E36274C"/>
    <w:rsid w:val="5E400897"/>
    <w:rsid w:val="5E6EEEC3"/>
    <w:rsid w:val="5E79C622"/>
    <w:rsid w:val="5E8DD4D6"/>
    <w:rsid w:val="5EBBF6FC"/>
    <w:rsid w:val="5EBDB819"/>
    <w:rsid w:val="5EE4ACB8"/>
    <w:rsid w:val="5EE81646"/>
    <w:rsid w:val="5F14D263"/>
    <w:rsid w:val="5F25C82E"/>
    <w:rsid w:val="5F28CD4A"/>
    <w:rsid w:val="5F2A694A"/>
    <w:rsid w:val="5F46CE48"/>
    <w:rsid w:val="5F50341F"/>
    <w:rsid w:val="5F55A7A9"/>
    <w:rsid w:val="5F65D8FD"/>
    <w:rsid w:val="5F686AEF"/>
    <w:rsid w:val="5F6D5F92"/>
    <w:rsid w:val="5F791349"/>
    <w:rsid w:val="5F7E886E"/>
    <w:rsid w:val="5FC9B185"/>
    <w:rsid w:val="5FD7FDF5"/>
    <w:rsid w:val="5FFEDBB5"/>
    <w:rsid w:val="6015146D"/>
    <w:rsid w:val="601BC825"/>
    <w:rsid w:val="6029C9C0"/>
    <w:rsid w:val="6039D840"/>
    <w:rsid w:val="60459153"/>
    <w:rsid w:val="6056A67F"/>
    <w:rsid w:val="60672D1C"/>
    <w:rsid w:val="60967467"/>
    <w:rsid w:val="609D7A8D"/>
    <w:rsid w:val="609E44BF"/>
    <w:rsid w:val="60A146F5"/>
    <w:rsid w:val="60B42E99"/>
    <w:rsid w:val="60BD9F29"/>
    <w:rsid w:val="611C6308"/>
    <w:rsid w:val="612015F3"/>
    <w:rsid w:val="6130780D"/>
    <w:rsid w:val="61354057"/>
    <w:rsid w:val="6140FE6A"/>
    <w:rsid w:val="617E88FB"/>
    <w:rsid w:val="61852A03"/>
    <w:rsid w:val="618DAF27"/>
    <w:rsid w:val="61B92EBD"/>
    <w:rsid w:val="61C280A1"/>
    <w:rsid w:val="61FFDC0D"/>
    <w:rsid w:val="6204D5B5"/>
    <w:rsid w:val="6206A4DE"/>
    <w:rsid w:val="6206E4BE"/>
    <w:rsid w:val="623B4BE9"/>
    <w:rsid w:val="624FFEFA"/>
    <w:rsid w:val="62869AC6"/>
    <w:rsid w:val="628D6BA1"/>
    <w:rsid w:val="62985A80"/>
    <w:rsid w:val="629A604C"/>
    <w:rsid w:val="629D1E61"/>
    <w:rsid w:val="62A66983"/>
    <w:rsid w:val="62AB5703"/>
    <w:rsid w:val="62AFECCF"/>
    <w:rsid w:val="62B221E0"/>
    <w:rsid w:val="62B8FDB2"/>
    <w:rsid w:val="62BD3F56"/>
    <w:rsid w:val="62CB2E14"/>
    <w:rsid w:val="62E16D79"/>
    <w:rsid w:val="62E71D1E"/>
    <w:rsid w:val="62EAE236"/>
    <w:rsid w:val="62FCFA4C"/>
    <w:rsid w:val="63001EB5"/>
    <w:rsid w:val="630A6387"/>
    <w:rsid w:val="630BBB22"/>
    <w:rsid w:val="632D5DAC"/>
    <w:rsid w:val="6338ABBD"/>
    <w:rsid w:val="6343C9F7"/>
    <w:rsid w:val="6361AD30"/>
    <w:rsid w:val="63803262"/>
    <w:rsid w:val="639273F0"/>
    <w:rsid w:val="63954A35"/>
    <w:rsid w:val="63AAAE6E"/>
    <w:rsid w:val="63AB804E"/>
    <w:rsid w:val="63BE91F9"/>
    <w:rsid w:val="63C16AAB"/>
    <w:rsid w:val="63C62CDE"/>
    <w:rsid w:val="63C91C44"/>
    <w:rsid w:val="63F9C17F"/>
    <w:rsid w:val="63FCBFE1"/>
    <w:rsid w:val="640DD48E"/>
    <w:rsid w:val="6410D1EE"/>
    <w:rsid w:val="6422BD39"/>
    <w:rsid w:val="64431148"/>
    <w:rsid w:val="64CA3003"/>
    <w:rsid w:val="64D45182"/>
    <w:rsid w:val="64D86C9A"/>
    <w:rsid w:val="64E8DE23"/>
    <w:rsid w:val="6508E4F1"/>
    <w:rsid w:val="651C3499"/>
    <w:rsid w:val="651F76D7"/>
    <w:rsid w:val="6525B5C9"/>
    <w:rsid w:val="6541EEF8"/>
    <w:rsid w:val="654E310E"/>
    <w:rsid w:val="65625A78"/>
    <w:rsid w:val="656ED8A1"/>
    <w:rsid w:val="65BF7CB9"/>
    <w:rsid w:val="65DD1994"/>
    <w:rsid w:val="65E467DF"/>
    <w:rsid w:val="6603777A"/>
    <w:rsid w:val="66081B04"/>
    <w:rsid w:val="661EDF04"/>
    <w:rsid w:val="66617073"/>
    <w:rsid w:val="667195E1"/>
    <w:rsid w:val="66A36DF5"/>
    <w:rsid w:val="66B2DDAC"/>
    <w:rsid w:val="66D0A71B"/>
    <w:rsid w:val="66D1AF3B"/>
    <w:rsid w:val="66D4B2B9"/>
    <w:rsid w:val="66E7D212"/>
    <w:rsid w:val="66EB8884"/>
    <w:rsid w:val="67054E16"/>
    <w:rsid w:val="6718AA4D"/>
    <w:rsid w:val="672CC901"/>
    <w:rsid w:val="6737AAE4"/>
    <w:rsid w:val="67422484"/>
    <w:rsid w:val="67A675B0"/>
    <w:rsid w:val="67B1C8D9"/>
    <w:rsid w:val="67D63830"/>
    <w:rsid w:val="67E1B896"/>
    <w:rsid w:val="67E55B91"/>
    <w:rsid w:val="67F34E92"/>
    <w:rsid w:val="67F89A3B"/>
    <w:rsid w:val="67FAF74C"/>
    <w:rsid w:val="6800405A"/>
    <w:rsid w:val="680B29DD"/>
    <w:rsid w:val="68158261"/>
    <w:rsid w:val="681D0165"/>
    <w:rsid w:val="68354AA2"/>
    <w:rsid w:val="68378847"/>
    <w:rsid w:val="684396A3"/>
    <w:rsid w:val="6860BC45"/>
    <w:rsid w:val="686692A4"/>
    <w:rsid w:val="68813EA8"/>
    <w:rsid w:val="68A88974"/>
    <w:rsid w:val="68A9914E"/>
    <w:rsid w:val="68C154C6"/>
    <w:rsid w:val="68FB4C4C"/>
    <w:rsid w:val="691A9887"/>
    <w:rsid w:val="691CD073"/>
    <w:rsid w:val="69267F92"/>
    <w:rsid w:val="693DC20D"/>
    <w:rsid w:val="693F09B3"/>
    <w:rsid w:val="693F144B"/>
    <w:rsid w:val="696AF9EA"/>
    <w:rsid w:val="696C23D1"/>
    <w:rsid w:val="698D641E"/>
    <w:rsid w:val="69A58D04"/>
    <w:rsid w:val="69A78468"/>
    <w:rsid w:val="69A915B9"/>
    <w:rsid w:val="69C4F4EE"/>
    <w:rsid w:val="69C54383"/>
    <w:rsid w:val="69D1EAE6"/>
    <w:rsid w:val="69D9E46D"/>
    <w:rsid w:val="6A1AC2F5"/>
    <w:rsid w:val="6A268885"/>
    <w:rsid w:val="6A2E43B7"/>
    <w:rsid w:val="6A2E9DE5"/>
    <w:rsid w:val="6A335010"/>
    <w:rsid w:val="6A3D8650"/>
    <w:rsid w:val="6A41E882"/>
    <w:rsid w:val="6A4B673B"/>
    <w:rsid w:val="6A809439"/>
    <w:rsid w:val="6A83539C"/>
    <w:rsid w:val="6A945C6F"/>
    <w:rsid w:val="6A95E543"/>
    <w:rsid w:val="6A9D408B"/>
    <w:rsid w:val="6A9FC7B9"/>
    <w:rsid w:val="6AB4C062"/>
    <w:rsid w:val="6AC553B7"/>
    <w:rsid w:val="6AC65F75"/>
    <w:rsid w:val="6AD2F957"/>
    <w:rsid w:val="6ADD7D92"/>
    <w:rsid w:val="6AF2AD90"/>
    <w:rsid w:val="6B2A46B7"/>
    <w:rsid w:val="6B3E2364"/>
    <w:rsid w:val="6B4BB038"/>
    <w:rsid w:val="6B865D57"/>
    <w:rsid w:val="6BBA349A"/>
    <w:rsid w:val="6BC37658"/>
    <w:rsid w:val="6BD10497"/>
    <w:rsid w:val="6BEA8015"/>
    <w:rsid w:val="6BED540F"/>
    <w:rsid w:val="6C24ED96"/>
    <w:rsid w:val="6C2579EE"/>
    <w:rsid w:val="6C43B7AB"/>
    <w:rsid w:val="6C4867BC"/>
    <w:rsid w:val="6C7669DC"/>
    <w:rsid w:val="6C796364"/>
    <w:rsid w:val="6C7F3910"/>
    <w:rsid w:val="6C9D6C22"/>
    <w:rsid w:val="6CA20334"/>
    <w:rsid w:val="6CB61C56"/>
    <w:rsid w:val="6CC09897"/>
    <w:rsid w:val="6CDAC9DC"/>
    <w:rsid w:val="6CEBD0AC"/>
    <w:rsid w:val="6D037186"/>
    <w:rsid w:val="6D06986E"/>
    <w:rsid w:val="6D259160"/>
    <w:rsid w:val="6D4B2477"/>
    <w:rsid w:val="6D5D6C8A"/>
    <w:rsid w:val="6D8014C3"/>
    <w:rsid w:val="6D9AF02B"/>
    <w:rsid w:val="6DAB7F47"/>
    <w:rsid w:val="6DB52FD7"/>
    <w:rsid w:val="6DC17314"/>
    <w:rsid w:val="6DF4912E"/>
    <w:rsid w:val="6DF6710E"/>
    <w:rsid w:val="6E0F0EDC"/>
    <w:rsid w:val="6E348BDD"/>
    <w:rsid w:val="6E4FF479"/>
    <w:rsid w:val="6E594D5D"/>
    <w:rsid w:val="6E64BB25"/>
    <w:rsid w:val="6E6A6DC2"/>
    <w:rsid w:val="6E75692F"/>
    <w:rsid w:val="6E9A140A"/>
    <w:rsid w:val="6EAA8C57"/>
    <w:rsid w:val="6EE0B1B3"/>
    <w:rsid w:val="6EF5F97C"/>
    <w:rsid w:val="6F1559A5"/>
    <w:rsid w:val="6F232E69"/>
    <w:rsid w:val="6F3C9347"/>
    <w:rsid w:val="6F3E3D8B"/>
    <w:rsid w:val="6F42BCC9"/>
    <w:rsid w:val="6F6440F0"/>
    <w:rsid w:val="6F64D3C2"/>
    <w:rsid w:val="6F74C70F"/>
    <w:rsid w:val="6F83A406"/>
    <w:rsid w:val="6F991F6F"/>
    <w:rsid w:val="6FAD1C47"/>
    <w:rsid w:val="6FB0C2BF"/>
    <w:rsid w:val="6FCBE018"/>
    <w:rsid w:val="7010A436"/>
    <w:rsid w:val="7022D9F6"/>
    <w:rsid w:val="702AC681"/>
    <w:rsid w:val="70310161"/>
    <w:rsid w:val="704B32F1"/>
    <w:rsid w:val="7059BD3C"/>
    <w:rsid w:val="707524C6"/>
    <w:rsid w:val="7077662A"/>
    <w:rsid w:val="707A07E0"/>
    <w:rsid w:val="707EA580"/>
    <w:rsid w:val="709B298C"/>
    <w:rsid w:val="70D0770A"/>
    <w:rsid w:val="70E710E7"/>
    <w:rsid w:val="710C527E"/>
    <w:rsid w:val="712F8F06"/>
    <w:rsid w:val="7136CF19"/>
    <w:rsid w:val="713EAAA6"/>
    <w:rsid w:val="715B1283"/>
    <w:rsid w:val="71608D3C"/>
    <w:rsid w:val="717A53F9"/>
    <w:rsid w:val="71906CB9"/>
    <w:rsid w:val="7197A135"/>
    <w:rsid w:val="71993F51"/>
    <w:rsid w:val="71AAC337"/>
    <w:rsid w:val="71AC7497"/>
    <w:rsid w:val="71B80E52"/>
    <w:rsid w:val="71CDC6A3"/>
    <w:rsid w:val="71E191A2"/>
    <w:rsid w:val="71FC5847"/>
    <w:rsid w:val="71FFC529"/>
    <w:rsid w:val="7221E27B"/>
    <w:rsid w:val="7254E7ED"/>
    <w:rsid w:val="7266F52E"/>
    <w:rsid w:val="7269A379"/>
    <w:rsid w:val="7285D381"/>
    <w:rsid w:val="7292111C"/>
    <w:rsid w:val="72B03D45"/>
    <w:rsid w:val="72B3583D"/>
    <w:rsid w:val="72B9F52E"/>
    <w:rsid w:val="72D2C4F8"/>
    <w:rsid w:val="72DA3FCD"/>
    <w:rsid w:val="730E142B"/>
    <w:rsid w:val="73254CAE"/>
    <w:rsid w:val="732C2A6F"/>
    <w:rsid w:val="732CBFFC"/>
    <w:rsid w:val="732F4E36"/>
    <w:rsid w:val="734AA0A7"/>
    <w:rsid w:val="73503969"/>
    <w:rsid w:val="73911A01"/>
    <w:rsid w:val="739987F2"/>
    <w:rsid w:val="739C1563"/>
    <w:rsid w:val="73AC2E10"/>
    <w:rsid w:val="73B37B3C"/>
    <w:rsid w:val="73B6E0AB"/>
    <w:rsid w:val="73BC62D2"/>
    <w:rsid w:val="73C7C916"/>
    <w:rsid w:val="73E10E97"/>
    <w:rsid w:val="73EE2898"/>
    <w:rsid w:val="73FD058F"/>
    <w:rsid w:val="742EB407"/>
    <w:rsid w:val="745D2635"/>
    <w:rsid w:val="7469CD85"/>
    <w:rsid w:val="747553EF"/>
    <w:rsid w:val="747F57D8"/>
    <w:rsid w:val="748A343F"/>
    <w:rsid w:val="749DE3FA"/>
    <w:rsid w:val="74BD58DA"/>
    <w:rsid w:val="74C02689"/>
    <w:rsid w:val="74E2606F"/>
    <w:rsid w:val="74EB9A6A"/>
    <w:rsid w:val="74EED044"/>
    <w:rsid w:val="74EF93D7"/>
    <w:rsid w:val="751E506D"/>
    <w:rsid w:val="752DDD36"/>
    <w:rsid w:val="7569C889"/>
    <w:rsid w:val="757561AC"/>
    <w:rsid w:val="757A8767"/>
    <w:rsid w:val="75B0B24E"/>
    <w:rsid w:val="75B85E4B"/>
    <w:rsid w:val="75E683B3"/>
    <w:rsid w:val="75FD4CB4"/>
    <w:rsid w:val="7607E5DB"/>
    <w:rsid w:val="761E95A3"/>
    <w:rsid w:val="765C80A1"/>
    <w:rsid w:val="766747B8"/>
    <w:rsid w:val="766A1BCF"/>
    <w:rsid w:val="76744F65"/>
    <w:rsid w:val="768378C2"/>
    <w:rsid w:val="76863D78"/>
    <w:rsid w:val="768AB5AE"/>
    <w:rsid w:val="76A150D8"/>
    <w:rsid w:val="76ACA49D"/>
    <w:rsid w:val="76BAC2DE"/>
    <w:rsid w:val="76D57ED2"/>
    <w:rsid w:val="76F279F3"/>
    <w:rsid w:val="7700E8BD"/>
    <w:rsid w:val="77206B8A"/>
    <w:rsid w:val="772A4A8A"/>
    <w:rsid w:val="7734A651"/>
    <w:rsid w:val="773A68C8"/>
    <w:rsid w:val="77434FF6"/>
    <w:rsid w:val="77458363"/>
    <w:rsid w:val="774BAFDF"/>
    <w:rsid w:val="775AF02C"/>
    <w:rsid w:val="77643389"/>
    <w:rsid w:val="7772800D"/>
    <w:rsid w:val="777DB37E"/>
    <w:rsid w:val="777F438B"/>
    <w:rsid w:val="77825414"/>
    <w:rsid w:val="778BEA90"/>
    <w:rsid w:val="77BF5169"/>
    <w:rsid w:val="77D9582D"/>
    <w:rsid w:val="77E0E29F"/>
    <w:rsid w:val="77E3A526"/>
    <w:rsid w:val="77F135ED"/>
    <w:rsid w:val="7825D717"/>
    <w:rsid w:val="7842D083"/>
    <w:rsid w:val="785234BA"/>
    <w:rsid w:val="788C712C"/>
    <w:rsid w:val="789148F7"/>
    <w:rsid w:val="78932D44"/>
    <w:rsid w:val="7896F7A2"/>
    <w:rsid w:val="78AA4B8D"/>
    <w:rsid w:val="78B3B584"/>
    <w:rsid w:val="78C60F07"/>
    <w:rsid w:val="78D113A2"/>
    <w:rsid w:val="78D9521E"/>
    <w:rsid w:val="7907F1A4"/>
    <w:rsid w:val="792AE2C3"/>
    <w:rsid w:val="792BD304"/>
    <w:rsid w:val="79459B6D"/>
    <w:rsid w:val="7954DE06"/>
    <w:rsid w:val="79637FC5"/>
    <w:rsid w:val="79781DFD"/>
    <w:rsid w:val="79799DAC"/>
    <w:rsid w:val="797B183A"/>
    <w:rsid w:val="7988C15C"/>
    <w:rsid w:val="798C0FC8"/>
    <w:rsid w:val="799AE726"/>
    <w:rsid w:val="799B570A"/>
    <w:rsid w:val="799DC7E8"/>
    <w:rsid w:val="79A30D16"/>
    <w:rsid w:val="79AE0429"/>
    <w:rsid w:val="79B291FC"/>
    <w:rsid w:val="79D480BF"/>
    <w:rsid w:val="79DFDE15"/>
    <w:rsid w:val="7A214860"/>
    <w:rsid w:val="7A410FB3"/>
    <w:rsid w:val="7A5978A5"/>
    <w:rsid w:val="7A6A372E"/>
    <w:rsid w:val="7A712D52"/>
    <w:rsid w:val="7AAB91D1"/>
    <w:rsid w:val="7AB5B02D"/>
    <w:rsid w:val="7AD341EC"/>
    <w:rsid w:val="7AE22A84"/>
    <w:rsid w:val="7AEC47D7"/>
    <w:rsid w:val="7AFE4D7F"/>
    <w:rsid w:val="7B177C64"/>
    <w:rsid w:val="7B1AC306"/>
    <w:rsid w:val="7B250C5A"/>
    <w:rsid w:val="7B2FE556"/>
    <w:rsid w:val="7B6363BF"/>
    <w:rsid w:val="7B74BE0A"/>
    <w:rsid w:val="7BA226C7"/>
    <w:rsid w:val="7BBD84CB"/>
    <w:rsid w:val="7BC12847"/>
    <w:rsid w:val="7BD6521E"/>
    <w:rsid w:val="7BDCE014"/>
    <w:rsid w:val="7BFA99C7"/>
    <w:rsid w:val="7C116F33"/>
    <w:rsid w:val="7C2B765C"/>
    <w:rsid w:val="7C2E4A4C"/>
    <w:rsid w:val="7C39B301"/>
    <w:rsid w:val="7C3C76CD"/>
    <w:rsid w:val="7CA2A3F9"/>
    <w:rsid w:val="7CCD6A27"/>
    <w:rsid w:val="7CCDDE4F"/>
    <w:rsid w:val="7CD1512C"/>
    <w:rsid w:val="7CDA1660"/>
    <w:rsid w:val="7CDD867E"/>
    <w:rsid w:val="7CF18FFC"/>
    <w:rsid w:val="7D5BF499"/>
    <w:rsid w:val="7D6B3995"/>
    <w:rsid w:val="7D9F18D7"/>
    <w:rsid w:val="7DA21559"/>
    <w:rsid w:val="7DAE46FA"/>
    <w:rsid w:val="7DBC8AFF"/>
    <w:rsid w:val="7DBCDAFD"/>
    <w:rsid w:val="7DC01C21"/>
    <w:rsid w:val="7DC31E36"/>
    <w:rsid w:val="7DED378E"/>
    <w:rsid w:val="7DF2F29D"/>
    <w:rsid w:val="7E0964F4"/>
    <w:rsid w:val="7E15B0AA"/>
    <w:rsid w:val="7E2A94B7"/>
    <w:rsid w:val="7E4127EE"/>
    <w:rsid w:val="7E6C3144"/>
    <w:rsid w:val="7E85581A"/>
    <w:rsid w:val="7E8A5459"/>
    <w:rsid w:val="7E93CDE7"/>
    <w:rsid w:val="7EA121C4"/>
    <w:rsid w:val="7EB33AA2"/>
    <w:rsid w:val="7EBEE457"/>
    <w:rsid w:val="7EC008AF"/>
    <w:rsid w:val="7EC935C6"/>
    <w:rsid w:val="7ED346FA"/>
    <w:rsid w:val="7ED464CF"/>
    <w:rsid w:val="7F3BEA0F"/>
    <w:rsid w:val="7F4508F7"/>
    <w:rsid w:val="7F522B19"/>
    <w:rsid w:val="7F6A3A98"/>
    <w:rsid w:val="7F79F616"/>
    <w:rsid w:val="7F8E5B6D"/>
    <w:rsid w:val="7F8FD8F2"/>
    <w:rsid w:val="7FB25946"/>
    <w:rsid w:val="7FB6A4D5"/>
    <w:rsid w:val="7FCA9D77"/>
    <w:rsid w:val="7FCED113"/>
    <w:rsid w:val="7FDE8C1A"/>
    <w:rsid w:val="7FF56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C811D"/>
  <w15:chartTrackingRefBased/>
  <w15:docId w15:val="{82257CF0-E26A-45DD-9EE2-182BB9BE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CE"/>
    <w:pPr>
      <w:spacing w:after="0" w:line="276" w:lineRule="auto"/>
    </w:pPr>
    <w:rPr>
      <w:rFonts w:ascii="Arial" w:eastAsia="Arial" w:hAnsi="Arial" w:cs="Arial"/>
      <w:lang w:val="en"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CE"/>
    <w:rPr>
      <w:rFonts w:ascii="Arial" w:eastAsia="Arial" w:hAnsi="Arial" w:cs="Arial"/>
      <w:sz w:val="40"/>
      <w:szCs w:val="40"/>
      <w:lang w:val="en"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customStyle="1" w:styleId="CommentTextChar">
    <w:name w:val="Comment Text Char"/>
    <w:basedOn w:val="DefaultParagraphFont"/>
    <w:link w:val="CommentText"/>
    <w:uiPriority w:val="99"/>
    <w:rsid w:val="00BD4BCE"/>
    <w:rPr>
      <w:rFonts w:ascii="Arial" w:eastAsia="Arial" w:hAnsi="Arial" w:cs="Arial"/>
      <w:sz w:val="20"/>
      <w:szCs w:val="20"/>
      <w:lang w:val="en" w:eastAsia="en-GB"/>
    </w:rPr>
  </w:style>
  <w:style w:type="character" w:styleId="CommentReference">
    <w:name w:val="annotation reference"/>
    <w:basedOn w:val="DefaultParagraphFon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BD4BCE"/>
  </w:style>
  <w:style w:type="character" w:customStyle="1" w:styleId="eop">
    <w:name w:val="eop"/>
    <w:basedOn w:val="DefaultParagraphFont"/>
    <w:rsid w:val="00BD4BCE"/>
  </w:style>
  <w:style w:type="character" w:customStyle="1" w:styleId="spellingerror">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customStyle="1" w:styleId="HeaderChar">
    <w:name w:val="Header Char"/>
    <w:basedOn w:val="DefaultParagraphFont"/>
    <w:link w:val="Header"/>
    <w:uiPriority w:val="99"/>
    <w:rsid w:val="00431CA9"/>
    <w:rPr>
      <w:rFonts w:ascii="Arial" w:eastAsia="Arial" w:hAnsi="Arial" w:cs="Arial"/>
      <w:lang w:val="en"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customStyle="1" w:styleId="FooterChar">
    <w:name w:val="Footer Char"/>
    <w:basedOn w:val="DefaultParagraphFont"/>
    <w:link w:val="Footer"/>
    <w:uiPriority w:val="99"/>
    <w:rsid w:val="00431CA9"/>
    <w:rPr>
      <w:rFonts w:ascii="Arial" w:eastAsia="Arial" w:hAnsi="Arial" w:cs="Arial"/>
      <w:lang w:val="en"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List Item,bl"/>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customStyle="1" w:styleId="CommentSubjectChar">
    <w:name w:val="Comment Subject Char"/>
    <w:basedOn w:val="CommentTextChar"/>
    <w:link w:val="CommentSubject"/>
    <w:uiPriority w:val="99"/>
    <w:semiHidden/>
    <w:rsid w:val="007A3FC1"/>
    <w:rPr>
      <w:rFonts w:ascii="Arial" w:eastAsia="Arial" w:hAnsi="Arial" w:cs="Arial"/>
      <w:b/>
      <w:bCs/>
      <w:sz w:val="20"/>
      <w:szCs w:val="20"/>
      <w:lang w:val="en" w:eastAsia="en-GB"/>
    </w:rPr>
  </w:style>
  <w:style w:type="table" w:styleId="TableGrid">
    <w:name w:val="Table Grid"/>
    <w:basedOn w:val="TableNormal"/>
    <w:uiPriority w:val="39"/>
    <w:rsid w:val="00185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eastAsia="Arial" w:hAnsi="Arial" w:cs="Arial"/>
      <w:lang w:val="en" w:eastAsia="en-GB"/>
    </w:rPr>
  </w:style>
  <w:style w:type="character" w:styleId="Mention">
    <w:name w:val="Mention"/>
    <w:basedOn w:val="DefaultParagraphFont"/>
    <w:uiPriority w:val="99"/>
    <w:unhideWhenUsed/>
    <w:rsid w:val="00AA32F8"/>
    <w:rPr>
      <w:color w:val="2B579A"/>
      <w:shd w:val="clear" w:color="auto" w:fill="E6E6E6"/>
    </w:rPr>
  </w:style>
  <w:style w:type="character" w:styleId="UnresolvedMention">
    <w:name w:val="Unresolved Mention"/>
    <w:basedOn w:val="DefaultParagraphFont"/>
    <w:uiPriority w:val="99"/>
    <w:unhideWhenUsed/>
    <w:rsid w:val="00806832"/>
    <w:rPr>
      <w:color w:val="605E5C"/>
      <w:shd w:val="clear" w:color="auto" w:fill="E1DFDD"/>
    </w:rPr>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val="en-US" w:eastAsia="ja-JP"/>
    </w:rPr>
  </w:style>
  <w:style w:type="character" w:customStyle="1" w:styleId="TitleChar">
    <w:name w:val="Title Char"/>
    <w:basedOn w:val="DefaultParagraphFont"/>
    <w:link w:val="Title"/>
    <w:uiPriority w:val="10"/>
    <w:rsid w:val="00806832"/>
    <w:rPr>
      <w:rFonts w:ascii="Arial" w:eastAsia="MS Mincho" w:hAnsi="Arial" w:cs="Arial"/>
      <w:b/>
      <w:bCs/>
      <w:kern w:val="28"/>
      <w:sz w:val="32"/>
      <w:szCs w:val="32"/>
      <w:lang w:eastAsia="ja-JP"/>
    </w:rPr>
  </w:style>
  <w:style w:type="paragraph" w:styleId="Revision">
    <w:name w:val="Revision"/>
    <w:hidden/>
    <w:uiPriority w:val="99"/>
    <w:semiHidden/>
    <w:rsid w:val="002518B4"/>
    <w:pPr>
      <w:spacing w:after="0" w:line="240" w:lineRule="auto"/>
    </w:pPr>
    <w:rPr>
      <w:rFonts w:ascii="Arial" w:eastAsia="Arial" w:hAnsi="Arial" w:cs="Arial"/>
      <w:lang w:val="en"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E4361"/>
    <w:pPr>
      <w:numPr>
        <w:numId w:val="2"/>
      </w:numPr>
    </w:pPr>
  </w:style>
  <w:style w:type="numbering" w:customStyle="1" w:styleId="CurrentList2">
    <w:name w:val="Current List2"/>
    <w:uiPriority w:val="99"/>
    <w:rsid w:val="00F73FF8"/>
    <w:pPr>
      <w:numPr>
        <w:numId w:val="3"/>
      </w:numPr>
    </w:pPr>
  </w:style>
  <w:style w:type="numbering" w:customStyle="1" w:styleId="CurrentList3">
    <w:name w:val="Current List3"/>
    <w:uiPriority w:val="99"/>
    <w:rsid w:val="001E1C11"/>
    <w:pPr>
      <w:numPr>
        <w:numId w:val="4"/>
      </w:numPr>
    </w:pPr>
  </w:style>
  <w:style w:type="paragraph" w:styleId="NoSpacing">
    <w:name w:val="No Spacing"/>
    <w:uiPriority w:val="1"/>
    <w:qFormat/>
    <w:rsid w:val="00284A22"/>
    <w:pPr>
      <w:spacing w:after="0" w:line="240" w:lineRule="auto"/>
    </w:pPr>
    <w:rPr>
      <w:rFonts w:ascii="Arial" w:eastAsia="Arial" w:hAnsi="Arial" w:cs="Arial"/>
      <w:lang w:val="en"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customStyle="1" w:styleId="FootnoteTextChar">
    <w:name w:val="Footnote Text Char"/>
    <w:basedOn w:val="DefaultParagraphFont"/>
    <w:link w:val="FootnoteText"/>
    <w:uiPriority w:val="99"/>
    <w:semiHidden/>
    <w:rsid w:val="00D77BD9"/>
    <w:rPr>
      <w:rFonts w:ascii="Arial" w:eastAsia="Arial" w:hAnsi="Arial" w:cs="Arial"/>
      <w:sz w:val="20"/>
      <w:szCs w:val="20"/>
      <w:lang w:val="en" w:eastAsia="en-GB"/>
    </w:rPr>
  </w:style>
  <w:style w:type="character" w:styleId="FootnoteReference">
    <w:name w:val="footnote reference"/>
    <w:basedOn w:val="DefaultParagraphFont"/>
    <w:uiPriority w:val="99"/>
    <w:semiHidden/>
    <w:unhideWhenUsed/>
    <w:rsid w:val="00D77BD9"/>
    <w:rPr>
      <w:vertAlign w:val="superscript"/>
    </w:rPr>
  </w:style>
  <w:style w:type="table" w:styleId="GridTable4-Accent3">
    <w:name w:val="Grid Table 4 Accent 3"/>
    <w:basedOn w:val="TableNormal"/>
    <w:uiPriority w:val="49"/>
    <w:rsid w:val="00E067A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870267069">
      <w:bodyDiv w:val="1"/>
      <w:marLeft w:val="0"/>
      <w:marRight w:val="0"/>
      <w:marTop w:val="0"/>
      <w:marBottom w:val="0"/>
      <w:divBdr>
        <w:top w:val="none" w:sz="0" w:space="0" w:color="auto"/>
        <w:left w:val="none" w:sz="0" w:space="0" w:color="auto"/>
        <w:bottom w:val="none" w:sz="0" w:space="0" w:color="auto"/>
        <w:right w:val="none" w:sz="0" w:space="0" w:color="auto"/>
      </w:divBdr>
      <w:divsChild>
        <w:div w:id="475803793">
          <w:marLeft w:val="0"/>
          <w:marRight w:val="0"/>
          <w:marTop w:val="0"/>
          <w:marBottom w:val="0"/>
          <w:divBdr>
            <w:top w:val="none" w:sz="0" w:space="0" w:color="auto"/>
            <w:left w:val="none" w:sz="0" w:space="0" w:color="auto"/>
            <w:bottom w:val="none" w:sz="0" w:space="0" w:color="auto"/>
            <w:right w:val="none" w:sz="0" w:space="0" w:color="auto"/>
          </w:divBdr>
        </w:div>
      </w:divsChild>
    </w:div>
    <w:div w:id="947081072">
      <w:bodyDiv w:val="1"/>
      <w:marLeft w:val="0"/>
      <w:marRight w:val="0"/>
      <w:marTop w:val="0"/>
      <w:marBottom w:val="0"/>
      <w:divBdr>
        <w:top w:val="none" w:sz="0" w:space="0" w:color="auto"/>
        <w:left w:val="none" w:sz="0" w:space="0" w:color="auto"/>
        <w:bottom w:val="none" w:sz="0" w:space="0" w:color="auto"/>
        <w:right w:val="none" w:sz="0" w:space="0" w:color="auto"/>
      </w:divBdr>
      <w:divsChild>
        <w:div w:id="1243443783">
          <w:marLeft w:val="0"/>
          <w:marRight w:val="0"/>
          <w:marTop w:val="0"/>
          <w:marBottom w:val="0"/>
          <w:divBdr>
            <w:top w:val="none" w:sz="0" w:space="0" w:color="auto"/>
            <w:left w:val="none" w:sz="0" w:space="0" w:color="auto"/>
            <w:bottom w:val="none" w:sz="0" w:space="0" w:color="auto"/>
            <w:right w:val="none" w:sz="0" w:space="0" w:color="auto"/>
          </w:divBdr>
        </w:div>
      </w:divsChild>
    </w:div>
    <w:div w:id="1483355576">
      <w:bodyDiv w:val="1"/>
      <w:marLeft w:val="0"/>
      <w:marRight w:val="0"/>
      <w:marTop w:val="0"/>
      <w:marBottom w:val="0"/>
      <w:divBdr>
        <w:top w:val="none" w:sz="0" w:space="0" w:color="auto"/>
        <w:left w:val="none" w:sz="0" w:space="0" w:color="auto"/>
        <w:bottom w:val="none" w:sz="0" w:space="0" w:color="auto"/>
        <w:right w:val="none" w:sz="0" w:space="0" w:color="auto"/>
      </w:divBdr>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news/document-library/gavi-programme-funding-guidelin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vi.org/sites/default/files/support/TCA-guidelines.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GAVI-438364776-957326</_dlc_DocId>
    <_dlc_DocIdUrl xmlns="55894003-98dc-4f3e-8669-85b90bdbcc8c">
      <Url>https://gavinet.sharepoint.com/teams/PAP/srp/_layouts/15/DocIdRedir.aspx?ID=GAVI-438364776-957326</Url>
      <Description>GAVI-438364776-957326</Description>
    </_dlc_DocIdUrl>
    <lcf76f155ced4ddcb4097134ff3c332f xmlns="5c2490db-6e42-4989-a0fb-d6ff54a6a7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28A578-D6CE-4B46-9B14-9ECAFD982273}">
  <ds:schemaRefs>
    <ds:schemaRef ds:uri="Microsoft.SharePoint.Taxonomy.ContentTypeSync"/>
  </ds:schemaRefs>
</ds:datastoreItem>
</file>

<file path=customXml/itemProps2.xml><?xml version="1.0" encoding="utf-8"?>
<ds:datastoreItem xmlns:ds="http://schemas.openxmlformats.org/officeDocument/2006/customXml" ds:itemID="{8046A321-9346-4C24-BD12-D0AF171E1442}">
  <ds:schemaRefs>
    <ds:schemaRef ds:uri="http://schemas.openxmlformats.org/officeDocument/2006/bibliography"/>
  </ds:schemaRefs>
</ds:datastoreItem>
</file>

<file path=customXml/itemProps3.xml><?xml version="1.0" encoding="utf-8"?>
<ds:datastoreItem xmlns:ds="http://schemas.openxmlformats.org/officeDocument/2006/customXml" ds:itemID="{895FCD3F-BE64-4393-A04D-652E6848753A}"/>
</file>

<file path=customXml/itemProps4.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5.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6.xml><?xml version="1.0" encoding="utf-8"?>
<ds:datastoreItem xmlns:ds="http://schemas.openxmlformats.org/officeDocument/2006/customXml" ds:itemID="{443ABCCA-2525-4A32-B18C-E44E28EFC753}">
  <ds:schemaRefs>
    <ds:schemaRef ds:uri="http://schemas.microsoft.com/office/2006/metadata/properties"/>
    <ds:schemaRef ds:uri="http://schemas.microsoft.com/office/infopath/2007/PartnerControls"/>
    <ds:schemaRef ds:uri="d0706217-df7c-4bf4-936d-b09aa3b837af"/>
    <ds:schemaRef ds:uri="55894003-98dc-4f3e-8669-85b90bdbcc8c"/>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6194</Words>
  <Characters>35310</Characters>
  <Application>Microsoft Office Word</Application>
  <DocSecurity>0</DocSecurity>
  <Lines>294</Lines>
  <Paragraphs>82</Paragraphs>
  <ScaleCrop>false</ScaleCrop>
  <Company/>
  <LinksUpToDate>false</LinksUpToDate>
  <CharactersWithSpaces>41422</CharactersWithSpaces>
  <SharedDoc>false</SharedDoc>
  <HLinks>
    <vt:vector size="30" baseType="variant">
      <vt:variant>
        <vt:i4>6684771</vt:i4>
      </vt:variant>
      <vt:variant>
        <vt:i4>3</vt:i4>
      </vt:variant>
      <vt:variant>
        <vt:i4>0</vt:i4>
      </vt:variant>
      <vt:variant>
        <vt:i4>5</vt:i4>
      </vt:variant>
      <vt:variant>
        <vt:lpwstr>https://www.gavi.org/sites/default/files/support/TCA-guidelines.pdf</vt:lpwstr>
      </vt:variant>
      <vt:variant>
        <vt:lpwstr/>
      </vt:variant>
      <vt:variant>
        <vt:i4>5832791</vt:i4>
      </vt:variant>
      <vt:variant>
        <vt:i4>0</vt:i4>
      </vt:variant>
      <vt:variant>
        <vt:i4>0</vt:i4>
      </vt:variant>
      <vt:variant>
        <vt:i4>5</vt:i4>
      </vt:variant>
      <vt:variant>
        <vt:lpwstr>https://www.gavi.org/news/document-library/gavi-programme-funding-guidelines</vt:lpwstr>
      </vt:variant>
      <vt:variant>
        <vt:lpwstr/>
      </vt:variant>
      <vt:variant>
        <vt:i4>2687004</vt:i4>
      </vt:variant>
      <vt:variant>
        <vt:i4>6</vt:i4>
      </vt:variant>
      <vt:variant>
        <vt:i4>0</vt:i4>
      </vt:variant>
      <vt:variant>
        <vt:i4>5</vt:i4>
      </vt:variant>
      <vt:variant>
        <vt:lpwstr>mailto:pswai@unicef.org</vt:lpwstr>
      </vt:variant>
      <vt:variant>
        <vt:lpwstr/>
      </vt:variant>
      <vt:variant>
        <vt:i4>2883585</vt:i4>
      </vt:variant>
      <vt:variant>
        <vt:i4>3</vt:i4>
      </vt:variant>
      <vt:variant>
        <vt:i4>0</vt:i4>
      </vt:variant>
      <vt:variant>
        <vt:i4>5</vt:i4>
      </vt:variant>
      <vt:variant>
        <vt:lpwstr>mailto:yaung@unicef.org</vt:lpwstr>
      </vt:variant>
      <vt:variant>
        <vt:lpwstr/>
      </vt:variant>
      <vt:variant>
        <vt:i4>2687004</vt:i4>
      </vt:variant>
      <vt:variant>
        <vt:i4>0</vt:i4>
      </vt:variant>
      <vt:variant>
        <vt:i4>0</vt:i4>
      </vt:variant>
      <vt:variant>
        <vt:i4>5</vt:i4>
      </vt:variant>
      <vt:variant>
        <vt:lpwstr>mailto:pswai@unicef.org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M Ruhul Amin</cp:lastModifiedBy>
  <cp:revision>82</cp:revision>
  <dcterms:created xsi:type="dcterms:W3CDTF">2022-05-17T14:18:00Z</dcterms:created>
  <dcterms:modified xsi:type="dcterms:W3CDTF">2022-05-17T15:49:00Z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566;#Ranjana Kumar;#12158;#Katja Schemionek;#3520;#Alex de Jonquieres;#13088;#Daria Piccand;#17886;#Susan Mackay;#867;#Maya Getchell (Consultant);#24960;#Ibrahim Mohammed;#12006;#Jean-Charles Dubourg;#25188;#Eric Sarriot;#13264;#Sara Menzies;#113;#Riswana</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910c6adc-d842-487c-a841-ecf5da310bf5</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ies>
</file>