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6B9D72D" w:rsidP="36B9D72D" w:rsidRDefault="36B9D72D" w14:paraId="2538ABA5" w14:textId="7364A7D7">
      <w:pPr>
        <w:spacing w:line="300" w:lineRule="exact"/>
        <w:jc w:val="center"/>
        <w:rPr>
          <w:b/>
          <w:bCs/>
          <w:color w:val="4472C4" w:themeColor="accent1"/>
          <w:sz w:val="32"/>
          <w:szCs w:val="32"/>
          <w:lang w:val="en-GB"/>
        </w:rPr>
      </w:pPr>
      <w:r w:rsidRPr="36B9D72D">
        <w:rPr>
          <w:b/>
          <w:bCs/>
          <w:color w:val="4472C4" w:themeColor="accent1"/>
          <w:sz w:val="32"/>
          <w:szCs w:val="32"/>
          <w:lang w:val="en-GB"/>
        </w:rPr>
        <w:t>Kenya</w:t>
      </w:r>
    </w:p>
    <w:p w:rsidR="00B177EC" w:rsidP="00FC4A11" w:rsidRDefault="00B177EC" w14:paraId="2F1C3C11" w14:textId="77777777">
      <w:pPr>
        <w:spacing w:line="300" w:lineRule="exact"/>
        <w:rPr>
          <w:b/>
          <w:color w:val="4472C4" w:themeColor="accent1"/>
          <w:sz w:val="36"/>
          <w:szCs w:val="36"/>
          <w:lang w:val="en-GB"/>
        </w:rPr>
      </w:pPr>
    </w:p>
    <w:p w:rsidR="00EA7614" w:rsidP="002C42E8" w:rsidRDefault="000301CD" w14:paraId="104F20A4" w14:textId="46A3E482">
      <w:pPr>
        <w:spacing w:line="300" w:lineRule="exact"/>
        <w:jc w:val="center"/>
        <w:rPr>
          <w:b/>
          <w:color w:val="4471C4"/>
          <w:sz w:val="32"/>
          <w:szCs w:val="32"/>
          <w:lang w:val="en-GB"/>
        </w:rPr>
      </w:pPr>
      <w:r w:rsidRPr="4E4DD800">
        <w:rPr>
          <w:b/>
          <w:color w:val="4471C4"/>
          <w:sz w:val="32"/>
          <w:szCs w:val="32"/>
          <w:lang w:val="en-GB"/>
        </w:rPr>
        <w:t>PEF Targeted Country Assistance (TCA) Narrative</w:t>
      </w:r>
    </w:p>
    <w:p w:rsidRPr="000301CD" w:rsidR="00EA7614" w:rsidP="002C42E8" w:rsidRDefault="000301CD" w14:paraId="299FEA98" w14:textId="14379F3C">
      <w:pPr>
        <w:spacing w:line="300" w:lineRule="exact"/>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rsidR="000301CD" w:rsidP="00FC4A11" w:rsidRDefault="000301CD" w14:paraId="505C9912" w14:textId="77777777">
      <w:pPr>
        <w:spacing w:line="300" w:lineRule="exact"/>
        <w:rPr>
          <w:bCs/>
          <w:color w:val="808080" w:themeColor="background1" w:themeShade="80"/>
          <w:lang w:val="en-GB"/>
        </w:rPr>
      </w:pPr>
    </w:p>
    <w:p w:rsidR="000D0267" w:rsidP="00FC4A11" w:rsidRDefault="00322FAC" w14:paraId="0E23D244" w14:textId="1D5F69EF">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Pr="00072D93" w:rsidR="00E14236">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rsidRPr="00072D93" w:rsidR="00056DDF" w:rsidP="00FC4A11" w:rsidRDefault="00056DDF" w14:paraId="6F6CC660" w14:textId="77777777">
      <w:pPr>
        <w:spacing w:line="300" w:lineRule="exact"/>
        <w:rPr>
          <w:bCs/>
          <w:color w:val="808080" w:themeColor="background1" w:themeShade="80"/>
        </w:rPr>
      </w:pPr>
    </w:p>
    <w:p w:rsidRPr="0065351E" w:rsidR="001C1D82" w:rsidP="00056DDF" w:rsidRDefault="00056DDF" w14:paraId="1AB11C18" w14:textId="238BD1D1">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rsidTr="72AC5B75" w14:paraId="70C3917F" w14:textId="6D7D2D4E">
        <w:tc>
          <w:tcPr>
            <w:tcW w:w="2185" w:type="dxa"/>
            <w:shd w:val="clear" w:color="auto" w:fill="DEEAF6" w:themeFill="accent5" w:themeFillTint="33"/>
          </w:tcPr>
          <w:p w:rsidRPr="00372D1F" w:rsidR="00FB048D" w:rsidP="00FC4A11" w:rsidRDefault="00FB048D" w14:paraId="7BD2C001" w14:textId="20F00943">
            <w:pPr>
              <w:spacing w:line="300" w:lineRule="exact"/>
              <w:rPr>
                <w:b/>
                <w:lang w:val="en-GB"/>
              </w:rPr>
            </w:pPr>
            <w:r w:rsidRPr="00372D1F">
              <w:rPr>
                <w:b/>
                <w:lang w:val="en-GB"/>
              </w:rPr>
              <w:t>Total Envelope</w:t>
            </w:r>
          </w:p>
        </w:tc>
        <w:tc>
          <w:tcPr>
            <w:tcW w:w="5748" w:type="dxa"/>
            <w:gridSpan w:val="2"/>
            <w:shd w:val="clear" w:color="auto" w:fill="DEEAF6" w:themeFill="accent5" w:themeFillTint="33"/>
          </w:tcPr>
          <w:p w:rsidRPr="00372D1F" w:rsidR="00FB048D" w:rsidP="72AC5B75" w:rsidRDefault="00FB048D" w14:paraId="5F1CD927" w14:textId="4A5C88B7">
            <w:pPr>
              <w:spacing w:line="300" w:lineRule="exact"/>
              <w:rPr>
                <w:b/>
                <w:bCs/>
                <w:lang w:val="en-GB"/>
              </w:rPr>
            </w:pPr>
            <w:r w:rsidRPr="72AC5B75">
              <w:rPr>
                <w:b/>
                <w:bCs/>
                <w:lang w:val="en-GB"/>
              </w:rPr>
              <w:t>Indicative allocation per 2022</w:t>
            </w:r>
          </w:p>
        </w:tc>
        <w:tc>
          <w:tcPr>
            <w:tcW w:w="1134" w:type="dxa"/>
            <w:shd w:val="clear" w:color="auto" w:fill="DEEAF6" w:themeFill="accent5" w:themeFillTint="33"/>
          </w:tcPr>
          <w:p w:rsidRPr="00372D1F" w:rsidR="00FB048D" w:rsidP="00FC4A11" w:rsidRDefault="00FB048D" w14:paraId="7640021E" w14:textId="0969877A">
            <w:pPr>
              <w:spacing w:line="300" w:lineRule="exact"/>
              <w:rPr>
                <w:b/>
                <w:lang w:val="en-GB"/>
              </w:rPr>
            </w:pPr>
            <w:r>
              <w:rPr>
                <w:b/>
                <w:lang w:val="en-GB"/>
              </w:rPr>
              <w:t>%</w:t>
            </w:r>
          </w:p>
        </w:tc>
      </w:tr>
      <w:tr w:rsidR="00FB048D" w:rsidTr="72AC5B75" w14:paraId="150C4E2A" w14:textId="117ACA42">
        <w:tc>
          <w:tcPr>
            <w:tcW w:w="2185" w:type="dxa"/>
            <w:shd w:val="clear" w:color="auto" w:fill="FFFFFF" w:themeFill="background1"/>
          </w:tcPr>
          <w:p w:rsidR="00FB048D" w:rsidP="72AC5B75" w:rsidRDefault="00FB048D" w14:paraId="0B0DE499" w14:textId="39F6DED1">
            <w:pPr>
              <w:spacing w:line="300" w:lineRule="exact"/>
              <w:rPr>
                <w:color w:val="808080" w:themeColor="background1" w:themeShade="80"/>
                <w:lang w:val="en-GB"/>
              </w:rPr>
            </w:pPr>
            <w:r w:rsidRPr="72AC5B75">
              <w:rPr>
                <w:color w:val="808080" w:themeColor="background1" w:themeShade="80"/>
                <w:lang w:val="en-GB"/>
              </w:rPr>
              <w:t>$</w:t>
            </w:r>
            <w:r w:rsidRPr="72AC5B75" w:rsidR="72AC5B75">
              <w:rPr>
                <w:color w:val="808080" w:themeColor="background1" w:themeShade="80"/>
                <w:lang w:val="en-GB"/>
              </w:rPr>
              <w:t>1,205,908 USD</w:t>
            </w:r>
          </w:p>
          <w:p w:rsidR="00FB048D" w:rsidP="72AC5B75" w:rsidRDefault="00FB048D" w14:paraId="731ED098" w14:textId="7AE46783">
            <w:pPr>
              <w:spacing w:line="300" w:lineRule="exact"/>
              <w:rPr>
                <w:color w:val="808080" w:themeColor="background1" w:themeShade="80"/>
                <w:lang w:val="en-GB"/>
              </w:rPr>
            </w:pPr>
          </w:p>
        </w:tc>
        <w:tc>
          <w:tcPr>
            <w:tcW w:w="787" w:type="dxa"/>
            <w:shd w:val="clear" w:color="auto" w:fill="E2EFD9" w:themeFill="accent6" w:themeFillTint="33"/>
          </w:tcPr>
          <w:p w:rsidRPr="007530C5" w:rsidR="00FB048D" w:rsidP="72AC5B75" w:rsidRDefault="00FB048D" w14:paraId="7CFDAA42" w14:textId="1406FB5F">
            <w:pPr>
              <w:spacing w:line="300" w:lineRule="exact"/>
              <w:rPr>
                <w:b/>
                <w:bCs/>
                <w:lang w:val="en-GB"/>
              </w:rPr>
            </w:pPr>
            <w:r w:rsidRPr="72AC5B75">
              <w:rPr>
                <w:b/>
                <w:bCs/>
                <w:lang w:val="en-GB"/>
              </w:rPr>
              <w:t>2022</w:t>
            </w:r>
          </w:p>
        </w:tc>
        <w:tc>
          <w:tcPr>
            <w:tcW w:w="4961" w:type="dxa"/>
            <w:shd w:val="clear" w:color="auto" w:fill="E2EFD9" w:themeFill="accent6" w:themeFillTint="33"/>
          </w:tcPr>
          <w:p w:rsidRPr="003F1471" w:rsidR="00FB048D" w:rsidP="72AC5B75" w:rsidRDefault="00FB048D" w14:paraId="00353A5A" w14:textId="7DC1B829">
            <w:pPr>
              <w:spacing w:line="300" w:lineRule="exact"/>
              <w:rPr>
                <w:color w:val="808080" w:themeColor="background1" w:themeShade="80"/>
                <w:lang w:val="en-GB"/>
              </w:rPr>
            </w:pPr>
            <w:r w:rsidRPr="72AC5B75">
              <w:rPr>
                <w:color w:val="808080" w:themeColor="background1" w:themeShade="80"/>
                <w:lang w:val="en-GB"/>
              </w:rPr>
              <w:t>$</w:t>
            </w:r>
            <w:r w:rsidRPr="72AC5B75" w:rsidR="72AC5B75">
              <w:rPr>
                <w:color w:val="808080" w:themeColor="background1" w:themeShade="80"/>
                <w:lang w:val="en-GB"/>
              </w:rPr>
              <w:t>1,205,908</w:t>
            </w:r>
          </w:p>
        </w:tc>
        <w:tc>
          <w:tcPr>
            <w:tcW w:w="1134" w:type="dxa"/>
            <w:shd w:val="clear" w:color="auto" w:fill="E2EFD9" w:themeFill="accent6" w:themeFillTint="33"/>
          </w:tcPr>
          <w:p w:rsidR="00FB048D" w:rsidP="72AC5B75" w:rsidRDefault="72AC5B75" w14:paraId="2EADFDF3" w14:textId="4343ED27">
            <w:pPr>
              <w:spacing w:line="300" w:lineRule="exact"/>
              <w:rPr>
                <w:color w:val="808080" w:themeColor="background1" w:themeShade="80"/>
                <w:lang w:val="en-GB"/>
              </w:rPr>
            </w:pPr>
            <w:r w:rsidRPr="72AC5B75">
              <w:rPr>
                <w:color w:val="808080" w:themeColor="background1" w:themeShade="80"/>
                <w:lang w:val="en-GB"/>
              </w:rPr>
              <w:t>100%</w:t>
            </w:r>
          </w:p>
        </w:tc>
      </w:tr>
    </w:tbl>
    <w:p w:rsidR="00A47FCF" w:rsidP="00FC4A11" w:rsidRDefault="00A47FCF" w14:paraId="1F6083B3" w14:textId="77777777">
      <w:pPr>
        <w:spacing w:line="300" w:lineRule="exact"/>
        <w:rPr>
          <w:bCs/>
          <w:color w:val="808080" w:themeColor="background1" w:themeShade="80"/>
          <w:lang w:val="en-GB"/>
        </w:rPr>
      </w:pPr>
    </w:p>
    <w:p w:rsidR="00650EB6" w:rsidP="00CE1F57" w:rsidRDefault="00FB7375" w14:paraId="030CF340" w14:textId="34A3E30E">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rsidR="000E69CF" w:rsidP="00FC4A11" w:rsidRDefault="000E69CF" w14:paraId="52D793FC" w14:textId="77777777">
      <w:pPr>
        <w:spacing w:line="300" w:lineRule="exact"/>
        <w:rPr>
          <w:bCs/>
          <w:color w:val="808080" w:themeColor="background1" w:themeShade="80"/>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650EB6" w:rsidTr="00294171" w14:paraId="4DE8D376" w14:textId="77777777">
        <w:tc>
          <w:tcPr>
            <w:tcW w:w="9192" w:type="dxa"/>
            <w:tcBorders>
              <w:bottom w:val="single" w:color="auto" w:sz="6" w:space="0"/>
            </w:tcBorders>
            <w:shd w:val="clear" w:color="auto" w:fill="F2F2F2" w:themeFill="background1" w:themeFillShade="F2"/>
          </w:tcPr>
          <w:p w:rsidRPr="00650EB6" w:rsidR="00650EB6" w:rsidP="00871FCF" w:rsidRDefault="00650EB6" w14:paraId="7976640A" w14:textId="70A33093">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sidR="00483273">
              <w:rPr>
                <w:b/>
                <w:bCs/>
                <w:i/>
                <w:iCs/>
                <w:sz w:val="20"/>
                <w:szCs w:val="20"/>
              </w:rPr>
              <w:t>is</w:t>
            </w:r>
            <w:r w:rsidRPr="008C7464">
              <w:rPr>
                <w:b/>
                <w:bCs/>
                <w:i/>
                <w:iCs/>
                <w:sz w:val="20"/>
                <w:szCs w:val="20"/>
              </w:rPr>
              <w:t xml:space="preserve"> significant to understanding the country</w:t>
            </w:r>
            <w:r w:rsidR="00483273">
              <w:rPr>
                <w:b/>
                <w:bCs/>
                <w:i/>
                <w:iCs/>
                <w:sz w:val="20"/>
                <w:szCs w:val="20"/>
              </w:rPr>
              <w:t>'s</w:t>
            </w:r>
            <w:r w:rsidRPr="008C7464">
              <w:rPr>
                <w:b/>
                <w:bCs/>
                <w:i/>
                <w:iCs/>
                <w:sz w:val="20"/>
                <w:szCs w:val="20"/>
              </w:rPr>
              <w:t xml:space="preserve"> vision and request for Gavi TCA support. What specific effects do these factors have on the national immunisation programme</w:t>
            </w:r>
            <w:r w:rsidR="003036DC">
              <w:rPr>
                <w:b/>
                <w:bCs/>
                <w:i/>
                <w:iCs/>
                <w:sz w:val="20"/>
                <w:szCs w:val="20"/>
              </w:rPr>
              <w:t>?</w:t>
            </w:r>
          </w:p>
        </w:tc>
      </w:tr>
      <w:tr w:rsidR="00650EB6" w:rsidTr="00294171" w14:paraId="79578C2F" w14:textId="77777777">
        <w:tc>
          <w:tcPr>
            <w:tcW w:w="9192" w:type="dxa"/>
            <w:tcBorders>
              <w:top w:val="single" w:color="auto" w:sz="6" w:space="0"/>
              <w:left w:val="single" w:color="auto" w:sz="6" w:space="0"/>
              <w:bottom w:val="single" w:color="auto" w:sz="6" w:space="0"/>
              <w:right w:val="single" w:color="auto" w:sz="6" w:space="0"/>
            </w:tcBorders>
          </w:tcPr>
          <w:p w:rsidRPr="00092DA2" w:rsidR="00982483" w:rsidP="00982483" w:rsidRDefault="00982483" w14:paraId="6803C56F" w14:textId="78CEC7B7">
            <w:pPr>
              <w:pStyle w:val="Default"/>
              <w:spacing w:after="120"/>
              <w:jc w:val="both"/>
              <w:rPr>
                <w:rFonts w:ascii="Arial" w:hAnsi="Arial" w:cs="Arial"/>
                <w:sz w:val="20"/>
                <w:szCs w:val="20"/>
              </w:rPr>
            </w:pPr>
            <w:r w:rsidRPr="00092DA2">
              <w:rPr>
                <w:rFonts w:ascii="Arial" w:hAnsi="Arial" w:cs="Arial"/>
                <w:sz w:val="20"/>
                <w:szCs w:val="20"/>
              </w:rPr>
              <w:t xml:space="preserve">The goal of the Kenya EPI program is to increase and sustain high coverage and equitable utilization of vaccines, reduce the number of zero-dose children and ensure uninterrupted availability of high quality, safe and effective vaccines sustainably in the context of Universal Health Coverage (UHC). </w:t>
            </w:r>
          </w:p>
          <w:p w:rsidRPr="00092DA2" w:rsidR="00982483" w:rsidP="00982483" w:rsidRDefault="00982483" w14:paraId="73BA286F" w14:textId="2FD0AEFE">
            <w:pPr>
              <w:pStyle w:val="Default"/>
              <w:spacing w:after="120"/>
              <w:jc w:val="both"/>
              <w:rPr>
                <w:rFonts w:ascii="Arial" w:hAnsi="Arial" w:cs="Arial"/>
                <w:sz w:val="20"/>
                <w:szCs w:val="20"/>
              </w:rPr>
            </w:pPr>
            <w:r w:rsidRPr="00092DA2">
              <w:rPr>
                <w:rFonts w:ascii="Arial" w:hAnsi="Arial" w:cs="Arial"/>
                <w:sz w:val="20"/>
                <w:szCs w:val="20"/>
              </w:rPr>
              <w:t>Despite the gains in immunization in recent years, the coverage has stagnated at the 80% mark, and currently a total of 1,271,400 children (16.5% of children under 1 year old) remain totally unreached with any vaccine (zero dose children), over the last five years. The most vulnerable and underprivileged children, those who need immunization the most, are likely consistently missed. Further</w:t>
            </w:r>
            <w:r w:rsidR="00B77966">
              <w:rPr>
                <w:rFonts w:ascii="Arial" w:hAnsi="Arial" w:cs="Arial"/>
                <w:sz w:val="20"/>
                <w:szCs w:val="20"/>
              </w:rPr>
              <w:t>more,</w:t>
            </w:r>
            <w:r w:rsidRPr="00092DA2">
              <w:rPr>
                <w:rFonts w:ascii="Arial" w:hAnsi="Arial" w:cs="Arial"/>
                <w:sz w:val="20"/>
                <w:szCs w:val="20"/>
              </w:rPr>
              <w:t xml:space="preserve"> the COVID-19 pandemic is having a major impact on continuity of primary health care services, particularly immunization, exacerbating the subnational equity gaps.</w:t>
            </w:r>
          </w:p>
          <w:p w:rsidRPr="00092DA2" w:rsidR="00982483" w:rsidP="00982483" w:rsidRDefault="00777F0A" w14:paraId="47AE26DB" w14:textId="5DB09C89">
            <w:pPr>
              <w:pStyle w:val="Default"/>
              <w:spacing w:after="120"/>
              <w:jc w:val="both"/>
              <w:rPr>
                <w:rFonts w:ascii="Arial" w:hAnsi="Arial" w:cs="Arial"/>
                <w:sz w:val="20"/>
                <w:szCs w:val="20"/>
              </w:rPr>
            </w:pPr>
            <w:r>
              <w:rPr>
                <w:rFonts w:ascii="Arial" w:hAnsi="Arial" w:cs="Arial"/>
                <w:sz w:val="20"/>
                <w:szCs w:val="20"/>
              </w:rPr>
              <w:t>Kenya is currently in the accelerated phase of</w:t>
            </w:r>
            <w:r w:rsidR="00B77966">
              <w:rPr>
                <w:rFonts w:ascii="Arial" w:hAnsi="Arial" w:cs="Arial"/>
                <w:sz w:val="20"/>
                <w:szCs w:val="20"/>
              </w:rPr>
              <w:t xml:space="preserve"> </w:t>
            </w:r>
            <w:r>
              <w:rPr>
                <w:rFonts w:ascii="Arial" w:hAnsi="Arial" w:cs="Arial"/>
                <w:sz w:val="20"/>
                <w:szCs w:val="20"/>
              </w:rPr>
              <w:t>graduation</w:t>
            </w:r>
            <w:r w:rsidR="00C7373D">
              <w:rPr>
                <w:rFonts w:ascii="Arial" w:hAnsi="Arial" w:cs="Arial"/>
                <w:sz w:val="20"/>
                <w:szCs w:val="20"/>
              </w:rPr>
              <w:t xml:space="preserve"> from Gavi support</w:t>
            </w:r>
            <w:r>
              <w:rPr>
                <w:rFonts w:ascii="Arial" w:hAnsi="Arial" w:cs="Arial"/>
                <w:sz w:val="20"/>
                <w:szCs w:val="20"/>
              </w:rPr>
              <w:t>. Kenya still faces challenges with i</w:t>
            </w:r>
            <w:r w:rsidRPr="00092DA2" w:rsidR="00982483">
              <w:rPr>
                <w:rFonts w:ascii="Arial" w:hAnsi="Arial" w:cs="Arial"/>
                <w:sz w:val="20"/>
                <w:szCs w:val="20"/>
              </w:rPr>
              <w:t>nadequate and unpredictable financing at both national and county level for vaccine procurement and operations as Kenya transits from G</w:t>
            </w:r>
            <w:r w:rsidR="00B77966">
              <w:rPr>
                <w:rFonts w:ascii="Arial" w:hAnsi="Arial" w:cs="Arial"/>
                <w:sz w:val="20"/>
                <w:szCs w:val="20"/>
              </w:rPr>
              <w:t>avi</w:t>
            </w:r>
            <w:r w:rsidRPr="00092DA2" w:rsidR="00982483">
              <w:rPr>
                <w:rFonts w:ascii="Arial" w:hAnsi="Arial" w:cs="Arial"/>
                <w:sz w:val="20"/>
                <w:szCs w:val="20"/>
              </w:rPr>
              <w:t xml:space="preserve"> support</w:t>
            </w:r>
            <w:r>
              <w:rPr>
                <w:rFonts w:ascii="Arial" w:hAnsi="Arial" w:cs="Arial"/>
                <w:sz w:val="20"/>
                <w:szCs w:val="20"/>
              </w:rPr>
              <w:t>. There is m</w:t>
            </w:r>
            <w:r w:rsidRPr="00092DA2" w:rsidR="00982483">
              <w:rPr>
                <w:rFonts w:ascii="Arial" w:hAnsi="Arial" w:cs="Arial"/>
                <w:sz w:val="20"/>
                <w:szCs w:val="20"/>
              </w:rPr>
              <w:t>inimal involvement of the community</w:t>
            </w:r>
            <w:r w:rsidR="007152C3">
              <w:rPr>
                <w:rFonts w:ascii="Arial" w:hAnsi="Arial" w:cs="Arial"/>
                <w:sz w:val="20"/>
                <w:szCs w:val="20"/>
              </w:rPr>
              <w:t xml:space="preserve"> and other stakeholders including private sector and ministries </w:t>
            </w:r>
            <w:r w:rsidRPr="00092DA2" w:rsidR="00982483">
              <w:rPr>
                <w:rFonts w:ascii="Arial" w:hAnsi="Arial" w:cs="Arial"/>
                <w:sz w:val="20"/>
                <w:szCs w:val="20"/>
              </w:rPr>
              <w:t xml:space="preserve">in planning and implementation of immunization </w:t>
            </w:r>
            <w:r w:rsidR="00B77966">
              <w:rPr>
                <w:rFonts w:ascii="Arial" w:hAnsi="Arial" w:cs="Arial"/>
                <w:sz w:val="20"/>
                <w:szCs w:val="20"/>
              </w:rPr>
              <w:t xml:space="preserve">and this, </w:t>
            </w:r>
            <w:r w:rsidRPr="00092DA2" w:rsidR="00982483">
              <w:rPr>
                <w:rFonts w:ascii="Arial" w:hAnsi="Arial" w:cs="Arial"/>
                <w:sz w:val="20"/>
                <w:szCs w:val="20"/>
              </w:rPr>
              <w:t>negatively impacts access to immunization services. This is exacerbated by lack of budgetary allocations to subnational level actions to mitigate against zero dose communities and</w:t>
            </w:r>
            <w:r w:rsidR="00B77966">
              <w:rPr>
                <w:rFonts w:ascii="Arial" w:hAnsi="Arial" w:cs="Arial"/>
                <w:sz w:val="20"/>
                <w:szCs w:val="20"/>
              </w:rPr>
              <w:t xml:space="preserve"> reduce</w:t>
            </w:r>
            <w:r w:rsidRPr="00092DA2" w:rsidR="00982483">
              <w:rPr>
                <w:rFonts w:ascii="Arial" w:hAnsi="Arial" w:cs="Arial"/>
                <w:sz w:val="20"/>
                <w:szCs w:val="20"/>
              </w:rPr>
              <w:t xml:space="preserve"> inequity. </w:t>
            </w:r>
          </w:p>
          <w:p w:rsidRPr="00092DA2" w:rsidR="00982483" w:rsidP="00982483" w:rsidRDefault="00982483" w14:paraId="7F157533" w14:textId="4546BFE4">
            <w:pPr>
              <w:pStyle w:val="Default"/>
              <w:spacing w:after="120"/>
              <w:jc w:val="both"/>
              <w:rPr>
                <w:rFonts w:ascii="Arial" w:hAnsi="Arial" w:cs="Arial"/>
                <w:sz w:val="20"/>
                <w:szCs w:val="20"/>
              </w:rPr>
            </w:pPr>
            <w:r w:rsidRPr="00092DA2">
              <w:rPr>
                <w:rFonts w:ascii="Arial" w:hAnsi="Arial" w:cs="Arial"/>
                <w:sz w:val="20"/>
                <w:szCs w:val="20"/>
              </w:rPr>
              <w:t xml:space="preserve">Children in urban informal settlements, remote rural areas, insecurity-affected settings, refugees, cross-border populations, nomadic communities and marginalized groups continue to face social, cultural, economic and gender barriers to vaccination. Lack of operational micro plans </w:t>
            </w:r>
            <w:r w:rsidR="00B77966">
              <w:rPr>
                <w:rFonts w:ascii="Arial" w:hAnsi="Arial" w:cs="Arial"/>
                <w:sz w:val="20"/>
                <w:szCs w:val="20"/>
              </w:rPr>
              <w:t>is</w:t>
            </w:r>
            <w:r w:rsidRPr="00092DA2" w:rsidR="00B77966">
              <w:rPr>
                <w:rFonts w:ascii="Arial" w:hAnsi="Arial" w:cs="Arial"/>
                <w:sz w:val="20"/>
                <w:szCs w:val="20"/>
              </w:rPr>
              <w:t xml:space="preserve"> </w:t>
            </w:r>
            <w:r w:rsidRPr="00092DA2">
              <w:rPr>
                <w:rFonts w:ascii="Arial" w:hAnsi="Arial" w:cs="Arial"/>
                <w:sz w:val="20"/>
                <w:szCs w:val="20"/>
              </w:rPr>
              <w:t>a key barrier to access for these children. The main drivers of vaccination inequity are education, gender, residence and wealth. 82% of counties, 50% of sub-counties and 63% of health facilities do not hav</w:t>
            </w:r>
            <w:r w:rsidR="00B77966">
              <w:rPr>
                <w:rFonts w:ascii="Arial" w:hAnsi="Arial" w:cs="Arial"/>
                <w:sz w:val="20"/>
                <w:szCs w:val="20"/>
              </w:rPr>
              <w:t>e</w:t>
            </w:r>
            <w:r w:rsidRPr="00092DA2">
              <w:rPr>
                <w:rFonts w:ascii="Arial" w:hAnsi="Arial" w:cs="Arial"/>
                <w:sz w:val="20"/>
                <w:szCs w:val="20"/>
              </w:rPr>
              <w:t xml:space="preserve"> updated routine immunization micro plans</w:t>
            </w:r>
            <w:r w:rsidRPr="00092DA2">
              <w:rPr>
                <w:rFonts w:ascii="Arial" w:hAnsi="Arial" w:cs="Arial"/>
                <w:sz w:val="20"/>
                <w:szCs w:val="20"/>
              </w:rPr>
              <w:footnoteReference w:id="2"/>
            </w:r>
            <w:r w:rsidRPr="00092DA2">
              <w:rPr>
                <w:rFonts w:ascii="Arial" w:hAnsi="Arial" w:cs="Arial"/>
                <w:sz w:val="20"/>
                <w:szCs w:val="20"/>
              </w:rPr>
              <w:t xml:space="preserve"> and overall, only 5% of facilities covered under the KHFA 2018 survey were able to conduct immunization outreaches.</w:t>
            </w:r>
          </w:p>
          <w:p w:rsidRPr="00092DA2" w:rsidR="00982483" w:rsidP="00982483" w:rsidRDefault="005F1573" w14:paraId="753E16F7" w14:textId="110C5FDE">
            <w:pPr>
              <w:pStyle w:val="Default"/>
              <w:spacing w:after="120"/>
              <w:jc w:val="both"/>
              <w:rPr>
                <w:rFonts w:ascii="Arial" w:hAnsi="Arial" w:cs="Arial"/>
                <w:sz w:val="20"/>
                <w:szCs w:val="20"/>
              </w:rPr>
            </w:pPr>
            <w:r>
              <w:rPr>
                <w:rFonts w:ascii="Arial" w:hAnsi="Arial" w:cs="Arial"/>
                <w:sz w:val="20"/>
                <w:szCs w:val="20"/>
              </w:rPr>
              <w:t>In addition, d</w:t>
            </w:r>
            <w:r w:rsidRPr="00092DA2" w:rsidR="00982483">
              <w:rPr>
                <w:rFonts w:ascii="Arial" w:hAnsi="Arial" w:cs="Arial"/>
                <w:sz w:val="20"/>
                <w:szCs w:val="20"/>
              </w:rPr>
              <w:t xml:space="preserve">isparities between denominators and data from different sources compounded by lack of systemic data use in decision making at all levels, weak/ fragmented data coordination across levels and thematic work streams and community level data capture challenges relating to communities of </w:t>
            </w:r>
            <w:r w:rsidRPr="00092DA2" w:rsidR="00982483">
              <w:rPr>
                <w:rFonts w:ascii="Arial" w:hAnsi="Arial" w:cs="Arial"/>
                <w:sz w:val="20"/>
                <w:szCs w:val="20"/>
              </w:rPr>
              <w:lastRenderedPageBreak/>
              <w:t>interest- zero dose and under immunized children, presents challenges to identifying and reaching these communities effectively.</w:t>
            </w:r>
          </w:p>
          <w:p w:rsidRPr="00092DA2" w:rsidR="00982483" w:rsidP="00982483" w:rsidRDefault="005F1573" w14:paraId="6A04023B" w14:textId="370622EA">
            <w:pPr>
              <w:pStyle w:val="Default"/>
              <w:spacing w:after="120"/>
              <w:jc w:val="both"/>
              <w:rPr>
                <w:rFonts w:ascii="Arial" w:hAnsi="Arial" w:cs="Arial"/>
                <w:sz w:val="20"/>
                <w:szCs w:val="20"/>
              </w:rPr>
            </w:pPr>
            <w:r>
              <w:rPr>
                <w:rFonts w:ascii="Arial" w:hAnsi="Arial" w:cs="Arial"/>
                <w:sz w:val="20"/>
                <w:szCs w:val="20"/>
              </w:rPr>
              <w:t>Furthermore, p</w:t>
            </w:r>
            <w:r w:rsidRPr="00092DA2" w:rsidR="00982483">
              <w:rPr>
                <w:rFonts w:ascii="Arial" w:hAnsi="Arial" w:cs="Arial"/>
                <w:sz w:val="20"/>
                <w:szCs w:val="20"/>
              </w:rPr>
              <w:t>oor forecasting and stock visibility and mismatch of dry commodities (syringes, safety boxes) and the vaccines at implementation level leading to stock outs contributing to under immunized and zero dose children; Insufficient immunization supply chain staff, and gaps in knowledge in immunization supply chain and logistics negatively impact timely service delivery.</w:t>
            </w:r>
          </w:p>
          <w:p w:rsidRPr="00092DA2" w:rsidR="00982483" w:rsidP="00982483" w:rsidRDefault="00982483" w14:paraId="36D67F0E" w14:textId="77777777">
            <w:pPr>
              <w:pStyle w:val="Default"/>
              <w:spacing w:after="120"/>
              <w:jc w:val="both"/>
              <w:rPr>
                <w:rFonts w:ascii="Arial" w:hAnsi="Arial" w:cs="Arial"/>
                <w:sz w:val="20"/>
                <w:szCs w:val="20"/>
              </w:rPr>
            </w:pPr>
            <w:r w:rsidRPr="00092DA2">
              <w:rPr>
                <w:rFonts w:ascii="Arial" w:hAnsi="Arial" w:cs="Arial"/>
                <w:sz w:val="20"/>
                <w:szCs w:val="20"/>
              </w:rPr>
              <w:t>Evidence informed communication interventions have contributed significantly to eradicating vaccine preventable diseases and increasing uptake of immunization services. However, vaccine hesitancy due to low-risk perception of vaccine preventable diseases, weak engagement of communities to own, participate in, demand and utilize quality immunization services still persists.</w:t>
            </w:r>
          </w:p>
          <w:p w:rsidRPr="00092DA2" w:rsidR="00982483" w:rsidP="00982483" w:rsidRDefault="00982483" w14:paraId="5DD50BF5" w14:textId="1B15A06C">
            <w:pPr>
              <w:pStyle w:val="Default"/>
              <w:spacing w:after="120"/>
              <w:jc w:val="both"/>
              <w:rPr>
                <w:rFonts w:ascii="Arial" w:hAnsi="Arial" w:cs="Arial"/>
                <w:sz w:val="20"/>
                <w:szCs w:val="20"/>
              </w:rPr>
            </w:pPr>
            <w:r w:rsidRPr="00092DA2">
              <w:rPr>
                <w:rFonts w:ascii="Arial" w:hAnsi="Arial" w:cs="Arial"/>
                <w:sz w:val="20"/>
                <w:szCs w:val="20"/>
              </w:rPr>
              <w:t>An in-depth analysis and assessments of the immunization programme performance over the last few year</w:t>
            </w:r>
            <w:r w:rsidR="005F1573">
              <w:rPr>
                <w:rFonts w:ascii="Arial" w:hAnsi="Arial" w:cs="Arial"/>
                <w:sz w:val="20"/>
                <w:szCs w:val="20"/>
              </w:rPr>
              <w:t>s</w:t>
            </w:r>
            <w:r w:rsidRPr="00092DA2">
              <w:rPr>
                <w:rFonts w:ascii="Arial" w:hAnsi="Arial" w:cs="Arial"/>
                <w:sz w:val="20"/>
                <w:szCs w:val="20"/>
              </w:rPr>
              <w:t xml:space="preserve"> elucidated various achievements and challenges as above. Subsequently, this informed the formulation of the strategic objectives and priority investment areas to which this PEF-TCA application is aligned.</w:t>
            </w:r>
          </w:p>
          <w:p w:rsidRPr="00982483" w:rsidR="00650EB6" w:rsidP="00982483" w:rsidRDefault="00982483" w14:paraId="78052B35" w14:textId="58F5D8C0">
            <w:pPr>
              <w:pStyle w:val="Default"/>
              <w:spacing w:after="120"/>
              <w:jc w:val="both"/>
              <w:rPr>
                <w:rFonts w:asciiTheme="minorHAnsi" w:hAnsiTheme="minorHAnsi" w:cstheme="minorHAnsi"/>
                <w:sz w:val="20"/>
                <w:szCs w:val="20"/>
              </w:rPr>
            </w:pPr>
            <w:r w:rsidRPr="00092DA2">
              <w:rPr>
                <w:rFonts w:ascii="Arial" w:hAnsi="Arial" w:cs="Arial"/>
                <w:sz w:val="20"/>
                <w:szCs w:val="20"/>
              </w:rPr>
              <w:t>This proposal seeks to support the country expand the breadth and reach of immunization services, to progressively narrow the equity gaps and reach zero dose children and under immunized populations in a sustainable manner.</w:t>
            </w:r>
          </w:p>
        </w:tc>
      </w:tr>
    </w:tbl>
    <w:p w:rsidR="000759BE" w:rsidP="00FC4A11" w:rsidRDefault="000759BE" w14:paraId="434C7691" w14:textId="77777777">
      <w:pPr>
        <w:spacing w:line="300" w:lineRule="exact"/>
        <w:rPr>
          <w:bCs/>
          <w:color w:val="808080" w:themeColor="background1" w:themeShade="80"/>
          <w:lang w:val="en-GB"/>
        </w:rPr>
      </w:pPr>
    </w:p>
    <w:p w:rsidRPr="00372D1F" w:rsidR="004E4361" w:rsidP="00CE1F57" w:rsidRDefault="004E4361" w14:paraId="5CAF378B" w14:textId="658F9E51">
      <w:pPr>
        <w:pStyle w:val="ListParagraph"/>
        <w:numPr>
          <w:ilvl w:val="0"/>
          <w:numId w:val="4"/>
        </w:numPr>
        <w:spacing w:line="300" w:lineRule="exact"/>
        <w:ind w:left="426"/>
        <w:rPr>
          <w:b/>
          <w:bCs/>
          <w:color w:val="84C650"/>
          <w:sz w:val="26"/>
          <w:szCs w:val="26"/>
          <w:lang w:val="en-GB"/>
        </w:rPr>
      </w:pPr>
      <w:r w:rsidRPr="08473C56">
        <w:rPr>
          <w:b/>
          <w:bCs/>
          <w:color w:val="70AD47" w:themeColor="accent6"/>
          <w:sz w:val="26"/>
          <w:szCs w:val="26"/>
          <w:lang w:val="en-GB"/>
        </w:rPr>
        <w:t xml:space="preserve">Current </w:t>
      </w:r>
      <w:r w:rsidRPr="08473C56" w:rsidR="00352AE9">
        <w:rPr>
          <w:b/>
          <w:bCs/>
          <w:color w:val="70AD47" w:themeColor="accent6"/>
          <w:sz w:val="26"/>
          <w:szCs w:val="26"/>
          <w:lang w:val="en-GB"/>
        </w:rPr>
        <w:t>TA needs</w:t>
      </w:r>
      <w:r w:rsidRPr="08473C56">
        <w:rPr>
          <w:b/>
          <w:bCs/>
          <w:color w:val="70AD47" w:themeColor="accent6"/>
          <w:sz w:val="26"/>
          <w:szCs w:val="26"/>
          <w:lang w:val="en-GB"/>
        </w:rPr>
        <w:t xml:space="preserve"> of your immunisation system </w:t>
      </w:r>
      <w:r w:rsidRPr="08473C56" w:rsidR="006D5892">
        <w:rPr>
          <w:b/>
          <w:bCs/>
          <w:color w:val="70AD47" w:themeColor="accent6"/>
          <w:sz w:val="26"/>
          <w:szCs w:val="26"/>
          <w:lang w:val="en-GB"/>
        </w:rPr>
        <w:t>(</w:t>
      </w:r>
      <w:r w:rsidRPr="08473C56" w:rsidR="00301307">
        <w:rPr>
          <w:b/>
          <w:bCs/>
          <w:color w:val="70AD47" w:themeColor="accent6"/>
          <w:sz w:val="26"/>
          <w:szCs w:val="26"/>
          <w:lang w:val="en-GB"/>
        </w:rPr>
        <w:t xml:space="preserve">1-2 </w:t>
      </w:r>
      <w:r w:rsidRPr="08473C56" w:rsidR="006D5892">
        <w:rPr>
          <w:b/>
          <w:bCs/>
          <w:color w:val="70AD47" w:themeColor="accent6"/>
          <w:sz w:val="26"/>
          <w:szCs w:val="26"/>
          <w:lang w:val="en-GB"/>
        </w:rPr>
        <w:t>pages)</w:t>
      </w:r>
    </w:p>
    <w:p w:rsidRPr="00D93986" w:rsidR="0095370A" w:rsidP="00E50185" w:rsidRDefault="00EC2EA5" w14:paraId="272993D5" w14:textId="0A023459">
      <w:pPr>
        <w:pStyle w:val="ListParagraph"/>
        <w:spacing w:line="300" w:lineRule="exact"/>
        <w:ind w:left="142"/>
        <w:rPr>
          <w:b/>
          <w:i/>
          <w:sz w:val="20"/>
          <w:szCs w:val="20"/>
        </w:rPr>
      </w:pPr>
      <w:r w:rsidRPr="00D93986">
        <w:rPr>
          <w:b/>
          <w:bCs/>
          <w:i/>
          <w:iCs/>
          <w:sz w:val="20"/>
          <w:szCs w:val="20"/>
        </w:rPr>
        <w:t xml:space="preserve">Please provide </w:t>
      </w:r>
      <w:r w:rsidRPr="00D93986" w:rsidR="008B2F8A">
        <w:rPr>
          <w:b/>
          <w:bCs/>
          <w:i/>
          <w:iCs/>
          <w:sz w:val="20"/>
          <w:szCs w:val="20"/>
        </w:rPr>
        <w:t xml:space="preserve">the planned allocation of PEF TCA towards </w:t>
      </w:r>
      <w:r w:rsidRPr="00D93986" w:rsidR="004010B7">
        <w:rPr>
          <w:b/>
          <w:bCs/>
          <w:i/>
          <w:iCs/>
          <w:sz w:val="20"/>
          <w:szCs w:val="20"/>
        </w:rPr>
        <w:t>investments areas and hig</w:t>
      </w:r>
      <w:r w:rsidR="00107D9F">
        <w:rPr>
          <w:b/>
          <w:bCs/>
          <w:i/>
          <w:iCs/>
          <w:sz w:val="20"/>
          <w:szCs w:val="20"/>
        </w:rPr>
        <w:t>h</w:t>
      </w:r>
      <w:r w:rsidRPr="00D93986" w:rsidR="004010B7">
        <w:rPr>
          <w:b/>
          <w:bCs/>
          <w:i/>
          <w:iCs/>
          <w:sz w:val="20"/>
          <w:szCs w:val="20"/>
        </w:rPr>
        <w:t>-level objectives. Gavi-supported investment areas and a menu of objectives are available for refer</w:t>
      </w:r>
      <w:r w:rsidR="00107D9F">
        <w:rPr>
          <w:b/>
          <w:bCs/>
          <w:i/>
          <w:iCs/>
          <w:sz w:val="20"/>
          <w:szCs w:val="20"/>
        </w:rPr>
        <w:t>e</w:t>
      </w:r>
      <w:r w:rsidRPr="00D93986" w:rsidR="004010B7">
        <w:rPr>
          <w:b/>
          <w:bCs/>
          <w:i/>
          <w:iCs/>
          <w:sz w:val="20"/>
          <w:szCs w:val="20"/>
        </w:rPr>
        <w:t>nce in Gav</w:t>
      </w:r>
      <w:r w:rsidR="00107D9F">
        <w:rPr>
          <w:b/>
          <w:bCs/>
          <w:i/>
          <w:iCs/>
          <w:sz w:val="20"/>
          <w:szCs w:val="20"/>
        </w:rPr>
        <w:t>i</w:t>
      </w:r>
      <w:r w:rsidRPr="00D93986" w:rsidR="004010B7">
        <w:rPr>
          <w:b/>
          <w:bCs/>
          <w:i/>
          <w:iCs/>
          <w:sz w:val="20"/>
          <w:szCs w:val="20"/>
        </w:rPr>
        <w:t xml:space="preserve">’s </w:t>
      </w:r>
      <w:hyperlink w:history="1" r:id="rId13">
        <w:r w:rsidRPr="00270AE6" w:rsidR="00270AE6">
          <w:rPr>
            <w:rStyle w:val="Hyperlink"/>
            <w:b/>
            <w:bCs/>
            <w:i/>
            <w:iCs/>
            <w:sz w:val="20"/>
            <w:szCs w:val="20"/>
          </w:rPr>
          <w:t>Programme Funding Guidelines</w:t>
        </w:r>
      </w:hyperlink>
      <w:r w:rsidRPr="00D93986" w:rsidR="004010B7">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rsidR="007F2F8B" w:rsidP="00372D1F" w:rsidRDefault="007F2F8B" w14:paraId="6567DB8B" w14:textId="77777777">
      <w:pPr>
        <w:pStyle w:val="ListParagraph"/>
        <w:spacing w:line="300" w:lineRule="exact"/>
        <w:ind w:left="426"/>
        <w:rPr>
          <w:i/>
          <w:color w:val="808080" w:themeColor="background1" w:themeShade="80"/>
          <w:lang w:val="en-GB"/>
        </w:rPr>
      </w:pPr>
    </w:p>
    <w:p w:rsidRPr="006C63B1" w:rsidR="00655D56" w:rsidP="00372D1F" w:rsidRDefault="00372D1F" w14:paraId="1D079834" w14:textId="3BFFF507">
      <w:pPr>
        <w:pStyle w:val="ListParagraph"/>
        <w:spacing w:line="300" w:lineRule="exact"/>
        <w:ind w:left="426"/>
        <w:rPr>
          <w:i/>
          <w:color w:val="808080" w:themeColor="background1" w:themeShade="80"/>
          <w:lang w:val="en-GB"/>
        </w:rPr>
      </w:pPr>
      <w:r w:rsidRPr="0065351E">
        <w:rPr>
          <w:i/>
          <w:color w:val="808080" w:themeColor="background1" w:themeShade="80"/>
          <w:lang w:val="en-GB"/>
        </w:rPr>
        <w:t>(Please feel free to add lines as needed)</w:t>
      </w:r>
    </w:p>
    <w:tbl>
      <w:tblPr>
        <w:tblStyle w:val="TableGrid"/>
        <w:tblW w:w="9072" w:type="dxa"/>
        <w:tblInd w:w="-5" w:type="dxa"/>
        <w:tblLook w:val="04A0" w:firstRow="1" w:lastRow="0" w:firstColumn="1" w:lastColumn="0" w:noHBand="0" w:noVBand="1"/>
      </w:tblPr>
      <w:tblGrid>
        <w:gridCol w:w="1639"/>
        <w:gridCol w:w="4868"/>
        <w:gridCol w:w="1444"/>
        <w:gridCol w:w="1121"/>
      </w:tblGrid>
      <w:tr w:rsidR="003E0F13" w:rsidTr="009258A1" w14:paraId="4754848F" w14:textId="2B3AF5AA">
        <w:tc>
          <w:tcPr>
            <w:tcW w:w="6480" w:type="dxa"/>
            <w:gridSpan w:val="2"/>
            <w:shd w:val="clear" w:color="auto" w:fill="DEEAF6" w:themeFill="accent5" w:themeFillTint="33"/>
          </w:tcPr>
          <w:p w:rsidRPr="00372D1F" w:rsidR="004D0C16" w:rsidP="00871FCF" w:rsidRDefault="004D0C16" w14:paraId="60978116" w14:textId="77777777">
            <w:pPr>
              <w:spacing w:line="300" w:lineRule="exact"/>
              <w:rPr>
                <w:b/>
                <w:lang w:val="en-GB"/>
              </w:rPr>
            </w:pPr>
            <w:r>
              <w:rPr>
                <w:b/>
                <w:lang w:val="en-GB"/>
              </w:rPr>
              <w:t>High-level Plan</w:t>
            </w:r>
          </w:p>
        </w:tc>
        <w:tc>
          <w:tcPr>
            <w:tcW w:w="1458" w:type="dxa"/>
            <w:shd w:val="clear" w:color="auto" w:fill="DEEAF6" w:themeFill="accent5" w:themeFillTint="33"/>
          </w:tcPr>
          <w:p w:rsidRPr="00372D1F" w:rsidR="004D0C16" w:rsidP="00871FCF" w:rsidRDefault="004D0C16" w14:paraId="2F400D8C" w14:textId="754228F6">
            <w:pPr>
              <w:spacing w:line="300" w:lineRule="exact"/>
              <w:rPr>
                <w:b/>
                <w:color w:val="808080" w:themeColor="background1" w:themeShade="80"/>
                <w:lang w:val="en-GB"/>
              </w:rPr>
            </w:pPr>
            <w:r w:rsidRPr="00372D1F">
              <w:rPr>
                <w:b/>
                <w:lang w:val="en-GB"/>
              </w:rPr>
              <w:t>Budget (USD)</w:t>
            </w:r>
          </w:p>
        </w:tc>
        <w:tc>
          <w:tcPr>
            <w:tcW w:w="1134" w:type="dxa"/>
            <w:shd w:val="clear" w:color="auto" w:fill="DEEAF6" w:themeFill="accent5" w:themeFillTint="33"/>
          </w:tcPr>
          <w:p w:rsidRPr="00372D1F" w:rsidR="004D0C16" w:rsidP="00871FCF" w:rsidRDefault="00131FD5" w14:paraId="0FEF51FA" w14:textId="32409750">
            <w:pPr>
              <w:spacing w:line="300" w:lineRule="exact"/>
              <w:rPr>
                <w:b/>
                <w:lang w:val="en-GB"/>
              </w:rPr>
            </w:pPr>
            <w:r>
              <w:rPr>
                <w:b/>
                <w:lang w:val="en-GB"/>
              </w:rPr>
              <w:t>%</w:t>
            </w:r>
          </w:p>
        </w:tc>
      </w:tr>
      <w:tr w:rsidR="003E0F13" w:rsidTr="009258A1" w14:paraId="65B29F5B" w14:textId="129D73A5">
        <w:tc>
          <w:tcPr>
            <w:tcW w:w="6480" w:type="dxa"/>
            <w:gridSpan w:val="2"/>
            <w:shd w:val="clear" w:color="auto" w:fill="E2EFD9" w:themeFill="accent6" w:themeFillTint="33"/>
          </w:tcPr>
          <w:p w:rsidRPr="00372D1F" w:rsidR="004D0C16" w:rsidP="00871FCF" w:rsidRDefault="004D0C16" w14:paraId="106E2D7B" w14:textId="77777777">
            <w:pPr>
              <w:spacing w:line="300" w:lineRule="exact"/>
              <w:jc w:val="right"/>
              <w:rPr>
                <w:b/>
                <w:color w:val="808080" w:themeColor="background1" w:themeShade="80"/>
                <w:lang w:val="en-GB"/>
              </w:rPr>
            </w:pPr>
            <w:r w:rsidRPr="00372D1F">
              <w:rPr>
                <w:b/>
                <w:lang w:val="en-GB"/>
              </w:rPr>
              <w:t>2022</w:t>
            </w:r>
          </w:p>
        </w:tc>
        <w:tc>
          <w:tcPr>
            <w:tcW w:w="1458" w:type="dxa"/>
            <w:shd w:val="clear" w:color="auto" w:fill="E2EFD9" w:themeFill="accent6" w:themeFillTint="33"/>
          </w:tcPr>
          <w:p w:rsidR="004D0C16" w:rsidP="00871FCF" w:rsidRDefault="004D0C16" w14:paraId="6DD37EC1" w14:textId="77777777">
            <w:pPr>
              <w:spacing w:line="300" w:lineRule="exact"/>
              <w:jc w:val="right"/>
              <w:rPr>
                <w:bCs/>
                <w:color w:val="808080" w:themeColor="background1" w:themeShade="80"/>
                <w:lang w:val="en-GB"/>
              </w:rPr>
            </w:pPr>
          </w:p>
        </w:tc>
        <w:tc>
          <w:tcPr>
            <w:tcW w:w="1134" w:type="dxa"/>
            <w:shd w:val="clear" w:color="auto" w:fill="E2EFD9" w:themeFill="accent6" w:themeFillTint="33"/>
          </w:tcPr>
          <w:p w:rsidR="004D0C16" w:rsidP="00871FCF" w:rsidRDefault="004D0C16" w14:paraId="3D6A3C6F" w14:textId="77777777">
            <w:pPr>
              <w:spacing w:line="300" w:lineRule="exact"/>
              <w:jc w:val="right"/>
              <w:rPr>
                <w:bCs/>
                <w:color w:val="808080" w:themeColor="background1" w:themeShade="80"/>
                <w:lang w:val="en-GB"/>
              </w:rPr>
            </w:pPr>
          </w:p>
        </w:tc>
      </w:tr>
      <w:tr w:rsidR="003E0F13" w:rsidTr="00200F7F" w14:paraId="113A41E1" w14:textId="1B4A5F63">
        <w:tc>
          <w:tcPr>
            <w:tcW w:w="1530" w:type="dxa"/>
            <w:shd w:val="clear" w:color="auto" w:fill="FFFFFF" w:themeFill="background1"/>
          </w:tcPr>
          <w:p w:rsidRPr="00092DA2" w:rsidR="004D0C16" w:rsidP="007F7051" w:rsidRDefault="007F7051" w14:paraId="10985FF8" w14:textId="2E7F8762">
            <w:pPr>
              <w:pStyle w:val="Default"/>
              <w:spacing w:after="120"/>
              <w:jc w:val="both"/>
              <w:rPr>
                <w:rFonts w:ascii="Arial" w:hAnsi="Arial" w:cs="Arial"/>
                <w:sz w:val="20"/>
                <w:szCs w:val="20"/>
              </w:rPr>
            </w:pPr>
            <w:r w:rsidRPr="00092DA2">
              <w:rPr>
                <w:rFonts w:ascii="Arial" w:hAnsi="Arial" w:cs="Arial"/>
                <w:sz w:val="20"/>
                <w:szCs w:val="20"/>
              </w:rPr>
              <w:t>Service Delivery (Programme Implementation/ Coverage &amp; Equity)</w:t>
            </w:r>
          </w:p>
        </w:tc>
        <w:tc>
          <w:tcPr>
            <w:tcW w:w="4950" w:type="dxa"/>
            <w:shd w:val="clear" w:color="auto" w:fill="FFFFFF" w:themeFill="background1"/>
          </w:tcPr>
          <w:p w:rsidRPr="00092DA2" w:rsidR="004D0C16" w:rsidP="007F7051" w:rsidRDefault="00197055" w14:paraId="40A674E0" w14:textId="4FC9F818">
            <w:pPr>
              <w:pStyle w:val="Default"/>
              <w:spacing w:after="120"/>
              <w:jc w:val="both"/>
              <w:rPr>
                <w:rFonts w:ascii="Arial" w:hAnsi="Arial" w:cs="Arial"/>
                <w:sz w:val="20"/>
                <w:szCs w:val="20"/>
              </w:rPr>
            </w:pPr>
            <w:r w:rsidRPr="00092DA2">
              <w:rPr>
                <w:rFonts w:ascii="Arial" w:hAnsi="Arial" w:cs="Arial"/>
                <w:sz w:val="20"/>
                <w:szCs w:val="20"/>
              </w:rPr>
              <w:t>S</w:t>
            </w:r>
            <w:r w:rsidRPr="00092DA2" w:rsidR="002B3C29">
              <w:rPr>
                <w:rFonts w:ascii="Arial" w:hAnsi="Arial" w:cs="Arial"/>
                <w:sz w:val="20"/>
                <w:szCs w:val="20"/>
              </w:rPr>
              <w:t xml:space="preserve">trengthen the capacity of National and Subnational </w:t>
            </w:r>
            <w:r w:rsidRPr="00092DA2" w:rsidR="00D138E3">
              <w:rPr>
                <w:rFonts w:ascii="Arial" w:hAnsi="Arial" w:cs="Arial"/>
                <w:sz w:val="20"/>
                <w:szCs w:val="20"/>
              </w:rPr>
              <w:t xml:space="preserve">level immunization systems to </w:t>
            </w:r>
            <w:r w:rsidRPr="00092DA2" w:rsidR="00EE0DD9">
              <w:rPr>
                <w:rFonts w:ascii="Arial" w:hAnsi="Arial" w:cs="Arial"/>
                <w:sz w:val="20"/>
                <w:szCs w:val="20"/>
              </w:rPr>
              <w:t>increase and sustain high coverage and equitable utilization of vaccines with a special focus on zero dose communities and under-immunized populations by reinforcing effective and efficient integrated immunization service delivery mechanisms</w:t>
            </w:r>
            <w:r w:rsidRPr="00092DA2" w:rsidR="002E6376">
              <w:rPr>
                <w:rFonts w:ascii="Arial" w:hAnsi="Arial" w:cs="Arial"/>
                <w:sz w:val="20"/>
                <w:szCs w:val="20"/>
              </w:rPr>
              <w:t>,</w:t>
            </w:r>
            <w:r w:rsidRPr="00092DA2" w:rsidR="00030B7F">
              <w:rPr>
                <w:rFonts w:ascii="Arial" w:hAnsi="Arial" w:cs="Arial"/>
                <w:sz w:val="20"/>
                <w:szCs w:val="20"/>
              </w:rPr>
              <w:t xml:space="preserve"> </w:t>
            </w:r>
            <w:r w:rsidRPr="00092DA2" w:rsidR="001C20E5">
              <w:rPr>
                <w:rFonts w:ascii="Arial" w:hAnsi="Arial" w:cs="Arial"/>
                <w:sz w:val="20"/>
                <w:szCs w:val="20"/>
              </w:rPr>
              <w:t xml:space="preserve">addressing </w:t>
            </w:r>
            <w:r w:rsidRPr="00092DA2" w:rsidR="00296DCC">
              <w:rPr>
                <w:rFonts w:ascii="Arial" w:hAnsi="Arial" w:cs="Arial"/>
                <w:sz w:val="20"/>
                <w:szCs w:val="20"/>
              </w:rPr>
              <w:t>immunization bottlenecks</w:t>
            </w:r>
            <w:r w:rsidRPr="00092DA2" w:rsidR="00605991">
              <w:rPr>
                <w:rFonts w:ascii="Arial" w:hAnsi="Arial" w:cs="Arial"/>
                <w:sz w:val="20"/>
                <w:szCs w:val="20"/>
              </w:rPr>
              <w:t>,</w:t>
            </w:r>
            <w:r w:rsidRPr="00092DA2" w:rsidR="002E6376">
              <w:rPr>
                <w:rFonts w:ascii="Arial" w:hAnsi="Arial" w:cs="Arial"/>
                <w:sz w:val="20"/>
                <w:szCs w:val="20"/>
              </w:rPr>
              <w:t xml:space="preserve"> improving </w:t>
            </w:r>
            <w:r w:rsidRPr="00092DA2" w:rsidR="00605991">
              <w:rPr>
                <w:rFonts w:ascii="Arial" w:hAnsi="Arial" w:cs="Arial"/>
                <w:sz w:val="20"/>
                <w:szCs w:val="20"/>
              </w:rPr>
              <w:t xml:space="preserve">and leveraging </w:t>
            </w:r>
            <w:r w:rsidRPr="00092DA2" w:rsidR="002E6376">
              <w:rPr>
                <w:rFonts w:ascii="Arial" w:hAnsi="Arial" w:cs="Arial"/>
                <w:sz w:val="20"/>
                <w:szCs w:val="20"/>
              </w:rPr>
              <w:t>private sector and community participation in immunization</w:t>
            </w:r>
            <w:r w:rsidRPr="00092DA2" w:rsidR="00605991">
              <w:rPr>
                <w:rFonts w:ascii="Arial" w:hAnsi="Arial" w:cs="Arial"/>
                <w:sz w:val="20"/>
                <w:szCs w:val="20"/>
              </w:rPr>
              <w:t xml:space="preserve"> to reach zero dose communities</w:t>
            </w:r>
            <w:r w:rsidRPr="00092DA2" w:rsidR="002E6376">
              <w:rPr>
                <w:rFonts w:ascii="Arial" w:hAnsi="Arial" w:cs="Arial"/>
                <w:sz w:val="20"/>
                <w:szCs w:val="20"/>
              </w:rPr>
              <w:t xml:space="preserve">, and </w:t>
            </w:r>
            <w:r w:rsidRPr="00092DA2" w:rsidR="009258A1">
              <w:rPr>
                <w:rFonts w:ascii="Arial" w:hAnsi="Arial" w:cs="Arial"/>
                <w:sz w:val="20"/>
                <w:szCs w:val="20"/>
              </w:rPr>
              <w:t xml:space="preserve"> </w:t>
            </w:r>
            <w:r w:rsidRPr="00092DA2" w:rsidR="00934CAF">
              <w:rPr>
                <w:rFonts w:ascii="Arial" w:hAnsi="Arial" w:cs="Arial"/>
                <w:sz w:val="20"/>
                <w:szCs w:val="20"/>
              </w:rPr>
              <w:t>implement</w:t>
            </w:r>
            <w:r w:rsidR="005F1573">
              <w:rPr>
                <w:rFonts w:ascii="Arial" w:hAnsi="Arial" w:cs="Arial"/>
                <w:sz w:val="20"/>
                <w:szCs w:val="20"/>
              </w:rPr>
              <w:t>ing</w:t>
            </w:r>
            <w:r w:rsidRPr="00092DA2" w:rsidR="00934CAF">
              <w:rPr>
                <w:rFonts w:ascii="Arial" w:hAnsi="Arial" w:cs="Arial"/>
                <w:sz w:val="20"/>
                <w:szCs w:val="20"/>
              </w:rPr>
              <w:t xml:space="preserve"> corrective actions </w:t>
            </w:r>
            <w:r w:rsidRPr="00092DA2" w:rsidR="00C43E07">
              <w:rPr>
                <w:rFonts w:ascii="Arial" w:hAnsi="Arial" w:cs="Arial"/>
                <w:sz w:val="20"/>
                <w:szCs w:val="20"/>
              </w:rPr>
              <w:t>for missed opportunities for vaccination</w:t>
            </w:r>
          </w:p>
        </w:tc>
        <w:tc>
          <w:tcPr>
            <w:tcW w:w="1458" w:type="dxa"/>
            <w:shd w:val="clear" w:color="auto" w:fill="FFFFFF" w:themeFill="background1"/>
          </w:tcPr>
          <w:p w:rsidR="004D0C16" w:rsidP="007F7051" w:rsidRDefault="003E0F13" w14:paraId="6D005320" w14:textId="712EBF58">
            <w:pPr>
              <w:pStyle w:val="Default"/>
              <w:spacing w:after="120"/>
              <w:jc w:val="both"/>
              <w:rPr>
                <w:rFonts w:asciiTheme="minorHAnsi" w:hAnsiTheme="minorHAnsi" w:cstheme="minorHAnsi"/>
                <w:sz w:val="20"/>
                <w:szCs w:val="20"/>
              </w:rPr>
            </w:pPr>
            <w:r>
              <w:rPr>
                <w:rFonts w:asciiTheme="minorHAnsi" w:hAnsiTheme="minorHAnsi" w:cstheme="minorHAnsi"/>
                <w:sz w:val="20"/>
                <w:szCs w:val="20"/>
              </w:rPr>
              <w:t>390,000</w:t>
            </w:r>
          </w:p>
          <w:p w:rsidRPr="007F7051" w:rsidR="003E0F13" w:rsidP="007F7051" w:rsidRDefault="003E0F13" w14:paraId="4CDE8FAA" w14:textId="1832B96D">
            <w:pPr>
              <w:pStyle w:val="Default"/>
              <w:spacing w:after="120"/>
              <w:jc w:val="both"/>
              <w:rPr>
                <w:rFonts w:asciiTheme="minorHAnsi" w:hAnsiTheme="minorHAnsi" w:cstheme="minorHAnsi"/>
                <w:sz w:val="20"/>
                <w:szCs w:val="20"/>
              </w:rPr>
            </w:pPr>
          </w:p>
        </w:tc>
        <w:tc>
          <w:tcPr>
            <w:tcW w:w="1134" w:type="dxa"/>
            <w:shd w:val="clear" w:color="auto" w:fill="FFFFFF" w:themeFill="background1"/>
          </w:tcPr>
          <w:p w:rsidRPr="007F7051" w:rsidR="004D0C16" w:rsidP="007F7051" w:rsidRDefault="00EE30EE" w14:paraId="0F3A2B8A" w14:textId="52BED395">
            <w:pPr>
              <w:pStyle w:val="Default"/>
              <w:spacing w:after="120"/>
              <w:jc w:val="both"/>
              <w:rPr>
                <w:rFonts w:asciiTheme="minorHAnsi" w:hAnsiTheme="minorHAnsi" w:cstheme="minorHAnsi"/>
                <w:sz w:val="20"/>
                <w:szCs w:val="20"/>
              </w:rPr>
            </w:pPr>
            <w:r>
              <w:rPr>
                <w:rFonts w:asciiTheme="minorHAnsi" w:hAnsiTheme="minorHAnsi" w:cstheme="minorHAnsi"/>
                <w:sz w:val="20"/>
                <w:szCs w:val="20"/>
              </w:rPr>
              <w:t>3</w:t>
            </w:r>
            <w:r w:rsidR="003E0F13">
              <w:rPr>
                <w:rFonts w:asciiTheme="minorHAnsi" w:hAnsiTheme="minorHAnsi" w:cstheme="minorHAnsi"/>
                <w:sz w:val="20"/>
                <w:szCs w:val="20"/>
              </w:rPr>
              <w:t>2.3</w:t>
            </w:r>
          </w:p>
        </w:tc>
      </w:tr>
      <w:tr w:rsidR="003E0F13" w:rsidTr="00200F7F" w14:paraId="795A975C" w14:textId="61E0C5F4">
        <w:tc>
          <w:tcPr>
            <w:tcW w:w="1530" w:type="dxa"/>
            <w:shd w:val="clear" w:color="auto" w:fill="FFFFFF" w:themeFill="background1"/>
          </w:tcPr>
          <w:p w:rsidRPr="00092DA2" w:rsidR="004D0C16" w:rsidP="007F7051" w:rsidRDefault="00083BEA" w14:paraId="02FE1568" w14:textId="29CE1B34">
            <w:pPr>
              <w:pStyle w:val="Default"/>
              <w:spacing w:after="120"/>
              <w:jc w:val="both"/>
              <w:rPr>
                <w:rFonts w:ascii="Arial" w:hAnsi="Arial" w:cs="Arial"/>
                <w:sz w:val="20"/>
                <w:szCs w:val="20"/>
              </w:rPr>
            </w:pPr>
            <w:r w:rsidRPr="00092DA2">
              <w:rPr>
                <w:rFonts w:ascii="Arial" w:hAnsi="Arial" w:cs="Arial"/>
                <w:sz w:val="20"/>
                <w:szCs w:val="20"/>
              </w:rPr>
              <w:t>Health Information Systems and Monitoring &amp; Learning</w:t>
            </w:r>
          </w:p>
        </w:tc>
        <w:tc>
          <w:tcPr>
            <w:tcW w:w="4950" w:type="dxa"/>
            <w:shd w:val="clear" w:color="auto" w:fill="FFFFFF" w:themeFill="background1"/>
          </w:tcPr>
          <w:p w:rsidRPr="00092DA2" w:rsidR="004D0C16" w:rsidP="005F1573" w:rsidRDefault="00D34753" w14:paraId="6887E0E4" w14:textId="2F02E41D">
            <w:pPr>
              <w:pStyle w:val="Default"/>
              <w:spacing w:after="120"/>
              <w:jc w:val="both"/>
              <w:rPr>
                <w:rFonts w:ascii="Arial" w:hAnsi="Arial" w:cs="Arial"/>
                <w:sz w:val="20"/>
                <w:szCs w:val="20"/>
              </w:rPr>
            </w:pPr>
            <w:r w:rsidRPr="00092DA2">
              <w:rPr>
                <w:rFonts w:ascii="Arial" w:hAnsi="Arial" w:cs="Arial"/>
                <w:sz w:val="20"/>
                <w:szCs w:val="20"/>
              </w:rPr>
              <w:t>Support</w:t>
            </w:r>
            <w:r w:rsidRPr="00092DA2" w:rsidR="00197055">
              <w:rPr>
                <w:rFonts w:ascii="Arial" w:hAnsi="Arial" w:cs="Arial"/>
                <w:sz w:val="20"/>
                <w:szCs w:val="20"/>
              </w:rPr>
              <w:t xml:space="preserve"> and</w:t>
            </w:r>
            <w:r w:rsidRPr="00092DA2" w:rsidR="00EA33BE">
              <w:rPr>
                <w:rFonts w:ascii="Arial" w:hAnsi="Arial" w:cs="Arial"/>
                <w:sz w:val="20"/>
                <w:szCs w:val="20"/>
              </w:rPr>
              <w:t xml:space="preserve"> </w:t>
            </w:r>
            <w:r w:rsidRPr="00092DA2" w:rsidR="00F9445D">
              <w:rPr>
                <w:rFonts w:ascii="Arial" w:hAnsi="Arial" w:cs="Arial"/>
                <w:sz w:val="20"/>
                <w:szCs w:val="20"/>
              </w:rPr>
              <w:t xml:space="preserve">progressively </w:t>
            </w:r>
            <w:r w:rsidRPr="00092DA2" w:rsidR="00EA33BE">
              <w:rPr>
                <w:rFonts w:ascii="Arial" w:hAnsi="Arial" w:cs="Arial"/>
                <w:sz w:val="20"/>
                <w:szCs w:val="20"/>
              </w:rPr>
              <w:t>create a robust data culture by improving data quality</w:t>
            </w:r>
            <w:r w:rsidRPr="00092DA2" w:rsidR="00F9445D">
              <w:rPr>
                <w:rFonts w:ascii="Arial" w:hAnsi="Arial" w:cs="Arial"/>
                <w:sz w:val="20"/>
                <w:szCs w:val="20"/>
              </w:rPr>
              <w:t xml:space="preserve"> (ensuring fit for purpose data</w:t>
            </w:r>
            <w:r w:rsidRPr="00092DA2" w:rsidR="007A5A79">
              <w:rPr>
                <w:rFonts w:ascii="Arial" w:hAnsi="Arial" w:cs="Arial"/>
                <w:sz w:val="20"/>
                <w:szCs w:val="20"/>
              </w:rPr>
              <w:t>) at all levels</w:t>
            </w:r>
            <w:r w:rsidRPr="00092DA2" w:rsidR="00EA33BE">
              <w:rPr>
                <w:rFonts w:ascii="Arial" w:hAnsi="Arial" w:cs="Arial"/>
                <w:sz w:val="20"/>
                <w:szCs w:val="20"/>
              </w:rPr>
              <w:t xml:space="preserve">, </w:t>
            </w:r>
            <w:r w:rsidRPr="00092DA2" w:rsidR="009F0418">
              <w:rPr>
                <w:rFonts w:ascii="Arial" w:hAnsi="Arial" w:cs="Arial"/>
                <w:sz w:val="20"/>
                <w:szCs w:val="20"/>
              </w:rPr>
              <w:t>strengthening information s</w:t>
            </w:r>
            <w:r w:rsidRPr="00092DA2" w:rsidR="001A348C">
              <w:rPr>
                <w:rFonts w:ascii="Arial" w:hAnsi="Arial" w:cs="Arial"/>
                <w:sz w:val="20"/>
                <w:szCs w:val="20"/>
              </w:rPr>
              <w:t xml:space="preserve">ystems key to the identification and reaching </w:t>
            </w:r>
            <w:r w:rsidR="005F1573">
              <w:rPr>
                <w:rFonts w:ascii="Arial" w:hAnsi="Arial" w:cs="Arial"/>
                <w:sz w:val="20"/>
                <w:szCs w:val="20"/>
              </w:rPr>
              <w:t xml:space="preserve">of </w:t>
            </w:r>
            <w:r w:rsidRPr="00092DA2" w:rsidR="001A348C">
              <w:rPr>
                <w:rFonts w:ascii="Arial" w:hAnsi="Arial" w:cs="Arial"/>
                <w:sz w:val="20"/>
                <w:szCs w:val="20"/>
              </w:rPr>
              <w:t>zero dose communities</w:t>
            </w:r>
            <w:r w:rsidRPr="00092DA2" w:rsidR="00B02716">
              <w:rPr>
                <w:rFonts w:ascii="Arial" w:hAnsi="Arial" w:cs="Arial"/>
                <w:sz w:val="20"/>
                <w:szCs w:val="20"/>
              </w:rPr>
              <w:t xml:space="preserve"> including digit</w:t>
            </w:r>
            <w:r w:rsidR="005F1573">
              <w:rPr>
                <w:rFonts w:ascii="Arial" w:hAnsi="Arial" w:cs="Arial"/>
                <w:sz w:val="20"/>
                <w:szCs w:val="20"/>
              </w:rPr>
              <w:t>a</w:t>
            </w:r>
            <w:r w:rsidRPr="00092DA2" w:rsidR="00B02716">
              <w:rPr>
                <w:rFonts w:ascii="Arial" w:hAnsi="Arial" w:cs="Arial"/>
                <w:sz w:val="20"/>
                <w:szCs w:val="20"/>
              </w:rPr>
              <w:t xml:space="preserve">l health information interventions and </w:t>
            </w:r>
            <w:r w:rsidRPr="00092DA2" w:rsidR="009D7E43">
              <w:rPr>
                <w:rFonts w:ascii="Arial" w:hAnsi="Arial" w:cs="Arial"/>
                <w:sz w:val="20"/>
                <w:szCs w:val="20"/>
              </w:rPr>
              <w:t>improving data ut</w:t>
            </w:r>
            <w:r w:rsidRPr="00092DA2" w:rsidR="00EA33BE">
              <w:rPr>
                <w:rFonts w:ascii="Arial" w:hAnsi="Arial" w:cs="Arial"/>
                <w:sz w:val="20"/>
                <w:szCs w:val="20"/>
              </w:rPr>
              <w:t xml:space="preserve">ilization </w:t>
            </w:r>
            <w:r w:rsidRPr="00092DA2">
              <w:rPr>
                <w:rFonts w:ascii="Arial" w:hAnsi="Arial" w:cs="Arial"/>
                <w:sz w:val="20"/>
                <w:szCs w:val="20"/>
              </w:rPr>
              <w:t xml:space="preserve">in </w:t>
            </w:r>
            <w:r w:rsidRPr="00092DA2" w:rsidR="00EA33BE">
              <w:rPr>
                <w:rFonts w:ascii="Arial" w:hAnsi="Arial" w:cs="Arial"/>
                <w:sz w:val="20"/>
                <w:szCs w:val="20"/>
              </w:rPr>
              <w:t>all immunization components</w:t>
            </w:r>
            <w:r w:rsidR="005F1573">
              <w:rPr>
                <w:rFonts w:ascii="Arial" w:hAnsi="Arial" w:cs="Arial"/>
                <w:sz w:val="20"/>
                <w:szCs w:val="20"/>
              </w:rPr>
              <w:t xml:space="preserve"> and</w:t>
            </w:r>
            <w:r w:rsidRPr="00092DA2" w:rsidR="00EA33BE">
              <w:rPr>
                <w:rFonts w:ascii="Arial" w:hAnsi="Arial" w:cs="Arial"/>
                <w:sz w:val="20"/>
                <w:szCs w:val="20"/>
              </w:rPr>
              <w:t xml:space="preserve"> at all levels.</w:t>
            </w:r>
          </w:p>
        </w:tc>
        <w:tc>
          <w:tcPr>
            <w:tcW w:w="1458" w:type="dxa"/>
            <w:shd w:val="clear" w:color="auto" w:fill="FFFFFF" w:themeFill="background1"/>
          </w:tcPr>
          <w:p w:rsidRPr="007F7051" w:rsidR="004D0C16" w:rsidP="007F7051" w:rsidRDefault="00EE30EE" w14:paraId="3FCB67D1" w14:textId="01DDBA42">
            <w:pPr>
              <w:pStyle w:val="Default"/>
              <w:spacing w:after="120"/>
              <w:jc w:val="both"/>
              <w:rPr>
                <w:rFonts w:asciiTheme="minorHAnsi" w:hAnsiTheme="minorHAnsi" w:cstheme="minorHAnsi"/>
                <w:sz w:val="20"/>
                <w:szCs w:val="20"/>
              </w:rPr>
            </w:pPr>
            <w:r>
              <w:rPr>
                <w:rFonts w:asciiTheme="minorHAnsi" w:hAnsiTheme="minorHAnsi" w:cstheme="minorHAnsi"/>
                <w:sz w:val="20"/>
                <w:szCs w:val="20"/>
              </w:rPr>
              <w:t>200,</w:t>
            </w:r>
            <w:r w:rsidR="003E0F13">
              <w:rPr>
                <w:rFonts w:asciiTheme="minorHAnsi" w:hAnsiTheme="minorHAnsi" w:cstheme="minorHAnsi"/>
                <w:sz w:val="20"/>
                <w:szCs w:val="20"/>
              </w:rPr>
              <w:t>000</w:t>
            </w:r>
          </w:p>
        </w:tc>
        <w:tc>
          <w:tcPr>
            <w:tcW w:w="1134" w:type="dxa"/>
            <w:shd w:val="clear" w:color="auto" w:fill="FFFFFF" w:themeFill="background1"/>
          </w:tcPr>
          <w:p w:rsidRPr="007F7051" w:rsidR="004D0C16" w:rsidP="007F7051" w:rsidRDefault="00EE30EE" w14:paraId="07171017" w14:textId="11E576F7">
            <w:pPr>
              <w:pStyle w:val="Default"/>
              <w:spacing w:after="120"/>
              <w:jc w:val="both"/>
              <w:rPr>
                <w:rFonts w:asciiTheme="minorHAnsi" w:hAnsiTheme="minorHAnsi" w:cstheme="minorHAnsi"/>
                <w:sz w:val="20"/>
                <w:szCs w:val="20"/>
              </w:rPr>
            </w:pPr>
            <w:r>
              <w:rPr>
                <w:rFonts w:asciiTheme="minorHAnsi" w:hAnsiTheme="minorHAnsi" w:cstheme="minorHAnsi"/>
                <w:sz w:val="20"/>
                <w:szCs w:val="20"/>
              </w:rPr>
              <w:t>16.6</w:t>
            </w:r>
            <w:r w:rsidR="0066434D">
              <w:rPr>
                <w:rFonts w:asciiTheme="minorHAnsi" w:hAnsiTheme="minorHAnsi" w:cstheme="minorHAnsi"/>
                <w:sz w:val="20"/>
                <w:szCs w:val="20"/>
              </w:rPr>
              <w:t>0</w:t>
            </w:r>
          </w:p>
        </w:tc>
      </w:tr>
      <w:tr w:rsidR="003E0F13" w:rsidTr="00200F7F" w14:paraId="11A86A26" w14:textId="77777777">
        <w:tc>
          <w:tcPr>
            <w:tcW w:w="1530" w:type="dxa"/>
            <w:shd w:val="clear" w:color="auto" w:fill="FFFFFF" w:themeFill="background1"/>
          </w:tcPr>
          <w:p w:rsidRPr="00092DA2" w:rsidR="00296DCC" w:rsidP="007F7051" w:rsidRDefault="00FA484D" w14:paraId="1C61C512" w14:textId="0479FD9F">
            <w:pPr>
              <w:pStyle w:val="Default"/>
              <w:spacing w:after="120"/>
              <w:jc w:val="both"/>
              <w:rPr>
                <w:rFonts w:ascii="Arial" w:hAnsi="Arial" w:cs="Arial"/>
                <w:sz w:val="20"/>
                <w:szCs w:val="20"/>
              </w:rPr>
            </w:pPr>
            <w:r w:rsidRPr="00092DA2">
              <w:rPr>
                <w:rFonts w:ascii="Arial" w:hAnsi="Arial" w:cs="Arial"/>
                <w:sz w:val="20"/>
                <w:szCs w:val="20"/>
              </w:rPr>
              <w:t xml:space="preserve">Demand Generation and </w:t>
            </w:r>
            <w:r w:rsidRPr="00092DA2">
              <w:rPr>
                <w:rFonts w:ascii="Arial" w:hAnsi="Arial" w:cs="Arial"/>
                <w:sz w:val="20"/>
                <w:szCs w:val="20"/>
              </w:rPr>
              <w:lastRenderedPageBreak/>
              <w:t>Community Engagement</w:t>
            </w:r>
          </w:p>
        </w:tc>
        <w:tc>
          <w:tcPr>
            <w:tcW w:w="4950" w:type="dxa"/>
            <w:shd w:val="clear" w:color="auto" w:fill="FFFFFF" w:themeFill="background1"/>
          </w:tcPr>
          <w:p w:rsidRPr="00092DA2" w:rsidR="00296DCC" w:rsidP="00CF456C" w:rsidRDefault="00F75BB6" w14:paraId="6DD2071F" w14:textId="4E5E8FBE">
            <w:pPr>
              <w:pStyle w:val="Default"/>
              <w:spacing w:after="120"/>
              <w:jc w:val="both"/>
              <w:rPr>
                <w:rFonts w:ascii="Arial" w:hAnsi="Arial" w:cs="Arial"/>
                <w:sz w:val="20"/>
                <w:szCs w:val="20"/>
              </w:rPr>
            </w:pPr>
            <w:r w:rsidRPr="00092DA2">
              <w:rPr>
                <w:rFonts w:ascii="Arial" w:hAnsi="Arial" w:cs="Arial"/>
                <w:sz w:val="20"/>
                <w:szCs w:val="20"/>
              </w:rPr>
              <w:lastRenderedPageBreak/>
              <w:t>Support the country to e</w:t>
            </w:r>
            <w:r w:rsidRPr="00092DA2" w:rsidR="00762B73">
              <w:rPr>
                <w:rFonts w:ascii="Arial" w:hAnsi="Arial" w:cs="Arial"/>
                <w:sz w:val="20"/>
                <w:szCs w:val="20"/>
              </w:rPr>
              <w:t xml:space="preserve">ffectively engage communities to participate, demand and utilize quality immunization services </w:t>
            </w:r>
            <w:r w:rsidRPr="00092DA2" w:rsidR="00342CB5">
              <w:rPr>
                <w:rFonts w:ascii="Arial" w:hAnsi="Arial" w:cs="Arial"/>
                <w:sz w:val="20"/>
                <w:szCs w:val="20"/>
              </w:rPr>
              <w:t xml:space="preserve">to improve </w:t>
            </w:r>
            <w:r w:rsidRPr="00092DA2" w:rsidR="00CF456C">
              <w:rPr>
                <w:rFonts w:ascii="Arial" w:hAnsi="Arial" w:cs="Arial"/>
                <w:sz w:val="20"/>
                <w:szCs w:val="20"/>
              </w:rPr>
              <w:t xml:space="preserve">vaccine acceptance and </w:t>
            </w:r>
            <w:r w:rsidRPr="00092DA2" w:rsidR="00342CB5">
              <w:rPr>
                <w:rFonts w:ascii="Arial" w:hAnsi="Arial" w:cs="Arial"/>
                <w:sz w:val="20"/>
                <w:szCs w:val="20"/>
              </w:rPr>
              <w:t>demand,</w:t>
            </w:r>
            <w:r w:rsidRPr="00092DA2" w:rsidR="00CF456C">
              <w:rPr>
                <w:rFonts w:ascii="Arial" w:hAnsi="Arial" w:cs="Arial"/>
                <w:sz w:val="20"/>
                <w:szCs w:val="20"/>
              </w:rPr>
              <w:t xml:space="preserve"> and minimize hesitancy</w:t>
            </w:r>
            <w:r w:rsidRPr="00092DA2" w:rsidR="00166475">
              <w:rPr>
                <w:rFonts w:ascii="Arial" w:hAnsi="Arial" w:cs="Arial"/>
                <w:sz w:val="20"/>
                <w:szCs w:val="20"/>
              </w:rPr>
              <w:t xml:space="preserve">, </w:t>
            </w:r>
            <w:r w:rsidRPr="00092DA2" w:rsidR="005225E8">
              <w:rPr>
                <w:rFonts w:ascii="Arial" w:hAnsi="Arial" w:cs="Arial"/>
                <w:sz w:val="20"/>
                <w:szCs w:val="20"/>
              </w:rPr>
              <w:lastRenderedPageBreak/>
              <w:t xml:space="preserve">scale up social and behavioral information systems including social listening and </w:t>
            </w:r>
            <w:r w:rsidRPr="00092DA2" w:rsidR="00210A4F">
              <w:rPr>
                <w:rFonts w:ascii="Arial" w:hAnsi="Arial" w:cs="Arial"/>
                <w:sz w:val="20"/>
                <w:szCs w:val="20"/>
              </w:rPr>
              <w:t xml:space="preserve">monitoring and evaluation of demand creation activities to </w:t>
            </w:r>
            <w:r w:rsidRPr="00092DA2" w:rsidR="00BF072B">
              <w:rPr>
                <w:rFonts w:ascii="Arial" w:hAnsi="Arial" w:cs="Arial"/>
                <w:sz w:val="20"/>
                <w:szCs w:val="20"/>
              </w:rPr>
              <w:t>inform programming</w:t>
            </w:r>
          </w:p>
        </w:tc>
        <w:tc>
          <w:tcPr>
            <w:tcW w:w="1458" w:type="dxa"/>
            <w:shd w:val="clear" w:color="auto" w:fill="FFFFFF" w:themeFill="background1"/>
          </w:tcPr>
          <w:p w:rsidRPr="007F7051" w:rsidR="00296DCC" w:rsidP="007F7051" w:rsidRDefault="0066434D" w14:paraId="2D682A52" w14:textId="09C84ACE">
            <w:pPr>
              <w:pStyle w:val="Default"/>
              <w:spacing w:after="120"/>
              <w:jc w:val="both"/>
              <w:rPr>
                <w:rFonts w:asciiTheme="minorHAnsi" w:hAnsiTheme="minorHAnsi" w:cstheme="minorHAnsi"/>
                <w:sz w:val="20"/>
                <w:szCs w:val="20"/>
              </w:rPr>
            </w:pPr>
            <w:r>
              <w:rPr>
                <w:rFonts w:asciiTheme="minorHAnsi" w:hAnsiTheme="minorHAnsi" w:cstheme="minorHAnsi"/>
                <w:sz w:val="20"/>
                <w:szCs w:val="20"/>
              </w:rPr>
              <w:lastRenderedPageBreak/>
              <w:t>2</w:t>
            </w:r>
            <w:r w:rsidR="003E0F13">
              <w:rPr>
                <w:rFonts w:asciiTheme="minorHAnsi" w:hAnsiTheme="minorHAnsi" w:cstheme="minorHAnsi"/>
                <w:sz w:val="20"/>
                <w:szCs w:val="20"/>
              </w:rPr>
              <w:t>40,000</w:t>
            </w:r>
          </w:p>
        </w:tc>
        <w:tc>
          <w:tcPr>
            <w:tcW w:w="1134" w:type="dxa"/>
            <w:shd w:val="clear" w:color="auto" w:fill="FFFFFF" w:themeFill="background1"/>
          </w:tcPr>
          <w:p w:rsidRPr="007F7051" w:rsidR="00296DCC" w:rsidP="007F7051" w:rsidRDefault="003E0F13" w14:paraId="102C6196" w14:textId="461E47E5">
            <w:pPr>
              <w:pStyle w:val="Default"/>
              <w:spacing w:after="120"/>
              <w:jc w:val="both"/>
              <w:rPr>
                <w:rFonts w:asciiTheme="minorHAnsi" w:hAnsiTheme="minorHAnsi" w:cstheme="minorHAnsi"/>
                <w:sz w:val="20"/>
                <w:szCs w:val="20"/>
              </w:rPr>
            </w:pPr>
            <w:r>
              <w:rPr>
                <w:rFonts w:asciiTheme="minorHAnsi" w:hAnsiTheme="minorHAnsi" w:cstheme="minorHAnsi"/>
                <w:sz w:val="20"/>
                <w:szCs w:val="20"/>
              </w:rPr>
              <w:t>19.9</w:t>
            </w:r>
          </w:p>
        </w:tc>
      </w:tr>
      <w:tr w:rsidR="003E0F13" w:rsidTr="00200F7F" w14:paraId="75031C7F" w14:textId="77777777">
        <w:tc>
          <w:tcPr>
            <w:tcW w:w="1530" w:type="dxa"/>
            <w:shd w:val="clear" w:color="auto" w:fill="FFFFFF" w:themeFill="background1"/>
          </w:tcPr>
          <w:p w:rsidRPr="00092DA2" w:rsidR="00296DCC" w:rsidP="007F7051" w:rsidRDefault="003339DB" w14:paraId="04FCDF31" w14:textId="78C4F496">
            <w:pPr>
              <w:pStyle w:val="Default"/>
              <w:spacing w:after="120"/>
              <w:jc w:val="both"/>
              <w:rPr>
                <w:rFonts w:ascii="Arial" w:hAnsi="Arial" w:cs="Arial"/>
                <w:sz w:val="20"/>
                <w:szCs w:val="20"/>
              </w:rPr>
            </w:pPr>
            <w:r w:rsidRPr="00092DA2">
              <w:rPr>
                <w:rFonts w:ascii="Arial" w:hAnsi="Arial" w:cs="Arial"/>
                <w:sz w:val="20"/>
                <w:szCs w:val="20"/>
              </w:rPr>
              <w:t>Supply chain</w:t>
            </w:r>
          </w:p>
        </w:tc>
        <w:tc>
          <w:tcPr>
            <w:tcW w:w="4950" w:type="dxa"/>
            <w:shd w:val="clear" w:color="auto" w:fill="FFFFFF" w:themeFill="background1"/>
          </w:tcPr>
          <w:p w:rsidRPr="00092DA2" w:rsidR="007607A5" w:rsidP="005649C9" w:rsidRDefault="004A6A79" w14:paraId="740B14CB" w14:textId="3E9043B5">
            <w:pPr>
              <w:pStyle w:val="Default"/>
              <w:spacing w:after="120"/>
              <w:jc w:val="both"/>
              <w:rPr>
                <w:rFonts w:ascii="Arial" w:hAnsi="Arial" w:cs="Arial"/>
                <w:sz w:val="20"/>
                <w:szCs w:val="20"/>
              </w:rPr>
            </w:pPr>
            <w:r w:rsidRPr="00092DA2">
              <w:rPr>
                <w:rFonts w:ascii="Arial" w:hAnsi="Arial" w:cs="Arial"/>
                <w:sz w:val="20"/>
                <w:szCs w:val="20"/>
              </w:rPr>
              <w:t xml:space="preserve">Support </w:t>
            </w:r>
            <w:r w:rsidRPr="00092DA2" w:rsidR="00837FD1">
              <w:rPr>
                <w:rFonts w:ascii="Arial" w:hAnsi="Arial" w:cs="Arial"/>
                <w:sz w:val="20"/>
                <w:szCs w:val="20"/>
              </w:rPr>
              <w:t>strengthen</w:t>
            </w:r>
            <w:r w:rsidRPr="00092DA2">
              <w:rPr>
                <w:rFonts w:ascii="Arial" w:hAnsi="Arial" w:cs="Arial"/>
                <w:sz w:val="20"/>
                <w:szCs w:val="20"/>
              </w:rPr>
              <w:t xml:space="preserve">ing of </w:t>
            </w:r>
            <w:r w:rsidRPr="00092DA2" w:rsidR="00837FD1">
              <w:rPr>
                <w:rFonts w:ascii="Arial" w:hAnsi="Arial" w:cs="Arial"/>
                <w:sz w:val="20"/>
                <w:szCs w:val="20"/>
              </w:rPr>
              <w:t xml:space="preserve">the supply chain for an effective and efficient delivery of immunization services, </w:t>
            </w:r>
            <w:r w:rsidRPr="00092DA2" w:rsidR="0010021C">
              <w:rPr>
                <w:rFonts w:ascii="Arial" w:hAnsi="Arial" w:cs="Arial"/>
                <w:sz w:val="20"/>
                <w:szCs w:val="20"/>
              </w:rPr>
              <w:t>through i</w:t>
            </w:r>
            <w:r w:rsidRPr="00092DA2">
              <w:rPr>
                <w:rFonts w:ascii="Arial" w:hAnsi="Arial" w:cs="Arial"/>
                <w:sz w:val="20"/>
                <w:szCs w:val="20"/>
              </w:rPr>
              <w:t>mprov</w:t>
            </w:r>
            <w:r w:rsidRPr="00092DA2" w:rsidR="0010021C">
              <w:rPr>
                <w:rFonts w:ascii="Arial" w:hAnsi="Arial" w:cs="Arial"/>
                <w:sz w:val="20"/>
                <w:szCs w:val="20"/>
              </w:rPr>
              <w:t>ing</w:t>
            </w:r>
            <w:r w:rsidRPr="00092DA2">
              <w:rPr>
                <w:rFonts w:ascii="Arial" w:hAnsi="Arial" w:cs="Arial"/>
                <w:sz w:val="20"/>
                <w:szCs w:val="20"/>
              </w:rPr>
              <w:t xml:space="preserve"> forecasting and stock management including distribution capacity for vaccines and devices to improve vaccine availability, especially in the last mile; Improv</w:t>
            </w:r>
            <w:r w:rsidRPr="00092DA2" w:rsidR="0010021C">
              <w:rPr>
                <w:rFonts w:ascii="Arial" w:hAnsi="Arial" w:cs="Arial"/>
                <w:sz w:val="20"/>
                <w:szCs w:val="20"/>
              </w:rPr>
              <w:t>ing</w:t>
            </w:r>
            <w:r w:rsidRPr="00092DA2">
              <w:rPr>
                <w:rFonts w:ascii="Arial" w:hAnsi="Arial" w:cs="Arial"/>
                <w:sz w:val="20"/>
                <w:szCs w:val="20"/>
              </w:rPr>
              <w:t xml:space="preserve"> vaccine visibility through support to real-time monitoring (Dashboards) at </w:t>
            </w:r>
            <w:r w:rsidRPr="00092DA2" w:rsidR="005649C9">
              <w:rPr>
                <w:rFonts w:ascii="Arial" w:hAnsi="Arial" w:cs="Arial"/>
                <w:sz w:val="20"/>
                <w:szCs w:val="20"/>
              </w:rPr>
              <w:t>key</w:t>
            </w:r>
            <w:r w:rsidRPr="00092DA2">
              <w:rPr>
                <w:rFonts w:ascii="Arial" w:hAnsi="Arial" w:cs="Arial"/>
                <w:sz w:val="20"/>
                <w:szCs w:val="20"/>
              </w:rPr>
              <w:t xml:space="preserve"> immunization supply chain levels</w:t>
            </w:r>
            <w:r w:rsidRPr="00092DA2" w:rsidR="00E40BE9">
              <w:rPr>
                <w:rFonts w:ascii="Arial" w:hAnsi="Arial" w:cs="Arial"/>
                <w:sz w:val="20"/>
                <w:szCs w:val="20"/>
              </w:rPr>
              <w:t>,</w:t>
            </w:r>
            <w:r w:rsidRPr="00092DA2" w:rsidR="005649C9">
              <w:rPr>
                <w:rFonts w:ascii="Arial" w:hAnsi="Arial" w:cs="Arial"/>
                <w:sz w:val="20"/>
                <w:szCs w:val="20"/>
              </w:rPr>
              <w:t xml:space="preserve"> effective </w:t>
            </w:r>
            <w:r w:rsidRPr="00092DA2" w:rsidR="007607A5">
              <w:rPr>
                <w:rFonts w:ascii="Arial" w:hAnsi="Arial" w:cs="Arial"/>
                <w:sz w:val="20"/>
                <w:szCs w:val="20"/>
              </w:rPr>
              <w:t>planning, coordination and monitoring of supply chain management at all levels</w:t>
            </w:r>
            <w:r w:rsidRPr="00092DA2" w:rsidR="0037400E">
              <w:rPr>
                <w:rFonts w:ascii="Arial" w:hAnsi="Arial" w:cs="Arial"/>
                <w:sz w:val="20"/>
                <w:szCs w:val="20"/>
              </w:rPr>
              <w:t xml:space="preserve"> and planning for coldchain expansion</w:t>
            </w:r>
          </w:p>
        </w:tc>
        <w:tc>
          <w:tcPr>
            <w:tcW w:w="1458" w:type="dxa"/>
            <w:shd w:val="clear" w:color="auto" w:fill="FFFFFF" w:themeFill="background1"/>
          </w:tcPr>
          <w:p w:rsidRPr="007F7051" w:rsidR="00296DCC" w:rsidP="007F7051" w:rsidRDefault="003E0F13" w14:paraId="6829A036" w14:textId="79B273A9">
            <w:pPr>
              <w:pStyle w:val="Default"/>
              <w:spacing w:after="120"/>
              <w:jc w:val="both"/>
              <w:rPr>
                <w:rFonts w:asciiTheme="minorHAnsi" w:hAnsiTheme="minorHAnsi" w:cstheme="minorHAnsi"/>
                <w:sz w:val="20"/>
                <w:szCs w:val="20"/>
              </w:rPr>
            </w:pPr>
            <w:r>
              <w:rPr>
                <w:rFonts w:asciiTheme="minorHAnsi" w:hAnsiTheme="minorHAnsi" w:cstheme="minorHAnsi"/>
                <w:sz w:val="20"/>
                <w:szCs w:val="20"/>
              </w:rPr>
              <w:t>100,000</w:t>
            </w:r>
          </w:p>
        </w:tc>
        <w:tc>
          <w:tcPr>
            <w:tcW w:w="1134" w:type="dxa"/>
            <w:shd w:val="clear" w:color="auto" w:fill="FFFFFF" w:themeFill="background1"/>
          </w:tcPr>
          <w:p w:rsidRPr="007F7051" w:rsidR="00296DCC" w:rsidP="007F7051" w:rsidRDefault="003E0F13" w14:paraId="1FF42A2F" w14:textId="6A04FAF2">
            <w:pPr>
              <w:pStyle w:val="Default"/>
              <w:spacing w:after="120"/>
              <w:jc w:val="both"/>
              <w:rPr>
                <w:rFonts w:asciiTheme="minorHAnsi" w:hAnsiTheme="minorHAnsi" w:cstheme="minorHAnsi"/>
                <w:sz w:val="20"/>
                <w:szCs w:val="20"/>
              </w:rPr>
            </w:pPr>
            <w:r>
              <w:rPr>
                <w:rFonts w:asciiTheme="minorHAnsi" w:hAnsiTheme="minorHAnsi" w:cstheme="minorHAnsi"/>
                <w:sz w:val="20"/>
                <w:szCs w:val="20"/>
              </w:rPr>
              <w:t>8</w:t>
            </w:r>
            <w:r w:rsidR="00AC0BCC">
              <w:rPr>
                <w:rFonts w:asciiTheme="minorHAnsi" w:hAnsiTheme="minorHAnsi" w:cstheme="minorHAnsi"/>
                <w:sz w:val="20"/>
                <w:szCs w:val="20"/>
              </w:rPr>
              <w:t>.</w:t>
            </w:r>
            <w:r>
              <w:rPr>
                <w:rFonts w:asciiTheme="minorHAnsi" w:hAnsiTheme="minorHAnsi" w:cstheme="minorHAnsi"/>
                <w:sz w:val="20"/>
                <w:szCs w:val="20"/>
              </w:rPr>
              <w:t>3</w:t>
            </w:r>
          </w:p>
        </w:tc>
      </w:tr>
      <w:tr w:rsidR="003E0F13" w:rsidTr="00200F7F" w14:paraId="3C1FD991" w14:textId="77777777">
        <w:tc>
          <w:tcPr>
            <w:tcW w:w="1530" w:type="dxa"/>
            <w:shd w:val="clear" w:color="auto" w:fill="FFFFFF" w:themeFill="background1"/>
          </w:tcPr>
          <w:p w:rsidRPr="00092DA2" w:rsidR="00FA484D" w:rsidP="007F7051" w:rsidRDefault="00EA3E35" w14:paraId="78DB976B" w14:textId="78BDE4E1">
            <w:pPr>
              <w:pStyle w:val="Default"/>
              <w:spacing w:after="120"/>
              <w:jc w:val="both"/>
              <w:rPr>
                <w:rFonts w:ascii="Arial" w:hAnsi="Arial" w:cs="Arial"/>
                <w:sz w:val="20"/>
                <w:szCs w:val="20"/>
              </w:rPr>
            </w:pPr>
            <w:r w:rsidRPr="00092DA2">
              <w:rPr>
                <w:rFonts w:ascii="Arial" w:hAnsi="Arial" w:cs="Arial"/>
                <w:sz w:val="20"/>
                <w:szCs w:val="20"/>
              </w:rPr>
              <w:t>Vaccine Preventable Disease Surveillance; New Vaccine Introduction and Preventive vaccination campaigns</w:t>
            </w:r>
          </w:p>
        </w:tc>
        <w:tc>
          <w:tcPr>
            <w:tcW w:w="4950" w:type="dxa"/>
            <w:shd w:val="clear" w:color="auto" w:fill="FFFFFF" w:themeFill="background1"/>
          </w:tcPr>
          <w:p w:rsidRPr="00092DA2" w:rsidR="00FA484D" w:rsidP="007F7051" w:rsidRDefault="007458FC" w14:paraId="1B4CE6EC" w14:textId="6B6B8B10">
            <w:pPr>
              <w:pStyle w:val="Default"/>
              <w:spacing w:after="120"/>
              <w:jc w:val="both"/>
              <w:rPr>
                <w:rFonts w:ascii="Arial" w:hAnsi="Arial" w:cs="Arial"/>
                <w:sz w:val="20"/>
                <w:szCs w:val="20"/>
              </w:rPr>
            </w:pPr>
            <w:r w:rsidRPr="00092DA2">
              <w:rPr>
                <w:rFonts w:ascii="Arial" w:hAnsi="Arial" w:cs="Arial"/>
                <w:sz w:val="20"/>
                <w:szCs w:val="20"/>
              </w:rPr>
              <w:t>Support i</w:t>
            </w:r>
            <w:r w:rsidRPr="00092DA2" w:rsidR="00C6207D">
              <w:rPr>
                <w:rFonts w:ascii="Arial" w:hAnsi="Arial" w:cs="Arial"/>
                <w:sz w:val="20"/>
                <w:szCs w:val="20"/>
              </w:rPr>
              <w:t>mprove</w:t>
            </w:r>
            <w:r w:rsidRPr="00092DA2">
              <w:rPr>
                <w:rFonts w:ascii="Arial" w:hAnsi="Arial" w:cs="Arial"/>
                <w:sz w:val="20"/>
                <w:szCs w:val="20"/>
              </w:rPr>
              <w:t>ments in</w:t>
            </w:r>
            <w:r w:rsidRPr="00092DA2" w:rsidR="00C6207D">
              <w:rPr>
                <w:rFonts w:ascii="Arial" w:hAnsi="Arial" w:cs="Arial"/>
                <w:sz w:val="20"/>
                <w:szCs w:val="20"/>
              </w:rPr>
              <w:t xml:space="preserve"> the availability and use of timely and accurate </w:t>
            </w:r>
            <w:r w:rsidRPr="00092DA2" w:rsidR="00B972D4">
              <w:rPr>
                <w:rFonts w:ascii="Arial" w:hAnsi="Arial" w:cs="Arial"/>
                <w:sz w:val="20"/>
                <w:szCs w:val="20"/>
              </w:rPr>
              <w:t>vac</w:t>
            </w:r>
            <w:r w:rsidRPr="00092DA2" w:rsidR="00196D75">
              <w:rPr>
                <w:rFonts w:ascii="Arial" w:hAnsi="Arial" w:cs="Arial"/>
                <w:sz w:val="20"/>
                <w:szCs w:val="20"/>
              </w:rPr>
              <w:t xml:space="preserve">cine preventable disease surveillance </w:t>
            </w:r>
            <w:r w:rsidRPr="00092DA2" w:rsidR="00C6207D">
              <w:rPr>
                <w:rFonts w:ascii="Arial" w:hAnsi="Arial" w:cs="Arial"/>
                <w:sz w:val="20"/>
                <w:szCs w:val="20"/>
              </w:rPr>
              <w:t>data for decisions on vaccine introduction and preventive campaign targeting</w:t>
            </w:r>
            <w:r w:rsidRPr="00092DA2" w:rsidR="00763F72">
              <w:rPr>
                <w:rFonts w:ascii="Arial" w:hAnsi="Arial" w:cs="Arial"/>
                <w:sz w:val="20"/>
                <w:szCs w:val="20"/>
              </w:rPr>
              <w:t xml:space="preserve">, </w:t>
            </w:r>
            <w:r w:rsidRPr="00092DA2" w:rsidR="00402A4C">
              <w:rPr>
                <w:rFonts w:ascii="Arial" w:hAnsi="Arial" w:cs="Arial"/>
                <w:sz w:val="20"/>
                <w:szCs w:val="20"/>
              </w:rPr>
              <w:t xml:space="preserve">use of surveillance data to </w:t>
            </w:r>
            <w:r w:rsidRPr="00092DA2" w:rsidR="00763F72">
              <w:rPr>
                <w:rFonts w:ascii="Arial" w:hAnsi="Arial" w:cs="Arial"/>
                <w:sz w:val="20"/>
                <w:szCs w:val="20"/>
              </w:rPr>
              <w:t>improve immunisation programme effectiveness in preventing disease</w:t>
            </w:r>
            <w:r w:rsidRPr="00092DA2" w:rsidR="00890B0C">
              <w:rPr>
                <w:rFonts w:ascii="Arial" w:hAnsi="Arial" w:cs="Arial"/>
                <w:sz w:val="20"/>
                <w:szCs w:val="20"/>
              </w:rPr>
              <w:t xml:space="preserve"> and support the introduction of new </w:t>
            </w:r>
            <w:r w:rsidRPr="00092DA2" w:rsidR="004E0FC9">
              <w:rPr>
                <w:rFonts w:ascii="Arial" w:hAnsi="Arial" w:cs="Arial"/>
                <w:sz w:val="20"/>
                <w:szCs w:val="20"/>
              </w:rPr>
              <w:t>vaccines for both routine immunization and outbreak response (</w:t>
            </w:r>
            <w:r w:rsidRPr="00092DA2" w:rsidR="001060FF">
              <w:rPr>
                <w:rFonts w:ascii="Arial" w:hAnsi="Arial" w:cs="Arial"/>
                <w:sz w:val="20"/>
                <w:szCs w:val="20"/>
              </w:rPr>
              <w:t>IPV2, TCV, Mena A, Malaria, Cholera</w:t>
            </w:r>
            <w:r w:rsidRPr="00092DA2" w:rsidR="00AB6557">
              <w:rPr>
                <w:rFonts w:ascii="Arial" w:hAnsi="Arial" w:cs="Arial"/>
                <w:sz w:val="20"/>
                <w:szCs w:val="20"/>
              </w:rPr>
              <w:t>) and Preve</w:t>
            </w:r>
            <w:r w:rsidR="00FE4DCB">
              <w:rPr>
                <w:rFonts w:ascii="Arial" w:hAnsi="Arial" w:cs="Arial"/>
                <w:sz w:val="20"/>
                <w:szCs w:val="20"/>
              </w:rPr>
              <w:t>n</w:t>
            </w:r>
            <w:r w:rsidRPr="00092DA2" w:rsidR="00AB6557">
              <w:rPr>
                <w:rFonts w:ascii="Arial" w:hAnsi="Arial" w:cs="Arial"/>
                <w:sz w:val="20"/>
                <w:szCs w:val="20"/>
              </w:rPr>
              <w:t>tive campaigns (</w:t>
            </w:r>
            <w:r w:rsidRPr="00092DA2" w:rsidR="00EA3E35">
              <w:rPr>
                <w:rFonts w:ascii="Arial" w:hAnsi="Arial" w:cs="Arial"/>
                <w:sz w:val="20"/>
                <w:szCs w:val="20"/>
              </w:rPr>
              <w:t xml:space="preserve">COVID-19, </w:t>
            </w:r>
            <w:r w:rsidRPr="00092DA2" w:rsidR="00AB6557">
              <w:rPr>
                <w:rFonts w:ascii="Arial" w:hAnsi="Arial" w:cs="Arial"/>
                <w:sz w:val="20"/>
                <w:szCs w:val="20"/>
              </w:rPr>
              <w:t>Measles Rubella, Yellow Fever, Polio)</w:t>
            </w:r>
          </w:p>
        </w:tc>
        <w:tc>
          <w:tcPr>
            <w:tcW w:w="1458" w:type="dxa"/>
            <w:shd w:val="clear" w:color="auto" w:fill="FFFFFF" w:themeFill="background1"/>
          </w:tcPr>
          <w:p w:rsidRPr="007F7051" w:rsidR="00FA484D" w:rsidP="007F7051" w:rsidRDefault="009663A7" w14:paraId="7043B9BB" w14:textId="7F314229">
            <w:pPr>
              <w:pStyle w:val="Default"/>
              <w:spacing w:after="120"/>
              <w:jc w:val="both"/>
              <w:rPr>
                <w:rFonts w:asciiTheme="minorHAnsi" w:hAnsiTheme="minorHAnsi" w:cstheme="minorHAnsi"/>
                <w:sz w:val="20"/>
                <w:szCs w:val="20"/>
              </w:rPr>
            </w:pPr>
            <w:r>
              <w:rPr>
                <w:rFonts w:asciiTheme="minorHAnsi" w:hAnsiTheme="minorHAnsi" w:cstheme="minorHAnsi"/>
                <w:sz w:val="20"/>
                <w:szCs w:val="20"/>
              </w:rPr>
              <w:t>1</w:t>
            </w:r>
            <w:r w:rsidR="003E0F13">
              <w:rPr>
                <w:rFonts w:asciiTheme="minorHAnsi" w:hAnsiTheme="minorHAnsi" w:cstheme="minorHAnsi"/>
                <w:sz w:val="20"/>
                <w:szCs w:val="20"/>
              </w:rPr>
              <w:t>80</w:t>
            </w:r>
            <w:r w:rsidR="00AC0BCC">
              <w:rPr>
                <w:rFonts w:asciiTheme="minorHAnsi" w:hAnsiTheme="minorHAnsi" w:cstheme="minorHAnsi"/>
                <w:sz w:val="20"/>
                <w:szCs w:val="20"/>
              </w:rPr>
              <w:t>,</w:t>
            </w:r>
            <w:r w:rsidR="003E0F13">
              <w:rPr>
                <w:rFonts w:asciiTheme="minorHAnsi" w:hAnsiTheme="minorHAnsi" w:cstheme="minorHAnsi"/>
                <w:sz w:val="20"/>
                <w:szCs w:val="20"/>
              </w:rPr>
              <w:t>000</w:t>
            </w:r>
          </w:p>
        </w:tc>
        <w:tc>
          <w:tcPr>
            <w:tcW w:w="1134" w:type="dxa"/>
            <w:shd w:val="clear" w:color="auto" w:fill="FFFFFF" w:themeFill="background1"/>
          </w:tcPr>
          <w:p w:rsidRPr="007F7051" w:rsidR="00FA484D" w:rsidP="007F7051" w:rsidRDefault="00AC0BCC" w14:paraId="71393E81" w14:textId="4348840D">
            <w:pPr>
              <w:pStyle w:val="Default"/>
              <w:spacing w:after="120"/>
              <w:jc w:val="both"/>
              <w:rPr>
                <w:rFonts w:asciiTheme="minorHAnsi" w:hAnsiTheme="minorHAnsi" w:cstheme="minorHAnsi"/>
                <w:sz w:val="20"/>
                <w:szCs w:val="20"/>
              </w:rPr>
            </w:pPr>
            <w:r>
              <w:rPr>
                <w:rFonts w:asciiTheme="minorHAnsi" w:hAnsiTheme="minorHAnsi" w:cstheme="minorHAnsi"/>
                <w:sz w:val="20"/>
                <w:szCs w:val="20"/>
              </w:rPr>
              <w:t>1</w:t>
            </w:r>
            <w:r w:rsidR="003E0F13">
              <w:rPr>
                <w:rFonts w:asciiTheme="minorHAnsi" w:hAnsiTheme="minorHAnsi" w:cstheme="minorHAnsi"/>
                <w:sz w:val="20"/>
                <w:szCs w:val="20"/>
              </w:rPr>
              <w:t>4.9</w:t>
            </w:r>
          </w:p>
        </w:tc>
      </w:tr>
      <w:tr w:rsidR="003E0F13" w:rsidTr="00200F7F" w14:paraId="00EBDCFD" w14:textId="77777777">
        <w:tc>
          <w:tcPr>
            <w:tcW w:w="1530" w:type="dxa"/>
            <w:shd w:val="clear" w:color="auto" w:fill="FFFFFF" w:themeFill="background1"/>
          </w:tcPr>
          <w:p w:rsidRPr="00092DA2" w:rsidR="00FA484D" w:rsidP="007F7051" w:rsidRDefault="00AE033A" w14:paraId="2CEA6F83" w14:textId="2DA837B9">
            <w:pPr>
              <w:pStyle w:val="Default"/>
              <w:spacing w:after="120"/>
              <w:jc w:val="both"/>
              <w:rPr>
                <w:rFonts w:ascii="Arial" w:hAnsi="Arial" w:cs="Arial"/>
                <w:sz w:val="20"/>
                <w:szCs w:val="20"/>
              </w:rPr>
            </w:pPr>
            <w:r w:rsidRPr="00092DA2">
              <w:rPr>
                <w:rFonts w:ascii="Arial" w:hAnsi="Arial" w:cs="Arial"/>
                <w:sz w:val="20"/>
                <w:szCs w:val="20"/>
              </w:rPr>
              <w:t>Governance, Policy, Strategic Planning, and Programme Management</w:t>
            </w:r>
          </w:p>
        </w:tc>
        <w:tc>
          <w:tcPr>
            <w:tcW w:w="4950" w:type="dxa"/>
            <w:shd w:val="clear" w:color="auto" w:fill="FFFFFF" w:themeFill="background1"/>
          </w:tcPr>
          <w:p w:rsidRPr="00092DA2" w:rsidR="00D271C0" w:rsidP="007F7051" w:rsidRDefault="007458FC" w14:paraId="38C4B448" w14:textId="24C3D930">
            <w:pPr>
              <w:pStyle w:val="Default"/>
              <w:spacing w:after="120"/>
              <w:jc w:val="both"/>
              <w:rPr>
                <w:rFonts w:ascii="Arial" w:hAnsi="Arial" w:cs="Arial"/>
                <w:sz w:val="20"/>
                <w:szCs w:val="20"/>
              </w:rPr>
            </w:pPr>
            <w:r w:rsidRPr="00092DA2">
              <w:rPr>
                <w:rFonts w:ascii="Arial" w:hAnsi="Arial" w:cs="Arial"/>
                <w:sz w:val="20"/>
                <w:szCs w:val="20"/>
              </w:rPr>
              <w:t>To strengthen Immunization program leadership, governance, and coordination through strengthening the capacity of governance/technical bodies for planning, coordination and tracking their progress at all levels</w:t>
            </w:r>
            <w:r w:rsidRPr="00092DA2" w:rsidR="00AE1141">
              <w:rPr>
                <w:rFonts w:ascii="Arial" w:hAnsi="Arial" w:cs="Arial"/>
                <w:sz w:val="20"/>
                <w:szCs w:val="20"/>
              </w:rPr>
              <w:t xml:space="preserve"> and </w:t>
            </w:r>
            <w:r w:rsidRPr="00092DA2">
              <w:rPr>
                <w:rFonts w:ascii="Arial" w:hAnsi="Arial" w:cs="Arial"/>
                <w:sz w:val="20"/>
                <w:szCs w:val="20"/>
              </w:rPr>
              <w:t xml:space="preserve">strengthening programme performance monitoring and management systems at all levels with a focus on reaching zero-dose children and </w:t>
            </w:r>
            <w:r w:rsidRPr="00092DA2" w:rsidR="00AE1141">
              <w:rPr>
                <w:rFonts w:ascii="Arial" w:hAnsi="Arial" w:cs="Arial"/>
                <w:sz w:val="20"/>
                <w:szCs w:val="20"/>
              </w:rPr>
              <w:t xml:space="preserve">achieving </w:t>
            </w:r>
            <w:r w:rsidRPr="00092DA2">
              <w:rPr>
                <w:rFonts w:ascii="Arial" w:hAnsi="Arial" w:cs="Arial"/>
                <w:sz w:val="20"/>
                <w:szCs w:val="20"/>
              </w:rPr>
              <w:t>equity</w:t>
            </w:r>
            <w:r w:rsidR="0061204E">
              <w:rPr>
                <w:rFonts w:ascii="Arial" w:hAnsi="Arial" w:cs="Arial"/>
                <w:sz w:val="20"/>
                <w:szCs w:val="20"/>
              </w:rPr>
              <w:t>.</w:t>
            </w:r>
          </w:p>
        </w:tc>
        <w:tc>
          <w:tcPr>
            <w:tcW w:w="1458" w:type="dxa"/>
            <w:shd w:val="clear" w:color="auto" w:fill="FFFFFF" w:themeFill="background1"/>
          </w:tcPr>
          <w:p w:rsidRPr="007F7051" w:rsidR="00FA484D" w:rsidP="007F7051" w:rsidRDefault="003E0F13" w14:paraId="6D44F0C4" w14:textId="1584A5B4">
            <w:pPr>
              <w:pStyle w:val="Default"/>
              <w:spacing w:after="120"/>
              <w:jc w:val="both"/>
              <w:rPr>
                <w:rFonts w:asciiTheme="minorHAnsi" w:hAnsiTheme="minorHAnsi" w:cstheme="minorHAnsi"/>
                <w:sz w:val="20"/>
                <w:szCs w:val="20"/>
              </w:rPr>
            </w:pPr>
            <w:r>
              <w:rPr>
                <w:rFonts w:asciiTheme="minorHAnsi" w:hAnsiTheme="minorHAnsi" w:cstheme="minorHAnsi"/>
                <w:sz w:val="20"/>
                <w:szCs w:val="20"/>
              </w:rPr>
              <w:t>40,908</w:t>
            </w:r>
          </w:p>
        </w:tc>
        <w:tc>
          <w:tcPr>
            <w:tcW w:w="1134" w:type="dxa"/>
            <w:shd w:val="clear" w:color="auto" w:fill="FFFFFF" w:themeFill="background1"/>
          </w:tcPr>
          <w:p w:rsidRPr="007F7051" w:rsidR="00FA484D" w:rsidP="007F7051" w:rsidRDefault="003E0F13" w14:paraId="08D57B67" w14:textId="613B891A">
            <w:pPr>
              <w:pStyle w:val="Default"/>
              <w:spacing w:after="120"/>
              <w:jc w:val="both"/>
              <w:rPr>
                <w:rFonts w:asciiTheme="minorHAnsi" w:hAnsiTheme="minorHAnsi" w:cstheme="minorHAnsi"/>
                <w:sz w:val="20"/>
                <w:szCs w:val="20"/>
              </w:rPr>
            </w:pPr>
            <w:r>
              <w:rPr>
                <w:rFonts w:asciiTheme="minorHAnsi" w:hAnsiTheme="minorHAnsi" w:cstheme="minorHAnsi"/>
                <w:sz w:val="20"/>
                <w:szCs w:val="20"/>
              </w:rPr>
              <w:t>3.4</w:t>
            </w:r>
          </w:p>
        </w:tc>
      </w:tr>
      <w:tr w:rsidR="003E0F13" w:rsidTr="00200F7F" w14:paraId="5335AFC4" w14:textId="77777777">
        <w:tc>
          <w:tcPr>
            <w:tcW w:w="1530" w:type="dxa"/>
            <w:shd w:val="clear" w:color="auto" w:fill="FFFFFF" w:themeFill="background1"/>
          </w:tcPr>
          <w:p w:rsidRPr="00092DA2" w:rsidR="00CB3683" w:rsidP="007F7051" w:rsidRDefault="0040773E" w14:paraId="51D2587A" w14:textId="15968E8F">
            <w:pPr>
              <w:pStyle w:val="Default"/>
              <w:spacing w:after="120"/>
              <w:jc w:val="both"/>
              <w:rPr>
                <w:rFonts w:ascii="Arial" w:hAnsi="Arial" w:cs="Arial"/>
                <w:sz w:val="20"/>
                <w:szCs w:val="20"/>
              </w:rPr>
            </w:pPr>
            <w:r w:rsidRPr="00092DA2">
              <w:rPr>
                <w:rFonts w:ascii="Arial" w:hAnsi="Arial" w:cs="Arial"/>
                <w:sz w:val="20"/>
                <w:szCs w:val="20"/>
              </w:rPr>
              <w:t>Immunization Financing and Grant Management</w:t>
            </w:r>
          </w:p>
        </w:tc>
        <w:tc>
          <w:tcPr>
            <w:tcW w:w="4950" w:type="dxa"/>
            <w:shd w:val="clear" w:color="auto" w:fill="FFFFFF" w:themeFill="background1"/>
          </w:tcPr>
          <w:p w:rsidRPr="00092DA2" w:rsidR="00E52298" w:rsidP="007458FC" w:rsidRDefault="006760DD" w14:paraId="0D992973" w14:textId="497D528A">
            <w:pPr>
              <w:pStyle w:val="Default"/>
              <w:spacing w:after="120"/>
              <w:jc w:val="both"/>
              <w:rPr>
                <w:rFonts w:ascii="Arial" w:hAnsi="Arial" w:cs="Arial"/>
                <w:sz w:val="20"/>
                <w:szCs w:val="20"/>
              </w:rPr>
            </w:pPr>
            <w:r w:rsidRPr="00092DA2">
              <w:rPr>
                <w:rFonts w:ascii="Arial" w:hAnsi="Arial" w:cs="Arial"/>
                <w:sz w:val="20"/>
                <w:szCs w:val="20"/>
              </w:rPr>
              <w:t>Provide technical support to Kenya in the coordination of the Kenya Immunization Financing Forum</w:t>
            </w:r>
            <w:r w:rsidRPr="00092DA2" w:rsidR="00192E66">
              <w:rPr>
                <w:rFonts w:ascii="Arial" w:hAnsi="Arial" w:cs="Arial"/>
                <w:sz w:val="20"/>
                <w:szCs w:val="20"/>
              </w:rPr>
              <w:t>s</w:t>
            </w:r>
            <w:r w:rsidRPr="00092DA2">
              <w:rPr>
                <w:rFonts w:ascii="Arial" w:hAnsi="Arial" w:cs="Arial"/>
                <w:sz w:val="20"/>
                <w:szCs w:val="20"/>
              </w:rPr>
              <w:t xml:space="preserve"> and the implementation of its activities in the context of ongoing UHC agenda</w:t>
            </w:r>
            <w:r w:rsidRPr="00092DA2" w:rsidR="00192E66">
              <w:rPr>
                <w:rFonts w:ascii="Arial" w:hAnsi="Arial" w:cs="Arial"/>
                <w:sz w:val="20"/>
                <w:szCs w:val="20"/>
              </w:rPr>
              <w:t xml:space="preserve"> and Kenya</w:t>
            </w:r>
            <w:r w:rsidRPr="00092DA2" w:rsidR="002063AD">
              <w:rPr>
                <w:rFonts w:ascii="Arial" w:hAnsi="Arial" w:cs="Arial"/>
                <w:sz w:val="20"/>
                <w:szCs w:val="20"/>
              </w:rPr>
              <w:t>’</w:t>
            </w:r>
            <w:r w:rsidRPr="00092DA2" w:rsidR="00192E66">
              <w:rPr>
                <w:rFonts w:ascii="Arial" w:hAnsi="Arial" w:cs="Arial"/>
                <w:sz w:val="20"/>
                <w:szCs w:val="20"/>
              </w:rPr>
              <w:t>s transition from Gavi support</w:t>
            </w:r>
            <w:r w:rsidRPr="00092DA2" w:rsidR="00955073">
              <w:rPr>
                <w:rFonts w:ascii="Arial" w:hAnsi="Arial" w:cs="Arial"/>
                <w:sz w:val="20"/>
                <w:szCs w:val="20"/>
              </w:rPr>
              <w:t>:</w:t>
            </w:r>
            <w:r w:rsidRPr="00092DA2" w:rsidR="00192E66">
              <w:rPr>
                <w:rFonts w:ascii="Arial" w:hAnsi="Arial" w:cs="Arial"/>
                <w:sz w:val="20"/>
                <w:szCs w:val="20"/>
              </w:rPr>
              <w:t xml:space="preserve"> </w:t>
            </w:r>
            <w:r w:rsidRPr="00092DA2" w:rsidR="002063AD">
              <w:rPr>
                <w:rFonts w:ascii="Arial" w:hAnsi="Arial" w:cs="Arial"/>
                <w:sz w:val="20"/>
                <w:szCs w:val="20"/>
              </w:rPr>
              <w:t>Mainly d</w:t>
            </w:r>
            <w:r w:rsidRPr="00092DA2" w:rsidR="00214E8B">
              <w:rPr>
                <w:rFonts w:ascii="Arial" w:hAnsi="Arial" w:cs="Arial"/>
                <w:sz w:val="20"/>
                <w:szCs w:val="20"/>
              </w:rPr>
              <w:t>eveloping, disseminating, and supporting implementation of costed immunization financial sustainability plans</w:t>
            </w:r>
            <w:r w:rsidRPr="00092DA2" w:rsidR="00955073">
              <w:rPr>
                <w:rFonts w:ascii="Arial" w:hAnsi="Arial" w:cs="Arial"/>
                <w:sz w:val="20"/>
                <w:szCs w:val="20"/>
              </w:rPr>
              <w:t>,</w:t>
            </w:r>
            <w:r w:rsidRPr="00092DA2" w:rsidR="00214E8B">
              <w:rPr>
                <w:rFonts w:ascii="Arial" w:hAnsi="Arial" w:cs="Arial"/>
                <w:sz w:val="20"/>
                <w:szCs w:val="20"/>
              </w:rPr>
              <w:t xml:space="preserve"> carrying out </w:t>
            </w:r>
            <w:r w:rsidRPr="00092DA2" w:rsidR="00BE3108">
              <w:rPr>
                <w:rFonts w:ascii="Arial" w:hAnsi="Arial" w:cs="Arial"/>
                <w:sz w:val="20"/>
                <w:szCs w:val="20"/>
              </w:rPr>
              <w:t>regular assessments of the availability of financial resources for immunization and tracking allocations to ensure funding is directed to priority needs</w:t>
            </w:r>
            <w:r w:rsidRPr="00092DA2" w:rsidR="00DD6B4A">
              <w:rPr>
                <w:rFonts w:ascii="Arial" w:hAnsi="Arial" w:cs="Arial"/>
                <w:sz w:val="20"/>
                <w:szCs w:val="20"/>
              </w:rPr>
              <w:t xml:space="preserve"> and p</w:t>
            </w:r>
            <w:r w:rsidRPr="00092DA2" w:rsidR="00E52298">
              <w:rPr>
                <w:rFonts w:ascii="Arial" w:hAnsi="Arial" w:cs="Arial"/>
                <w:sz w:val="20"/>
                <w:szCs w:val="20"/>
              </w:rPr>
              <w:t>eriodically disseminat</w:t>
            </w:r>
            <w:r w:rsidRPr="00092DA2" w:rsidR="00955073">
              <w:rPr>
                <w:rFonts w:ascii="Arial" w:hAnsi="Arial" w:cs="Arial"/>
                <w:sz w:val="20"/>
                <w:szCs w:val="20"/>
              </w:rPr>
              <w:t>ing</w:t>
            </w:r>
            <w:r w:rsidRPr="00092DA2" w:rsidR="00E52298">
              <w:rPr>
                <w:rFonts w:ascii="Arial" w:hAnsi="Arial" w:cs="Arial"/>
                <w:sz w:val="20"/>
                <w:szCs w:val="20"/>
              </w:rPr>
              <w:t xml:space="preserve"> expenditure data for greater transparency and accountability</w:t>
            </w:r>
            <w:r w:rsidR="0061204E">
              <w:rPr>
                <w:rFonts w:ascii="Arial" w:hAnsi="Arial" w:cs="Arial"/>
                <w:sz w:val="20"/>
                <w:szCs w:val="20"/>
              </w:rPr>
              <w:t>.</w:t>
            </w:r>
          </w:p>
        </w:tc>
        <w:tc>
          <w:tcPr>
            <w:tcW w:w="1458" w:type="dxa"/>
            <w:shd w:val="clear" w:color="auto" w:fill="FFFFFF" w:themeFill="background1"/>
          </w:tcPr>
          <w:p w:rsidRPr="007F7051" w:rsidR="00CB3683" w:rsidP="007F7051" w:rsidRDefault="003E0F13" w14:paraId="47D7CE2F" w14:textId="5412B412">
            <w:pPr>
              <w:pStyle w:val="Default"/>
              <w:spacing w:after="120"/>
              <w:jc w:val="both"/>
              <w:rPr>
                <w:rFonts w:asciiTheme="minorHAnsi" w:hAnsiTheme="minorHAnsi" w:cstheme="minorHAnsi"/>
                <w:sz w:val="20"/>
                <w:szCs w:val="20"/>
              </w:rPr>
            </w:pPr>
            <w:r>
              <w:rPr>
                <w:rFonts w:asciiTheme="minorHAnsi" w:hAnsiTheme="minorHAnsi" w:cstheme="minorHAnsi"/>
                <w:sz w:val="20"/>
                <w:szCs w:val="20"/>
              </w:rPr>
              <w:t>55,000</w:t>
            </w:r>
          </w:p>
        </w:tc>
        <w:tc>
          <w:tcPr>
            <w:tcW w:w="1134" w:type="dxa"/>
            <w:shd w:val="clear" w:color="auto" w:fill="FFFFFF" w:themeFill="background1"/>
          </w:tcPr>
          <w:p w:rsidRPr="007F7051" w:rsidR="00CB3683" w:rsidP="007F7051" w:rsidRDefault="003E0F13" w14:paraId="3D0DBDC3" w14:textId="31D4F2D4">
            <w:pPr>
              <w:pStyle w:val="Default"/>
              <w:spacing w:after="120"/>
              <w:jc w:val="both"/>
              <w:rPr>
                <w:rFonts w:asciiTheme="minorHAnsi" w:hAnsiTheme="minorHAnsi" w:cstheme="minorHAnsi"/>
                <w:sz w:val="20"/>
                <w:szCs w:val="20"/>
              </w:rPr>
            </w:pPr>
            <w:r>
              <w:rPr>
                <w:rFonts w:asciiTheme="minorHAnsi" w:hAnsiTheme="minorHAnsi" w:cstheme="minorHAnsi"/>
                <w:sz w:val="20"/>
                <w:szCs w:val="20"/>
              </w:rPr>
              <w:t>4</w:t>
            </w:r>
            <w:r w:rsidR="00AC0BCC">
              <w:rPr>
                <w:rFonts w:asciiTheme="minorHAnsi" w:hAnsiTheme="minorHAnsi" w:cstheme="minorHAnsi"/>
                <w:sz w:val="20"/>
                <w:szCs w:val="20"/>
              </w:rPr>
              <w:t>.</w:t>
            </w:r>
            <w:r w:rsidR="00994EB7">
              <w:rPr>
                <w:rFonts w:asciiTheme="minorHAnsi" w:hAnsiTheme="minorHAnsi" w:cstheme="minorHAnsi"/>
                <w:sz w:val="20"/>
                <w:szCs w:val="20"/>
              </w:rPr>
              <w:t>6</w:t>
            </w:r>
          </w:p>
        </w:tc>
      </w:tr>
    </w:tbl>
    <w:p w:rsidR="00372D1F" w:rsidRDefault="00372D1F" w14:paraId="62A44A29" w14:textId="77777777"/>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372D1F" w:rsidTr="78AE8092" w14:paraId="42B6E5C8" w14:textId="77777777">
        <w:tc>
          <w:tcPr>
            <w:tcW w:w="9192" w:type="dxa"/>
            <w:tcBorders>
              <w:bottom w:val="single" w:color="auto" w:sz="4" w:space="0"/>
            </w:tcBorders>
            <w:shd w:val="clear" w:color="auto" w:fill="F2F2F2" w:themeFill="background1" w:themeFillShade="F2"/>
            <w:tcMar/>
          </w:tcPr>
          <w:p w:rsidRPr="00B614D7" w:rsidR="00372D1F" w:rsidP="00372D1F" w:rsidRDefault="00372D1F" w14:paraId="5594A626" w14:textId="06689130">
            <w:pPr>
              <w:spacing w:line="300" w:lineRule="exact"/>
              <w:rPr>
                <w:b/>
                <w:bCs/>
                <w:i/>
                <w:iCs/>
                <w:sz w:val="20"/>
                <w:szCs w:val="20"/>
              </w:rPr>
            </w:pPr>
            <w:r>
              <w:rPr>
                <w:b/>
                <w:bCs/>
                <w:i/>
                <w:iCs/>
                <w:sz w:val="20"/>
                <w:szCs w:val="20"/>
              </w:rPr>
              <w:t xml:space="preserve">2.1 </w:t>
            </w:r>
            <w:r w:rsidRPr="00B614D7">
              <w:rPr>
                <w:b/>
                <w:bCs/>
                <w:i/>
                <w:iCs/>
                <w:sz w:val="20"/>
                <w:szCs w:val="20"/>
              </w:rPr>
              <w:t>Please reflect and describe your immunisation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rsidTr="78AE8092" w14:paraId="19BE42B7" w14:textId="77777777">
        <w:tc>
          <w:tcPr>
            <w:tcW w:w="9192" w:type="dxa"/>
            <w:tcBorders>
              <w:top w:val="single" w:color="auto" w:sz="4" w:space="0"/>
              <w:left w:val="single" w:color="auto" w:sz="4" w:space="0"/>
              <w:bottom w:val="single" w:color="auto" w:sz="4" w:space="0"/>
              <w:right w:val="single" w:color="auto" w:sz="4" w:space="0"/>
            </w:tcBorders>
            <w:tcMar/>
          </w:tcPr>
          <w:p w:rsidRPr="00092DA2" w:rsidR="00E533B8" w:rsidP="002A48FE" w:rsidRDefault="00B8779E" w14:paraId="3FA7D1A0" w14:textId="5EBA8F45">
            <w:pPr>
              <w:pStyle w:val="Default"/>
              <w:spacing w:after="120"/>
              <w:jc w:val="both"/>
              <w:rPr>
                <w:rFonts w:ascii="Arial" w:hAnsi="Arial" w:cs="Arial"/>
                <w:sz w:val="20"/>
                <w:szCs w:val="20"/>
              </w:rPr>
            </w:pPr>
            <w:r w:rsidRPr="78AE8092" w:rsidR="4D0EEA76">
              <w:rPr>
                <w:rFonts w:ascii="Arial" w:hAnsi="Arial" w:cs="Arial"/>
                <w:sz w:val="20"/>
                <w:szCs w:val="20"/>
              </w:rPr>
              <w:t xml:space="preserve">The TA </w:t>
            </w:r>
            <w:r w:rsidRPr="78AE8092" w:rsidR="0F3246FB">
              <w:rPr>
                <w:rFonts w:ascii="Arial" w:hAnsi="Arial" w:cs="Arial"/>
                <w:sz w:val="20"/>
                <w:szCs w:val="20"/>
              </w:rPr>
              <w:t>n</w:t>
            </w:r>
            <w:r w:rsidRPr="78AE8092" w:rsidR="4D0EEA76">
              <w:rPr>
                <w:rFonts w:ascii="Arial" w:hAnsi="Arial" w:cs="Arial"/>
                <w:sz w:val="20"/>
                <w:szCs w:val="20"/>
              </w:rPr>
              <w:t xml:space="preserve">eeds have been </w:t>
            </w:r>
            <w:r w:rsidRPr="78AE8092" w:rsidR="11F8D7CB">
              <w:rPr>
                <w:rFonts w:ascii="Arial" w:hAnsi="Arial" w:cs="Arial"/>
                <w:sz w:val="20"/>
                <w:szCs w:val="20"/>
              </w:rPr>
              <w:t xml:space="preserve">identified and developed around </w:t>
            </w:r>
            <w:r w:rsidRPr="78AE8092" w:rsidR="0F3246FB">
              <w:rPr>
                <w:rFonts w:ascii="Arial" w:hAnsi="Arial" w:cs="Arial"/>
                <w:sz w:val="20"/>
                <w:szCs w:val="20"/>
              </w:rPr>
              <w:t>seven</w:t>
            </w:r>
            <w:r w:rsidRPr="78AE8092" w:rsidR="11F8D7CB">
              <w:rPr>
                <w:rFonts w:ascii="Arial" w:hAnsi="Arial" w:cs="Arial"/>
                <w:sz w:val="20"/>
                <w:szCs w:val="20"/>
              </w:rPr>
              <w:t xml:space="preserve"> investment areas, aligned with </w:t>
            </w:r>
            <w:r w:rsidRPr="78AE8092" w:rsidR="7F49C1E6">
              <w:rPr>
                <w:rFonts w:ascii="Arial" w:hAnsi="Arial" w:cs="Arial"/>
                <w:sz w:val="20"/>
                <w:szCs w:val="20"/>
              </w:rPr>
              <w:t xml:space="preserve">and building up on the </w:t>
            </w:r>
            <w:r w:rsidRPr="78AE8092" w:rsidR="11F8D7CB">
              <w:rPr>
                <w:rFonts w:ascii="Arial" w:hAnsi="Arial" w:cs="Arial"/>
                <w:sz w:val="20"/>
                <w:szCs w:val="20"/>
              </w:rPr>
              <w:t xml:space="preserve">medium term </w:t>
            </w:r>
            <w:r w:rsidRPr="78AE8092" w:rsidR="0F3246FB">
              <w:rPr>
                <w:rFonts w:ascii="Arial" w:hAnsi="Arial" w:cs="Arial"/>
                <w:sz w:val="20"/>
                <w:szCs w:val="20"/>
              </w:rPr>
              <w:t xml:space="preserve">country </w:t>
            </w:r>
            <w:r w:rsidRPr="78AE8092" w:rsidR="11F8D7CB">
              <w:rPr>
                <w:rFonts w:ascii="Arial" w:hAnsi="Arial" w:cs="Arial"/>
                <w:sz w:val="20"/>
                <w:szCs w:val="20"/>
              </w:rPr>
              <w:t>invest</w:t>
            </w:r>
            <w:r w:rsidRPr="78AE8092" w:rsidR="0F3246FB">
              <w:rPr>
                <w:rFonts w:ascii="Arial" w:hAnsi="Arial" w:cs="Arial"/>
                <w:sz w:val="20"/>
                <w:szCs w:val="20"/>
              </w:rPr>
              <w:t xml:space="preserve">ments outlined in the Kenya National Vaccine and </w:t>
            </w:r>
            <w:r w:rsidRPr="78AE8092" w:rsidR="0F3246FB">
              <w:rPr>
                <w:rFonts w:ascii="Arial" w:hAnsi="Arial" w:cs="Arial"/>
                <w:sz w:val="20"/>
                <w:szCs w:val="20"/>
              </w:rPr>
              <w:t>Immunization Strategic plan 2021-2025, whose overa</w:t>
            </w:r>
            <w:r w:rsidRPr="78AE8092" w:rsidR="0F7AE5FC">
              <w:rPr>
                <w:rFonts w:ascii="Arial" w:hAnsi="Arial" w:cs="Arial"/>
                <w:sz w:val="20"/>
                <w:szCs w:val="20"/>
              </w:rPr>
              <w:t xml:space="preserve">rching </w:t>
            </w:r>
            <w:r w:rsidRPr="78AE8092" w:rsidR="0F3246FB">
              <w:rPr>
                <w:rFonts w:ascii="Arial" w:hAnsi="Arial" w:cs="Arial"/>
                <w:sz w:val="20"/>
                <w:szCs w:val="20"/>
              </w:rPr>
              <w:t xml:space="preserve">goal is to is to increase and sustain high coverage and equitable utilization of vaccines, reduce the number of zero-dose children and ensure uninterrupted availability of high quality, safe and effective vaccines in a sustainable manner, </w:t>
            </w:r>
            <w:r w:rsidRPr="78AE8092" w:rsidR="10CBA166">
              <w:rPr>
                <w:rFonts w:ascii="Arial" w:hAnsi="Arial" w:cs="Arial"/>
                <w:sz w:val="20"/>
                <w:szCs w:val="20"/>
              </w:rPr>
              <w:t xml:space="preserve">and the proposed areas of work </w:t>
            </w:r>
            <w:r w:rsidRPr="78AE8092" w:rsidR="6E02CE2B">
              <w:rPr>
                <w:rFonts w:ascii="Arial" w:hAnsi="Arial" w:cs="Arial"/>
                <w:sz w:val="20"/>
                <w:szCs w:val="20"/>
              </w:rPr>
              <w:t xml:space="preserve">identified during the ongoing Gavi Full Portfolio Planning (FPP) process </w:t>
            </w:r>
            <w:r w:rsidRPr="78AE8092" w:rsidR="0F3246FB">
              <w:rPr>
                <w:rFonts w:ascii="Arial" w:hAnsi="Arial" w:cs="Arial"/>
                <w:sz w:val="20"/>
                <w:szCs w:val="20"/>
              </w:rPr>
              <w:t>and have been conceived in the context of the existing routine immunization multistakeholder coordination structures (The National Technical Working Group, Thematic Working Groups and National Immunization Interagency Coordinating Committee).</w:t>
            </w:r>
          </w:p>
          <w:p w:rsidRPr="00092DA2" w:rsidR="00E533B8" w:rsidP="002A48FE" w:rsidRDefault="00E533B8" w14:paraId="3B7951FC" w14:textId="222648E6">
            <w:pPr>
              <w:pStyle w:val="Default"/>
              <w:spacing w:after="120"/>
              <w:jc w:val="both"/>
              <w:rPr>
                <w:rFonts w:ascii="Arial" w:hAnsi="Arial" w:cs="Arial"/>
                <w:sz w:val="20"/>
                <w:szCs w:val="20"/>
              </w:rPr>
            </w:pPr>
            <w:r w:rsidRPr="00092DA2">
              <w:rPr>
                <w:rFonts w:ascii="Arial" w:hAnsi="Arial" w:cs="Arial"/>
                <w:sz w:val="20"/>
                <w:szCs w:val="20"/>
              </w:rPr>
              <w:t>The TA</w:t>
            </w:r>
            <w:r w:rsidRPr="00092DA2" w:rsidR="00213E2E">
              <w:rPr>
                <w:rFonts w:ascii="Arial" w:hAnsi="Arial" w:cs="Arial"/>
                <w:sz w:val="20"/>
                <w:szCs w:val="20"/>
              </w:rPr>
              <w:t xml:space="preserve"> needs</w:t>
            </w:r>
            <w:r w:rsidRPr="00092DA2">
              <w:rPr>
                <w:rFonts w:ascii="Arial" w:hAnsi="Arial" w:cs="Arial"/>
                <w:sz w:val="20"/>
                <w:szCs w:val="20"/>
              </w:rPr>
              <w:t xml:space="preserve"> ha</w:t>
            </w:r>
            <w:r w:rsidRPr="00092DA2" w:rsidR="00213E2E">
              <w:rPr>
                <w:rFonts w:ascii="Arial" w:hAnsi="Arial" w:cs="Arial"/>
                <w:sz w:val="20"/>
                <w:szCs w:val="20"/>
              </w:rPr>
              <w:t>ve</w:t>
            </w:r>
            <w:r w:rsidRPr="00092DA2">
              <w:rPr>
                <w:rFonts w:ascii="Arial" w:hAnsi="Arial" w:cs="Arial"/>
                <w:sz w:val="20"/>
                <w:szCs w:val="20"/>
              </w:rPr>
              <w:t xml:space="preserve"> taken into account the other health sector investments such as Global </w:t>
            </w:r>
            <w:r w:rsidR="004F167E">
              <w:rPr>
                <w:rFonts w:ascii="Arial" w:hAnsi="Arial" w:cs="Arial"/>
                <w:sz w:val="20"/>
                <w:szCs w:val="20"/>
              </w:rPr>
              <w:t>F</w:t>
            </w:r>
            <w:r w:rsidRPr="00092DA2">
              <w:rPr>
                <w:rFonts w:ascii="Arial" w:hAnsi="Arial" w:cs="Arial"/>
                <w:sz w:val="20"/>
                <w:szCs w:val="20"/>
              </w:rPr>
              <w:t xml:space="preserve">und, World Bank investments and other bilateral/multilateral investments. </w:t>
            </w:r>
            <w:r w:rsidRPr="00092DA2" w:rsidR="00213E2E">
              <w:rPr>
                <w:rFonts w:ascii="Arial" w:hAnsi="Arial" w:cs="Arial"/>
                <w:sz w:val="20"/>
                <w:szCs w:val="20"/>
              </w:rPr>
              <w:t>Their support</w:t>
            </w:r>
            <w:r w:rsidRPr="00092DA2">
              <w:rPr>
                <w:rFonts w:ascii="Arial" w:hAnsi="Arial" w:cs="Arial"/>
                <w:sz w:val="20"/>
                <w:szCs w:val="20"/>
              </w:rPr>
              <w:t xml:space="preserve"> will synergize Gavi support on health systems strengthening. Areas of potential integration</w:t>
            </w:r>
            <w:r w:rsidRPr="00092DA2" w:rsidR="00F53986">
              <w:rPr>
                <w:rFonts w:ascii="Arial" w:hAnsi="Arial" w:cs="Arial"/>
                <w:sz w:val="20"/>
                <w:szCs w:val="20"/>
              </w:rPr>
              <w:t xml:space="preserve"> have</w:t>
            </w:r>
            <w:r w:rsidRPr="00092DA2">
              <w:rPr>
                <w:rFonts w:ascii="Arial" w:hAnsi="Arial" w:cs="Arial"/>
                <w:sz w:val="20"/>
                <w:szCs w:val="20"/>
              </w:rPr>
              <w:t xml:space="preserve"> </w:t>
            </w:r>
            <w:r w:rsidRPr="00092DA2" w:rsidR="00F53986">
              <w:rPr>
                <w:rFonts w:ascii="Arial" w:hAnsi="Arial" w:cs="Arial"/>
                <w:sz w:val="20"/>
                <w:szCs w:val="20"/>
              </w:rPr>
              <w:t xml:space="preserve">been </w:t>
            </w:r>
            <w:r w:rsidRPr="00092DA2">
              <w:rPr>
                <w:rFonts w:ascii="Arial" w:hAnsi="Arial" w:cs="Arial"/>
                <w:sz w:val="20"/>
                <w:szCs w:val="20"/>
              </w:rPr>
              <w:t>considered such as trainings</w:t>
            </w:r>
            <w:r w:rsidRPr="00092DA2" w:rsidR="00711D73">
              <w:rPr>
                <w:rFonts w:ascii="Arial" w:hAnsi="Arial" w:cs="Arial"/>
                <w:sz w:val="20"/>
                <w:szCs w:val="20"/>
              </w:rPr>
              <w:t>, monitoring and learning e</w:t>
            </w:r>
            <w:r w:rsidR="004F167E">
              <w:rPr>
                <w:rFonts w:ascii="Arial" w:hAnsi="Arial" w:cs="Arial"/>
                <w:sz w:val="20"/>
                <w:szCs w:val="20"/>
              </w:rPr>
              <w:t>t</w:t>
            </w:r>
            <w:r w:rsidRPr="00092DA2" w:rsidR="00711D73">
              <w:rPr>
                <w:rFonts w:ascii="Arial" w:hAnsi="Arial" w:cs="Arial"/>
                <w:sz w:val="20"/>
                <w:szCs w:val="20"/>
              </w:rPr>
              <w:t>c</w:t>
            </w:r>
            <w:r w:rsidRPr="00092DA2">
              <w:rPr>
                <w:rFonts w:ascii="Arial" w:hAnsi="Arial" w:cs="Arial"/>
                <w:sz w:val="20"/>
                <w:szCs w:val="20"/>
              </w:rPr>
              <w:t xml:space="preserve">. The </w:t>
            </w:r>
            <w:r w:rsidRPr="00092DA2" w:rsidR="00711D73">
              <w:rPr>
                <w:rFonts w:ascii="Arial" w:hAnsi="Arial" w:cs="Arial"/>
                <w:sz w:val="20"/>
                <w:szCs w:val="20"/>
              </w:rPr>
              <w:t xml:space="preserve">supply chain activities </w:t>
            </w:r>
            <w:r w:rsidRPr="00092DA2">
              <w:rPr>
                <w:rFonts w:ascii="Arial" w:hAnsi="Arial" w:cs="Arial"/>
                <w:sz w:val="20"/>
                <w:szCs w:val="20"/>
              </w:rPr>
              <w:t>ha</w:t>
            </w:r>
            <w:r w:rsidRPr="00092DA2" w:rsidR="00711D73">
              <w:rPr>
                <w:rFonts w:ascii="Arial" w:hAnsi="Arial" w:cs="Arial"/>
                <w:sz w:val="20"/>
                <w:szCs w:val="20"/>
              </w:rPr>
              <w:t>ve</w:t>
            </w:r>
            <w:r w:rsidRPr="00092DA2">
              <w:rPr>
                <w:rFonts w:ascii="Arial" w:hAnsi="Arial" w:cs="Arial"/>
                <w:sz w:val="20"/>
                <w:szCs w:val="20"/>
              </w:rPr>
              <w:t xml:space="preserve"> taken into consideration the support from bilateral investments in cold chain by</w:t>
            </w:r>
            <w:r w:rsidRPr="00092DA2" w:rsidR="00711D73">
              <w:rPr>
                <w:rFonts w:ascii="Arial" w:hAnsi="Arial" w:cs="Arial"/>
                <w:sz w:val="20"/>
                <w:szCs w:val="20"/>
              </w:rPr>
              <w:t xml:space="preserve"> the Government of Kenya,</w:t>
            </w:r>
            <w:r w:rsidRPr="00092DA2">
              <w:rPr>
                <w:rFonts w:ascii="Arial" w:hAnsi="Arial" w:cs="Arial"/>
                <w:sz w:val="20"/>
                <w:szCs w:val="20"/>
              </w:rPr>
              <w:t xml:space="preserve"> JICA and World Bank. </w:t>
            </w:r>
          </w:p>
          <w:p w:rsidRPr="00092DA2" w:rsidR="00361500" w:rsidP="002A48FE" w:rsidRDefault="00EF47EC" w14:paraId="035C1F19" w14:textId="4D462164">
            <w:pPr>
              <w:pStyle w:val="Default"/>
              <w:spacing w:after="120"/>
              <w:jc w:val="both"/>
              <w:rPr>
                <w:rFonts w:ascii="Arial" w:hAnsi="Arial" w:cs="Arial"/>
                <w:sz w:val="20"/>
                <w:szCs w:val="20"/>
              </w:rPr>
            </w:pPr>
            <w:r w:rsidRPr="00092DA2">
              <w:rPr>
                <w:rFonts w:ascii="Arial" w:hAnsi="Arial" w:cs="Arial"/>
                <w:sz w:val="20"/>
                <w:szCs w:val="20"/>
              </w:rPr>
              <w:t>To achieve our coverage and equity goals</w:t>
            </w:r>
            <w:r w:rsidRPr="00092DA2" w:rsidR="006554C9">
              <w:rPr>
                <w:rFonts w:ascii="Arial" w:hAnsi="Arial" w:cs="Arial"/>
                <w:sz w:val="20"/>
                <w:szCs w:val="20"/>
              </w:rPr>
              <w:t xml:space="preserve">, </w:t>
            </w:r>
            <w:r w:rsidRPr="00092DA2" w:rsidR="00361500">
              <w:rPr>
                <w:rFonts w:ascii="Arial" w:hAnsi="Arial" w:cs="Arial"/>
                <w:sz w:val="20"/>
                <w:szCs w:val="20"/>
              </w:rPr>
              <w:t xml:space="preserve">specifically </w:t>
            </w:r>
            <w:r w:rsidRPr="00092DA2" w:rsidR="00C43E07">
              <w:rPr>
                <w:rFonts w:ascii="Arial" w:hAnsi="Arial" w:cs="Arial"/>
                <w:sz w:val="20"/>
                <w:szCs w:val="20"/>
              </w:rPr>
              <w:t>re</w:t>
            </w:r>
            <w:r w:rsidRPr="00092DA2" w:rsidR="00593AF8">
              <w:rPr>
                <w:rFonts w:ascii="Arial" w:hAnsi="Arial" w:cs="Arial"/>
                <w:sz w:val="20"/>
                <w:szCs w:val="20"/>
              </w:rPr>
              <w:t>aching the zero dose children who are most likely to include c</w:t>
            </w:r>
            <w:r w:rsidRPr="00092DA2" w:rsidR="006554C9">
              <w:rPr>
                <w:rFonts w:ascii="Arial" w:hAnsi="Arial" w:cs="Arial"/>
                <w:sz w:val="20"/>
                <w:szCs w:val="20"/>
              </w:rPr>
              <w:t xml:space="preserve">hildren in urban informal settlements, remote rural areas, insecurity-affected settings, refugees, cross-border populations, nomadic communities and marginalized groups </w:t>
            </w:r>
            <w:r w:rsidRPr="00092DA2" w:rsidR="00593AF8">
              <w:rPr>
                <w:rFonts w:ascii="Arial" w:hAnsi="Arial" w:cs="Arial"/>
                <w:sz w:val="20"/>
                <w:szCs w:val="20"/>
              </w:rPr>
              <w:t xml:space="preserve">who </w:t>
            </w:r>
            <w:r w:rsidRPr="00092DA2" w:rsidR="006554C9">
              <w:rPr>
                <w:rFonts w:ascii="Arial" w:hAnsi="Arial" w:cs="Arial"/>
                <w:sz w:val="20"/>
                <w:szCs w:val="20"/>
              </w:rPr>
              <w:t xml:space="preserve">continue to face </w:t>
            </w:r>
            <w:r w:rsidRPr="00092DA2" w:rsidR="00593AF8">
              <w:rPr>
                <w:rFonts w:ascii="Arial" w:hAnsi="Arial" w:cs="Arial"/>
                <w:sz w:val="20"/>
                <w:szCs w:val="20"/>
              </w:rPr>
              <w:t xml:space="preserve">significant </w:t>
            </w:r>
            <w:r w:rsidRPr="00092DA2" w:rsidR="006554C9">
              <w:rPr>
                <w:rFonts w:ascii="Arial" w:hAnsi="Arial" w:cs="Arial"/>
                <w:sz w:val="20"/>
                <w:szCs w:val="20"/>
              </w:rPr>
              <w:t>social, cultural, economic and gender barriers to vaccination</w:t>
            </w:r>
            <w:r w:rsidRPr="00092DA2" w:rsidR="00593AF8">
              <w:rPr>
                <w:rFonts w:ascii="Arial" w:hAnsi="Arial" w:cs="Arial"/>
                <w:sz w:val="20"/>
                <w:szCs w:val="20"/>
              </w:rPr>
              <w:t>, we plan to support the country reinforc</w:t>
            </w:r>
            <w:r w:rsidRPr="00092DA2" w:rsidR="00821EC8">
              <w:rPr>
                <w:rFonts w:ascii="Arial" w:hAnsi="Arial" w:cs="Arial"/>
                <w:sz w:val="20"/>
                <w:szCs w:val="20"/>
              </w:rPr>
              <w:t>e</w:t>
            </w:r>
            <w:r w:rsidRPr="00092DA2" w:rsidR="00593AF8">
              <w:rPr>
                <w:rFonts w:ascii="Arial" w:hAnsi="Arial" w:cs="Arial"/>
                <w:sz w:val="20"/>
                <w:szCs w:val="20"/>
              </w:rPr>
              <w:t xml:space="preserve"> effective and efficient integrated immunization service delivery mechanisms, addressing </w:t>
            </w:r>
            <w:r w:rsidRPr="00092DA2" w:rsidR="00821EC8">
              <w:rPr>
                <w:rFonts w:ascii="Arial" w:hAnsi="Arial" w:cs="Arial"/>
                <w:sz w:val="20"/>
                <w:szCs w:val="20"/>
              </w:rPr>
              <w:t xml:space="preserve">immunization </w:t>
            </w:r>
            <w:r w:rsidRPr="00092DA2" w:rsidR="00593AF8">
              <w:rPr>
                <w:rFonts w:ascii="Arial" w:hAnsi="Arial" w:cs="Arial"/>
                <w:sz w:val="20"/>
                <w:szCs w:val="20"/>
              </w:rPr>
              <w:t xml:space="preserve">bottlenecks, improving and leveraging private sector and community participation in immunization to reach </w:t>
            </w:r>
            <w:r w:rsidRPr="00092DA2" w:rsidR="00821EC8">
              <w:rPr>
                <w:rFonts w:ascii="Arial" w:hAnsi="Arial" w:cs="Arial"/>
                <w:sz w:val="20"/>
                <w:szCs w:val="20"/>
              </w:rPr>
              <w:t xml:space="preserve">these </w:t>
            </w:r>
            <w:r w:rsidRPr="00092DA2" w:rsidR="00593AF8">
              <w:rPr>
                <w:rFonts w:ascii="Arial" w:hAnsi="Arial" w:cs="Arial"/>
                <w:sz w:val="20"/>
                <w:szCs w:val="20"/>
              </w:rPr>
              <w:t>zero dose communities, and  implement corrective actions for missed opportunities for vaccination</w:t>
            </w:r>
            <w:r w:rsidRPr="00092DA2" w:rsidR="00821EC8">
              <w:rPr>
                <w:rFonts w:ascii="Arial" w:hAnsi="Arial" w:cs="Arial"/>
                <w:sz w:val="20"/>
                <w:szCs w:val="20"/>
              </w:rPr>
              <w:t>.</w:t>
            </w:r>
            <w:r w:rsidRPr="00092DA2" w:rsidR="007617DC">
              <w:rPr>
                <w:rFonts w:ascii="Arial" w:hAnsi="Arial" w:cs="Arial"/>
                <w:sz w:val="20"/>
                <w:szCs w:val="20"/>
              </w:rPr>
              <w:t xml:space="preserve"> </w:t>
            </w:r>
            <w:r w:rsidRPr="00092DA2" w:rsidR="00F80383">
              <w:rPr>
                <w:rFonts w:ascii="Arial" w:hAnsi="Arial" w:cs="Arial"/>
                <w:sz w:val="20"/>
                <w:szCs w:val="20"/>
              </w:rPr>
              <w:t>To backstop these processes, the TA proposes to support strengthening of the capacity of governance/technical bodies for planning, coordination and tracking progress at all levels and strengthening programme performance monitoring and management systems at all levels with a focus on reaching zero-dose children and achieving equity.</w:t>
            </w:r>
          </w:p>
          <w:p w:rsidRPr="00092DA2" w:rsidR="00821EC8" w:rsidP="002A48FE" w:rsidRDefault="001B4928" w14:paraId="3E899CB4" w14:textId="1600510E">
            <w:pPr>
              <w:pStyle w:val="Default"/>
              <w:spacing w:after="120"/>
              <w:jc w:val="both"/>
              <w:rPr>
                <w:rFonts w:ascii="Arial" w:hAnsi="Arial" w:cs="Arial"/>
                <w:sz w:val="20"/>
                <w:szCs w:val="20"/>
              </w:rPr>
            </w:pPr>
            <w:r w:rsidRPr="78AE8092" w:rsidR="14D09BA9">
              <w:rPr>
                <w:rFonts w:ascii="Arial" w:hAnsi="Arial" w:cs="Arial"/>
                <w:sz w:val="20"/>
                <w:szCs w:val="20"/>
              </w:rPr>
              <w:t xml:space="preserve">A </w:t>
            </w:r>
            <w:proofErr w:type="spellStart"/>
            <w:r w:rsidRPr="78AE8092" w:rsidR="14D09BA9">
              <w:rPr>
                <w:rFonts w:ascii="Arial" w:hAnsi="Arial" w:cs="Arial"/>
                <w:sz w:val="20"/>
                <w:szCs w:val="20"/>
              </w:rPr>
              <w:t>a</w:t>
            </w:r>
            <w:proofErr w:type="spellEnd"/>
            <w:r w:rsidRPr="78AE8092" w:rsidR="14D09BA9">
              <w:rPr>
                <w:rFonts w:ascii="Arial" w:hAnsi="Arial" w:cs="Arial"/>
                <w:sz w:val="20"/>
                <w:szCs w:val="20"/>
              </w:rPr>
              <w:t xml:space="preserve"> robust data </w:t>
            </w:r>
            <w:r w:rsidRPr="78AE8092" w:rsidR="35286208">
              <w:rPr>
                <w:rFonts w:ascii="Arial" w:hAnsi="Arial" w:cs="Arial"/>
                <w:sz w:val="20"/>
                <w:szCs w:val="20"/>
              </w:rPr>
              <w:t xml:space="preserve">culture is needed </w:t>
            </w:r>
            <w:r w:rsidRPr="78AE8092" w:rsidR="01094C7E">
              <w:rPr>
                <w:rFonts w:ascii="Arial" w:hAnsi="Arial" w:cs="Arial"/>
                <w:sz w:val="20"/>
                <w:szCs w:val="20"/>
              </w:rPr>
              <w:t xml:space="preserve">to </w:t>
            </w:r>
            <w:r w:rsidRPr="78AE8092" w:rsidR="2BA86064">
              <w:rPr>
                <w:rFonts w:ascii="Arial" w:hAnsi="Arial" w:cs="Arial"/>
                <w:sz w:val="20"/>
                <w:szCs w:val="20"/>
              </w:rPr>
              <w:t xml:space="preserve">continuously </w:t>
            </w:r>
            <w:r w:rsidRPr="78AE8092" w:rsidR="01094C7E">
              <w:rPr>
                <w:rFonts w:ascii="Arial" w:hAnsi="Arial" w:cs="Arial"/>
                <w:sz w:val="20"/>
                <w:szCs w:val="20"/>
              </w:rPr>
              <w:t>inform decision making</w:t>
            </w:r>
            <w:r w:rsidRPr="78AE8092" w:rsidR="1CF79712">
              <w:rPr>
                <w:rFonts w:ascii="Arial" w:hAnsi="Arial" w:cs="Arial"/>
                <w:sz w:val="20"/>
                <w:szCs w:val="20"/>
              </w:rPr>
              <w:t xml:space="preserve"> and to overcome challenges </w:t>
            </w:r>
            <w:r w:rsidRPr="78AE8092" w:rsidR="58E237AC">
              <w:rPr>
                <w:rFonts w:ascii="Arial" w:hAnsi="Arial" w:cs="Arial"/>
                <w:sz w:val="20"/>
                <w:szCs w:val="20"/>
              </w:rPr>
              <w:t>to targeting communities of interest</w:t>
            </w:r>
            <w:r w:rsidRPr="78AE8092" w:rsidR="3A6B3C50">
              <w:rPr>
                <w:rFonts w:ascii="Arial" w:hAnsi="Arial" w:cs="Arial"/>
                <w:sz w:val="20"/>
                <w:szCs w:val="20"/>
              </w:rPr>
              <w:t xml:space="preserve"> (</w:t>
            </w:r>
            <w:r w:rsidRPr="78AE8092" w:rsidR="58E237AC">
              <w:rPr>
                <w:rFonts w:ascii="Arial" w:hAnsi="Arial" w:cs="Arial"/>
                <w:sz w:val="20"/>
                <w:szCs w:val="20"/>
              </w:rPr>
              <w:t>zero dose and under immunized children</w:t>
            </w:r>
            <w:r w:rsidRPr="78AE8092" w:rsidR="3A6B3C50">
              <w:rPr>
                <w:rFonts w:ascii="Arial" w:hAnsi="Arial" w:cs="Arial"/>
                <w:sz w:val="20"/>
                <w:szCs w:val="20"/>
              </w:rPr>
              <w:t xml:space="preserve">) and subsequently </w:t>
            </w:r>
            <w:r w:rsidRPr="78AE8092" w:rsidR="2BA86064">
              <w:rPr>
                <w:rFonts w:ascii="Arial" w:hAnsi="Arial" w:cs="Arial"/>
                <w:sz w:val="20"/>
                <w:szCs w:val="20"/>
              </w:rPr>
              <w:t xml:space="preserve">enable the country to achieve the above </w:t>
            </w:r>
            <w:r w:rsidRPr="78AE8092" w:rsidR="54D54D66">
              <w:rPr>
                <w:rFonts w:ascii="Arial" w:hAnsi="Arial" w:cs="Arial"/>
                <w:sz w:val="20"/>
                <w:szCs w:val="20"/>
              </w:rPr>
              <w:t>coverage and equity goals. This is proposed to be achi</w:t>
            </w:r>
            <w:r w:rsidRPr="78AE8092" w:rsidR="3A6B3C50">
              <w:rPr>
                <w:rFonts w:ascii="Arial" w:hAnsi="Arial" w:cs="Arial"/>
                <w:sz w:val="20"/>
                <w:szCs w:val="20"/>
              </w:rPr>
              <w:t>e</w:t>
            </w:r>
            <w:r w:rsidRPr="78AE8092" w:rsidR="54D54D66">
              <w:rPr>
                <w:rFonts w:ascii="Arial" w:hAnsi="Arial" w:cs="Arial"/>
                <w:sz w:val="20"/>
                <w:szCs w:val="20"/>
              </w:rPr>
              <w:t xml:space="preserve">ved </w:t>
            </w:r>
            <w:r w:rsidRPr="78AE8092" w:rsidR="54D54D66">
              <w:rPr>
                <w:rFonts w:ascii="Arial" w:hAnsi="Arial" w:cs="Arial"/>
                <w:sz w:val="20"/>
                <w:szCs w:val="20"/>
              </w:rPr>
              <w:t>through improving</w:t>
            </w:r>
            <w:r w:rsidRPr="78AE8092" w:rsidR="14D09BA9">
              <w:rPr>
                <w:rFonts w:ascii="Arial" w:hAnsi="Arial" w:cs="Arial"/>
                <w:sz w:val="20"/>
                <w:szCs w:val="20"/>
              </w:rPr>
              <w:t xml:space="preserve"> data quality (ensuring fit for purpose data) at all levels, strengthening information systems key to the identification and reaching </w:t>
            </w:r>
            <w:r w:rsidRPr="78AE8092" w:rsidR="28064657">
              <w:rPr>
                <w:rFonts w:ascii="Arial" w:hAnsi="Arial" w:cs="Arial"/>
                <w:sz w:val="20"/>
                <w:szCs w:val="20"/>
              </w:rPr>
              <w:t xml:space="preserve">of </w:t>
            </w:r>
            <w:r w:rsidRPr="78AE8092" w:rsidR="14D09BA9">
              <w:rPr>
                <w:rFonts w:ascii="Arial" w:hAnsi="Arial" w:cs="Arial"/>
                <w:sz w:val="20"/>
                <w:szCs w:val="20"/>
              </w:rPr>
              <w:t>zero dose communities including digit</w:t>
            </w:r>
            <w:r w:rsidRPr="78AE8092" w:rsidR="28064657">
              <w:rPr>
                <w:rFonts w:ascii="Arial" w:hAnsi="Arial" w:cs="Arial"/>
                <w:sz w:val="20"/>
                <w:szCs w:val="20"/>
              </w:rPr>
              <w:t>a</w:t>
            </w:r>
            <w:r w:rsidRPr="78AE8092" w:rsidR="14D09BA9">
              <w:rPr>
                <w:rFonts w:ascii="Arial" w:hAnsi="Arial" w:cs="Arial"/>
                <w:sz w:val="20"/>
                <w:szCs w:val="20"/>
              </w:rPr>
              <w:t>l health information interventions and improving data utilization in all immunization components at all levels.</w:t>
            </w:r>
          </w:p>
          <w:p w:rsidR="000D7A66" w:rsidP="002A48FE" w:rsidRDefault="00A94917" w14:paraId="39CEC3AA" w14:textId="57F3B230">
            <w:pPr>
              <w:pStyle w:val="Default"/>
              <w:spacing w:after="120"/>
              <w:jc w:val="both"/>
              <w:rPr>
                <w:rFonts w:ascii="Arial" w:hAnsi="Arial" w:cs="Arial"/>
                <w:sz w:val="20"/>
                <w:szCs w:val="20"/>
              </w:rPr>
            </w:pPr>
            <w:r w:rsidRPr="78AE8092" w:rsidR="7D58EB03">
              <w:rPr>
                <w:rFonts w:ascii="Arial" w:hAnsi="Arial" w:cs="Arial"/>
                <w:sz w:val="20"/>
                <w:szCs w:val="20"/>
              </w:rPr>
              <w:t xml:space="preserve">A perennial challenge </w:t>
            </w:r>
            <w:r w:rsidRPr="78AE8092" w:rsidR="74923597">
              <w:rPr>
                <w:rFonts w:ascii="Arial" w:hAnsi="Arial" w:cs="Arial"/>
                <w:sz w:val="20"/>
                <w:szCs w:val="20"/>
              </w:rPr>
              <w:t xml:space="preserve">in the country has been a mismatch between the demand and supply ends of </w:t>
            </w:r>
            <w:proofErr w:type="spellStart"/>
            <w:r w:rsidRPr="78AE8092" w:rsidR="74923597">
              <w:rPr>
                <w:rFonts w:ascii="Arial" w:hAnsi="Arial" w:cs="Arial"/>
                <w:sz w:val="20"/>
                <w:szCs w:val="20"/>
              </w:rPr>
              <w:t>immunisation</w:t>
            </w:r>
            <w:proofErr w:type="spellEnd"/>
            <w:r w:rsidRPr="78AE8092" w:rsidR="74923597">
              <w:rPr>
                <w:rFonts w:ascii="Arial" w:hAnsi="Arial" w:cs="Arial"/>
                <w:sz w:val="20"/>
                <w:szCs w:val="20"/>
              </w:rPr>
              <w:t xml:space="preserve"> services</w:t>
            </w:r>
            <w:r w:rsidRPr="78AE8092" w:rsidR="24BE2FE5">
              <w:rPr>
                <w:rFonts w:ascii="Arial" w:hAnsi="Arial" w:cs="Arial"/>
                <w:sz w:val="20"/>
                <w:szCs w:val="20"/>
              </w:rPr>
              <w:t xml:space="preserve">. Supporting improvements in forecasting and stock management including distribution </w:t>
            </w:r>
            <w:r w:rsidRPr="78AE8092" w:rsidR="24BE2FE5">
              <w:rPr>
                <w:rFonts w:ascii="Arial" w:hAnsi="Arial" w:cs="Arial"/>
                <w:sz w:val="20"/>
                <w:szCs w:val="20"/>
              </w:rPr>
              <w:t>capacity</w:t>
            </w:r>
            <w:r w:rsidRPr="78AE8092" w:rsidR="24BE2FE5">
              <w:rPr>
                <w:rFonts w:ascii="Arial" w:hAnsi="Arial" w:cs="Arial"/>
                <w:sz w:val="20"/>
                <w:szCs w:val="20"/>
              </w:rPr>
              <w:t xml:space="preserve"> for vaccines and devices to improve vaccine availability, especially in the last mile; improving vaccine stock visibility at key immunization supply chain levels and effective planning, </w:t>
            </w:r>
            <w:r w:rsidRPr="78AE8092" w:rsidR="24BE2FE5">
              <w:rPr>
                <w:rFonts w:ascii="Arial" w:hAnsi="Arial" w:cs="Arial"/>
                <w:sz w:val="20"/>
                <w:szCs w:val="20"/>
              </w:rPr>
              <w:t>coordination</w:t>
            </w:r>
            <w:r w:rsidRPr="78AE8092" w:rsidR="24BE2FE5">
              <w:rPr>
                <w:rFonts w:ascii="Arial" w:hAnsi="Arial" w:cs="Arial"/>
                <w:sz w:val="20"/>
                <w:szCs w:val="20"/>
              </w:rPr>
              <w:t xml:space="preserve"> and monitoring of supply chain management at all levels coupled with planning for cold</w:t>
            </w:r>
            <w:r w:rsidRPr="78AE8092" w:rsidR="1EB61FBE">
              <w:rPr>
                <w:rFonts w:ascii="Arial" w:hAnsi="Arial" w:cs="Arial"/>
                <w:sz w:val="20"/>
                <w:szCs w:val="20"/>
              </w:rPr>
              <w:t xml:space="preserve"> </w:t>
            </w:r>
            <w:r w:rsidRPr="78AE8092" w:rsidR="24BE2FE5">
              <w:rPr>
                <w:rFonts w:ascii="Arial" w:hAnsi="Arial" w:cs="Arial"/>
                <w:sz w:val="20"/>
                <w:szCs w:val="20"/>
              </w:rPr>
              <w:t xml:space="preserve">chain expansion will ensure </w:t>
            </w:r>
            <w:r w:rsidRPr="78AE8092" w:rsidR="24BE2FE5">
              <w:rPr>
                <w:rFonts w:ascii="Arial" w:hAnsi="Arial" w:cs="Arial"/>
                <w:sz w:val="20"/>
                <w:szCs w:val="20"/>
              </w:rPr>
              <w:t>uninterrupted</w:t>
            </w:r>
            <w:r w:rsidRPr="78AE8092" w:rsidR="24BE2FE5">
              <w:rPr>
                <w:rFonts w:ascii="Arial" w:hAnsi="Arial" w:cs="Arial"/>
                <w:sz w:val="20"/>
                <w:szCs w:val="20"/>
              </w:rPr>
              <w:t xml:space="preserve"> availability of vaccines to those who need them. </w:t>
            </w:r>
          </w:p>
          <w:p w:rsidRPr="00092DA2" w:rsidR="0027452D" w:rsidP="002A48FE" w:rsidRDefault="000D7A66" w14:paraId="52B5857F" w14:textId="5C4E2561">
            <w:pPr>
              <w:pStyle w:val="Default"/>
              <w:spacing w:after="120"/>
              <w:jc w:val="both"/>
              <w:rPr>
                <w:rFonts w:ascii="Arial" w:hAnsi="Arial" w:cs="Arial"/>
                <w:sz w:val="20"/>
                <w:szCs w:val="20"/>
              </w:rPr>
            </w:pPr>
            <w:r>
              <w:rPr>
                <w:rFonts w:ascii="Arial" w:hAnsi="Arial" w:cs="Arial"/>
                <w:sz w:val="20"/>
                <w:szCs w:val="20"/>
              </w:rPr>
              <w:t xml:space="preserve">The program requires </w:t>
            </w:r>
            <w:r w:rsidRPr="00092DA2" w:rsidR="002D7D14">
              <w:rPr>
                <w:rFonts w:ascii="Arial" w:hAnsi="Arial" w:cs="Arial"/>
                <w:sz w:val="20"/>
                <w:szCs w:val="20"/>
              </w:rPr>
              <w:t xml:space="preserve">effective community engagement to </w:t>
            </w:r>
            <w:r>
              <w:rPr>
                <w:rFonts w:ascii="Arial" w:hAnsi="Arial" w:cs="Arial"/>
                <w:sz w:val="20"/>
                <w:szCs w:val="20"/>
              </w:rPr>
              <w:t xml:space="preserve">ensure communities </w:t>
            </w:r>
            <w:r w:rsidRPr="00092DA2" w:rsidR="002D7D14">
              <w:rPr>
                <w:rFonts w:ascii="Arial" w:hAnsi="Arial" w:cs="Arial"/>
                <w:sz w:val="20"/>
                <w:szCs w:val="20"/>
              </w:rPr>
              <w:t>participate, demand and utilize quality immunization services</w:t>
            </w:r>
            <w:r>
              <w:rPr>
                <w:rFonts w:ascii="Arial" w:hAnsi="Arial" w:cs="Arial"/>
                <w:sz w:val="20"/>
                <w:szCs w:val="20"/>
              </w:rPr>
              <w:t>. This will ensure</w:t>
            </w:r>
            <w:r w:rsidRPr="00092DA2" w:rsidR="002D7D14">
              <w:rPr>
                <w:rFonts w:ascii="Arial" w:hAnsi="Arial" w:cs="Arial"/>
                <w:sz w:val="20"/>
                <w:szCs w:val="20"/>
              </w:rPr>
              <w:t xml:space="preserve"> vaccine acceptance and demand</w:t>
            </w:r>
            <w:r>
              <w:rPr>
                <w:rFonts w:ascii="Arial" w:hAnsi="Arial" w:cs="Arial"/>
                <w:sz w:val="20"/>
                <w:szCs w:val="20"/>
              </w:rPr>
              <w:t xml:space="preserve">. This will be carried </w:t>
            </w:r>
            <w:r w:rsidR="004F167E">
              <w:rPr>
                <w:rFonts w:ascii="Arial" w:hAnsi="Arial" w:cs="Arial"/>
                <w:sz w:val="20"/>
                <w:szCs w:val="20"/>
              </w:rPr>
              <w:t xml:space="preserve">out </w:t>
            </w:r>
            <w:r>
              <w:rPr>
                <w:rFonts w:ascii="Arial" w:hAnsi="Arial" w:cs="Arial"/>
                <w:sz w:val="20"/>
                <w:szCs w:val="20"/>
              </w:rPr>
              <w:t>through the</w:t>
            </w:r>
            <w:r w:rsidRPr="00092DA2" w:rsidR="00112BEC">
              <w:rPr>
                <w:rFonts w:ascii="Arial" w:hAnsi="Arial" w:cs="Arial"/>
                <w:sz w:val="20"/>
                <w:szCs w:val="20"/>
              </w:rPr>
              <w:t xml:space="preserve"> </w:t>
            </w:r>
            <w:r w:rsidRPr="00092DA2" w:rsidR="002D7D14">
              <w:rPr>
                <w:rFonts w:ascii="Arial" w:hAnsi="Arial" w:cs="Arial"/>
                <w:sz w:val="20"/>
                <w:szCs w:val="20"/>
              </w:rPr>
              <w:t>scal</w:t>
            </w:r>
            <w:r w:rsidRPr="00092DA2" w:rsidR="00112BEC">
              <w:rPr>
                <w:rFonts w:ascii="Arial" w:hAnsi="Arial" w:cs="Arial"/>
                <w:sz w:val="20"/>
                <w:szCs w:val="20"/>
              </w:rPr>
              <w:t>ing</w:t>
            </w:r>
            <w:r w:rsidRPr="00092DA2" w:rsidR="002D7D14">
              <w:rPr>
                <w:rFonts w:ascii="Arial" w:hAnsi="Arial" w:cs="Arial"/>
                <w:sz w:val="20"/>
                <w:szCs w:val="20"/>
              </w:rPr>
              <w:t xml:space="preserve"> up </w:t>
            </w:r>
            <w:r w:rsidR="004F167E">
              <w:rPr>
                <w:rFonts w:ascii="Arial" w:hAnsi="Arial" w:cs="Arial"/>
                <w:sz w:val="20"/>
                <w:szCs w:val="20"/>
              </w:rPr>
              <w:t xml:space="preserve">of </w:t>
            </w:r>
            <w:r w:rsidRPr="00092DA2" w:rsidR="002D7D14">
              <w:rPr>
                <w:rFonts w:ascii="Arial" w:hAnsi="Arial" w:cs="Arial"/>
                <w:sz w:val="20"/>
                <w:szCs w:val="20"/>
              </w:rPr>
              <w:t>social and behavioral information systems including social listening and monitoring and evaluation of demand creation activities to inform programming</w:t>
            </w:r>
            <w:r w:rsidRPr="00092DA2" w:rsidR="00112BEC">
              <w:rPr>
                <w:rFonts w:ascii="Arial" w:hAnsi="Arial" w:cs="Arial"/>
                <w:sz w:val="20"/>
                <w:szCs w:val="20"/>
              </w:rPr>
              <w:t xml:space="preserve"> </w:t>
            </w:r>
            <w:r w:rsidR="004F167E">
              <w:rPr>
                <w:rFonts w:ascii="Arial" w:hAnsi="Arial" w:cs="Arial"/>
                <w:sz w:val="20"/>
                <w:szCs w:val="20"/>
              </w:rPr>
              <w:t xml:space="preserve">to </w:t>
            </w:r>
            <w:r w:rsidRPr="00092DA2" w:rsidR="00112BEC">
              <w:rPr>
                <w:rFonts w:ascii="Arial" w:hAnsi="Arial" w:cs="Arial"/>
                <w:sz w:val="20"/>
                <w:szCs w:val="20"/>
              </w:rPr>
              <w:t xml:space="preserve">close the loop </w:t>
            </w:r>
            <w:r w:rsidR="004F167E">
              <w:rPr>
                <w:rFonts w:ascii="Arial" w:hAnsi="Arial" w:cs="Arial"/>
                <w:sz w:val="20"/>
                <w:szCs w:val="20"/>
              </w:rPr>
              <w:t>and</w:t>
            </w:r>
            <w:r w:rsidRPr="00092DA2" w:rsidR="004F167E">
              <w:rPr>
                <w:rFonts w:ascii="Arial" w:hAnsi="Arial" w:cs="Arial"/>
                <w:sz w:val="20"/>
                <w:szCs w:val="20"/>
              </w:rPr>
              <w:t xml:space="preserve"> </w:t>
            </w:r>
            <w:r w:rsidRPr="00092DA2" w:rsidR="00112BEC">
              <w:rPr>
                <w:rFonts w:ascii="Arial" w:hAnsi="Arial" w:cs="Arial"/>
                <w:sz w:val="20"/>
                <w:szCs w:val="20"/>
              </w:rPr>
              <w:t>effectively link vaccine demand to supply.</w:t>
            </w:r>
          </w:p>
          <w:p w:rsidRPr="00092DA2" w:rsidR="00423815" w:rsidP="002A48FE" w:rsidRDefault="00D4221F" w14:paraId="41981F61" w14:textId="267AA6BC">
            <w:pPr>
              <w:pStyle w:val="Default"/>
              <w:spacing w:after="120"/>
              <w:jc w:val="both"/>
              <w:rPr>
                <w:rFonts w:ascii="Arial" w:hAnsi="Arial" w:cs="Arial"/>
                <w:sz w:val="20"/>
                <w:szCs w:val="20"/>
              </w:rPr>
            </w:pPr>
            <w:r w:rsidRPr="78AE8092" w:rsidR="78BDA518">
              <w:rPr>
                <w:rFonts w:ascii="Arial" w:hAnsi="Arial" w:cs="Arial"/>
                <w:sz w:val="20"/>
                <w:szCs w:val="20"/>
              </w:rPr>
              <w:t xml:space="preserve">The country faces challenges with inadequate and unpredictable financing at both national and county level for vaccine procurement and operations, which </w:t>
            </w:r>
            <w:r w:rsidRPr="78AE8092" w:rsidR="6D6A95D0">
              <w:rPr>
                <w:rFonts w:ascii="Arial" w:hAnsi="Arial" w:cs="Arial"/>
                <w:sz w:val="20"/>
                <w:szCs w:val="20"/>
              </w:rPr>
              <w:t>is more concerning</w:t>
            </w:r>
            <w:r w:rsidRPr="78AE8092" w:rsidR="78BDA518">
              <w:rPr>
                <w:rFonts w:ascii="Arial" w:hAnsi="Arial" w:cs="Arial"/>
                <w:sz w:val="20"/>
                <w:szCs w:val="20"/>
              </w:rPr>
              <w:t xml:space="preserve"> as Kenya transit</w:t>
            </w:r>
            <w:r w:rsidRPr="78AE8092" w:rsidR="28064657">
              <w:rPr>
                <w:rFonts w:ascii="Arial" w:hAnsi="Arial" w:cs="Arial"/>
                <w:sz w:val="20"/>
                <w:szCs w:val="20"/>
              </w:rPr>
              <w:t>ion</w:t>
            </w:r>
            <w:r w:rsidRPr="78AE8092" w:rsidR="78BDA518">
              <w:rPr>
                <w:rFonts w:ascii="Arial" w:hAnsi="Arial" w:cs="Arial"/>
                <w:sz w:val="20"/>
                <w:szCs w:val="20"/>
              </w:rPr>
              <w:t>s from G</w:t>
            </w:r>
            <w:r w:rsidRPr="78AE8092" w:rsidR="28064657">
              <w:rPr>
                <w:rFonts w:ascii="Arial" w:hAnsi="Arial" w:cs="Arial"/>
                <w:sz w:val="20"/>
                <w:szCs w:val="20"/>
              </w:rPr>
              <w:t>avi</w:t>
            </w:r>
            <w:r w:rsidRPr="78AE8092" w:rsidR="78BDA518">
              <w:rPr>
                <w:rFonts w:ascii="Arial" w:hAnsi="Arial" w:cs="Arial"/>
                <w:sz w:val="20"/>
                <w:szCs w:val="20"/>
              </w:rPr>
              <w:t xml:space="preserve"> support</w:t>
            </w:r>
            <w:r w:rsidRPr="78AE8092" w:rsidR="6D6A95D0">
              <w:rPr>
                <w:rFonts w:ascii="Arial" w:hAnsi="Arial" w:cs="Arial"/>
                <w:sz w:val="20"/>
                <w:szCs w:val="20"/>
              </w:rPr>
              <w:t>.</w:t>
            </w:r>
            <w:r w:rsidRPr="78AE8092" w:rsidR="4A8F0E1D">
              <w:rPr>
                <w:rFonts w:ascii="Arial" w:hAnsi="Arial" w:cs="Arial"/>
                <w:sz w:val="20"/>
                <w:szCs w:val="20"/>
              </w:rPr>
              <w:t xml:space="preserve"> S</w:t>
            </w:r>
            <w:r w:rsidRPr="78AE8092" w:rsidR="6D6A95D0">
              <w:rPr>
                <w:rFonts w:ascii="Arial" w:hAnsi="Arial" w:cs="Arial"/>
                <w:sz w:val="20"/>
                <w:szCs w:val="20"/>
              </w:rPr>
              <w:t>upport in the coordination of the Kenya Immunization Financing Forums and the development, dissemination, and implementation of costed immunization financial sustainability plans</w:t>
            </w:r>
            <w:r w:rsidRPr="78AE8092" w:rsidR="75228F19">
              <w:rPr>
                <w:rFonts w:ascii="Arial" w:hAnsi="Arial" w:cs="Arial"/>
                <w:sz w:val="20"/>
                <w:szCs w:val="20"/>
              </w:rPr>
              <w:t xml:space="preserve"> with r</w:t>
            </w:r>
            <w:r w:rsidRPr="78AE8092" w:rsidR="6D6A95D0">
              <w:rPr>
                <w:rFonts w:ascii="Arial" w:hAnsi="Arial" w:cs="Arial"/>
                <w:sz w:val="20"/>
                <w:szCs w:val="20"/>
              </w:rPr>
              <w:t xml:space="preserve">egular assessments of the availability of financial resources for immunization and tracking allocations </w:t>
            </w:r>
            <w:r w:rsidRPr="78AE8092" w:rsidR="75228F19">
              <w:rPr>
                <w:rFonts w:ascii="Arial" w:hAnsi="Arial" w:cs="Arial"/>
                <w:sz w:val="20"/>
                <w:szCs w:val="20"/>
              </w:rPr>
              <w:t xml:space="preserve">will </w:t>
            </w:r>
            <w:r w:rsidRPr="78AE8092" w:rsidR="470ABEA0">
              <w:rPr>
                <w:rFonts w:ascii="Arial" w:hAnsi="Arial" w:cs="Arial"/>
                <w:sz w:val="20"/>
                <w:szCs w:val="20"/>
              </w:rPr>
              <w:t xml:space="preserve">therefore </w:t>
            </w:r>
            <w:r w:rsidRPr="78AE8092" w:rsidR="75228F19">
              <w:rPr>
                <w:rFonts w:ascii="Arial" w:hAnsi="Arial" w:cs="Arial"/>
                <w:sz w:val="20"/>
                <w:szCs w:val="20"/>
              </w:rPr>
              <w:t>be critical in guid</w:t>
            </w:r>
            <w:r w:rsidRPr="78AE8092" w:rsidR="4A8F0E1D">
              <w:rPr>
                <w:rFonts w:ascii="Arial" w:hAnsi="Arial" w:cs="Arial"/>
                <w:sz w:val="20"/>
                <w:szCs w:val="20"/>
              </w:rPr>
              <w:t>ing financial sustainability plans.</w:t>
            </w:r>
            <w:r w:rsidRPr="78AE8092" w:rsidR="50FCB63E">
              <w:rPr>
                <w:rFonts w:ascii="Arial" w:hAnsi="Arial" w:cs="Arial"/>
                <w:sz w:val="20"/>
                <w:szCs w:val="20"/>
              </w:rPr>
              <w:t xml:space="preserve"> </w:t>
            </w:r>
            <w:r w:rsidRPr="78AE8092" w:rsidR="6ECD17FD">
              <w:rPr>
                <w:rFonts w:ascii="Arial" w:hAnsi="Arial" w:cs="Arial"/>
                <w:sz w:val="20"/>
                <w:szCs w:val="20"/>
              </w:rPr>
              <w:t>Support</w:t>
            </w:r>
            <w:r w:rsidRPr="78AE8092" w:rsidR="50FCB63E">
              <w:rPr>
                <w:rFonts w:ascii="Arial" w:hAnsi="Arial" w:cs="Arial"/>
                <w:sz w:val="20"/>
                <w:szCs w:val="20"/>
              </w:rPr>
              <w:t>ing</w:t>
            </w:r>
            <w:r w:rsidRPr="78AE8092" w:rsidR="6ECD17FD">
              <w:rPr>
                <w:rFonts w:ascii="Arial" w:hAnsi="Arial" w:cs="Arial"/>
                <w:sz w:val="20"/>
                <w:szCs w:val="20"/>
              </w:rPr>
              <w:t xml:space="preserve"> improvements in the availability and use of timely and accurate vaccine preventable disease surveillance data </w:t>
            </w:r>
            <w:r w:rsidRPr="78AE8092" w:rsidR="50FCB63E">
              <w:rPr>
                <w:rFonts w:ascii="Arial" w:hAnsi="Arial" w:cs="Arial"/>
                <w:sz w:val="20"/>
                <w:szCs w:val="20"/>
              </w:rPr>
              <w:t xml:space="preserve">to guide future </w:t>
            </w:r>
            <w:r w:rsidRPr="78AE8092" w:rsidR="6ECD17FD">
              <w:rPr>
                <w:rFonts w:ascii="Arial" w:hAnsi="Arial" w:cs="Arial"/>
                <w:sz w:val="20"/>
                <w:szCs w:val="20"/>
              </w:rPr>
              <w:t xml:space="preserve">decisions on </w:t>
            </w:r>
            <w:r w:rsidRPr="78AE8092" w:rsidR="28064657">
              <w:rPr>
                <w:rFonts w:ascii="Arial" w:hAnsi="Arial" w:cs="Arial"/>
                <w:sz w:val="20"/>
                <w:szCs w:val="20"/>
              </w:rPr>
              <w:t xml:space="preserve">new </w:t>
            </w:r>
            <w:r w:rsidRPr="78AE8092" w:rsidR="6ECD17FD">
              <w:rPr>
                <w:rFonts w:ascii="Arial" w:hAnsi="Arial" w:cs="Arial"/>
                <w:sz w:val="20"/>
                <w:szCs w:val="20"/>
              </w:rPr>
              <w:t xml:space="preserve">vaccine introduction and preventive campaign targeting, </w:t>
            </w:r>
            <w:r w:rsidRPr="78AE8092" w:rsidR="50FCB63E">
              <w:rPr>
                <w:rFonts w:ascii="Arial" w:hAnsi="Arial" w:cs="Arial"/>
                <w:sz w:val="20"/>
                <w:szCs w:val="20"/>
              </w:rPr>
              <w:t>and to</w:t>
            </w:r>
            <w:r w:rsidRPr="78AE8092" w:rsidR="6ECD17FD">
              <w:rPr>
                <w:rFonts w:ascii="Arial" w:hAnsi="Arial" w:cs="Arial"/>
                <w:sz w:val="20"/>
                <w:szCs w:val="20"/>
              </w:rPr>
              <w:t xml:space="preserve"> improve immunisation programme effectiveness</w:t>
            </w:r>
            <w:r w:rsidRPr="78AE8092" w:rsidR="50FCB63E">
              <w:rPr>
                <w:rFonts w:ascii="Arial" w:hAnsi="Arial" w:cs="Arial"/>
                <w:sz w:val="20"/>
                <w:szCs w:val="20"/>
              </w:rPr>
              <w:t xml:space="preserve"> will further complement this.</w:t>
            </w:r>
          </w:p>
          <w:p w:rsidRPr="00092DA2" w:rsidR="00923523" w:rsidP="002A48FE" w:rsidRDefault="00923523" w14:paraId="35185B97" w14:textId="72A42DD2">
            <w:pPr>
              <w:pStyle w:val="Default"/>
              <w:spacing w:after="120"/>
              <w:jc w:val="both"/>
              <w:rPr>
                <w:rFonts w:ascii="Arial" w:hAnsi="Arial" w:cs="Arial"/>
                <w:sz w:val="20"/>
                <w:szCs w:val="20"/>
              </w:rPr>
            </w:pPr>
            <w:r w:rsidRPr="78AE8092" w:rsidR="78DBDB27">
              <w:rPr>
                <w:rFonts w:ascii="Arial" w:hAnsi="Arial" w:cs="Arial"/>
                <w:sz w:val="20"/>
                <w:szCs w:val="20"/>
              </w:rPr>
              <w:t xml:space="preserve">The TA support will provide </w:t>
            </w:r>
            <w:r w:rsidRPr="78AE8092" w:rsidR="0CB73C68">
              <w:rPr>
                <w:rFonts w:ascii="Arial" w:hAnsi="Arial" w:cs="Arial"/>
                <w:sz w:val="20"/>
                <w:szCs w:val="20"/>
              </w:rPr>
              <w:t>multiyear</w:t>
            </w:r>
            <w:r w:rsidRPr="78AE8092" w:rsidR="0CB73C68">
              <w:rPr>
                <w:rFonts w:ascii="Arial" w:hAnsi="Arial" w:cs="Arial"/>
                <w:sz w:val="20"/>
                <w:szCs w:val="20"/>
              </w:rPr>
              <w:t xml:space="preserve">, </w:t>
            </w:r>
            <w:r w:rsidRPr="78AE8092" w:rsidR="78DBDB27">
              <w:rPr>
                <w:rFonts w:ascii="Arial" w:hAnsi="Arial" w:cs="Arial"/>
                <w:sz w:val="20"/>
                <w:szCs w:val="20"/>
              </w:rPr>
              <w:t>additional</w:t>
            </w:r>
            <w:r w:rsidRPr="78AE8092" w:rsidR="78DBDB27">
              <w:rPr>
                <w:rFonts w:ascii="Arial" w:hAnsi="Arial" w:cs="Arial"/>
                <w:sz w:val="20"/>
                <w:szCs w:val="20"/>
              </w:rPr>
              <w:t xml:space="preserve"> and complementary support to the delivery of key </w:t>
            </w:r>
            <w:proofErr w:type="spellStart"/>
            <w:r w:rsidRPr="78AE8092" w:rsidR="78DBDB27">
              <w:rPr>
                <w:rFonts w:ascii="Arial" w:hAnsi="Arial" w:cs="Arial"/>
                <w:sz w:val="20"/>
                <w:szCs w:val="20"/>
              </w:rPr>
              <w:t>immunisation</w:t>
            </w:r>
            <w:proofErr w:type="spellEnd"/>
            <w:r w:rsidRPr="78AE8092" w:rsidR="78DBDB27">
              <w:rPr>
                <w:rFonts w:ascii="Arial" w:hAnsi="Arial" w:cs="Arial"/>
                <w:sz w:val="20"/>
                <w:szCs w:val="20"/>
              </w:rPr>
              <w:t xml:space="preserve"> activities in the context of integrated primary health care activities and UHC</w:t>
            </w:r>
            <w:r w:rsidRPr="78AE8092" w:rsidR="734A4787">
              <w:rPr>
                <w:rFonts w:ascii="Arial" w:hAnsi="Arial" w:cs="Arial"/>
                <w:sz w:val="20"/>
                <w:szCs w:val="20"/>
              </w:rPr>
              <w:t xml:space="preserve">, bridging gaps in </w:t>
            </w:r>
            <w:r w:rsidRPr="78AE8092" w:rsidR="08C69E59">
              <w:rPr>
                <w:rFonts w:ascii="Arial" w:hAnsi="Arial" w:cs="Arial"/>
                <w:sz w:val="20"/>
                <w:szCs w:val="20"/>
              </w:rPr>
              <w:t xml:space="preserve">specialized </w:t>
            </w:r>
            <w:r w:rsidRPr="78AE8092" w:rsidR="734A4787">
              <w:rPr>
                <w:rFonts w:ascii="Arial" w:hAnsi="Arial" w:cs="Arial"/>
                <w:sz w:val="20"/>
                <w:szCs w:val="20"/>
              </w:rPr>
              <w:t>human re</w:t>
            </w:r>
            <w:r w:rsidRPr="78AE8092" w:rsidR="08C69E59">
              <w:rPr>
                <w:rFonts w:ascii="Arial" w:hAnsi="Arial" w:cs="Arial"/>
                <w:sz w:val="20"/>
                <w:szCs w:val="20"/>
              </w:rPr>
              <w:t>s</w:t>
            </w:r>
            <w:r w:rsidRPr="78AE8092" w:rsidR="734A4787">
              <w:rPr>
                <w:rFonts w:ascii="Arial" w:hAnsi="Arial" w:cs="Arial"/>
                <w:sz w:val="20"/>
                <w:szCs w:val="20"/>
              </w:rPr>
              <w:t xml:space="preserve">ource and </w:t>
            </w:r>
            <w:r w:rsidRPr="78AE8092" w:rsidR="58C9B080">
              <w:rPr>
                <w:rFonts w:ascii="Arial" w:hAnsi="Arial" w:cs="Arial"/>
                <w:sz w:val="20"/>
                <w:szCs w:val="20"/>
              </w:rPr>
              <w:t xml:space="preserve">building the </w:t>
            </w:r>
            <w:r w:rsidRPr="78AE8092" w:rsidR="58C9B080">
              <w:rPr>
                <w:rFonts w:ascii="Arial" w:hAnsi="Arial" w:cs="Arial"/>
                <w:sz w:val="20"/>
                <w:szCs w:val="20"/>
              </w:rPr>
              <w:t>capacity</w:t>
            </w:r>
            <w:r w:rsidRPr="78AE8092" w:rsidR="58C9B080">
              <w:rPr>
                <w:rFonts w:ascii="Arial" w:hAnsi="Arial" w:cs="Arial"/>
                <w:sz w:val="20"/>
                <w:szCs w:val="20"/>
              </w:rPr>
              <w:t xml:space="preserve"> of the program to undertake the activities in a sustainable manner</w:t>
            </w:r>
            <w:r w:rsidRPr="78AE8092" w:rsidR="78DBDB27">
              <w:rPr>
                <w:rFonts w:ascii="Arial" w:hAnsi="Arial" w:cs="Arial"/>
                <w:sz w:val="20"/>
                <w:szCs w:val="20"/>
              </w:rPr>
              <w:t xml:space="preserve">. </w:t>
            </w:r>
            <w:r w:rsidRPr="78AE8092" w:rsidR="4E932C36">
              <w:rPr>
                <w:rFonts w:ascii="Arial" w:hAnsi="Arial" w:cs="Arial"/>
                <w:sz w:val="20"/>
                <w:szCs w:val="20"/>
              </w:rPr>
              <w:t xml:space="preserve">The TA investments will also rely heavily on and leverage on the process and </w:t>
            </w:r>
            <w:r w:rsidRPr="78AE8092" w:rsidR="4E932C36">
              <w:rPr>
                <w:rFonts w:ascii="Arial" w:hAnsi="Arial" w:cs="Arial"/>
                <w:sz w:val="20"/>
                <w:szCs w:val="20"/>
              </w:rPr>
              <w:t>systems that are in place at sub national level such as the county community health networks and strategy, to increase community engagement, and the overall Ministry of health donor transition strategy and plan.</w:t>
            </w:r>
          </w:p>
          <w:p w:rsidRPr="00092DA2" w:rsidR="00923523" w:rsidP="00E43C68" w:rsidRDefault="004F167E" w14:paraId="7D9A0BA9" w14:textId="2D24E07E">
            <w:pPr>
              <w:pStyle w:val="Default"/>
              <w:spacing w:after="120"/>
              <w:jc w:val="both"/>
              <w:rPr>
                <w:rFonts w:ascii="Arial" w:hAnsi="Arial" w:cs="Arial"/>
                <w:color w:val="92D050"/>
                <w:lang w:val="en-GB"/>
              </w:rPr>
            </w:pPr>
            <w:r>
              <w:rPr>
                <w:rFonts w:ascii="Arial" w:hAnsi="Arial" w:cs="Arial"/>
                <w:sz w:val="20"/>
                <w:szCs w:val="20"/>
              </w:rPr>
              <w:t>This</w:t>
            </w:r>
            <w:r w:rsidRPr="00092DA2">
              <w:rPr>
                <w:rFonts w:ascii="Arial" w:hAnsi="Arial" w:cs="Arial"/>
                <w:sz w:val="20"/>
                <w:szCs w:val="20"/>
              </w:rPr>
              <w:t xml:space="preserve"> </w:t>
            </w:r>
            <w:r w:rsidRPr="00092DA2" w:rsidR="00202BB3">
              <w:rPr>
                <w:rFonts w:ascii="Arial" w:hAnsi="Arial" w:cs="Arial"/>
                <w:sz w:val="20"/>
                <w:szCs w:val="20"/>
              </w:rPr>
              <w:t xml:space="preserve">TA </w:t>
            </w:r>
            <w:r w:rsidRPr="00092DA2" w:rsidR="003245A4">
              <w:rPr>
                <w:rFonts w:ascii="Arial" w:hAnsi="Arial" w:cs="Arial"/>
                <w:sz w:val="20"/>
                <w:szCs w:val="20"/>
              </w:rPr>
              <w:t xml:space="preserve">is aligned to and </w:t>
            </w:r>
            <w:r w:rsidRPr="00092DA2" w:rsidR="00202BB3">
              <w:rPr>
                <w:rFonts w:ascii="Arial" w:hAnsi="Arial" w:cs="Arial"/>
                <w:sz w:val="20"/>
                <w:szCs w:val="20"/>
              </w:rPr>
              <w:t xml:space="preserve">will rely heavily on the existing Government </w:t>
            </w:r>
            <w:r w:rsidRPr="00092DA2" w:rsidR="003245A4">
              <w:rPr>
                <w:rFonts w:ascii="Arial" w:hAnsi="Arial" w:cs="Arial"/>
                <w:sz w:val="20"/>
                <w:szCs w:val="20"/>
              </w:rPr>
              <w:t xml:space="preserve">and multilateral donor investments, </w:t>
            </w:r>
            <w:r w:rsidRPr="00092DA2" w:rsidR="00202BB3">
              <w:rPr>
                <w:rFonts w:ascii="Arial" w:hAnsi="Arial" w:cs="Arial"/>
                <w:sz w:val="20"/>
                <w:szCs w:val="20"/>
              </w:rPr>
              <w:t xml:space="preserve">infrastructure and </w:t>
            </w:r>
            <w:r w:rsidRPr="00092DA2" w:rsidR="003245A4">
              <w:rPr>
                <w:rFonts w:ascii="Arial" w:hAnsi="Arial" w:cs="Arial"/>
                <w:sz w:val="20"/>
                <w:szCs w:val="20"/>
              </w:rPr>
              <w:t>h</w:t>
            </w:r>
            <w:r w:rsidRPr="00092DA2" w:rsidR="00202BB3">
              <w:rPr>
                <w:rFonts w:ascii="Arial" w:hAnsi="Arial" w:cs="Arial"/>
                <w:sz w:val="20"/>
                <w:szCs w:val="20"/>
              </w:rPr>
              <w:t xml:space="preserve">uman resources for delivery </w:t>
            </w:r>
            <w:r w:rsidRPr="00092DA2" w:rsidR="003245A4">
              <w:rPr>
                <w:rFonts w:ascii="Arial" w:hAnsi="Arial" w:cs="Arial"/>
                <w:sz w:val="20"/>
                <w:szCs w:val="20"/>
              </w:rPr>
              <w:t xml:space="preserve">eg. </w:t>
            </w:r>
            <w:r w:rsidRPr="00092DA2" w:rsidR="00202BB3">
              <w:rPr>
                <w:rFonts w:ascii="Arial" w:hAnsi="Arial" w:cs="Arial"/>
                <w:sz w:val="20"/>
                <w:szCs w:val="20"/>
              </w:rPr>
              <w:t xml:space="preserve">reporting </w:t>
            </w:r>
            <w:r w:rsidRPr="00092DA2" w:rsidR="003245A4">
              <w:rPr>
                <w:rFonts w:ascii="Arial" w:hAnsi="Arial" w:cs="Arial"/>
                <w:sz w:val="20"/>
                <w:szCs w:val="20"/>
              </w:rPr>
              <w:t xml:space="preserve">systems such as </w:t>
            </w:r>
            <w:r w:rsidRPr="00092DA2" w:rsidR="00147FBE">
              <w:rPr>
                <w:rFonts w:ascii="Arial" w:hAnsi="Arial" w:cs="Arial"/>
                <w:sz w:val="20"/>
                <w:szCs w:val="20"/>
              </w:rPr>
              <w:t>th</w:t>
            </w:r>
            <w:r w:rsidRPr="00092DA2" w:rsidR="00202BB3">
              <w:rPr>
                <w:rFonts w:ascii="Arial" w:hAnsi="Arial" w:cs="Arial"/>
                <w:sz w:val="20"/>
                <w:szCs w:val="20"/>
              </w:rPr>
              <w:t>e DHIS-2</w:t>
            </w:r>
            <w:r w:rsidRPr="00092DA2" w:rsidR="00147FBE">
              <w:rPr>
                <w:rFonts w:ascii="Arial" w:hAnsi="Arial" w:cs="Arial"/>
                <w:sz w:val="20"/>
                <w:szCs w:val="20"/>
              </w:rPr>
              <w:t>, ODK etc</w:t>
            </w:r>
            <w:r w:rsidRPr="00092DA2" w:rsidR="00202BB3">
              <w:rPr>
                <w:rFonts w:ascii="Arial" w:hAnsi="Arial" w:cs="Arial"/>
                <w:sz w:val="20"/>
                <w:szCs w:val="20"/>
              </w:rPr>
              <w:t>.</w:t>
            </w:r>
          </w:p>
        </w:tc>
      </w:tr>
      <w:tr w:rsidR="0071439C" w:rsidTr="78AE8092" w14:paraId="0D9AF231" w14:textId="77777777">
        <w:tc>
          <w:tcPr>
            <w:tcW w:w="9192" w:type="dxa"/>
            <w:tcBorders>
              <w:top w:val="single" w:color="auto" w:sz="4" w:space="0"/>
              <w:bottom w:val="single" w:color="auto" w:sz="4" w:space="0"/>
            </w:tcBorders>
            <w:shd w:val="clear" w:color="auto" w:fill="F2F2F2" w:themeFill="background1" w:themeFillShade="F2"/>
            <w:tcMar/>
          </w:tcPr>
          <w:p w:rsidR="00E165B4" w:rsidP="00CE1F57" w:rsidRDefault="0071439C" w14:paraId="14533925" w14:textId="50C71BD7">
            <w:pPr>
              <w:pStyle w:val="ListParagraph"/>
              <w:numPr>
                <w:ilvl w:val="1"/>
                <w:numId w:val="4"/>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Pr="00393D45" w:rsidR="00393D45">
              <w:rPr>
                <w:b/>
                <w:bCs/>
                <w:i/>
                <w:iCs/>
                <w:sz w:val="20"/>
                <w:szCs w:val="20"/>
              </w:rPr>
              <w:t xml:space="preserve">Gavi's 5.0 mission </w:t>
            </w:r>
            <w:r w:rsidR="00A95F01">
              <w:rPr>
                <w:b/>
                <w:bCs/>
                <w:i/>
                <w:iCs/>
                <w:sz w:val="20"/>
                <w:szCs w:val="20"/>
              </w:rPr>
              <w:t>per the</w:t>
            </w:r>
            <w:r w:rsidRPr="00393D45" w:rsidR="00A95F01">
              <w:rPr>
                <w:b/>
                <w:bCs/>
                <w:i/>
                <w:iCs/>
                <w:sz w:val="20"/>
                <w:szCs w:val="20"/>
              </w:rPr>
              <w:t xml:space="preserve"> country</w:t>
            </w:r>
            <w:r w:rsidR="008447E6">
              <w:rPr>
                <w:b/>
                <w:bCs/>
                <w:i/>
                <w:iCs/>
                <w:sz w:val="20"/>
                <w:szCs w:val="20"/>
              </w:rPr>
              <w:t>'</w:t>
            </w:r>
            <w:r w:rsidRPr="00393D45" w:rsidR="00A95F01">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rsidRPr="00544D9B" w:rsidR="00544D9B" w:rsidP="00CE1F57" w:rsidRDefault="00544D9B" w14:paraId="2112DA8C" w14:textId="427D12AB">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Pr="00393D45" w:rsidR="00393D45">
              <w:rPr>
                <w:b/>
                <w:bCs/>
                <w:i/>
                <w:iCs/>
                <w:sz w:val="20"/>
                <w:szCs w:val="20"/>
              </w:rPr>
              <w:t xml:space="preserve">and reaching zero-dose </w:t>
            </w:r>
            <w:r w:rsidRPr="00CF3BC4" w:rsidR="00A95F01">
              <w:rPr>
                <w:b/>
                <w:bCs/>
                <w:i/>
                <w:iCs/>
                <w:sz w:val="20"/>
                <w:szCs w:val="20"/>
              </w:rPr>
              <w:t xml:space="preserve">and </w:t>
            </w:r>
            <w:r w:rsidRPr="00544D9B">
              <w:rPr>
                <w:b/>
                <w:bCs/>
                <w:i/>
                <w:iCs/>
                <w:sz w:val="20"/>
                <w:szCs w:val="20"/>
              </w:rPr>
              <w:t xml:space="preserve">consistently </w:t>
            </w:r>
            <w:r w:rsidRPr="00CF3BC4" w:rsidR="00A95F01">
              <w:rPr>
                <w:b/>
                <w:bCs/>
                <w:i/>
                <w:iCs/>
                <w:sz w:val="20"/>
                <w:szCs w:val="20"/>
              </w:rPr>
              <w:t xml:space="preserve">missed </w:t>
            </w:r>
            <w:r w:rsidRPr="00544D9B">
              <w:rPr>
                <w:b/>
                <w:bCs/>
                <w:i/>
                <w:iCs/>
                <w:sz w:val="20"/>
                <w:szCs w:val="20"/>
              </w:rPr>
              <w:t xml:space="preserve">children </w:t>
            </w:r>
            <w:r w:rsidR="002C0185">
              <w:rPr>
                <w:b/>
                <w:bCs/>
                <w:i/>
                <w:iCs/>
                <w:sz w:val="20"/>
                <w:szCs w:val="20"/>
              </w:rPr>
              <w:t>and communities</w:t>
            </w:r>
            <w:r w:rsidRPr="00544D9B">
              <w:rPr>
                <w:b/>
                <w:bCs/>
                <w:i/>
                <w:iCs/>
                <w:sz w:val="20"/>
                <w:szCs w:val="20"/>
              </w:rPr>
              <w:t>;</w:t>
            </w:r>
          </w:p>
          <w:p w:rsidRPr="00544D9B" w:rsidR="00544D9B" w:rsidP="00CE1F57" w:rsidRDefault="00544D9B" w14:paraId="6B56EB6C" w14:textId="7777777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stock reporting and vaccine management at sub-national level</w:t>
            </w:r>
            <w:r w:rsidRPr="00544D9B">
              <w:rPr>
                <w:b/>
                <w:bCs/>
                <w:i/>
                <w:iCs/>
                <w:sz w:val="20"/>
                <w:szCs w:val="20"/>
              </w:rPr>
              <w:t>;</w:t>
            </w:r>
          </w:p>
          <w:p w:rsidRPr="00544D9B" w:rsidR="00544D9B" w:rsidP="00CE1F57" w:rsidRDefault="00544D9B" w14:paraId="009281C7" w14:textId="77777777">
            <w:pPr>
              <w:pStyle w:val="ListParagraph"/>
              <w:numPr>
                <w:ilvl w:val="0"/>
                <w:numId w:val="5"/>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including use of data for decision-making;</w:t>
            </w:r>
          </w:p>
          <w:p w:rsidRPr="00532C23" w:rsidR="00532C23" w:rsidP="00CE1F57" w:rsidRDefault="009912B7" w14:paraId="35EE3F38" w14:textId="2426627E">
            <w:pPr>
              <w:pStyle w:val="ListParagraph"/>
              <w:numPr>
                <w:ilvl w:val="0"/>
                <w:numId w:val="5"/>
              </w:numPr>
              <w:spacing w:line="300" w:lineRule="exact"/>
              <w:ind w:left="741"/>
              <w:rPr>
                <w:b/>
                <w:i/>
                <w:sz w:val="20"/>
                <w:szCs w:val="20"/>
              </w:rPr>
            </w:pPr>
            <w:r>
              <w:rPr>
                <w:b/>
                <w:bCs/>
                <w:i/>
                <w:iCs/>
                <w:sz w:val="20"/>
                <w:szCs w:val="20"/>
              </w:rPr>
              <w:t>introduction and scale up of</w:t>
            </w:r>
            <w:r w:rsidRPr="00544D9B">
              <w:rPr>
                <w:b/>
                <w:bCs/>
                <w:i/>
                <w:iCs/>
                <w:sz w:val="20"/>
                <w:szCs w:val="20"/>
              </w:rPr>
              <w:t xml:space="preserve"> </w:t>
            </w:r>
            <w:r w:rsidRPr="00544D9B" w:rsidR="00544D9B">
              <w:rPr>
                <w:b/>
                <w:bCs/>
                <w:i/>
                <w:iCs/>
                <w:sz w:val="20"/>
                <w:szCs w:val="20"/>
              </w:rPr>
              <w:t>vaccine</w:t>
            </w:r>
            <w:r>
              <w:rPr>
                <w:b/>
                <w:bCs/>
                <w:i/>
                <w:iCs/>
                <w:sz w:val="20"/>
                <w:szCs w:val="20"/>
              </w:rPr>
              <w:t>s</w:t>
            </w:r>
            <w:r w:rsidRPr="00544D9B" w:rsidR="00544D9B">
              <w:rPr>
                <w:b/>
                <w:bCs/>
                <w:i/>
                <w:iCs/>
                <w:sz w:val="20"/>
                <w:szCs w:val="20"/>
              </w:rPr>
              <w:t>s</w:t>
            </w:r>
            <w:r w:rsidR="001708D2">
              <w:rPr>
                <w:b/>
                <w:bCs/>
                <w:i/>
                <w:iCs/>
                <w:sz w:val="20"/>
                <w:szCs w:val="20"/>
              </w:rPr>
              <w:t>;</w:t>
            </w:r>
          </w:p>
          <w:p w:rsidRPr="00544D9B" w:rsidR="0071439C" w:rsidP="00CE1F57" w:rsidRDefault="00532C23" w14:paraId="1DC79B3B" w14:textId="2E55360D">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Pr="00544D9B" w:rsidR="00544D9B">
              <w:rPr>
                <w:b/>
                <w:bCs/>
                <w:i/>
                <w:iCs/>
                <w:sz w:val="20"/>
                <w:szCs w:val="20"/>
              </w:rPr>
              <w:t>.</w:t>
            </w:r>
          </w:p>
        </w:tc>
      </w:tr>
      <w:tr w:rsidRPr="006A272B" w:rsidR="0071439C" w:rsidTr="78AE8092" w14:paraId="0A3FAE65" w14:textId="77777777">
        <w:tc>
          <w:tcPr>
            <w:tcW w:w="9192" w:type="dxa"/>
            <w:tcBorders>
              <w:top w:val="single" w:color="auto" w:sz="4" w:space="0"/>
              <w:left w:val="single" w:color="auto" w:sz="4" w:space="0"/>
              <w:bottom w:val="single" w:color="auto" w:sz="4" w:space="0"/>
              <w:right w:val="single" w:color="auto" w:sz="4" w:space="0"/>
            </w:tcBorders>
            <w:tcMar/>
          </w:tcPr>
          <w:p w:rsidRPr="00092DA2" w:rsidR="0071439C" w:rsidP="00D30F94" w:rsidRDefault="009D77CD" w14:paraId="6DA351C1" w14:textId="7AC50FEC">
            <w:pPr>
              <w:pStyle w:val="Default"/>
              <w:spacing w:after="120"/>
              <w:jc w:val="both"/>
              <w:rPr>
                <w:rFonts w:ascii="Arial" w:hAnsi="Arial" w:cs="Arial"/>
                <w:sz w:val="20"/>
                <w:szCs w:val="20"/>
              </w:rPr>
            </w:pPr>
            <w:r w:rsidRPr="00092DA2">
              <w:rPr>
                <w:rFonts w:ascii="Arial" w:hAnsi="Arial" w:cs="Arial"/>
                <w:sz w:val="20"/>
                <w:szCs w:val="20"/>
              </w:rPr>
              <w:t>The TA needs have been identified and developed around seven investment areas, aligned with and building up on the medium term country investments outlined in the Kenya National Vaccine and Immunization Strategic plan 2021-2025</w:t>
            </w:r>
            <w:r w:rsidRPr="00092DA2" w:rsidR="007D3E8C">
              <w:rPr>
                <w:rFonts w:ascii="Arial" w:hAnsi="Arial" w:cs="Arial"/>
                <w:sz w:val="20"/>
                <w:szCs w:val="20"/>
              </w:rPr>
              <w:t>, and incorporating the Gavi 5.0 Mission.</w:t>
            </w:r>
          </w:p>
          <w:p w:rsidRPr="00092DA2" w:rsidR="007D3E8C" w:rsidP="00D30F94" w:rsidRDefault="00170A97" w14:paraId="7C98FD2C" w14:textId="3F80A7EA">
            <w:pPr>
              <w:pStyle w:val="Default"/>
              <w:spacing w:after="120"/>
              <w:jc w:val="both"/>
              <w:rPr>
                <w:rFonts w:ascii="Arial" w:hAnsi="Arial" w:cs="Arial"/>
                <w:sz w:val="20"/>
                <w:szCs w:val="20"/>
              </w:rPr>
            </w:pPr>
            <w:r w:rsidRPr="00092DA2">
              <w:rPr>
                <w:rFonts w:ascii="Arial" w:hAnsi="Arial" w:cs="Arial"/>
                <w:sz w:val="20"/>
                <w:szCs w:val="20"/>
              </w:rPr>
              <w:t xml:space="preserve">The approach to achieving the country coverage and equity targets </w:t>
            </w:r>
            <w:r w:rsidRPr="00092DA2" w:rsidR="008F3612">
              <w:rPr>
                <w:rFonts w:ascii="Arial" w:hAnsi="Arial" w:cs="Arial"/>
                <w:sz w:val="20"/>
                <w:szCs w:val="20"/>
              </w:rPr>
              <w:t xml:space="preserve">is hinged on identifying, mapping and </w:t>
            </w:r>
            <w:r w:rsidRPr="00092DA2" w:rsidR="00BA356C">
              <w:rPr>
                <w:rFonts w:ascii="Arial" w:hAnsi="Arial" w:cs="Arial"/>
                <w:sz w:val="20"/>
                <w:szCs w:val="20"/>
              </w:rPr>
              <w:t>reaching the zero dose communities through reinforcing the p</w:t>
            </w:r>
            <w:r w:rsidR="00AD1142">
              <w:rPr>
                <w:rFonts w:ascii="Arial" w:hAnsi="Arial" w:cs="Arial"/>
                <w:sz w:val="20"/>
                <w:szCs w:val="20"/>
              </w:rPr>
              <w:t>l</w:t>
            </w:r>
            <w:r w:rsidRPr="00092DA2" w:rsidR="00BA356C">
              <w:rPr>
                <w:rFonts w:ascii="Arial" w:hAnsi="Arial" w:cs="Arial"/>
                <w:sz w:val="20"/>
                <w:szCs w:val="20"/>
              </w:rPr>
              <w:t>anning</w:t>
            </w:r>
            <w:r w:rsidRPr="00092DA2" w:rsidR="00D30F94">
              <w:rPr>
                <w:rFonts w:ascii="Arial" w:hAnsi="Arial" w:cs="Arial"/>
                <w:sz w:val="20"/>
                <w:szCs w:val="20"/>
              </w:rPr>
              <w:t xml:space="preserve"> and implementation of </w:t>
            </w:r>
            <w:r w:rsidRPr="00092DA2" w:rsidR="00BA356C">
              <w:rPr>
                <w:rFonts w:ascii="Arial" w:hAnsi="Arial" w:cs="Arial"/>
                <w:sz w:val="20"/>
                <w:szCs w:val="20"/>
              </w:rPr>
              <w:t xml:space="preserve"> effective and efficient integrated immunization service delivery mechanisms, addressing immunization immunization bottlenecks, improving and leveraging private sector and community participation in immunization to reach</w:t>
            </w:r>
            <w:r w:rsidRPr="00092DA2" w:rsidR="00C43D76">
              <w:rPr>
                <w:rFonts w:ascii="Arial" w:hAnsi="Arial" w:cs="Arial"/>
                <w:sz w:val="20"/>
                <w:szCs w:val="20"/>
              </w:rPr>
              <w:t xml:space="preserve"> these communities.</w:t>
            </w:r>
          </w:p>
          <w:p w:rsidRPr="00092DA2" w:rsidR="00C43D76" w:rsidP="00D30F94" w:rsidRDefault="00D45E87" w14:paraId="0D2FA75E" w14:textId="6F95386A">
            <w:pPr>
              <w:pStyle w:val="Default"/>
              <w:spacing w:after="120"/>
              <w:jc w:val="both"/>
              <w:rPr>
                <w:rFonts w:ascii="Arial" w:hAnsi="Arial" w:cs="Arial"/>
                <w:sz w:val="20"/>
                <w:szCs w:val="20"/>
              </w:rPr>
            </w:pPr>
            <w:r w:rsidRPr="00092DA2">
              <w:rPr>
                <w:rFonts w:ascii="Arial" w:hAnsi="Arial" w:cs="Arial"/>
                <w:sz w:val="20"/>
                <w:szCs w:val="20"/>
              </w:rPr>
              <w:t>Imp</w:t>
            </w:r>
            <w:r w:rsidR="000D7A66">
              <w:rPr>
                <w:rFonts w:ascii="Arial" w:hAnsi="Arial" w:cs="Arial"/>
                <w:sz w:val="20"/>
                <w:szCs w:val="20"/>
              </w:rPr>
              <w:t>ro</w:t>
            </w:r>
            <w:r w:rsidRPr="00092DA2">
              <w:rPr>
                <w:rFonts w:ascii="Arial" w:hAnsi="Arial" w:cs="Arial"/>
                <w:sz w:val="20"/>
                <w:szCs w:val="20"/>
              </w:rPr>
              <w:t xml:space="preserve">ved stock reporting and vaccine management including distribution capacity for vaccines and devices to improve vaccine availability, has been prioritized to </w:t>
            </w:r>
            <w:r w:rsidRPr="00092DA2" w:rsidR="00EE1128">
              <w:rPr>
                <w:rFonts w:ascii="Arial" w:hAnsi="Arial" w:cs="Arial"/>
                <w:sz w:val="20"/>
                <w:szCs w:val="20"/>
              </w:rPr>
              <w:t xml:space="preserve">assure uninterrupted vaccine availability </w:t>
            </w:r>
            <w:r w:rsidRPr="00092DA2">
              <w:rPr>
                <w:rFonts w:ascii="Arial" w:hAnsi="Arial" w:cs="Arial"/>
                <w:sz w:val="20"/>
                <w:szCs w:val="20"/>
              </w:rPr>
              <w:t>especially in the last mile</w:t>
            </w:r>
            <w:r w:rsidRPr="00092DA2" w:rsidR="00EE1128">
              <w:rPr>
                <w:rFonts w:ascii="Arial" w:hAnsi="Arial" w:cs="Arial"/>
                <w:sz w:val="20"/>
                <w:szCs w:val="20"/>
              </w:rPr>
              <w:t>.</w:t>
            </w:r>
          </w:p>
          <w:p w:rsidRPr="00092DA2" w:rsidR="00BA0846" w:rsidP="00BA0846" w:rsidRDefault="004C4BD7" w14:paraId="08EF29E5" w14:textId="7500BBE1">
            <w:pPr>
              <w:pStyle w:val="Default"/>
              <w:spacing w:after="120"/>
              <w:jc w:val="both"/>
              <w:rPr>
                <w:rFonts w:ascii="Arial" w:hAnsi="Arial" w:cs="Arial"/>
                <w:sz w:val="20"/>
                <w:szCs w:val="20"/>
              </w:rPr>
            </w:pPr>
            <w:r w:rsidRPr="00092DA2">
              <w:rPr>
                <w:rFonts w:ascii="Arial" w:hAnsi="Arial" w:cs="Arial"/>
                <w:sz w:val="20"/>
                <w:szCs w:val="20"/>
              </w:rPr>
              <w:t>The support in the coordination of the Kenya Immunization Financing Forums</w:t>
            </w:r>
            <w:r w:rsidRPr="00092DA2" w:rsidR="00BA0846">
              <w:rPr>
                <w:rFonts w:ascii="Arial" w:hAnsi="Arial" w:cs="Arial"/>
                <w:sz w:val="20"/>
                <w:szCs w:val="20"/>
              </w:rPr>
              <w:t>;</w:t>
            </w:r>
            <w:r w:rsidRPr="00092DA2">
              <w:rPr>
                <w:rFonts w:ascii="Arial" w:hAnsi="Arial" w:cs="Arial"/>
                <w:sz w:val="20"/>
                <w:szCs w:val="20"/>
              </w:rPr>
              <w:t xml:space="preserve"> the development, dissemination, and implementation of costed immunization financial sustainability</w:t>
            </w:r>
            <w:r w:rsidRPr="00092DA2" w:rsidR="00BA0846">
              <w:rPr>
                <w:rFonts w:ascii="Arial" w:hAnsi="Arial" w:cs="Arial"/>
                <w:sz w:val="20"/>
                <w:szCs w:val="20"/>
              </w:rPr>
              <w:t xml:space="preserve"> plans and strengthening of the capacity of governance/technical bodies for planning, coordination and tracking their progress </w:t>
            </w:r>
            <w:r w:rsidRPr="00092DA2" w:rsidR="009B442F">
              <w:rPr>
                <w:rFonts w:ascii="Arial" w:hAnsi="Arial" w:cs="Arial"/>
                <w:sz w:val="20"/>
                <w:szCs w:val="20"/>
              </w:rPr>
              <w:t xml:space="preserve">and </w:t>
            </w:r>
            <w:r w:rsidRPr="00092DA2" w:rsidR="00BA0846">
              <w:rPr>
                <w:rFonts w:ascii="Arial" w:hAnsi="Arial" w:cs="Arial"/>
                <w:sz w:val="20"/>
                <w:szCs w:val="20"/>
              </w:rPr>
              <w:t xml:space="preserve">strengthening programme performance monitoring and management systems </w:t>
            </w:r>
            <w:r w:rsidRPr="00092DA2" w:rsidR="004854CE">
              <w:rPr>
                <w:rFonts w:ascii="Arial" w:hAnsi="Arial" w:cs="Arial"/>
                <w:sz w:val="20"/>
                <w:szCs w:val="20"/>
              </w:rPr>
              <w:t>advances Gavi</w:t>
            </w:r>
            <w:r w:rsidR="00AD1142">
              <w:rPr>
                <w:rFonts w:ascii="Arial" w:hAnsi="Arial" w:cs="Arial"/>
                <w:sz w:val="20"/>
                <w:szCs w:val="20"/>
              </w:rPr>
              <w:t>s</w:t>
            </w:r>
            <w:r w:rsidRPr="00092DA2" w:rsidR="004854CE">
              <w:rPr>
                <w:rFonts w:ascii="Arial" w:hAnsi="Arial" w:cs="Arial"/>
                <w:sz w:val="20"/>
                <w:szCs w:val="20"/>
              </w:rPr>
              <w:t xml:space="preserve"> mission of enhancing strong leadership, management, coordination and use of data for decision making and programmatic sustainability actions</w:t>
            </w:r>
            <w:r w:rsidRPr="00092DA2" w:rsidR="0098412E">
              <w:rPr>
                <w:rFonts w:ascii="Arial" w:hAnsi="Arial" w:cs="Arial"/>
                <w:sz w:val="20"/>
                <w:szCs w:val="20"/>
              </w:rPr>
              <w:t>.</w:t>
            </w:r>
          </w:p>
          <w:p w:rsidR="00BA356C" w:rsidP="001B4BEF" w:rsidRDefault="0098412E" w14:paraId="4974863E" w14:textId="38349D5A">
            <w:pPr>
              <w:pStyle w:val="Default"/>
              <w:spacing w:after="120"/>
              <w:jc w:val="both"/>
              <w:rPr>
                <w:rFonts w:ascii="Arial" w:hAnsi="Arial" w:cs="Arial"/>
                <w:sz w:val="20"/>
                <w:szCs w:val="20"/>
              </w:rPr>
            </w:pPr>
            <w:r w:rsidRPr="00092DA2">
              <w:rPr>
                <w:rFonts w:ascii="Arial" w:hAnsi="Arial" w:cs="Arial"/>
                <w:sz w:val="20"/>
                <w:szCs w:val="20"/>
              </w:rPr>
              <w:t xml:space="preserve">The TA also proposes to support evidence </w:t>
            </w:r>
            <w:r w:rsidRPr="00092DA2" w:rsidR="006C459B">
              <w:rPr>
                <w:rFonts w:ascii="Arial" w:hAnsi="Arial" w:cs="Arial"/>
                <w:sz w:val="20"/>
                <w:szCs w:val="20"/>
              </w:rPr>
              <w:t xml:space="preserve">driven new vaccine introductions, preventive campaigns and vaccines deployment for </w:t>
            </w:r>
            <w:r w:rsidRPr="00092DA2" w:rsidR="00362B13">
              <w:rPr>
                <w:rFonts w:ascii="Arial" w:hAnsi="Arial" w:cs="Arial"/>
                <w:sz w:val="20"/>
                <w:szCs w:val="20"/>
              </w:rPr>
              <w:t>outbreak response (IPV2, TCV, Mena A, Malaria, Cholera</w:t>
            </w:r>
            <w:r w:rsidRPr="00092DA2" w:rsidR="001B4BEF">
              <w:rPr>
                <w:rFonts w:ascii="Arial" w:hAnsi="Arial" w:cs="Arial"/>
                <w:sz w:val="20"/>
                <w:szCs w:val="20"/>
              </w:rPr>
              <w:t xml:space="preserve">, </w:t>
            </w:r>
            <w:r w:rsidRPr="00092DA2" w:rsidR="00362B13">
              <w:rPr>
                <w:rFonts w:ascii="Arial" w:hAnsi="Arial" w:cs="Arial"/>
                <w:sz w:val="20"/>
                <w:szCs w:val="20"/>
              </w:rPr>
              <w:t>COVID-19, Measles Rubella, Yellow Fever, Polio)</w:t>
            </w:r>
          </w:p>
          <w:p w:rsidRPr="001B4BEF" w:rsidR="000D7A66" w:rsidP="00AD1142" w:rsidRDefault="000D7A66" w14:paraId="0C49E76B" w14:textId="3E62163F">
            <w:pPr>
              <w:pStyle w:val="Default"/>
              <w:spacing w:after="120"/>
              <w:jc w:val="both"/>
              <w:rPr>
                <w:rFonts w:asciiTheme="minorHAnsi" w:hAnsiTheme="minorHAnsi" w:cstheme="minorHAnsi"/>
                <w:sz w:val="20"/>
                <w:szCs w:val="20"/>
              </w:rPr>
            </w:pPr>
            <w:r w:rsidRPr="00EB6D78">
              <w:rPr>
                <w:rFonts w:ascii="Arial" w:hAnsi="Arial" w:cs="Arial"/>
                <w:sz w:val="20"/>
                <w:szCs w:val="20"/>
              </w:rPr>
              <w:t>The intervention</w:t>
            </w:r>
            <w:r w:rsidRPr="00EB6D78" w:rsidR="004560EB">
              <w:rPr>
                <w:rFonts w:ascii="Arial" w:hAnsi="Arial" w:cs="Arial"/>
                <w:sz w:val="20"/>
                <w:szCs w:val="20"/>
              </w:rPr>
              <w:t xml:space="preserve"> targeted in the</w:t>
            </w:r>
            <w:r w:rsidRPr="00EB6D78" w:rsidR="00EB6D78">
              <w:rPr>
                <w:rFonts w:ascii="Arial" w:hAnsi="Arial" w:cs="Arial"/>
                <w:sz w:val="20"/>
                <w:szCs w:val="20"/>
              </w:rPr>
              <w:t xml:space="preserve"> TA will also leverage of</w:t>
            </w:r>
            <w:r w:rsidR="00AD1142">
              <w:rPr>
                <w:rFonts w:ascii="Arial" w:hAnsi="Arial" w:cs="Arial"/>
                <w:sz w:val="20"/>
                <w:szCs w:val="20"/>
              </w:rPr>
              <w:t>f of</w:t>
            </w:r>
            <w:r w:rsidRPr="00EB6D78" w:rsidR="00EB6D78">
              <w:rPr>
                <w:rFonts w:ascii="Arial" w:hAnsi="Arial" w:cs="Arial"/>
                <w:sz w:val="20"/>
                <w:szCs w:val="20"/>
              </w:rPr>
              <w:t xml:space="preserve"> each other to ensure cross cutting approaches and integration of activ</w:t>
            </w:r>
            <w:r w:rsidR="00AD1142">
              <w:rPr>
                <w:rFonts w:ascii="Arial" w:hAnsi="Arial" w:cs="Arial"/>
                <w:sz w:val="20"/>
                <w:szCs w:val="20"/>
              </w:rPr>
              <w:t>iti</w:t>
            </w:r>
            <w:r w:rsidRPr="00EB6D78" w:rsidR="00EB6D78">
              <w:rPr>
                <w:rFonts w:ascii="Arial" w:hAnsi="Arial" w:cs="Arial"/>
                <w:sz w:val="20"/>
                <w:szCs w:val="20"/>
              </w:rPr>
              <w:t>es that infuse Gavi 5.0 mission into each activity. For example, as we improve the ide</w:t>
            </w:r>
            <w:r w:rsidR="00AD1142">
              <w:rPr>
                <w:rFonts w:ascii="Arial" w:hAnsi="Arial" w:cs="Arial"/>
                <w:sz w:val="20"/>
                <w:szCs w:val="20"/>
              </w:rPr>
              <w:t>n</w:t>
            </w:r>
            <w:r w:rsidRPr="00EB6D78" w:rsidR="00EB6D78">
              <w:rPr>
                <w:rFonts w:ascii="Arial" w:hAnsi="Arial" w:cs="Arial"/>
                <w:sz w:val="20"/>
                <w:szCs w:val="20"/>
              </w:rPr>
              <w:t>tification, mapping and reaching zero dose communities these activities will leverage on existing infrastructure and approaches while ensuring strong Government leadership and the plans that are sustainable and scalable.</w:t>
            </w:r>
            <w:r w:rsidR="00EB6D78">
              <w:rPr>
                <w:rFonts w:asciiTheme="minorHAnsi" w:hAnsiTheme="minorHAnsi" w:cstheme="minorHAnsi"/>
                <w:sz w:val="20"/>
                <w:szCs w:val="20"/>
              </w:rPr>
              <w:t xml:space="preserve"> </w:t>
            </w:r>
          </w:p>
        </w:tc>
      </w:tr>
      <w:tr w:rsidR="002E0882" w:rsidTr="78AE8092" w14:paraId="733DCE72" w14:textId="77777777">
        <w:tc>
          <w:tcPr>
            <w:tcW w:w="9192" w:type="dxa"/>
            <w:tcBorders>
              <w:top w:val="single" w:color="auto" w:sz="4" w:space="0"/>
              <w:bottom w:val="single" w:color="auto" w:sz="4" w:space="0"/>
            </w:tcBorders>
            <w:shd w:val="clear" w:color="auto" w:fill="F2F2F2" w:themeFill="background1" w:themeFillShade="F2"/>
            <w:tcMar/>
          </w:tcPr>
          <w:p w:rsidRPr="00CF3BC4" w:rsidR="002E0882" w:rsidP="007B53D1" w:rsidRDefault="002E0882" w14:paraId="39970F96" w14:textId="5B7ADA76">
            <w:pPr>
              <w:pStyle w:val="ListParagraph"/>
              <w:spacing w:line="300" w:lineRule="exact"/>
              <w:ind w:left="0"/>
              <w:rPr>
                <w:b/>
                <w:bCs/>
                <w:i/>
                <w:iCs/>
                <w:color w:val="000000" w:themeColor="text1"/>
                <w:sz w:val="20"/>
                <w:szCs w:val="20"/>
              </w:rPr>
            </w:pPr>
            <w:r>
              <w:rPr>
                <w:b/>
                <w:bCs/>
                <w:i/>
                <w:iCs/>
                <w:sz w:val="20"/>
                <w:szCs w:val="20"/>
              </w:rPr>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Pr="006A272B" w:rsidR="002E0882" w:rsidTr="78AE8092" w14:paraId="3B0C1B4D" w14:textId="77777777">
        <w:tc>
          <w:tcPr>
            <w:tcW w:w="9192" w:type="dxa"/>
            <w:tcBorders>
              <w:top w:val="single" w:color="auto" w:sz="4" w:space="0"/>
              <w:left w:val="single" w:color="auto" w:sz="4" w:space="0"/>
              <w:bottom w:val="single" w:color="auto" w:sz="4" w:space="0"/>
              <w:right w:val="single" w:color="auto" w:sz="4" w:space="0"/>
            </w:tcBorders>
            <w:tcMar/>
          </w:tcPr>
          <w:p w:rsidRPr="00092DA2" w:rsidR="001E503B" w:rsidP="008E5289" w:rsidRDefault="001E503B" w14:paraId="5E95EBC2" w14:textId="2FA829A5">
            <w:pPr>
              <w:pStyle w:val="Default"/>
              <w:spacing w:after="120"/>
              <w:jc w:val="both"/>
              <w:rPr>
                <w:rFonts w:ascii="Arial" w:hAnsi="Arial" w:cs="Arial"/>
                <w:sz w:val="20"/>
                <w:szCs w:val="20"/>
              </w:rPr>
            </w:pPr>
            <w:r w:rsidRPr="00092DA2">
              <w:rPr>
                <w:rFonts w:ascii="Arial" w:hAnsi="Arial" w:cs="Arial"/>
                <w:sz w:val="20"/>
                <w:szCs w:val="20"/>
              </w:rPr>
              <w:t>Four new vaccine introductions are planned: IPV2, TCV, Mena A and Malaria</w:t>
            </w:r>
            <w:r w:rsidRPr="00092DA2" w:rsidR="00AC69FA">
              <w:rPr>
                <w:rFonts w:ascii="Arial" w:hAnsi="Arial" w:cs="Arial"/>
                <w:sz w:val="20"/>
                <w:szCs w:val="20"/>
              </w:rPr>
              <w:t xml:space="preserve">, and </w:t>
            </w:r>
            <w:r w:rsidRPr="00092DA2" w:rsidR="00715765">
              <w:rPr>
                <w:rFonts w:ascii="Arial" w:hAnsi="Arial" w:cs="Arial"/>
                <w:sz w:val="20"/>
                <w:szCs w:val="20"/>
              </w:rPr>
              <w:t xml:space="preserve">several </w:t>
            </w:r>
            <w:r w:rsidRPr="00092DA2" w:rsidR="00AC69FA">
              <w:rPr>
                <w:rFonts w:ascii="Arial" w:hAnsi="Arial" w:cs="Arial"/>
                <w:sz w:val="20"/>
                <w:szCs w:val="20"/>
              </w:rPr>
              <w:t>Preventive campaigns envisaged</w:t>
            </w:r>
            <w:r w:rsidRPr="00092DA2" w:rsidR="00715765">
              <w:rPr>
                <w:rFonts w:ascii="Arial" w:hAnsi="Arial" w:cs="Arial"/>
                <w:sz w:val="20"/>
                <w:szCs w:val="20"/>
              </w:rPr>
              <w:t>: Measles Rubella, Yellow Fever, Polio</w:t>
            </w:r>
          </w:p>
          <w:p w:rsidRPr="00092DA2" w:rsidR="008E5289" w:rsidP="008E5289" w:rsidRDefault="001E503B" w14:paraId="26EA1321" w14:textId="3E3878A5">
            <w:pPr>
              <w:pStyle w:val="Default"/>
              <w:spacing w:after="120"/>
              <w:jc w:val="both"/>
              <w:rPr>
                <w:rFonts w:ascii="Arial" w:hAnsi="Arial" w:cs="Arial"/>
                <w:sz w:val="20"/>
                <w:szCs w:val="20"/>
              </w:rPr>
            </w:pPr>
            <w:r w:rsidRPr="00092DA2">
              <w:rPr>
                <w:rFonts w:ascii="Arial" w:hAnsi="Arial" w:cs="Arial"/>
                <w:sz w:val="20"/>
                <w:szCs w:val="20"/>
              </w:rPr>
              <w:t>The new vaccines introductions with provide for a for multistakeholder</w:t>
            </w:r>
            <w:r w:rsidRPr="00092DA2" w:rsidR="000F28C0">
              <w:rPr>
                <w:rFonts w:ascii="Arial" w:hAnsi="Arial" w:cs="Arial"/>
                <w:sz w:val="20"/>
                <w:szCs w:val="20"/>
              </w:rPr>
              <w:t>, providing visibility for the immunization program</w:t>
            </w:r>
            <w:r w:rsidRPr="00092DA2">
              <w:rPr>
                <w:rFonts w:ascii="Arial" w:hAnsi="Arial" w:cs="Arial"/>
                <w:sz w:val="20"/>
                <w:szCs w:val="20"/>
              </w:rPr>
              <w:t xml:space="preserve"> </w:t>
            </w:r>
            <w:r w:rsidRPr="00092DA2" w:rsidR="00E31268">
              <w:rPr>
                <w:rFonts w:ascii="Arial" w:hAnsi="Arial" w:cs="Arial"/>
                <w:sz w:val="20"/>
                <w:szCs w:val="20"/>
              </w:rPr>
              <w:t xml:space="preserve">and community </w:t>
            </w:r>
            <w:r w:rsidRPr="00092DA2">
              <w:rPr>
                <w:rFonts w:ascii="Arial" w:hAnsi="Arial" w:cs="Arial"/>
                <w:sz w:val="20"/>
                <w:szCs w:val="20"/>
              </w:rPr>
              <w:t>engagement</w:t>
            </w:r>
            <w:r w:rsidRPr="00092DA2" w:rsidR="00E31268">
              <w:rPr>
                <w:rFonts w:ascii="Arial" w:hAnsi="Arial" w:cs="Arial"/>
                <w:sz w:val="20"/>
                <w:szCs w:val="20"/>
              </w:rPr>
              <w:t xml:space="preserve"> and mobilization, mapping and </w:t>
            </w:r>
            <w:r w:rsidRPr="00092DA2" w:rsidR="008E5289">
              <w:rPr>
                <w:rFonts w:ascii="Arial" w:hAnsi="Arial" w:cs="Arial"/>
                <w:sz w:val="20"/>
                <w:szCs w:val="20"/>
              </w:rPr>
              <w:t xml:space="preserve">microplanning for the target groups which will be leveraged for </w:t>
            </w:r>
            <w:r w:rsidRPr="00092DA2" w:rsidR="00F20F1A">
              <w:rPr>
                <w:rFonts w:ascii="Arial" w:hAnsi="Arial" w:cs="Arial"/>
                <w:sz w:val="20"/>
                <w:szCs w:val="20"/>
              </w:rPr>
              <w:t xml:space="preserve">reaching </w:t>
            </w:r>
            <w:r w:rsidRPr="00092DA2" w:rsidR="008E5289">
              <w:rPr>
                <w:rFonts w:ascii="Arial" w:hAnsi="Arial" w:cs="Arial"/>
                <w:sz w:val="20"/>
                <w:szCs w:val="20"/>
              </w:rPr>
              <w:t>zero-dose and consistently missed children and communities</w:t>
            </w:r>
            <w:r w:rsidRPr="00092DA2" w:rsidR="00F20F1A">
              <w:rPr>
                <w:rFonts w:ascii="Arial" w:hAnsi="Arial" w:cs="Arial"/>
                <w:sz w:val="20"/>
                <w:szCs w:val="20"/>
              </w:rPr>
              <w:t>.</w:t>
            </w:r>
          </w:p>
          <w:p w:rsidR="00AC69FA" w:rsidP="008E5289" w:rsidRDefault="00F20F1A" w14:paraId="53B550DF" w14:textId="7435CC43">
            <w:pPr>
              <w:pStyle w:val="Default"/>
              <w:spacing w:after="120"/>
              <w:jc w:val="both"/>
              <w:rPr>
                <w:rFonts w:ascii="Arial" w:hAnsi="Arial" w:cs="Arial"/>
                <w:sz w:val="20"/>
                <w:szCs w:val="20"/>
              </w:rPr>
            </w:pPr>
            <w:r w:rsidRPr="00092DA2">
              <w:rPr>
                <w:rFonts w:ascii="Arial" w:hAnsi="Arial" w:cs="Arial"/>
                <w:sz w:val="20"/>
                <w:szCs w:val="20"/>
              </w:rPr>
              <w:lastRenderedPageBreak/>
              <w:t>The new vaccine introduction</w:t>
            </w:r>
            <w:r w:rsidRPr="00092DA2" w:rsidR="00715765">
              <w:rPr>
                <w:rFonts w:ascii="Arial" w:hAnsi="Arial" w:cs="Arial"/>
                <w:sz w:val="20"/>
                <w:szCs w:val="20"/>
              </w:rPr>
              <w:t>s and campaigns</w:t>
            </w:r>
            <w:r w:rsidRPr="00092DA2">
              <w:rPr>
                <w:rFonts w:ascii="Arial" w:hAnsi="Arial" w:cs="Arial"/>
                <w:sz w:val="20"/>
                <w:szCs w:val="20"/>
              </w:rPr>
              <w:t xml:space="preserve"> will provide an opportunity to revamp the </w:t>
            </w:r>
            <w:r w:rsidRPr="00092DA2" w:rsidR="00BF7A71">
              <w:rPr>
                <w:rFonts w:ascii="Arial" w:hAnsi="Arial" w:cs="Arial"/>
                <w:sz w:val="20"/>
                <w:szCs w:val="20"/>
              </w:rPr>
              <w:t xml:space="preserve">leadership, management and coordination frameworks and capacity build healthworkers </w:t>
            </w:r>
            <w:r w:rsidRPr="00092DA2" w:rsidR="00B112A5">
              <w:rPr>
                <w:rFonts w:ascii="Arial" w:hAnsi="Arial" w:cs="Arial"/>
                <w:sz w:val="20"/>
                <w:szCs w:val="20"/>
              </w:rPr>
              <w:t xml:space="preserve">to bridge immunization gaps, including stock </w:t>
            </w:r>
            <w:r w:rsidRPr="00092DA2" w:rsidR="00880E4B">
              <w:rPr>
                <w:rFonts w:ascii="Arial" w:hAnsi="Arial" w:cs="Arial"/>
                <w:sz w:val="20"/>
                <w:szCs w:val="20"/>
              </w:rPr>
              <w:t xml:space="preserve">and vaccine management at all levels. New and updated tools </w:t>
            </w:r>
            <w:r w:rsidRPr="00092DA2" w:rsidR="00C6740F">
              <w:rPr>
                <w:rFonts w:ascii="Arial" w:hAnsi="Arial" w:cs="Arial"/>
                <w:sz w:val="20"/>
                <w:szCs w:val="20"/>
              </w:rPr>
              <w:t xml:space="preserve">incorporating the new vaccines and updated in line with </w:t>
            </w:r>
            <w:r w:rsidRPr="00092DA2" w:rsidR="00B71A0C">
              <w:rPr>
                <w:rFonts w:ascii="Arial" w:hAnsi="Arial" w:cs="Arial"/>
                <w:sz w:val="20"/>
                <w:szCs w:val="20"/>
              </w:rPr>
              <w:t>data quality improvement plan recommendations will be rolled out.</w:t>
            </w:r>
          </w:p>
          <w:p w:rsidRPr="00092DA2" w:rsidR="00EB6D78" w:rsidP="008E5289" w:rsidRDefault="00EB6D78" w14:paraId="4EEA2B30" w14:textId="38DBE5A3">
            <w:pPr>
              <w:pStyle w:val="Default"/>
              <w:spacing w:after="120"/>
              <w:jc w:val="both"/>
              <w:rPr>
                <w:rFonts w:ascii="Arial" w:hAnsi="Arial" w:cs="Arial"/>
                <w:sz w:val="20"/>
                <w:szCs w:val="20"/>
              </w:rPr>
            </w:pPr>
            <w:r>
              <w:rPr>
                <w:rFonts w:ascii="Arial" w:hAnsi="Arial" w:cs="Arial"/>
                <w:sz w:val="20"/>
                <w:szCs w:val="20"/>
              </w:rPr>
              <w:t>The new vaccines introductions and campaigns will also be supported through existing infrastructure and resources</w:t>
            </w:r>
            <w:r w:rsidR="00A36324">
              <w:rPr>
                <w:rFonts w:ascii="Arial" w:hAnsi="Arial" w:cs="Arial"/>
                <w:sz w:val="20"/>
                <w:szCs w:val="20"/>
              </w:rPr>
              <w:t xml:space="preserve"> and the TA support will leverages of the different activities carried out through the different activities and approaches being carried out in the program.</w:t>
            </w:r>
          </w:p>
          <w:p w:rsidRPr="00092DA2" w:rsidR="001E503B" w:rsidP="00B97138" w:rsidRDefault="00FA1FA0" w14:paraId="2525ED44" w14:textId="1AF8280A">
            <w:pPr>
              <w:pStyle w:val="Default"/>
              <w:spacing w:after="120"/>
              <w:jc w:val="both"/>
              <w:rPr>
                <w:rFonts w:ascii="Arial" w:hAnsi="Arial" w:cs="Arial"/>
                <w:lang w:val="en-GB"/>
              </w:rPr>
            </w:pPr>
            <w:r w:rsidRPr="00092DA2">
              <w:rPr>
                <w:rFonts w:ascii="Arial" w:hAnsi="Arial" w:cs="Arial"/>
                <w:sz w:val="20"/>
                <w:szCs w:val="20"/>
              </w:rPr>
              <w:t xml:space="preserve">Documentation of new vaccine post introduction evaluations and campaign endprocess monitoring will provide invaluable lessons </w:t>
            </w:r>
            <w:r w:rsidRPr="00092DA2" w:rsidR="00586137">
              <w:rPr>
                <w:rFonts w:ascii="Arial" w:hAnsi="Arial" w:cs="Arial"/>
                <w:sz w:val="20"/>
                <w:szCs w:val="20"/>
              </w:rPr>
              <w:t xml:space="preserve">for future vaccine introductions and allow programmatic modifications for </w:t>
            </w:r>
            <w:r w:rsidRPr="00092DA2" w:rsidR="00B97138">
              <w:rPr>
                <w:rFonts w:ascii="Arial" w:hAnsi="Arial" w:cs="Arial"/>
                <w:sz w:val="20"/>
                <w:szCs w:val="20"/>
              </w:rPr>
              <w:t xml:space="preserve">effectiveness and </w:t>
            </w:r>
            <w:r w:rsidRPr="00092DA2" w:rsidR="00586137">
              <w:rPr>
                <w:rFonts w:ascii="Arial" w:hAnsi="Arial" w:cs="Arial"/>
                <w:sz w:val="20"/>
                <w:szCs w:val="20"/>
              </w:rPr>
              <w:t>efficiency</w:t>
            </w:r>
            <w:r w:rsidRPr="00092DA2" w:rsidR="00B97138">
              <w:rPr>
                <w:rFonts w:ascii="Arial" w:hAnsi="Arial" w:cs="Arial"/>
                <w:sz w:val="20"/>
                <w:szCs w:val="20"/>
              </w:rPr>
              <w:t>.</w:t>
            </w:r>
          </w:p>
        </w:tc>
      </w:tr>
      <w:tr w:rsidR="00D353AF" w:rsidTr="78AE8092" w14:paraId="124CC764" w14:textId="77777777">
        <w:tc>
          <w:tcPr>
            <w:tcW w:w="9192" w:type="dxa"/>
            <w:tcBorders>
              <w:top w:val="single" w:color="auto" w:sz="4" w:space="0"/>
              <w:bottom w:val="single" w:color="auto" w:sz="4" w:space="0"/>
            </w:tcBorders>
            <w:shd w:val="clear" w:color="auto" w:fill="F2F2F2" w:themeFill="background1" w:themeFillShade="F2"/>
            <w:tcMar/>
          </w:tcPr>
          <w:p w:rsidR="00D353AF" w:rsidP="007B53D1" w:rsidRDefault="00D353AF" w14:paraId="374B434F" w14:textId="56886AD9">
            <w:pPr>
              <w:spacing w:line="300" w:lineRule="exact"/>
              <w:rPr>
                <w:b/>
                <w:i/>
                <w:iCs/>
                <w:color w:val="000000" w:themeColor="text1"/>
                <w:sz w:val="20"/>
                <w:szCs w:val="20"/>
                <w:lang w:val="en-GB"/>
              </w:rPr>
            </w:pPr>
            <w:r>
              <w:rPr>
                <w:b/>
                <w:i/>
                <w:iCs/>
                <w:color w:val="000000" w:themeColor="text1"/>
                <w:sz w:val="20"/>
                <w:szCs w:val="20"/>
                <w:lang w:val="en-GB"/>
              </w:rPr>
              <w:lastRenderedPageBreak/>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rsidRPr="0041751A" w:rsidR="00D353AF" w:rsidP="007B53D1" w:rsidRDefault="00D353AF" w14:paraId="5D61F6FA" w14:textId="77777777">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rsidTr="78AE8092" w14:paraId="14D7F47D" w14:textId="77777777">
        <w:tc>
          <w:tcPr>
            <w:tcW w:w="9192" w:type="dxa"/>
            <w:tcBorders>
              <w:top w:val="single" w:color="auto" w:sz="4" w:space="0"/>
              <w:left w:val="single" w:color="auto" w:sz="4" w:space="0"/>
              <w:bottom w:val="single" w:color="auto" w:sz="4" w:space="0"/>
              <w:right w:val="single" w:color="auto" w:sz="4" w:space="0"/>
            </w:tcBorders>
            <w:tcMar/>
          </w:tcPr>
          <w:p w:rsidRPr="00092DA2" w:rsidR="00E35915" w:rsidP="00EC2AF1" w:rsidRDefault="00CD703D" w14:paraId="648DDA0B" w14:textId="641A01DF">
            <w:pPr>
              <w:pStyle w:val="Default"/>
              <w:spacing w:after="120"/>
              <w:jc w:val="both"/>
              <w:rPr>
                <w:rFonts w:ascii="Arial" w:hAnsi="Arial" w:cs="Arial"/>
                <w:sz w:val="20"/>
                <w:szCs w:val="20"/>
              </w:rPr>
            </w:pPr>
            <w:r w:rsidRPr="00092DA2">
              <w:rPr>
                <w:rFonts w:ascii="Arial" w:hAnsi="Arial" w:cs="Arial"/>
                <w:sz w:val="20"/>
                <w:szCs w:val="20"/>
              </w:rPr>
              <w:t>The TA is hinged</w:t>
            </w:r>
            <w:r w:rsidR="00090087">
              <w:rPr>
                <w:rFonts w:ascii="Arial" w:hAnsi="Arial" w:cs="Arial"/>
                <w:sz w:val="20"/>
                <w:szCs w:val="20"/>
              </w:rPr>
              <w:t xml:space="preserve"> and focused</w:t>
            </w:r>
            <w:r w:rsidRPr="00092DA2">
              <w:rPr>
                <w:rFonts w:ascii="Arial" w:hAnsi="Arial" w:cs="Arial"/>
                <w:sz w:val="20"/>
                <w:szCs w:val="20"/>
              </w:rPr>
              <w:t xml:space="preserve"> on re</w:t>
            </w:r>
            <w:r w:rsidR="00D94D4B">
              <w:rPr>
                <w:rFonts w:ascii="Arial" w:hAnsi="Arial" w:cs="Arial"/>
                <w:sz w:val="20"/>
                <w:szCs w:val="20"/>
              </w:rPr>
              <w:t>-e</w:t>
            </w:r>
            <w:r w:rsidRPr="00092DA2">
              <w:rPr>
                <w:rFonts w:ascii="Arial" w:hAnsi="Arial" w:cs="Arial"/>
                <w:sz w:val="20"/>
                <w:szCs w:val="20"/>
              </w:rPr>
              <w:t>stablishing</w:t>
            </w:r>
            <w:r w:rsidRPr="00092DA2" w:rsidR="00B962AD">
              <w:rPr>
                <w:rFonts w:ascii="Arial" w:hAnsi="Arial" w:cs="Arial"/>
                <w:sz w:val="20"/>
                <w:szCs w:val="20"/>
              </w:rPr>
              <w:t xml:space="preserve"> and </w:t>
            </w:r>
            <w:r w:rsidRPr="00092DA2">
              <w:rPr>
                <w:rFonts w:ascii="Arial" w:hAnsi="Arial" w:cs="Arial"/>
                <w:sz w:val="20"/>
                <w:szCs w:val="20"/>
              </w:rPr>
              <w:t>strengthening</w:t>
            </w:r>
            <w:r w:rsidRPr="00092DA2" w:rsidR="00B962AD">
              <w:rPr>
                <w:rFonts w:ascii="Arial" w:hAnsi="Arial" w:cs="Arial"/>
                <w:sz w:val="20"/>
                <w:szCs w:val="20"/>
              </w:rPr>
              <w:t xml:space="preserve"> routine immunization</w:t>
            </w:r>
            <w:r w:rsidRPr="00092DA2" w:rsidR="00E35915">
              <w:rPr>
                <w:rFonts w:ascii="Arial" w:hAnsi="Arial" w:cs="Arial"/>
                <w:sz w:val="20"/>
                <w:szCs w:val="20"/>
              </w:rPr>
              <w:t>.</w:t>
            </w:r>
          </w:p>
          <w:p w:rsidRPr="00092DA2" w:rsidR="00E35915" w:rsidP="00EC2AF1" w:rsidRDefault="00E35915" w14:paraId="13BE0E04" w14:textId="53FC317F">
            <w:pPr>
              <w:pStyle w:val="Default"/>
              <w:spacing w:after="120"/>
              <w:jc w:val="both"/>
              <w:rPr>
                <w:rFonts w:ascii="Arial" w:hAnsi="Arial" w:cs="Arial"/>
                <w:sz w:val="20"/>
                <w:szCs w:val="20"/>
              </w:rPr>
            </w:pPr>
            <w:r w:rsidRPr="00092DA2">
              <w:rPr>
                <w:rFonts w:ascii="Arial" w:hAnsi="Arial" w:cs="Arial"/>
                <w:sz w:val="20"/>
                <w:szCs w:val="20"/>
              </w:rPr>
              <w:t xml:space="preserve">All of the proposed investment areas are hinged on </w:t>
            </w:r>
            <w:r w:rsidRPr="00092DA2" w:rsidR="00381E88">
              <w:rPr>
                <w:rFonts w:ascii="Arial" w:hAnsi="Arial" w:cs="Arial"/>
                <w:sz w:val="20"/>
                <w:szCs w:val="20"/>
              </w:rPr>
              <w:t>the key routine immunization pillars. Th</w:t>
            </w:r>
            <w:r w:rsidRPr="00092DA2" w:rsidR="0030601B">
              <w:rPr>
                <w:rFonts w:ascii="Arial" w:hAnsi="Arial" w:cs="Arial"/>
                <w:sz w:val="20"/>
                <w:szCs w:val="20"/>
              </w:rPr>
              <w:t>e</w:t>
            </w:r>
            <w:r w:rsidRPr="00092DA2" w:rsidR="00381E88">
              <w:rPr>
                <w:rFonts w:ascii="Arial" w:hAnsi="Arial" w:cs="Arial"/>
                <w:sz w:val="20"/>
                <w:szCs w:val="20"/>
              </w:rPr>
              <w:t xml:space="preserve"> focus on integration </w:t>
            </w:r>
            <w:r w:rsidRPr="00092DA2" w:rsidR="007C23F2">
              <w:rPr>
                <w:rFonts w:ascii="Arial" w:hAnsi="Arial" w:cs="Arial"/>
                <w:sz w:val="20"/>
                <w:szCs w:val="20"/>
              </w:rPr>
              <w:t>of new vaccine intro</w:t>
            </w:r>
            <w:r w:rsidRPr="00092DA2" w:rsidR="00F22D10">
              <w:rPr>
                <w:rFonts w:ascii="Arial" w:hAnsi="Arial" w:cs="Arial"/>
                <w:sz w:val="20"/>
                <w:szCs w:val="20"/>
              </w:rPr>
              <w:t xml:space="preserve">duction, </w:t>
            </w:r>
            <w:r w:rsidRPr="00092DA2" w:rsidR="0077332C">
              <w:rPr>
                <w:rFonts w:ascii="Arial" w:hAnsi="Arial" w:cs="Arial"/>
                <w:sz w:val="20"/>
                <w:szCs w:val="20"/>
              </w:rPr>
              <w:t>vaccination campaigns and vaccine deployment in outbreak setting</w:t>
            </w:r>
            <w:r w:rsidRPr="00092DA2" w:rsidR="0030601B">
              <w:rPr>
                <w:rFonts w:ascii="Arial" w:hAnsi="Arial" w:cs="Arial"/>
                <w:sz w:val="20"/>
                <w:szCs w:val="20"/>
              </w:rPr>
              <w:t>s including COVID-19 is aimed at</w:t>
            </w:r>
            <w:r w:rsidRPr="00092DA2" w:rsidR="00EC2AF1">
              <w:rPr>
                <w:rFonts w:ascii="Arial" w:hAnsi="Arial" w:cs="Arial"/>
                <w:sz w:val="20"/>
                <w:szCs w:val="20"/>
              </w:rPr>
              <w:t xml:space="preserve"> re</w:t>
            </w:r>
            <w:r w:rsidR="00D94D4B">
              <w:rPr>
                <w:rFonts w:ascii="Arial" w:hAnsi="Arial" w:cs="Arial"/>
                <w:sz w:val="20"/>
                <w:szCs w:val="20"/>
              </w:rPr>
              <w:t>-</w:t>
            </w:r>
            <w:r w:rsidRPr="00092DA2" w:rsidR="00EC2AF1">
              <w:rPr>
                <w:rFonts w:ascii="Arial" w:hAnsi="Arial" w:cs="Arial"/>
                <w:sz w:val="20"/>
                <w:szCs w:val="20"/>
              </w:rPr>
              <w:t>establishing routine immunization, creating efficiencies and making the program resilient.</w:t>
            </w:r>
          </w:p>
          <w:p w:rsidRPr="00092DA2" w:rsidR="00EC2AF1" w:rsidP="00EC2AF1" w:rsidRDefault="00EC2AF1" w14:paraId="363375B3" w14:textId="1CB9295A">
            <w:pPr>
              <w:pStyle w:val="Default"/>
              <w:spacing w:after="120"/>
              <w:jc w:val="both"/>
              <w:rPr>
                <w:rFonts w:ascii="Arial" w:hAnsi="Arial" w:cs="Arial"/>
                <w:sz w:val="20"/>
                <w:szCs w:val="20"/>
              </w:rPr>
            </w:pPr>
            <w:r w:rsidRPr="00092DA2">
              <w:rPr>
                <w:rFonts w:ascii="Arial" w:hAnsi="Arial" w:cs="Arial"/>
                <w:sz w:val="20"/>
                <w:szCs w:val="20"/>
              </w:rPr>
              <w:t>The</w:t>
            </w:r>
            <w:r w:rsidRPr="00092DA2" w:rsidR="00D064FA">
              <w:rPr>
                <w:rFonts w:ascii="Arial" w:hAnsi="Arial" w:cs="Arial"/>
                <w:sz w:val="20"/>
                <w:szCs w:val="20"/>
              </w:rPr>
              <w:t xml:space="preserve"> TA will leverage the one country, one plan approach for key areas of focus</w:t>
            </w:r>
            <w:r w:rsidR="00D94D4B">
              <w:rPr>
                <w:rFonts w:ascii="Arial" w:hAnsi="Arial" w:cs="Arial"/>
                <w:sz w:val="20"/>
                <w:szCs w:val="20"/>
              </w:rPr>
              <w:t xml:space="preserve"> </w:t>
            </w:r>
            <w:r w:rsidRPr="00092DA2" w:rsidR="00BD187F">
              <w:rPr>
                <w:rFonts w:ascii="Arial" w:hAnsi="Arial" w:cs="Arial"/>
                <w:sz w:val="20"/>
                <w:szCs w:val="20"/>
              </w:rPr>
              <w:t>- Supply chain, demand creation,</w:t>
            </w:r>
            <w:r w:rsidR="00090087">
              <w:rPr>
                <w:rFonts w:ascii="Arial" w:hAnsi="Arial" w:cs="Arial"/>
                <w:sz w:val="20"/>
                <w:szCs w:val="20"/>
              </w:rPr>
              <w:t xml:space="preserve"> immunization financing,</w:t>
            </w:r>
            <w:r w:rsidRPr="00092DA2" w:rsidR="00BD187F">
              <w:rPr>
                <w:rFonts w:ascii="Arial" w:hAnsi="Arial" w:cs="Arial"/>
                <w:sz w:val="20"/>
                <w:szCs w:val="20"/>
              </w:rPr>
              <w:t xml:space="preserve"> leadership planning and coordination, Monitoring and learning wh</w:t>
            </w:r>
            <w:r w:rsidRPr="00092DA2" w:rsidR="00F731EB">
              <w:rPr>
                <w:rFonts w:ascii="Arial" w:hAnsi="Arial" w:cs="Arial"/>
                <w:sz w:val="20"/>
                <w:szCs w:val="20"/>
              </w:rPr>
              <w:t>ich are leveraged for all vaccines deployed in the country including COVID-19 Vaccination.</w:t>
            </w:r>
          </w:p>
          <w:p w:rsidRPr="00092DA2" w:rsidR="00F731EB" w:rsidP="00D94D4B" w:rsidRDefault="00A51F12" w14:paraId="2689F064" w14:textId="0D03C156">
            <w:pPr>
              <w:pStyle w:val="Default"/>
              <w:spacing w:after="120"/>
              <w:jc w:val="both"/>
              <w:rPr>
                <w:rFonts w:ascii="Arial" w:hAnsi="Arial" w:cs="Arial"/>
                <w:sz w:val="20"/>
                <w:szCs w:val="20"/>
              </w:rPr>
            </w:pPr>
            <w:r w:rsidRPr="00092DA2">
              <w:rPr>
                <w:rFonts w:ascii="Arial" w:hAnsi="Arial" w:cs="Arial"/>
                <w:sz w:val="20"/>
                <w:szCs w:val="20"/>
              </w:rPr>
              <w:t>No re</w:t>
            </w:r>
            <w:r w:rsidR="00D94D4B">
              <w:rPr>
                <w:rFonts w:ascii="Arial" w:hAnsi="Arial" w:cs="Arial"/>
                <w:sz w:val="20"/>
                <w:szCs w:val="20"/>
              </w:rPr>
              <w:t>-</w:t>
            </w:r>
            <w:r w:rsidRPr="00092DA2">
              <w:rPr>
                <w:rFonts w:ascii="Arial" w:hAnsi="Arial" w:cs="Arial"/>
                <w:sz w:val="20"/>
                <w:szCs w:val="20"/>
              </w:rPr>
              <w:t xml:space="preserve">allocation of previous TCA to COVID-19 </w:t>
            </w:r>
            <w:r w:rsidR="00D94D4B">
              <w:rPr>
                <w:rFonts w:ascii="Arial" w:hAnsi="Arial" w:cs="Arial"/>
                <w:sz w:val="20"/>
                <w:szCs w:val="20"/>
              </w:rPr>
              <w:t>has</w:t>
            </w:r>
            <w:r w:rsidRPr="00092DA2" w:rsidR="00D94D4B">
              <w:rPr>
                <w:rFonts w:ascii="Arial" w:hAnsi="Arial" w:cs="Arial"/>
                <w:sz w:val="20"/>
                <w:szCs w:val="20"/>
              </w:rPr>
              <w:t xml:space="preserve"> </w:t>
            </w:r>
            <w:r w:rsidRPr="00092DA2">
              <w:rPr>
                <w:rFonts w:ascii="Arial" w:hAnsi="Arial" w:cs="Arial"/>
                <w:sz w:val="20"/>
                <w:szCs w:val="20"/>
              </w:rPr>
              <w:t>occurred. However, operationally</w:t>
            </w:r>
            <w:r w:rsidR="00D94D4B">
              <w:rPr>
                <w:rFonts w:ascii="Arial" w:hAnsi="Arial" w:cs="Arial"/>
                <w:sz w:val="20"/>
                <w:szCs w:val="20"/>
              </w:rPr>
              <w:t>,</w:t>
            </w:r>
            <w:r w:rsidRPr="00092DA2">
              <w:rPr>
                <w:rFonts w:ascii="Arial" w:hAnsi="Arial" w:cs="Arial"/>
                <w:sz w:val="20"/>
                <w:szCs w:val="20"/>
              </w:rPr>
              <w:t xml:space="preserve"> at the beginning of the pandemic, the country leveraged all available capacities including the TCA staff and consultants </w:t>
            </w:r>
            <w:r w:rsidRPr="00092DA2" w:rsidR="00996388">
              <w:rPr>
                <w:rFonts w:ascii="Arial" w:hAnsi="Arial" w:cs="Arial"/>
                <w:sz w:val="20"/>
                <w:szCs w:val="20"/>
              </w:rPr>
              <w:t>for a successful COVID-19 Vaccine deployment</w:t>
            </w:r>
            <w:r w:rsidR="00D94D4B">
              <w:rPr>
                <w:rFonts w:ascii="Arial" w:hAnsi="Arial" w:cs="Arial"/>
                <w:sz w:val="20"/>
                <w:szCs w:val="20"/>
              </w:rPr>
              <w:t>.</w:t>
            </w:r>
          </w:p>
        </w:tc>
      </w:tr>
      <w:tr w:rsidR="00D353AF" w:rsidTr="78AE8092" w14:paraId="7CB90E66" w14:textId="77777777">
        <w:tc>
          <w:tcPr>
            <w:tcW w:w="9192" w:type="dxa"/>
            <w:tcBorders>
              <w:top w:val="single" w:color="auto" w:sz="4" w:space="0"/>
              <w:bottom w:val="single" w:color="auto" w:sz="4" w:space="0"/>
            </w:tcBorders>
            <w:shd w:val="clear" w:color="auto" w:fill="F2F2F2" w:themeFill="background1" w:themeFillShade="F2"/>
            <w:tcMar/>
          </w:tcPr>
          <w:p w:rsidRPr="00777960" w:rsidR="00D353AF" w:rsidP="007B53D1" w:rsidRDefault="00D353AF" w14:paraId="341DF7D2" w14:textId="20697518">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immunisation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rsidTr="78AE8092" w14:paraId="251D4101" w14:textId="77777777">
        <w:trPr>
          <w:trHeight w:val="103"/>
        </w:trPr>
        <w:tc>
          <w:tcPr>
            <w:tcW w:w="9192" w:type="dxa"/>
            <w:tcBorders>
              <w:top w:val="single" w:color="auto" w:sz="4" w:space="0"/>
              <w:left w:val="single" w:color="auto" w:sz="4" w:space="0"/>
              <w:bottom w:val="single" w:color="auto" w:sz="4" w:space="0"/>
              <w:right w:val="single" w:color="auto" w:sz="4" w:space="0"/>
            </w:tcBorders>
            <w:shd w:val="clear" w:color="auto" w:fill="auto"/>
            <w:tcMar/>
          </w:tcPr>
          <w:p w:rsidRPr="00092DA2" w:rsidR="00B032ED" w:rsidP="009206CA" w:rsidRDefault="00B032ED" w14:paraId="77AEFF08" w14:textId="7DF0C4AA">
            <w:pPr>
              <w:pStyle w:val="Default"/>
              <w:spacing w:after="120"/>
              <w:jc w:val="both"/>
              <w:rPr>
                <w:rFonts w:ascii="Arial" w:hAnsi="Arial" w:cs="Arial"/>
                <w:sz w:val="20"/>
                <w:szCs w:val="20"/>
              </w:rPr>
            </w:pPr>
            <w:r w:rsidRPr="00092DA2">
              <w:rPr>
                <w:rFonts w:ascii="Arial" w:hAnsi="Arial" w:cs="Arial"/>
                <w:sz w:val="20"/>
                <w:szCs w:val="20"/>
              </w:rPr>
              <w:t xml:space="preserve">Overall, in Kenya, the largest equity gaps are for zero dose </w:t>
            </w:r>
            <w:r w:rsidR="00090087">
              <w:rPr>
                <w:rFonts w:ascii="Arial" w:hAnsi="Arial" w:cs="Arial"/>
                <w:sz w:val="20"/>
                <w:szCs w:val="20"/>
              </w:rPr>
              <w:t>where</w:t>
            </w:r>
            <w:r w:rsidRPr="00092DA2">
              <w:rPr>
                <w:rFonts w:ascii="Arial" w:hAnsi="Arial" w:cs="Arial"/>
                <w:sz w:val="20"/>
                <w:szCs w:val="20"/>
              </w:rPr>
              <w:t xml:space="preserve"> education, wealth and residence are</w:t>
            </w:r>
            <w:r w:rsidR="00090087">
              <w:rPr>
                <w:rFonts w:ascii="Arial" w:hAnsi="Arial" w:cs="Arial"/>
                <w:sz w:val="20"/>
                <w:szCs w:val="20"/>
              </w:rPr>
              <w:t xml:space="preserve"> factors</w:t>
            </w:r>
            <w:r w:rsidRPr="00092DA2">
              <w:rPr>
                <w:rFonts w:ascii="Arial" w:hAnsi="Arial" w:cs="Arial"/>
                <w:sz w:val="20"/>
                <w:szCs w:val="20"/>
              </w:rPr>
              <w:t xml:space="preserve"> strongly associated with not receiving any vaccination.</w:t>
            </w:r>
          </w:p>
          <w:p w:rsidRPr="00092DA2" w:rsidR="00887596" w:rsidP="009206CA" w:rsidRDefault="00B032ED" w14:paraId="4F82443D" w14:textId="4F8FE82E">
            <w:pPr>
              <w:pStyle w:val="Default"/>
              <w:spacing w:after="120"/>
              <w:jc w:val="both"/>
              <w:rPr>
                <w:rFonts w:ascii="Arial" w:hAnsi="Arial" w:cs="Arial"/>
                <w:sz w:val="20"/>
                <w:szCs w:val="20"/>
              </w:rPr>
            </w:pPr>
            <w:r w:rsidRPr="00092DA2">
              <w:rPr>
                <w:rFonts w:ascii="Arial" w:hAnsi="Arial" w:cs="Arial"/>
                <w:sz w:val="20"/>
                <w:szCs w:val="20"/>
              </w:rPr>
              <w:t xml:space="preserve">A </w:t>
            </w:r>
            <w:r w:rsidRPr="00092DA2" w:rsidR="00027EDC">
              <w:rPr>
                <w:rFonts w:ascii="Arial" w:hAnsi="Arial" w:cs="Arial"/>
                <w:sz w:val="20"/>
                <w:szCs w:val="20"/>
              </w:rPr>
              <w:t xml:space="preserve">recent coverage and equity assessment shows that only about half of health facilities deliver immunization services over 5 days a week. </w:t>
            </w:r>
            <w:r w:rsidRPr="00092DA2">
              <w:rPr>
                <w:rFonts w:ascii="Arial" w:hAnsi="Arial" w:cs="Arial"/>
                <w:sz w:val="20"/>
                <w:szCs w:val="20"/>
              </w:rPr>
              <w:t>The</w:t>
            </w:r>
            <w:r w:rsidRPr="00092DA2" w:rsidR="00027EDC">
              <w:rPr>
                <w:rFonts w:ascii="Arial" w:hAnsi="Arial" w:cs="Arial"/>
                <w:sz w:val="20"/>
                <w:szCs w:val="20"/>
              </w:rPr>
              <w:t xml:space="preserve"> immunization service delivery points are largely female dominated and less interesting to male caregivers</w:t>
            </w:r>
            <w:r w:rsidR="00090087">
              <w:rPr>
                <w:rFonts w:ascii="Arial" w:hAnsi="Arial" w:cs="Arial"/>
                <w:sz w:val="20"/>
                <w:szCs w:val="20"/>
              </w:rPr>
              <w:t>. It was also identified that t</w:t>
            </w:r>
            <w:r w:rsidRPr="00092DA2" w:rsidR="001902F3">
              <w:rPr>
                <w:rFonts w:ascii="Arial" w:hAnsi="Arial" w:cs="Arial"/>
                <w:sz w:val="20"/>
                <w:szCs w:val="20"/>
              </w:rPr>
              <w:t xml:space="preserve">he </w:t>
            </w:r>
            <w:r w:rsidRPr="00092DA2" w:rsidR="00027EDC">
              <w:rPr>
                <w:rFonts w:ascii="Arial" w:hAnsi="Arial" w:cs="Arial"/>
                <w:sz w:val="20"/>
                <w:szCs w:val="20"/>
              </w:rPr>
              <w:t>fixed operating hours for immunization services largely impacts on caregivers, particularly female caregivers with structured 8-5 pm working schedules</w:t>
            </w:r>
            <w:r w:rsidR="00090087">
              <w:rPr>
                <w:rFonts w:ascii="Arial" w:hAnsi="Arial" w:cs="Arial"/>
                <w:sz w:val="20"/>
                <w:szCs w:val="20"/>
              </w:rPr>
              <w:t xml:space="preserve"> conflicting with immunization service delivery time</w:t>
            </w:r>
            <w:r w:rsidRPr="00092DA2" w:rsidR="00027EDC">
              <w:rPr>
                <w:rFonts w:ascii="Arial" w:hAnsi="Arial" w:cs="Arial"/>
                <w:sz w:val="20"/>
                <w:szCs w:val="20"/>
              </w:rPr>
              <w:t xml:space="preserve">. </w:t>
            </w:r>
          </w:p>
          <w:p w:rsidRPr="00092DA2" w:rsidR="005928C9" w:rsidP="00FC7EB1" w:rsidRDefault="00027EDC" w14:paraId="626A5A76" w14:textId="36D348F3">
            <w:pPr>
              <w:pStyle w:val="Default"/>
              <w:spacing w:after="120"/>
              <w:jc w:val="both"/>
              <w:rPr>
                <w:rFonts w:ascii="Arial" w:hAnsi="Arial" w:cs="Arial"/>
                <w:b/>
                <w:bCs/>
                <w:i/>
                <w:iCs/>
                <w:sz w:val="20"/>
                <w:szCs w:val="20"/>
              </w:rPr>
            </w:pPr>
            <w:r w:rsidRPr="00092DA2">
              <w:rPr>
                <w:rFonts w:ascii="Arial" w:hAnsi="Arial" w:cs="Arial"/>
                <w:sz w:val="20"/>
                <w:szCs w:val="20"/>
              </w:rPr>
              <w:t xml:space="preserve">This </w:t>
            </w:r>
            <w:r w:rsidRPr="00092DA2" w:rsidR="00887596">
              <w:rPr>
                <w:rFonts w:ascii="Arial" w:hAnsi="Arial" w:cs="Arial"/>
                <w:sz w:val="20"/>
                <w:szCs w:val="20"/>
              </w:rPr>
              <w:t xml:space="preserve">TA </w:t>
            </w:r>
            <w:r w:rsidRPr="00092DA2" w:rsidR="00597A3B">
              <w:rPr>
                <w:rFonts w:ascii="Arial" w:hAnsi="Arial" w:cs="Arial"/>
                <w:sz w:val="20"/>
                <w:szCs w:val="20"/>
              </w:rPr>
              <w:t xml:space="preserve">provides for </w:t>
            </w:r>
            <w:r w:rsidRPr="00092DA2">
              <w:rPr>
                <w:rFonts w:ascii="Arial" w:hAnsi="Arial" w:cs="Arial"/>
                <w:sz w:val="20"/>
                <w:szCs w:val="20"/>
              </w:rPr>
              <w:t xml:space="preserve">additional targeting </w:t>
            </w:r>
            <w:r w:rsidRPr="00092DA2" w:rsidR="00335117">
              <w:rPr>
                <w:rFonts w:ascii="Arial" w:hAnsi="Arial" w:cs="Arial"/>
                <w:sz w:val="20"/>
                <w:szCs w:val="20"/>
              </w:rPr>
              <w:t>of p</w:t>
            </w:r>
            <w:r w:rsidRPr="00092DA2">
              <w:rPr>
                <w:rFonts w:ascii="Arial" w:hAnsi="Arial" w:cs="Arial"/>
                <w:sz w:val="20"/>
                <w:szCs w:val="20"/>
              </w:rPr>
              <w:t>olicy changes to open up immunization spaces beyond the formal working hours</w:t>
            </w:r>
            <w:r w:rsidRPr="00092DA2" w:rsidR="0090647B">
              <w:rPr>
                <w:rFonts w:ascii="Arial" w:hAnsi="Arial" w:cs="Arial"/>
                <w:sz w:val="20"/>
                <w:szCs w:val="20"/>
              </w:rPr>
              <w:t xml:space="preserve">, </w:t>
            </w:r>
            <w:r w:rsidRPr="00092DA2">
              <w:rPr>
                <w:rFonts w:ascii="Arial" w:hAnsi="Arial" w:cs="Arial"/>
                <w:sz w:val="20"/>
                <w:szCs w:val="20"/>
              </w:rPr>
              <w:t>schedule immunization visits with the caregivers’ input</w:t>
            </w:r>
            <w:r w:rsidRPr="00092DA2" w:rsidR="0090647B">
              <w:rPr>
                <w:rFonts w:ascii="Arial" w:hAnsi="Arial" w:cs="Arial"/>
                <w:sz w:val="20"/>
                <w:szCs w:val="20"/>
              </w:rPr>
              <w:t xml:space="preserve"> and </w:t>
            </w:r>
            <w:r w:rsidRPr="00092DA2">
              <w:rPr>
                <w:rFonts w:ascii="Arial" w:hAnsi="Arial" w:cs="Arial"/>
                <w:sz w:val="20"/>
                <w:szCs w:val="20"/>
              </w:rPr>
              <w:t>reach</w:t>
            </w:r>
            <w:r w:rsidRPr="00092DA2" w:rsidR="0090647B">
              <w:rPr>
                <w:rFonts w:ascii="Arial" w:hAnsi="Arial" w:cs="Arial"/>
                <w:sz w:val="20"/>
                <w:szCs w:val="20"/>
              </w:rPr>
              <w:t>ing</w:t>
            </w:r>
            <w:r w:rsidRPr="00092DA2">
              <w:rPr>
                <w:rFonts w:ascii="Arial" w:hAnsi="Arial" w:cs="Arial"/>
                <w:sz w:val="20"/>
                <w:szCs w:val="20"/>
              </w:rPr>
              <w:t xml:space="preserve"> out to non-traditional</w:t>
            </w:r>
            <w:r w:rsidR="00D94D4B">
              <w:rPr>
                <w:rFonts w:ascii="Arial" w:hAnsi="Arial" w:cs="Arial"/>
                <w:sz w:val="20"/>
                <w:szCs w:val="20"/>
              </w:rPr>
              <w:t>,</w:t>
            </w:r>
            <w:r w:rsidRPr="00092DA2" w:rsidR="001902F3">
              <w:rPr>
                <w:rFonts w:ascii="Arial" w:hAnsi="Arial" w:cs="Arial"/>
                <w:sz w:val="20"/>
                <w:szCs w:val="20"/>
              </w:rPr>
              <w:t xml:space="preserve"> no</w:t>
            </w:r>
            <w:r w:rsidRPr="00092DA2" w:rsidR="00FC7EB1">
              <w:rPr>
                <w:rFonts w:ascii="Arial" w:hAnsi="Arial" w:cs="Arial"/>
                <w:sz w:val="20"/>
                <w:szCs w:val="20"/>
              </w:rPr>
              <w:t>n-public</w:t>
            </w:r>
            <w:r w:rsidRPr="00092DA2">
              <w:rPr>
                <w:rFonts w:ascii="Arial" w:hAnsi="Arial" w:cs="Arial"/>
                <w:sz w:val="20"/>
                <w:szCs w:val="20"/>
              </w:rPr>
              <w:t xml:space="preserve"> immun</w:t>
            </w:r>
            <w:sdt>
              <w:sdtPr>
                <w:rPr>
                  <w:rFonts w:ascii="Arial" w:hAnsi="Arial" w:cs="Arial"/>
                  <w:sz w:val="20"/>
                  <w:szCs w:val="20"/>
                </w:rPr>
                <w:tag w:val="goog_rdk_30"/>
                <w:id w:val="931557842"/>
              </w:sdtPr>
              <w:sdtEndPr/>
              <w:sdtContent/>
            </w:sdt>
            <w:r w:rsidRPr="00092DA2">
              <w:rPr>
                <w:rFonts w:ascii="Arial" w:hAnsi="Arial" w:cs="Arial"/>
                <w:sz w:val="20"/>
                <w:szCs w:val="20"/>
              </w:rPr>
              <w:t xml:space="preserve">ization service </w:t>
            </w:r>
            <w:r w:rsidRPr="00092DA2" w:rsidR="00FC7EB1">
              <w:rPr>
                <w:rFonts w:ascii="Arial" w:hAnsi="Arial" w:cs="Arial"/>
                <w:sz w:val="20"/>
                <w:szCs w:val="20"/>
              </w:rPr>
              <w:t>providers a</w:t>
            </w:r>
            <w:r w:rsidRPr="00092DA2">
              <w:rPr>
                <w:rFonts w:ascii="Arial" w:hAnsi="Arial" w:cs="Arial"/>
                <w:sz w:val="20"/>
                <w:szCs w:val="20"/>
              </w:rPr>
              <w:t>nd build</w:t>
            </w:r>
            <w:r w:rsidR="00D94D4B">
              <w:rPr>
                <w:rFonts w:ascii="Arial" w:hAnsi="Arial" w:cs="Arial"/>
                <w:sz w:val="20"/>
                <w:szCs w:val="20"/>
              </w:rPr>
              <w:t>ing</w:t>
            </w:r>
            <w:r w:rsidRPr="00092DA2">
              <w:rPr>
                <w:rFonts w:ascii="Arial" w:hAnsi="Arial" w:cs="Arial"/>
                <w:sz w:val="20"/>
                <w:szCs w:val="20"/>
              </w:rPr>
              <w:t xml:space="preserve"> their capacities to support immunization services</w:t>
            </w:r>
            <w:r w:rsidRPr="00092DA2" w:rsidR="009206CA">
              <w:rPr>
                <w:rFonts w:ascii="Arial" w:hAnsi="Arial" w:cs="Arial"/>
                <w:sz w:val="20"/>
                <w:szCs w:val="20"/>
              </w:rPr>
              <w:t xml:space="preserve">, as the main objective of the </w:t>
            </w:r>
            <w:r w:rsidRPr="00092DA2" w:rsidR="005E53DC">
              <w:rPr>
                <w:rFonts w:ascii="Arial" w:hAnsi="Arial" w:cs="Arial"/>
                <w:sz w:val="20"/>
                <w:szCs w:val="20"/>
              </w:rPr>
              <w:t xml:space="preserve">strengthening of planning and coordination, improved community engagement and </w:t>
            </w:r>
            <w:r w:rsidRPr="00092DA2" w:rsidR="00DF73AE">
              <w:rPr>
                <w:rFonts w:ascii="Arial" w:hAnsi="Arial" w:cs="Arial"/>
                <w:sz w:val="20"/>
                <w:szCs w:val="20"/>
              </w:rPr>
              <w:t>engagement of private and community level service providers proposed in this T</w:t>
            </w:r>
            <w:r w:rsidRPr="00092DA2" w:rsidR="00FC7EB1">
              <w:rPr>
                <w:rFonts w:ascii="Arial" w:hAnsi="Arial" w:cs="Arial"/>
                <w:sz w:val="20"/>
                <w:szCs w:val="20"/>
              </w:rPr>
              <w:t>A</w:t>
            </w:r>
            <w:r w:rsidR="00D94D4B">
              <w:rPr>
                <w:rFonts w:ascii="Arial" w:hAnsi="Arial" w:cs="Arial"/>
                <w:sz w:val="20"/>
                <w:szCs w:val="20"/>
              </w:rPr>
              <w:t>.</w:t>
            </w:r>
          </w:p>
        </w:tc>
      </w:tr>
      <w:tr w:rsidR="00D353AF" w:rsidTr="78AE8092" w14:paraId="2605CFC3" w14:textId="77777777">
        <w:tc>
          <w:tcPr>
            <w:tcW w:w="9192" w:type="dxa"/>
            <w:tcBorders>
              <w:top w:val="single" w:color="auto" w:sz="4" w:space="0"/>
              <w:bottom w:val="single" w:color="auto" w:sz="4" w:space="0"/>
            </w:tcBorders>
            <w:shd w:val="clear" w:color="auto" w:fill="F2F2F2" w:themeFill="background1" w:themeFillShade="F2"/>
            <w:tcMar/>
          </w:tcPr>
          <w:p w:rsidRPr="008C7464" w:rsidR="00D353AF" w:rsidP="007B53D1" w:rsidRDefault="00D353AF" w14:paraId="71D225EC" w14:textId="23CD8FD6">
            <w:pPr>
              <w:spacing w:line="300" w:lineRule="exact"/>
              <w:rPr>
                <w:b/>
                <w:bCs/>
                <w:color w:val="92D050"/>
                <w:lang w:val="en-GB"/>
              </w:rPr>
            </w:pPr>
            <w:r>
              <w:rPr>
                <w:b/>
                <w:bCs/>
                <w:i/>
                <w:iCs/>
                <w:sz w:val="20"/>
                <w:szCs w:val="20"/>
              </w:rPr>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you prioritise</w:t>
            </w:r>
            <w:r>
              <w:rPr>
                <w:b/>
                <w:bCs/>
                <w:i/>
                <w:iCs/>
                <w:sz w:val="20"/>
                <w:szCs w:val="20"/>
              </w:rPr>
              <w:t>d</w:t>
            </w:r>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rsidTr="78AE8092" w14:paraId="4C4783D9" w14:textId="77777777">
        <w:tc>
          <w:tcPr>
            <w:tcW w:w="9192" w:type="dxa"/>
            <w:tcBorders>
              <w:top w:val="single" w:color="auto" w:sz="4" w:space="0"/>
              <w:left w:val="single" w:color="auto" w:sz="4" w:space="0"/>
              <w:bottom w:val="single" w:color="auto" w:sz="4" w:space="0"/>
              <w:right w:val="single" w:color="auto" w:sz="4" w:space="0"/>
            </w:tcBorders>
            <w:tcMar/>
          </w:tcPr>
          <w:p w:rsidR="00090087" w:rsidP="001B1823" w:rsidRDefault="006F748C" w14:paraId="2C573173" w14:textId="7FD4A3D8">
            <w:pPr>
              <w:pStyle w:val="Default"/>
              <w:spacing w:after="120"/>
              <w:jc w:val="both"/>
              <w:rPr>
                <w:rFonts w:ascii="Arial" w:hAnsi="Arial" w:cs="Arial"/>
                <w:sz w:val="20"/>
                <w:szCs w:val="20"/>
              </w:rPr>
            </w:pPr>
            <w:r w:rsidRPr="00092DA2">
              <w:rPr>
                <w:rFonts w:ascii="Arial" w:hAnsi="Arial" w:cs="Arial"/>
                <w:sz w:val="20"/>
                <w:szCs w:val="20"/>
              </w:rPr>
              <w:t>The TA needs have been identified and developed around seven investment areas</w:t>
            </w:r>
            <w:r w:rsidRPr="00092DA2" w:rsidR="003837D8">
              <w:rPr>
                <w:rFonts w:ascii="Arial" w:hAnsi="Arial" w:cs="Arial"/>
                <w:sz w:val="20"/>
                <w:szCs w:val="20"/>
              </w:rPr>
              <w:t xml:space="preserve">. These are </w:t>
            </w:r>
            <w:r w:rsidRPr="00092DA2">
              <w:rPr>
                <w:rFonts w:ascii="Arial" w:hAnsi="Arial" w:cs="Arial"/>
                <w:sz w:val="20"/>
                <w:szCs w:val="20"/>
              </w:rPr>
              <w:t>aligned with and build up on the medium term country investments outlined in the Kenya National Vaccine and Immunization Strategic plan 2021-2025, incorporating the Gavi 5.0 Mission</w:t>
            </w:r>
            <w:r w:rsidRPr="00092DA2" w:rsidR="003837D8">
              <w:rPr>
                <w:rFonts w:ascii="Arial" w:hAnsi="Arial" w:cs="Arial"/>
                <w:sz w:val="20"/>
                <w:szCs w:val="20"/>
              </w:rPr>
              <w:t xml:space="preserve"> and the proposed areas of work</w:t>
            </w:r>
            <w:r w:rsidRPr="00092DA2" w:rsidR="009D6482">
              <w:rPr>
                <w:rFonts w:ascii="Arial" w:hAnsi="Arial" w:cs="Arial"/>
                <w:sz w:val="20"/>
                <w:szCs w:val="20"/>
              </w:rPr>
              <w:t xml:space="preserve"> and </w:t>
            </w:r>
            <w:r w:rsidRPr="00092DA2" w:rsidR="000157D5">
              <w:rPr>
                <w:rFonts w:ascii="Arial" w:hAnsi="Arial" w:cs="Arial"/>
                <w:sz w:val="20"/>
                <w:szCs w:val="20"/>
              </w:rPr>
              <w:t>identified during the ongoing Gavi Full Portfolio Planning (FPP) process and have been conceived</w:t>
            </w:r>
            <w:r w:rsidRPr="00092DA2" w:rsidR="009D6482">
              <w:rPr>
                <w:rFonts w:ascii="Arial" w:hAnsi="Arial" w:cs="Arial"/>
                <w:sz w:val="20"/>
                <w:szCs w:val="20"/>
              </w:rPr>
              <w:t xml:space="preserve"> and approved</w:t>
            </w:r>
            <w:r w:rsidRPr="00092DA2" w:rsidR="000157D5">
              <w:rPr>
                <w:rFonts w:ascii="Arial" w:hAnsi="Arial" w:cs="Arial"/>
                <w:sz w:val="20"/>
                <w:szCs w:val="20"/>
              </w:rPr>
              <w:t xml:space="preserve"> in the context of the existing routine immunization multistakeholder </w:t>
            </w:r>
            <w:r w:rsidRPr="00092DA2" w:rsidR="000157D5">
              <w:rPr>
                <w:rFonts w:ascii="Arial" w:hAnsi="Arial" w:cs="Arial"/>
                <w:sz w:val="20"/>
                <w:szCs w:val="20"/>
              </w:rPr>
              <w:lastRenderedPageBreak/>
              <w:t>coordination structures (The National Technical Working Group, Thematic Working Groups and National Immunization Interagency Coordinating Committee)</w:t>
            </w:r>
            <w:r w:rsidRPr="00092DA2" w:rsidR="009D6482">
              <w:rPr>
                <w:rFonts w:ascii="Arial" w:hAnsi="Arial" w:cs="Arial"/>
                <w:sz w:val="20"/>
                <w:szCs w:val="20"/>
              </w:rPr>
              <w:t xml:space="preserve">, which have the participation of Government line departments, Core and extended partners and </w:t>
            </w:r>
            <w:r w:rsidRPr="00092DA2" w:rsidR="001B1823">
              <w:rPr>
                <w:rFonts w:ascii="Arial" w:hAnsi="Arial" w:cs="Arial"/>
                <w:sz w:val="20"/>
                <w:szCs w:val="20"/>
              </w:rPr>
              <w:t>c</w:t>
            </w:r>
            <w:r w:rsidRPr="00092DA2" w:rsidR="009D6482">
              <w:rPr>
                <w:rFonts w:ascii="Arial" w:hAnsi="Arial" w:cs="Arial"/>
                <w:sz w:val="20"/>
                <w:szCs w:val="20"/>
              </w:rPr>
              <w:t>ivil so</w:t>
            </w:r>
            <w:r w:rsidRPr="00092DA2" w:rsidR="001B1823">
              <w:rPr>
                <w:rFonts w:ascii="Arial" w:hAnsi="Arial" w:cs="Arial"/>
                <w:sz w:val="20"/>
                <w:szCs w:val="20"/>
              </w:rPr>
              <w:t>ciety organizations.</w:t>
            </w:r>
          </w:p>
          <w:p w:rsidRPr="00092DA2" w:rsidR="00090087" w:rsidP="001B1823" w:rsidRDefault="00090087" w14:paraId="29516A67" w14:textId="7C7F5AC4">
            <w:pPr>
              <w:pStyle w:val="Default"/>
              <w:spacing w:after="120"/>
              <w:jc w:val="both"/>
              <w:rPr>
                <w:rFonts w:ascii="Arial" w:hAnsi="Arial" w:cs="Arial"/>
                <w:sz w:val="20"/>
                <w:szCs w:val="20"/>
              </w:rPr>
            </w:pPr>
            <w:r>
              <w:rPr>
                <w:rFonts w:ascii="Arial" w:hAnsi="Arial" w:cs="Arial"/>
                <w:sz w:val="20"/>
                <w:szCs w:val="20"/>
              </w:rPr>
              <w:t>The interventions prioritized were also aligned to the current activities carried out by the Ministry of Health and Government in general and the support that they are receiving for immunization from other stakeholders. The interventions identified in the TCA</w:t>
            </w:r>
            <w:r w:rsidR="008D0E4C">
              <w:rPr>
                <w:rFonts w:ascii="Arial" w:hAnsi="Arial" w:cs="Arial"/>
                <w:sz w:val="20"/>
                <w:szCs w:val="20"/>
              </w:rPr>
              <w:t xml:space="preserve"> have been aligned to meet the gaps that still exist through the different supports</w:t>
            </w:r>
            <w:r w:rsidR="00227D79">
              <w:rPr>
                <w:rFonts w:ascii="Arial" w:hAnsi="Arial" w:cs="Arial"/>
                <w:sz w:val="20"/>
                <w:szCs w:val="20"/>
              </w:rPr>
              <w:t xml:space="preserve"> that maximize on reaching the zero dose children. </w:t>
            </w:r>
          </w:p>
          <w:p w:rsidRPr="00092DA2" w:rsidR="007B55CD" w:rsidP="001B1823" w:rsidRDefault="007B55CD" w14:paraId="48003D96" w14:textId="54EB9F99">
            <w:pPr>
              <w:pStyle w:val="Default"/>
              <w:spacing w:after="120"/>
              <w:jc w:val="both"/>
              <w:rPr>
                <w:rFonts w:ascii="Arial" w:hAnsi="Arial" w:cs="Arial"/>
                <w:sz w:val="20"/>
                <w:szCs w:val="20"/>
              </w:rPr>
            </w:pPr>
            <w:r w:rsidRPr="00092DA2">
              <w:rPr>
                <w:rFonts w:ascii="Arial" w:hAnsi="Arial" w:cs="Arial"/>
                <w:sz w:val="20"/>
                <w:szCs w:val="20"/>
              </w:rPr>
              <w:t>The TA priorities were subsequently reviewed and approved by the Ministry of Health.</w:t>
            </w:r>
          </w:p>
        </w:tc>
      </w:tr>
    </w:tbl>
    <w:p w:rsidR="007172E8" w:rsidRDefault="007172E8" w14:paraId="4DAF51E8" w14:textId="0B86255A"/>
    <w:p w:rsidRPr="00264FC1" w:rsidR="007172E8" w:rsidP="00CE1F57" w:rsidRDefault="007172E8" w14:paraId="058C1B7B" w14:textId="4CE56EFB">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Pr="00264FC1" w:rsidR="00067D86">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70"/>
        <w:gridCol w:w="22"/>
      </w:tblGrid>
      <w:tr w:rsidR="00E80A44" w:rsidTr="78AE8092" w14:paraId="3D086D68" w14:textId="77777777">
        <w:trPr>
          <w:gridAfter w:val="1"/>
          <w:wAfter w:w="22" w:type="dxa"/>
          <w:trHeight w:val="846"/>
        </w:trPr>
        <w:tc>
          <w:tcPr>
            <w:tcW w:w="9170" w:type="dxa"/>
            <w:shd w:val="clear" w:color="auto" w:fill="F2F2F2" w:themeFill="background1" w:themeFillShade="F2"/>
            <w:tcMar/>
          </w:tcPr>
          <w:p w:rsidR="00E80A44" w:rsidP="00E80A44" w:rsidRDefault="6AD6D6E5" w14:paraId="642D6855" w14:textId="374094D5">
            <w:pPr>
              <w:spacing w:line="300" w:lineRule="exact"/>
              <w:rPr>
                <w:color w:val="92D050"/>
                <w:lang w:val="en-GB"/>
              </w:rPr>
            </w:pPr>
            <w:r w:rsidRPr="72AC5B75">
              <w:rPr>
                <w:b/>
                <w:bCs/>
                <w:i/>
                <w:iCs/>
                <w:color w:val="000000" w:themeColor="text1"/>
                <w:sz w:val="20"/>
                <w:szCs w:val="20"/>
                <w:lang w:val="en-GB"/>
              </w:rPr>
              <w:t>3.1</w:t>
            </w:r>
            <w:r w:rsidRPr="72AC5B75" w:rsidR="399F3CF1">
              <w:rPr>
                <w:b/>
                <w:bCs/>
                <w:i/>
                <w:iCs/>
                <w:color w:val="000000" w:themeColor="text1"/>
                <w:sz w:val="20"/>
                <w:szCs w:val="20"/>
                <w:lang w:val="en-GB"/>
              </w:rPr>
              <w:t xml:space="preserve"> Describe which partners you have already </w:t>
            </w:r>
            <w:r w:rsidRPr="72AC5B75" w:rsidR="5FB1AA6B">
              <w:rPr>
                <w:b/>
                <w:bCs/>
                <w:i/>
                <w:iCs/>
                <w:color w:val="000000" w:themeColor="text1"/>
                <w:sz w:val="20"/>
                <w:szCs w:val="20"/>
                <w:lang w:val="en-GB"/>
              </w:rPr>
              <w:t>mapped</w:t>
            </w:r>
            <w:r w:rsidRPr="72AC5B75" w:rsidR="399F3CF1">
              <w:rPr>
                <w:b/>
                <w:bCs/>
                <w:i/>
                <w:iCs/>
                <w:color w:val="000000" w:themeColor="text1"/>
                <w:sz w:val="20"/>
                <w:szCs w:val="20"/>
                <w:lang w:val="en-GB"/>
              </w:rPr>
              <w:t xml:space="preserve">, including Alliance and Expanded partners </w:t>
            </w:r>
            <w:r w:rsidRPr="72AC5B75" w:rsidR="4CB90FC8">
              <w:rPr>
                <w:b/>
                <w:bCs/>
                <w:i/>
                <w:iCs/>
                <w:color w:val="000000" w:themeColor="text1"/>
                <w:sz w:val="20"/>
                <w:szCs w:val="20"/>
                <w:lang w:val="en-GB"/>
              </w:rPr>
              <w:t xml:space="preserve">(including </w:t>
            </w:r>
            <w:r w:rsidRPr="72AC5B75" w:rsidR="57DC9B22">
              <w:rPr>
                <w:b/>
                <w:bCs/>
                <w:i/>
                <w:iCs/>
                <w:color w:val="000000" w:themeColor="text1"/>
                <w:sz w:val="20"/>
                <w:szCs w:val="20"/>
                <w:lang w:val="en-GB"/>
              </w:rPr>
              <w:t>Global Partners,</w:t>
            </w:r>
            <w:r w:rsidRPr="72AC5B75" w:rsidR="4CB90FC8">
              <w:rPr>
                <w:b/>
                <w:bCs/>
                <w:i/>
                <w:iCs/>
                <w:color w:val="000000" w:themeColor="text1"/>
                <w:sz w:val="20"/>
                <w:szCs w:val="20"/>
                <w:lang w:val="en-GB"/>
              </w:rPr>
              <w:t xml:space="preserve"> </w:t>
            </w:r>
            <w:r w:rsidRPr="72AC5B75" w:rsidR="399F3CF1">
              <w:rPr>
                <w:b/>
                <w:bCs/>
                <w:i/>
                <w:iCs/>
                <w:color w:val="000000" w:themeColor="text1"/>
                <w:sz w:val="20"/>
                <w:szCs w:val="20"/>
                <w:lang w:val="en-GB"/>
              </w:rPr>
              <w:t>Local Partners</w:t>
            </w:r>
            <w:r w:rsidRPr="72AC5B75" w:rsidR="4CB90FC8">
              <w:rPr>
                <w:b/>
                <w:bCs/>
                <w:i/>
                <w:iCs/>
                <w:color w:val="000000" w:themeColor="text1"/>
                <w:sz w:val="20"/>
                <w:szCs w:val="20"/>
                <w:lang w:val="en-GB"/>
              </w:rPr>
              <w:t xml:space="preserve"> and</w:t>
            </w:r>
            <w:r w:rsidRPr="72AC5B75" w:rsidR="399F3CF1">
              <w:rPr>
                <w:b/>
                <w:bCs/>
                <w:i/>
                <w:iCs/>
                <w:color w:val="000000" w:themeColor="text1"/>
                <w:sz w:val="20"/>
                <w:szCs w:val="20"/>
                <w:lang w:val="en-GB"/>
              </w:rPr>
              <w:t xml:space="preserve"> CSOs</w:t>
            </w:r>
            <w:r w:rsidRPr="72AC5B75" w:rsidR="4CB90FC8">
              <w:rPr>
                <w:b/>
                <w:bCs/>
                <w:i/>
                <w:iCs/>
                <w:color w:val="000000" w:themeColor="text1"/>
                <w:sz w:val="20"/>
                <w:szCs w:val="20"/>
                <w:lang w:val="en-GB"/>
              </w:rPr>
              <w:t>)</w:t>
            </w:r>
            <w:r w:rsidRPr="72AC5B75" w:rsidR="399F3CF1">
              <w:rPr>
                <w:b/>
                <w:bCs/>
                <w:i/>
                <w:iCs/>
                <w:color w:val="000000" w:themeColor="text1"/>
                <w:sz w:val="20"/>
                <w:szCs w:val="20"/>
                <w:lang w:val="en-GB"/>
              </w:rPr>
              <w:t xml:space="preserve"> to support the activit</w:t>
            </w:r>
            <w:r w:rsidRPr="72AC5B75" w:rsidR="0396B36F">
              <w:rPr>
                <w:b/>
                <w:bCs/>
                <w:i/>
                <w:iCs/>
                <w:color w:val="000000" w:themeColor="text1"/>
                <w:sz w:val="20"/>
                <w:szCs w:val="20"/>
                <w:lang w:val="en-GB"/>
              </w:rPr>
              <w:t>ies</w:t>
            </w:r>
            <w:r w:rsidRPr="72AC5B75" w:rsidR="399F3CF1">
              <w:rPr>
                <w:b/>
                <w:bCs/>
                <w:i/>
                <w:iCs/>
                <w:color w:val="000000" w:themeColor="text1"/>
                <w:sz w:val="20"/>
                <w:szCs w:val="20"/>
                <w:lang w:val="en-GB"/>
              </w:rPr>
              <w:t xml:space="preserve"> implementation?</w:t>
            </w:r>
            <w:r w:rsidRPr="72AC5B75" w:rsidR="339F9BE0">
              <w:rPr>
                <w:b/>
                <w:bCs/>
                <w:i/>
                <w:iCs/>
                <w:sz w:val="20"/>
                <w:szCs w:val="20"/>
                <w:lang w:val="en-GB"/>
              </w:rPr>
              <w:t xml:space="preserve"> (Refer to the</w:t>
            </w:r>
            <w:r w:rsidRPr="72AC5B75" w:rsidR="26AE16C9">
              <w:rPr>
                <w:b/>
                <w:bCs/>
                <w:i/>
                <w:iCs/>
                <w:sz w:val="20"/>
                <w:szCs w:val="20"/>
                <w:lang w:val="en-GB"/>
              </w:rPr>
              <w:t xml:space="preserve"> </w:t>
            </w:r>
            <w:hyperlink r:id="rId14">
              <w:r w:rsidRPr="72AC5B75" w:rsidR="26AE16C9">
                <w:rPr>
                  <w:rStyle w:val="Hyperlink"/>
                  <w:b/>
                  <w:bCs/>
                  <w:i/>
                  <w:iCs/>
                  <w:sz w:val="20"/>
                  <w:szCs w:val="20"/>
                  <w:lang w:val="en-GB"/>
                </w:rPr>
                <w:t>PEF Targeted Country Assistance (TCA) Guidance for 2022-2025 Multi-Year Planning</w:t>
              </w:r>
            </w:hyperlink>
            <w:r w:rsidRPr="72AC5B75" w:rsidR="339F9BE0">
              <w:rPr>
                <w:b/>
                <w:bCs/>
                <w:i/>
                <w:iCs/>
                <w:sz w:val="20"/>
                <w:szCs w:val="20"/>
                <w:lang w:val="en-GB"/>
              </w:rPr>
              <w:t xml:space="preserve"> for the type of institutions considered global versus local partners and CSOs.)</w:t>
            </w:r>
          </w:p>
        </w:tc>
      </w:tr>
      <w:tr w:rsidR="00520598" w:rsidTr="78AE8092" w14:paraId="62BDF2A5" w14:textId="77777777">
        <w:tc>
          <w:tcPr>
            <w:tcW w:w="9170" w:type="dxa"/>
            <w:gridSpan w:val="2"/>
            <w:tcBorders>
              <w:top w:val="single" w:color="auto" w:sz="4" w:space="0"/>
              <w:left w:val="single" w:color="auto" w:sz="4" w:space="0"/>
              <w:bottom w:val="single" w:color="auto" w:sz="4" w:space="0"/>
              <w:right w:val="single" w:color="auto" w:sz="4" w:space="0"/>
            </w:tcBorders>
            <w:tcMar/>
          </w:tcPr>
          <w:p w:rsidR="00FC5514" w:rsidP="00F65F15" w:rsidRDefault="00B5457B" w14:paraId="2B800414" w14:textId="2C5F8A90">
            <w:pPr>
              <w:spacing w:line="300" w:lineRule="exact"/>
              <w:rPr>
                <w:sz w:val="20"/>
                <w:szCs w:val="20"/>
                <w:lang w:val="en-GB"/>
              </w:rPr>
            </w:pPr>
            <w:r>
              <w:rPr>
                <w:sz w:val="20"/>
                <w:szCs w:val="20"/>
                <w:lang w:val="en-GB"/>
              </w:rPr>
              <w:t xml:space="preserve">The </w:t>
            </w:r>
            <w:r w:rsidRPr="00F65F15" w:rsidR="00F65F15">
              <w:rPr>
                <w:sz w:val="20"/>
                <w:szCs w:val="20"/>
                <w:lang w:val="en-GB"/>
              </w:rPr>
              <w:t xml:space="preserve">Kenya </w:t>
            </w:r>
            <w:r w:rsidR="00F65F15">
              <w:rPr>
                <w:sz w:val="20"/>
                <w:szCs w:val="20"/>
                <w:lang w:val="en-GB"/>
              </w:rPr>
              <w:t xml:space="preserve">immunization programme is being supported by several partners at both national and county level in order to realize the goal of universal access to vaccines and immunization services. The </w:t>
            </w:r>
            <w:r>
              <w:rPr>
                <w:sz w:val="20"/>
                <w:szCs w:val="20"/>
                <w:lang w:val="en-GB"/>
              </w:rPr>
              <w:t>partner landscape</w:t>
            </w:r>
            <w:r w:rsidR="00F65F15">
              <w:rPr>
                <w:sz w:val="20"/>
                <w:szCs w:val="20"/>
                <w:lang w:val="en-GB"/>
              </w:rPr>
              <w:t xml:space="preserve"> </w:t>
            </w:r>
            <w:r w:rsidR="00D06278">
              <w:rPr>
                <w:sz w:val="20"/>
                <w:szCs w:val="20"/>
                <w:lang w:val="en-GB"/>
              </w:rPr>
              <w:t>keeps evolving and continuous mapping is critical to</w:t>
            </w:r>
            <w:r w:rsidR="005E29D5">
              <w:rPr>
                <w:sz w:val="20"/>
                <w:szCs w:val="20"/>
                <w:lang w:val="en-GB"/>
              </w:rPr>
              <w:t xml:space="preserve"> ensure </w:t>
            </w:r>
            <w:r w:rsidR="00D06278">
              <w:rPr>
                <w:sz w:val="20"/>
                <w:szCs w:val="20"/>
                <w:lang w:val="en-GB"/>
              </w:rPr>
              <w:t>synergy</w:t>
            </w:r>
            <w:r w:rsidR="005E29D5">
              <w:rPr>
                <w:sz w:val="20"/>
                <w:szCs w:val="20"/>
                <w:lang w:val="en-GB"/>
              </w:rPr>
              <w:t>,</w:t>
            </w:r>
            <w:r w:rsidR="00D06278">
              <w:rPr>
                <w:sz w:val="20"/>
                <w:szCs w:val="20"/>
                <w:lang w:val="en-GB"/>
              </w:rPr>
              <w:t xml:space="preserve"> minimize duplication</w:t>
            </w:r>
            <w:r w:rsidR="005E29D5">
              <w:rPr>
                <w:sz w:val="20"/>
                <w:szCs w:val="20"/>
                <w:lang w:val="en-GB"/>
              </w:rPr>
              <w:t xml:space="preserve"> and promote efficiency</w:t>
            </w:r>
            <w:r w:rsidR="00D06278">
              <w:rPr>
                <w:sz w:val="20"/>
                <w:szCs w:val="20"/>
                <w:lang w:val="en-GB"/>
              </w:rPr>
              <w:t xml:space="preserve">. </w:t>
            </w:r>
            <w:r w:rsidR="006F27F8">
              <w:rPr>
                <w:sz w:val="20"/>
                <w:szCs w:val="20"/>
                <w:lang w:val="en-GB"/>
              </w:rPr>
              <w:t>The partners are either global or local</w:t>
            </w:r>
            <w:r w:rsidR="00D8032F">
              <w:rPr>
                <w:sz w:val="20"/>
                <w:szCs w:val="20"/>
                <w:lang w:val="en-GB"/>
              </w:rPr>
              <w:t xml:space="preserve"> and their scope of operation in the country is either national or sub-national. </w:t>
            </w:r>
            <w:r w:rsidR="002A2E75">
              <w:rPr>
                <w:sz w:val="20"/>
                <w:szCs w:val="20"/>
                <w:lang w:val="en-GB"/>
              </w:rPr>
              <w:t>The global partners often have presence in the country</w:t>
            </w:r>
            <w:r w:rsidR="006F27F8">
              <w:rPr>
                <w:sz w:val="20"/>
                <w:szCs w:val="20"/>
                <w:lang w:val="en-GB"/>
              </w:rPr>
              <w:t>.</w:t>
            </w:r>
            <w:r w:rsidR="00FC5514">
              <w:rPr>
                <w:sz w:val="20"/>
                <w:szCs w:val="20"/>
                <w:lang w:val="en-GB"/>
              </w:rPr>
              <w:t xml:space="preserve"> The partners are either donors, technical agencies or implementers. The donors that support Kenya Ministry of Health immunization programme are Gavi the Vaccine Alliance, United States Agency for International Development (USAID) with its associated projects and the UK </w:t>
            </w:r>
            <w:r w:rsidRPr="00FC5514" w:rsidR="00FC5514">
              <w:rPr>
                <w:sz w:val="20"/>
                <w:szCs w:val="20"/>
                <w:lang w:val="en-GB"/>
              </w:rPr>
              <w:t>Department for International Development</w:t>
            </w:r>
            <w:r w:rsidR="00FC5514">
              <w:rPr>
                <w:sz w:val="20"/>
                <w:szCs w:val="20"/>
                <w:lang w:val="en-GB"/>
              </w:rPr>
              <w:t xml:space="preserve"> (DFID).  </w:t>
            </w:r>
          </w:p>
          <w:p w:rsidR="00FC5514" w:rsidP="00F65F15" w:rsidRDefault="00FC5514" w14:paraId="6EE1E91A" w14:textId="77777777">
            <w:pPr>
              <w:spacing w:line="300" w:lineRule="exact"/>
              <w:rPr>
                <w:sz w:val="20"/>
                <w:szCs w:val="20"/>
                <w:lang w:val="en-GB"/>
              </w:rPr>
            </w:pPr>
          </w:p>
          <w:p w:rsidR="00FC5514" w:rsidP="00F65F15" w:rsidRDefault="006F27F8" w14:paraId="11601011" w14:textId="3D9F84FC">
            <w:pPr>
              <w:spacing w:line="300" w:lineRule="exact"/>
              <w:rPr>
                <w:sz w:val="20"/>
                <w:szCs w:val="20"/>
                <w:lang w:val="en-GB"/>
              </w:rPr>
            </w:pPr>
            <w:r>
              <w:rPr>
                <w:sz w:val="20"/>
                <w:szCs w:val="20"/>
                <w:lang w:val="en-GB"/>
              </w:rPr>
              <w:t xml:space="preserve">The </w:t>
            </w:r>
            <w:r w:rsidR="00D06278">
              <w:rPr>
                <w:sz w:val="20"/>
                <w:szCs w:val="20"/>
                <w:lang w:val="en-GB"/>
              </w:rPr>
              <w:t>Gavi c</w:t>
            </w:r>
            <w:r w:rsidRPr="00F65F15" w:rsidR="00F65F15">
              <w:rPr>
                <w:sz w:val="20"/>
                <w:szCs w:val="20"/>
                <w:lang w:val="en-GB"/>
              </w:rPr>
              <w:t xml:space="preserve">ore </w:t>
            </w:r>
            <w:r w:rsidR="00D06278">
              <w:rPr>
                <w:sz w:val="20"/>
                <w:szCs w:val="20"/>
                <w:lang w:val="en-GB"/>
              </w:rPr>
              <w:t>p</w:t>
            </w:r>
            <w:r w:rsidRPr="00F65F15" w:rsidR="00F65F15">
              <w:rPr>
                <w:sz w:val="20"/>
                <w:szCs w:val="20"/>
                <w:lang w:val="en-GB"/>
              </w:rPr>
              <w:t xml:space="preserve">artners </w:t>
            </w:r>
            <w:r>
              <w:rPr>
                <w:sz w:val="20"/>
                <w:szCs w:val="20"/>
                <w:lang w:val="en-GB"/>
              </w:rPr>
              <w:t>currently working and supporting the Kenya Ministry of Health are World Health Organization (</w:t>
            </w:r>
            <w:r w:rsidRPr="00F65F15" w:rsidR="00F65F15">
              <w:rPr>
                <w:sz w:val="20"/>
                <w:szCs w:val="20"/>
                <w:lang w:val="en-GB"/>
              </w:rPr>
              <w:t>WHO</w:t>
            </w:r>
            <w:r>
              <w:rPr>
                <w:sz w:val="20"/>
                <w:szCs w:val="20"/>
                <w:lang w:val="en-GB"/>
              </w:rPr>
              <w:t>)</w:t>
            </w:r>
            <w:r w:rsidRPr="00F65F15" w:rsidR="00F65F15">
              <w:rPr>
                <w:sz w:val="20"/>
                <w:szCs w:val="20"/>
                <w:lang w:val="en-GB"/>
              </w:rPr>
              <w:t xml:space="preserve">, </w:t>
            </w:r>
            <w:r>
              <w:rPr>
                <w:sz w:val="20"/>
                <w:szCs w:val="20"/>
                <w:lang w:val="en-GB"/>
              </w:rPr>
              <w:t>United Nations Children’s Fund (</w:t>
            </w:r>
            <w:r w:rsidRPr="00F65F15" w:rsidR="00F65F15">
              <w:rPr>
                <w:sz w:val="20"/>
                <w:szCs w:val="20"/>
                <w:lang w:val="en-GB"/>
              </w:rPr>
              <w:t>UNICEF</w:t>
            </w:r>
            <w:r>
              <w:rPr>
                <w:sz w:val="20"/>
                <w:szCs w:val="20"/>
                <w:lang w:val="en-GB"/>
              </w:rPr>
              <w:t>)</w:t>
            </w:r>
            <w:r w:rsidRPr="00F65F15" w:rsidR="00F65F15">
              <w:rPr>
                <w:sz w:val="20"/>
                <w:szCs w:val="20"/>
                <w:lang w:val="en-GB"/>
              </w:rPr>
              <w:t>,</w:t>
            </w:r>
            <w:r>
              <w:rPr>
                <w:sz w:val="20"/>
                <w:szCs w:val="20"/>
                <w:lang w:val="en-GB"/>
              </w:rPr>
              <w:t xml:space="preserve"> Centers for Disease Control and Prevention</w:t>
            </w:r>
            <w:r w:rsidRPr="00F65F15" w:rsidR="00F65F15">
              <w:rPr>
                <w:sz w:val="20"/>
                <w:szCs w:val="20"/>
                <w:lang w:val="en-GB"/>
              </w:rPr>
              <w:t xml:space="preserve"> </w:t>
            </w:r>
            <w:r>
              <w:rPr>
                <w:sz w:val="20"/>
                <w:szCs w:val="20"/>
                <w:lang w:val="en-GB"/>
              </w:rPr>
              <w:t>(</w:t>
            </w:r>
            <w:r w:rsidRPr="00F65F15" w:rsidR="00F65F15">
              <w:rPr>
                <w:sz w:val="20"/>
                <w:szCs w:val="20"/>
                <w:lang w:val="en-GB"/>
              </w:rPr>
              <w:t>CDC</w:t>
            </w:r>
            <w:r>
              <w:rPr>
                <w:sz w:val="20"/>
                <w:szCs w:val="20"/>
                <w:lang w:val="en-GB"/>
              </w:rPr>
              <w:t>)</w:t>
            </w:r>
            <w:r w:rsidRPr="00F65F15" w:rsidR="00F65F15">
              <w:rPr>
                <w:sz w:val="20"/>
                <w:szCs w:val="20"/>
                <w:lang w:val="en-GB"/>
              </w:rPr>
              <w:t xml:space="preserve"> and </w:t>
            </w:r>
            <w:r>
              <w:rPr>
                <w:sz w:val="20"/>
                <w:szCs w:val="20"/>
                <w:lang w:val="en-GB"/>
              </w:rPr>
              <w:t>T</w:t>
            </w:r>
            <w:r w:rsidRPr="00F65F15" w:rsidR="00F65F15">
              <w:rPr>
                <w:sz w:val="20"/>
                <w:szCs w:val="20"/>
                <w:lang w:val="en-GB"/>
              </w:rPr>
              <w:t>he World Bank.</w:t>
            </w:r>
            <w:r w:rsidR="00F65F15">
              <w:rPr>
                <w:sz w:val="20"/>
                <w:szCs w:val="20"/>
                <w:lang w:val="en-GB"/>
              </w:rPr>
              <w:t xml:space="preserve"> </w:t>
            </w:r>
            <w:r w:rsidR="00D06278">
              <w:rPr>
                <w:sz w:val="20"/>
                <w:szCs w:val="20"/>
                <w:lang w:val="en-GB"/>
              </w:rPr>
              <w:t>Other e</w:t>
            </w:r>
            <w:r w:rsidRPr="00F65F15" w:rsidR="00F65F15">
              <w:rPr>
                <w:sz w:val="20"/>
                <w:szCs w:val="20"/>
                <w:lang w:val="en-GB"/>
              </w:rPr>
              <w:t xml:space="preserve">xpanded </w:t>
            </w:r>
            <w:r>
              <w:rPr>
                <w:sz w:val="20"/>
                <w:szCs w:val="20"/>
                <w:lang w:val="en-GB"/>
              </w:rPr>
              <w:t xml:space="preserve">implementing </w:t>
            </w:r>
            <w:r w:rsidR="00D06278">
              <w:rPr>
                <w:sz w:val="20"/>
                <w:szCs w:val="20"/>
                <w:lang w:val="en-GB"/>
              </w:rPr>
              <w:t>p</w:t>
            </w:r>
            <w:r w:rsidRPr="00F65F15" w:rsidR="00F65F15">
              <w:rPr>
                <w:sz w:val="20"/>
                <w:szCs w:val="20"/>
                <w:lang w:val="en-GB"/>
              </w:rPr>
              <w:t>artners</w:t>
            </w:r>
            <w:r>
              <w:rPr>
                <w:sz w:val="20"/>
                <w:szCs w:val="20"/>
                <w:lang w:val="en-GB"/>
              </w:rPr>
              <w:t xml:space="preserve"> working in the immunization arena are Clinton Health Access Initiative (</w:t>
            </w:r>
            <w:r w:rsidR="00D06278">
              <w:rPr>
                <w:sz w:val="20"/>
                <w:szCs w:val="20"/>
                <w:lang w:val="en-GB"/>
              </w:rPr>
              <w:t>CHAI</w:t>
            </w:r>
            <w:r>
              <w:rPr>
                <w:sz w:val="20"/>
                <w:szCs w:val="20"/>
                <w:lang w:val="en-GB"/>
              </w:rPr>
              <w:t>)</w:t>
            </w:r>
            <w:r w:rsidR="00D06278">
              <w:rPr>
                <w:sz w:val="20"/>
                <w:szCs w:val="20"/>
                <w:lang w:val="en-GB"/>
              </w:rPr>
              <w:t xml:space="preserve">, PATH, </w:t>
            </w:r>
            <w:r>
              <w:rPr>
                <w:sz w:val="20"/>
                <w:szCs w:val="20"/>
                <w:lang w:val="en-GB"/>
              </w:rPr>
              <w:t>John Snow Inc (</w:t>
            </w:r>
            <w:r w:rsidR="00D06278">
              <w:rPr>
                <w:sz w:val="20"/>
                <w:szCs w:val="20"/>
                <w:lang w:val="en-GB"/>
              </w:rPr>
              <w:t>JSI</w:t>
            </w:r>
            <w:r>
              <w:rPr>
                <w:sz w:val="20"/>
                <w:szCs w:val="20"/>
                <w:lang w:val="en-GB"/>
              </w:rPr>
              <w:t>)</w:t>
            </w:r>
            <w:r w:rsidR="00D06278">
              <w:rPr>
                <w:sz w:val="20"/>
                <w:szCs w:val="20"/>
                <w:lang w:val="en-GB"/>
              </w:rPr>
              <w:t xml:space="preserve">, </w:t>
            </w:r>
            <w:r>
              <w:rPr>
                <w:sz w:val="20"/>
                <w:szCs w:val="20"/>
                <w:lang w:val="en-GB"/>
              </w:rPr>
              <w:t>Kenya Aids NGO Consortium (</w:t>
            </w:r>
            <w:r w:rsidR="00D06278">
              <w:rPr>
                <w:sz w:val="20"/>
                <w:szCs w:val="20"/>
                <w:lang w:val="en-GB"/>
              </w:rPr>
              <w:t>KANCO</w:t>
            </w:r>
            <w:r>
              <w:rPr>
                <w:sz w:val="20"/>
                <w:szCs w:val="20"/>
                <w:lang w:val="en-GB"/>
              </w:rPr>
              <w:t>)</w:t>
            </w:r>
            <w:r w:rsidR="00D06278">
              <w:rPr>
                <w:sz w:val="20"/>
                <w:szCs w:val="20"/>
                <w:lang w:val="en-GB"/>
              </w:rPr>
              <w:t>,</w:t>
            </w:r>
            <w:r>
              <w:rPr>
                <w:sz w:val="20"/>
                <w:szCs w:val="20"/>
                <w:lang w:val="en-GB"/>
              </w:rPr>
              <w:t xml:space="preserve"> Living Goods.</w:t>
            </w:r>
            <w:r w:rsidR="00D06278">
              <w:rPr>
                <w:sz w:val="20"/>
                <w:szCs w:val="20"/>
                <w:lang w:val="en-GB"/>
              </w:rPr>
              <w:t xml:space="preserve"> </w:t>
            </w:r>
            <w:r w:rsidRPr="00092DA2" w:rsidR="00FC5514">
              <w:rPr>
                <w:sz w:val="20"/>
                <w:szCs w:val="20"/>
                <w:lang w:val="en-GB"/>
              </w:rPr>
              <w:t xml:space="preserve">The partners supporting the Kenya immunization programme are </w:t>
            </w:r>
            <w:r w:rsidR="00FC5514">
              <w:rPr>
                <w:sz w:val="20"/>
                <w:szCs w:val="20"/>
                <w:lang w:val="en-GB"/>
              </w:rPr>
              <w:t xml:space="preserve">led </w:t>
            </w:r>
            <w:r w:rsidRPr="00092DA2" w:rsidR="00FC5514">
              <w:rPr>
                <w:sz w:val="20"/>
                <w:szCs w:val="20"/>
                <w:lang w:val="en-GB"/>
              </w:rPr>
              <w:t>by the Ministry of Health Immunization Programme</w:t>
            </w:r>
            <w:r w:rsidR="00FC5514">
              <w:rPr>
                <w:sz w:val="20"/>
                <w:szCs w:val="20"/>
                <w:lang w:val="en-GB"/>
              </w:rPr>
              <w:t xml:space="preserve"> and coordinated</w:t>
            </w:r>
            <w:r w:rsidRPr="00092DA2" w:rsidR="00FC5514">
              <w:rPr>
                <w:sz w:val="20"/>
                <w:szCs w:val="20"/>
                <w:lang w:val="en-GB"/>
              </w:rPr>
              <w:t xml:space="preserve"> through the technical working groups</w:t>
            </w:r>
            <w:r w:rsidR="00FC5514">
              <w:rPr>
                <w:sz w:val="20"/>
                <w:szCs w:val="20"/>
                <w:lang w:val="en-GB"/>
              </w:rPr>
              <w:t xml:space="preserve"> (TWG) and the interagency Coordinating Committee (ICC).</w:t>
            </w:r>
          </w:p>
          <w:p w:rsidR="00FC5514" w:rsidP="00F65F15" w:rsidRDefault="00FC5514" w14:paraId="353D54B5" w14:textId="77777777">
            <w:pPr>
              <w:spacing w:line="300" w:lineRule="exact"/>
              <w:rPr>
                <w:sz w:val="20"/>
                <w:szCs w:val="20"/>
                <w:lang w:val="en-GB"/>
              </w:rPr>
            </w:pPr>
          </w:p>
          <w:p w:rsidR="00D8032F" w:rsidP="00B5457B" w:rsidRDefault="006F27F8" w14:paraId="18AA925F" w14:textId="68537F71">
            <w:pPr>
              <w:spacing w:line="300" w:lineRule="exact"/>
              <w:rPr>
                <w:color w:val="92D050"/>
                <w:lang w:val="en-GB"/>
              </w:rPr>
            </w:pPr>
            <w:r>
              <w:rPr>
                <w:sz w:val="20"/>
                <w:szCs w:val="20"/>
                <w:lang w:val="en-GB"/>
              </w:rPr>
              <w:t xml:space="preserve">These partners provide immunization programme funding, additional human resource and technical </w:t>
            </w:r>
            <w:r w:rsidR="00D8032F">
              <w:rPr>
                <w:sz w:val="20"/>
                <w:szCs w:val="20"/>
                <w:lang w:val="en-GB"/>
              </w:rPr>
              <w:t>assistance</w:t>
            </w:r>
            <w:r>
              <w:rPr>
                <w:sz w:val="20"/>
                <w:szCs w:val="20"/>
                <w:lang w:val="en-GB"/>
              </w:rPr>
              <w:t xml:space="preserve">. </w:t>
            </w:r>
            <w:r w:rsidR="00D8032F">
              <w:rPr>
                <w:sz w:val="20"/>
                <w:szCs w:val="20"/>
                <w:lang w:val="en-GB"/>
              </w:rPr>
              <w:t xml:space="preserve">The distribution of roles is informed by comparative advantage of each organization and what it was established to do. However, there </w:t>
            </w:r>
            <w:r w:rsidR="00B5457B">
              <w:rPr>
                <w:sz w:val="20"/>
                <w:szCs w:val="20"/>
                <w:lang w:val="en-GB"/>
              </w:rPr>
              <w:t xml:space="preserve">are </w:t>
            </w:r>
            <w:r w:rsidR="00D8032F">
              <w:rPr>
                <w:sz w:val="20"/>
                <w:szCs w:val="20"/>
                <w:lang w:val="en-GB"/>
              </w:rPr>
              <w:t xml:space="preserve">exceptional situations where a partner may have received funding </w:t>
            </w:r>
            <w:r w:rsidR="006676B4">
              <w:rPr>
                <w:sz w:val="20"/>
                <w:szCs w:val="20"/>
                <w:lang w:val="en-GB"/>
              </w:rPr>
              <w:t xml:space="preserve">from other sources </w:t>
            </w:r>
            <w:r w:rsidR="00D8032F">
              <w:rPr>
                <w:sz w:val="20"/>
                <w:szCs w:val="20"/>
                <w:lang w:val="en-GB"/>
              </w:rPr>
              <w:t>earmarked for a specific deliverable</w:t>
            </w:r>
            <w:r w:rsidR="006676B4">
              <w:rPr>
                <w:sz w:val="20"/>
                <w:szCs w:val="20"/>
                <w:lang w:val="en-GB"/>
              </w:rPr>
              <w:t xml:space="preserve"> that required to be considered</w:t>
            </w:r>
            <w:r w:rsidR="00D8032F">
              <w:rPr>
                <w:sz w:val="20"/>
                <w:szCs w:val="20"/>
                <w:lang w:val="en-GB"/>
              </w:rPr>
              <w:t xml:space="preserve">.  </w:t>
            </w:r>
          </w:p>
        </w:tc>
      </w:tr>
      <w:tr w:rsidR="00520598" w:rsidTr="78AE8092" w14:paraId="72481A8B" w14:textId="77777777">
        <w:trPr>
          <w:trHeight w:val="845"/>
        </w:trPr>
        <w:tc>
          <w:tcPr>
            <w:tcW w:w="9170" w:type="dxa"/>
            <w:gridSpan w:val="2"/>
            <w:shd w:val="clear" w:color="auto" w:fill="F2F2F2" w:themeFill="background1" w:themeFillShade="F2"/>
            <w:tcMar/>
          </w:tcPr>
          <w:p w:rsidRPr="00520598" w:rsidR="00520598" w:rsidP="72AC5B75" w:rsidRDefault="20DB2321" w14:paraId="29991F07" w14:textId="02699B86">
            <w:pPr>
              <w:spacing w:line="300" w:lineRule="exact"/>
              <w:rPr>
                <w:b/>
                <w:bCs/>
                <w:i/>
                <w:iCs/>
                <w:color w:val="000000" w:themeColor="text1"/>
                <w:sz w:val="20"/>
                <w:szCs w:val="20"/>
                <w:lang w:val="en-GB"/>
              </w:rPr>
            </w:pPr>
            <w:r w:rsidRPr="72AC5B75">
              <w:rPr>
                <w:b/>
                <w:bCs/>
                <w:i/>
                <w:iCs/>
                <w:sz w:val="20"/>
                <w:szCs w:val="20"/>
                <w:lang w:val="en-GB"/>
              </w:rPr>
              <w:t>3.2 Please indicate how exactly you plan to collaborate with Local Partners</w:t>
            </w:r>
            <w:r w:rsidRPr="72AC5B75" w:rsidR="6AC6A279">
              <w:rPr>
                <w:b/>
                <w:bCs/>
                <w:i/>
                <w:iCs/>
                <w:sz w:val="20"/>
                <w:szCs w:val="20"/>
                <w:lang w:val="en-GB"/>
              </w:rPr>
              <w:t>.</w:t>
            </w:r>
          </w:p>
        </w:tc>
      </w:tr>
      <w:tr w:rsidR="00E80A44" w:rsidTr="78AE8092" w14:paraId="5B4D7083" w14:textId="77777777">
        <w:trPr>
          <w:gridAfter w:val="1"/>
          <w:wAfter w:w="22" w:type="dxa"/>
        </w:trPr>
        <w:tc>
          <w:tcPr>
            <w:tcW w:w="9170" w:type="dxa"/>
            <w:tcBorders>
              <w:top w:val="single" w:color="auto" w:sz="4" w:space="0"/>
              <w:left w:val="single" w:color="auto" w:sz="4" w:space="0"/>
              <w:bottom w:val="single" w:color="auto" w:sz="4" w:space="0"/>
              <w:right w:val="single" w:color="auto" w:sz="4" w:space="0"/>
            </w:tcBorders>
            <w:tcMar/>
          </w:tcPr>
          <w:p w:rsidRPr="00327A31" w:rsidR="009E1E02" w:rsidP="00E80A44" w:rsidRDefault="009E1E02" w14:paraId="59EA7DFD" w14:textId="65D11440">
            <w:pPr>
              <w:spacing w:line="300" w:lineRule="exact"/>
              <w:rPr>
                <w:sz w:val="20"/>
                <w:szCs w:val="20"/>
                <w:lang w:val="en-GB"/>
              </w:rPr>
            </w:pPr>
            <w:r w:rsidRPr="00327A31">
              <w:rPr>
                <w:sz w:val="20"/>
                <w:szCs w:val="20"/>
                <w:lang w:val="en-GB"/>
              </w:rPr>
              <w:t xml:space="preserve">Local partners play a critical role in supporting the health system at the sub national level and have varying capacities and capabilities. The country is committed </w:t>
            </w:r>
            <w:r w:rsidRPr="00327A31" w:rsidR="00B5457B">
              <w:rPr>
                <w:sz w:val="20"/>
                <w:szCs w:val="20"/>
                <w:lang w:val="en-GB"/>
              </w:rPr>
              <w:t xml:space="preserve">to </w:t>
            </w:r>
            <w:r w:rsidRPr="00327A31">
              <w:rPr>
                <w:sz w:val="20"/>
                <w:szCs w:val="20"/>
                <w:lang w:val="en-GB"/>
              </w:rPr>
              <w:t xml:space="preserve">engaging the local partners to support the program in </w:t>
            </w:r>
            <w:r w:rsidRPr="00327A31" w:rsidR="00B5457B">
              <w:rPr>
                <w:sz w:val="20"/>
                <w:szCs w:val="20"/>
                <w:lang w:val="en-GB"/>
              </w:rPr>
              <w:t xml:space="preserve">a </w:t>
            </w:r>
            <w:r w:rsidRPr="00327A31">
              <w:rPr>
                <w:sz w:val="20"/>
                <w:szCs w:val="20"/>
                <w:lang w:val="en-GB"/>
              </w:rPr>
              <w:t>planned</w:t>
            </w:r>
            <w:r w:rsidRPr="00327A31" w:rsidR="00C7373D">
              <w:rPr>
                <w:sz w:val="20"/>
                <w:szCs w:val="20"/>
                <w:lang w:val="en-GB"/>
              </w:rPr>
              <w:t>, phased</w:t>
            </w:r>
            <w:r w:rsidRPr="00327A31">
              <w:rPr>
                <w:sz w:val="20"/>
                <w:szCs w:val="20"/>
                <w:lang w:val="en-GB"/>
              </w:rPr>
              <w:t xml:space="preserve"> and systematic manner. </w:t>
            </w:r>
          </w:p>
          <w:p w:rsidRPr="00327A31" w:rsidR="009E1E02" w:rsidP="00E80A44" w:rsidRDefault="009E1E02" w14:paraId="56E85827" w14:textId="77777777">
            <w:pPr>
              <w:spacing w:line="300" w:lineRule="exact"/>
              <w:rPr>
                <w:sz w:val="20"/>
                <w:szCs w:val="20"/>
                <w:lang w:val="en-GB"/>
              </w:rPr>
            </w:pPr>
          </w:p>
          <w:p w:rsidRPr="00327A31" w:rsidR="009E1E02" w:rsidP="00E80A44" w:rsidRDefault="00C7373D" w14:paraId="56F56816" w14:textId="4C92B8FE">
            <w:pPr>
              <w:spacing w:line="300" w:lineRule="exact"/>
              <w:rPr>
                <w:sz w:val="20"/>
                <w:szCs w:val="20"/>
                <w:lang w:val="en-GB"/>
              </w:rPr>
            </w:pPr>
            <w:r w:rsidRPr="78AE8092" w:rsidR="00C7373D">
              <w:rPr>
                <w:sz w:val="20"/>
                <w:szCs w:val="20"/>
                <w:lang w:val="en-GB"/>
              </w:rPr>
              <w:t>The Government of Kenya plans to</w:t>
            </w:r>
            <w:r w:rsidRPr="78AE8092" w:rsidR="009E1E02">
              <w:rPr>
                <w:sz w:val="20"/>
                <w:szCs w:val="20"/>
                <w:lang w:val="en-GB"/>
              </w:rPr>
              <w:t xml:space="preserve"> identify and engag</w:t>
            </w:r>
            <w:r w:rsidRPr="78AE8092" w:rsidR="00C7373D">
              <w:rPr>
                <w:sz w:val="20"/>
                <w:szCs w:val="20"/>
                <w:lang w:val="en-GB"/>
              </w:rPr>
              <w:t>e</w:t>
            </w:r>
            <w:r w:rsidRPr="78AE8092" w:rsidR="009E1E02">
              <w:rPr>
                <w:sz w:val="20"/>
                <w:szCs w:val="20"/>
                <w:lang w:val="en-GB"/>
              </w:rPr>
              <w:t xml:space="preserve"> local partners</w:t>
            </w:r>
            <w:r w:rsidRPr="78AE8092" w:rsidR="00C7373D">
              <w:rPr>
                <w:sz w:val="20"/>
                <w:szCs w:val="20"/>
                <w:lang w:val="en-GB"/>
              </w:rPr>
              <w:t>, assess their capacities and engage them</w:t>
            </w:r>
            <w:r w:rsidRPr="78AE8092" w:rsidR="009E1E02">
              <w:rPr>
                <w:sz w:val="20"/>
                <w:szCs w:val="20"/>
                <w:lang w:val="en-GB"/>
              </w:rPr>
              <w:t xml:space="preserve"> </w:t>
            </w:r>
            <w:r w:rsidRPr="78AE8092" w:rsidR="00227D79">
              <w:rPr>
                <w:sz w:val="20"/>
                <w:szCs w:val="20"/>
                <w:lang w:val="en-GB"/>
              </w:rPr>
              <w:t>through the different coordinating mechanisms such as the ICC</w:t>
            </w:r>
            <w:r w:rsidRPr="78AE8092" w:rsidR="009E1E02">
              <w:rPr>
                <w:sz w:val="20"/>
                <w:szCs w:val="20"/>
                <w:lang w:val="en-GB"/>
              </w:rPr>
              <w:t xml:space="preserve"> at the national and subnational level. This will </w:t>
            </w:r>
            <w:r w:rsidRPr="78AE8092" w:rsidR="00227D79">
              <w:rPr>
                <w:sz w:val="20"/>
                <w:szCs w:val="20"/>
                <w:lang w:val="en-GB"/>
              </w:rPr>
              <w:t>ensure that local partners are engaged in supporting the immunization space</w:t>
            </w:r>
            <w:r w:rsidRPr="78AE8092" w:rsidR="009E1E02">
              <w:rPr>
                <w:sz w:val="20"/>
                <w:szCs w:val="20"/>
                <w:lang w:val="en-GB"/>
              </w:rPr>
              <w:t>, understanding their capacities and capabilities and eventually identify different local partners to be engaged and contracted in future TCA</w:t>
            </w:r>
            <w:r w:rsidRPr="78AE8092" w:rsidR="00227D79">
              <w:rPr>
                <w:sz w:val="20"/>
                <w:szCs w:val="20"/>
                <w:lang w:val="en-GB"/>
              </w:rPr>
              <w:t xml:space="preserve">. </w:t>
            </w:r>
          </w:p>
          <w:p w:rsidRPr="00327A31" w:rsidR="009E1E02" w:rsidP="00E80A44" w:rsidRDefault="009E1E02" w14:paraId="61F63670" w14:textId="77777777">
            <w:pPr>
              <w:spacing w:line="300" w:lineRule="exact"/>
              <w:rPr>
                <w:sz w:val="20"/>
                <w:szCs w:val="20"/>
                <w:lang w:val="en-GB"/>
              </w:rPr>
            </w:pPr>
          </w:p>
          <w:p w:rsidR="00E80A44" w:rsidP="00E80A44" w:rsidRDefault="00227D79" w14:paraId="6420D9B9" w14:textId="1FA6ED9C">
            <w:pPr>
              <w:spacing w:line="300" w:lineRule="exact"/>
              <w:rPr>
                <w:color w:val="92D050"/>
                <w:lang w:val="en-GB"/>
              </w:rPr>
            </w:pPr>
            <w:r w:rsidRPr="00327A31">
              <w:rPr>
                <w:sz w:val="20"/>
                <w:szCs w:val="20"/>
                <w:lang w:val="en-GB"/>
              </w:rPr>
              <w:t>The local partners will then continue being a critical support structure for the program as their role and capacity in supporting the program is built.</w:t>
            </w:r>
            <w:r>
              <w:rPr>
                <w:color w:val="92D050"/>
                <w:lang w:val="en-GB"/>
              </w:rPr>
              <w:t xml:space="preserve"> </w:t>
            </w:r>
          </w:p>
        </w:tc>
      </w:tr>
      <w:tr w:rsidR="38F5364C" w:rsidTr="78AE8092" w14:paraId="5D1DCA18"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Mar/>
          </w:tcPr>
          <w:p w:rsidR="2F92698C" w:rsidP="704B32F1" w:rsidRDefault="3D5C2947" w14:paraId="59D43D0B" w14:textId="2AE6E4DA">
            <w:pPr>
              <w:spacing w:line="300" w:lineRule="exact"/>
              <w:rPr>
                <w:b/>
                <w:bCs/>
                <w:i/>
                <w:iCs/>
                <w:color w:val="000000" w:themeColor="text1"/>
                <w:sz w:val="20"/>
                <w:szCs w:val="20"/>
              </w:rPr>
            </w:pPr>
            <w:r w:rsidRPr="704B32F1">
              <w:rPr>
                <w:b/>
                <w:bCs/>
                <w:i/>
                <w:iCs/>
                <w:color w:val="000000" w:themeColor="text1"/>
                <w:sz w:val="20"/>
                <w:szCs w:val="20"/>
              </w:rPr>
              <w:lastRenderedPageBreak/>
              <w:t>3.</w:t>
            </w:r>
            <w:r w:rsidR="00520598">
              <w:rPr>
                <w:b/>
                <w:bCs/>
                <w:i/>
                <w:iCs/>
                <w:color w:val="000000" w:themeColor="text1"/>
                <w:sz w:val="20"/>
                <w:szCs w:val="20"/>
              </w:rPr>
              <w:t>3</w:t>
            </w:r>
            <w:r w:rsidRPr="704B32F1">
              <w:rPr>
                <w:b/>
                <w:bCs/>
                <w:i/>
                <w:iCs/>
                <w:color w:val="000000" w:themeColor="text1"/>
                <w:sz w:val="20"/>
                <w:szCs w:val="20"/>
              </w:rPr>
              <w:t xml:space="preserve"> </w:t>
            </w:r>
            <w:r w:rsidRPr="704B32F1" w:rsidR="64431148">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Pr="704B32F1" w:rsidR="64431148">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Pr="704B32F1" w:rsidR="64431148">
              <w:rPr>
                <w:b/>
                <w:bCs/>
                <w:i/>
                <w:iCs/>
                <w:color w:val="000000" w:themeColor="text1"/>
                <w:sz w:val="20"/>
                <w:szCs w:val="20"/>
              </w:rPr>
              <w:t xml:space="preserve"> of allocating </w:t>
            </w:r>
            <w:r w:rsidR="004E2955">
              <w:rPr>
                <w:b/>
                <w:bCs/>
                <w:i/>
                <w:iCs/>
                <w:color w:val="000000" w:themeColor="text1"/>
                <w:sz w:val="20"/>
                <w:szCs w:val="20"/>
              </w:rPr>
              <w:t>30</w:t>
            </w:r>
            <w:r w:rsidRPr="704B32F1" w:rsidR="64431148">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Pr>
                <w:b/>
                <w:bCs/>
                <w:i/>
                <w:iCs/>
                <w:color w:val="000000" w:themeColor="text1"/>
                <w:sz w:val="20"/>
                <w:szCs w:val="20"/>
              </w:rPr>
              <w:t>.</w:t>
            </w:r>
            <w:r w:rsidR="00025BBE">
              <w:rPr>
                <w:b/>
                <w:bCs/>
                <w:i/>
                <w:iCs/>
                <w:color w:val="000000" w:themeColor="text1"/>
                <w:sz w:val="20"/>
                <w:szCs w:val="20"/>
              </w:rPr>
              <w:t xml:space="preserve"> </w:t>
            </w:r>
            <w:r w:rsidRPr="002C42E8" w:rsidR="00025BBE">
              <w:rPr>
                <w:i/>
                <w:sz w:val="20"/>
                <w:szCs w:val="20"/>
                <w:lang w:val="en-GB"/>
              </w:rPr>
              <w:t>Please refer to section 2.3 (3. Partner Mapping) of the PEF TCA Planning Guidelines for more information.</w:t>
            </w:r>
          </w:p>
        </w:tc>
      </w:tr>
      <w:tr w:rsidR="38F5364C" w:rsidTr="78AE8092" w14:paraId="094E7639" w14:textId="77777777">
        <w:tc>
          <w:tcPr>
            <w:tcW w:w="9192" w:type="dxa"/>
            <w:gridSpan w:val="2"/>
            <w:tcBorders>
              <w:top w:val="single" w:color="auto" w:sz="4" w:space="0"/>
              <w:left w:val="single" w:color="auto" w:sz="4" w:space="0"/>
              <w:bottom w:val="single" w:color="auto" w:sz="4" w:space="0"/>
              <w:right w:val="single" w:color="auto" w:sz="4" w:space="0"/>
            </w:tcBorders>
            <w:tcMar/>
          </w:tcPr>
          <w:p w:rsidRPr="00327A31" w:rsidR="38F5364C" w:rsidP="38F5364C" w:rsidRDefault="00885620" w14:paraId="09F3DC45" w14:textId="45A00D33">
            <w:pPr>
              <w:spacing w:line="300" w:lineRule="exact"/>
              <w:rPr>
                <w:sz w:val="20"/>
                <w:szCs w:val="20"/>
                <w:lang w:val="en-GB"/>
              </w:rPr>
            </w:pPr>
            <w:r>
              <w:rPr>
                <w:sz w:val="20"/>
                <w:szCs w:val="20"/>
                <w:lang w:val="en-GB"/>
              </w:rPr>
              <w:t>Kenya notes the recommendation to allocate 30% of TCA to local partners in the period 2022 to 2025. In order to realize and comply to this requirement, Kenya plans to implement it progressively</w:t>
            </w:r>
            <w:r w:rsidR="00084E1D">
              <w:rPr>
                <w:sz w:val="20"/>
                <w:szCs w:val="20"/>
                <w:lang w:val="en-GB"/>
              </w:rPr>
              <w:t xml:space="preserve"> looking into the different funding pots made available to Kenya by Gavi</w:t>
            </w:r>
            <w:r w:rsidR="005D0C1C">
              <w:rPr>
                <w:sz w:val="20"/>
                <w:szCs w:val="20"/>
                <w:lang w:val="en-GB"/>
              </w:rPr>
              <w:t xml:space="preserve">. </w:t>
            </w:r>
            <w:r>
              <w:rPr>
                <w:sz w:val="20"/>
                <w:szCs w:val="20"/>
                <w:lang w:val="en-GB"/>
              </w:rPr>
              <w:t xml:space="preserve"> </w:t>
            </w:r>
            <w:r w:rsidRPr="00327A31" w:rsidR="00227D79">
              <w:rPr>
                <w:sz w:val="20"/>
                <w:szCs w:val="20"/>
                <w:lang w:val="en-GB"/>
              </w:rPr>
              <w:t>In the current TCA</w:t>
            </w:r>
            <w:r w:rsidRPr="00327A31" w:rsidR="009E1E02">
              <w:rPr>
                <w:sz w:val="20"/>
                <w:szCs w:val="20"/>
                <w:lang w:val="en-GB"/>
              </w:rPr>
              <w:t xml:space="preserve"> the Government and</w:t>
            </w:r>
            <w:r>
              <w:rPr>
                <w:sz w:val="20"/>
                <w:szCs w:val="20"/>
                <w:lang w:val="en-GB"/>
              </w:rPr>
              <w:t xml:space="preserve"> its</w:t>
            </w:r>
            <w:r w:rsidR="00084E1D">
              <w:rPr>
                <w:sz w:val="20"/>
                <w:szCs w:val="20"/>
                <w:lang w:val="en-GB"/>
              </w:rPr>
              <w:t xml:space="preserve"> core</w:t>
            </w:r>
            <w:r w:rsidRPr="00327A31" w:rsidR="009E1E02">
              <w:rPr>
                <w:sz w:val="20"/>
                <w:szCs w:val="20"/>
                <w:lang w:val="en-GB"/>
              </w:rPr>
              <w:t xml:space="preserve"> </w:t>
            </w:r>
            <w:r w:rsidR="00084E1D">
              <w:rPr>
                <w:sz w:val="20"/>
                <w:szCs w:val="20"/>
                <w:lang w:val="en-GB"/>
              </w:rPr>
              <w:t xml:space="preserve">immunization </w:t>
            </w:r>
            <w:r w:rsidRPr="00327A31" w:rsidR="009E1E02">
              <w:rPr>
                <w:sz w:val="20"/>
                <w:szCs w:val="20"/>
                <w:lang w:val="en-GB"/>
              </w:rPr>
              <w:t xml:space="preserve">partners will </w:t>
            </w:r>
            <w:r w:rsidR="005D0C1C">
              <w:rPr>
                <w:sz w:val="20"/>
                <w:szCs w:val="20"/>
                <w:lang w:val="en-GB"/>
              </w:rPr>
              <w:t>commence the processes to map the local partners,</w:t>
            </w:r>
            <w:r w:rsidRPr="00327A31" w:rsidR="009E1E02">
              <w:rPr>
                <w:sz w:val="20"/>
                <w:szCs w:val="20"/>
                <w:lang w:val="en-GB"/>
              </w:rPr>
              <w:t xml:space="preserve"> </w:t>
            </w:r>
            <w:r w:rsidR="005D0C1C">
              <w:rPr>
                <w:sz w:val="20"/>
                <w:szCs w:val="20"/>
                <w:lang w:val="en-GB"/>
              </w:rPr>
              <w:t>document</w:t>
            </w:r>
            <w:r w:rsidR="002B2402">
              <w:rPr>
                <w:sz w:val="20"/>
                <w:szCs w:val="20"/>
                <w:lang w:val="en-GB"/>
              </w:rPr>
              <w:t xml:space="preserve"> and</w:t>
            </w:r>
            <w:r w:rsidR="005D0C1C">
              <w:rPr>
                <w:sz w:val="20"/>
                <w:szCs w:val="20"/>
                <w:lang w:val="en-GB"/>
              </w:rPr>
              <w:t xml:space="preserve"> explore options for </w:t>
            </w:r>
            <w:r w:rsidRPr="00327A31" w:rsidR="009E1E02">
              <w:rPr>
                <w:sz w:val="20"/>
                <w:szCs w:val="20"/>
                <w:lang w:val="en-GB"/>
              </w:rPr>
              <w:t>engag</w:t>
            </w:r>
            <w:r w:rsidR="005D0C1C">
              <w:rPr>
                <w:sz w:val="20"/>
                <w:szCs w:val="20"/>
                <w:lang w:val="en-GB"/>
              </w:rPr>
              <w:t xml:space="preserve">ement. The mapping will look into  </w:t>
            </w:r>
            <w:r w:rsidRPr="00327A31" w:rsidR="009E1E02">
              <w:rPr>
                <w:sz w:val="20"/>
                <w:szCs w:val="20"/>
                <w:lang w:val="en-GB"/>
              </w:rPr>
              <w:t xml:space="preserve"> the </w:t>
            </w:r>
            <w:r w:rsidR="005D0C1C">
              <w:rPr>
                <w:sz w:val="20"/>
                <w:szCs w:val="20"/>
                <w:lang w:val="en-GB"/>
              </w:rPr>
              <w:t xml:space="preserve">diverse </w:t>
            </w:r>
            <w:r w:rsidRPr="00327A31" w:rsidR="009E1E02">
              <w:rPr>
                <w:sz w:val="20"/>
                <w:szCs w:val="20"/>
                <w:lang w:val="en-GB"/>
              </w:rPr>
              <w:t xml:space="preserve">capabilities of the different local partners. This mapping and preliminary engagement will include local partners supporting the program and potential partners who can support the program. </w:t>
            </w:r>
          </w:p>
          <w:p w:rsidRPr="00327A31" w:rsidR="009E1E02" w:rsidP="38F5364C" w:rsidRDefault="009E1E02" w14:paraId="3E39B827" w14:textId="77777777">
            <w:pPr>
              <w:spacing w:line="300" w:lineRule="exact"/>
              <w:rPr>
                <w:sz w:val="20"/>
                <w:szCs w:val="20"/>
                <w:lang w:val="en-GB"/>
              </w:rPr>
            </w:pPr>
          </w:p>
          <w:p w:rsidRPr="00327A31" w:rsidR="009E1E02" w:rsidP="38F5364C" w:rsidRDefault="009E1E02" w14:paraId="18A4B329" w14:textId="1546E49B">
            <w:pPr>
              <w:spacing w:line="300" w:lineRule="exact"/>
              <w:rPr>
                <w:sz w:val="20"/>
                <w:szCs w:val="20"/>
                <w:lang w:val="en-GB"/>
              </w:rPr>
            </w:pPr>
            <w:r w:rsidRPr="78AE8092" w:rsidR="009E1E02">
              <w:rPr>
                <w:sz w:val="20"/>
                <w:szCs w:val="20"/>
                <w:lang w:val="en-GB"/>
              </w:rPr>
              <w:t xml:space="preserve">Subsequent TCA will include local partners who can be engaged as sub-contractors to WHO and UNICEF, who will build the capacities and capabilities of the local partners. This period will support the local partners in areas such as technical approaches, </w:t>
            </w:r>
            <w:proofErr w:type="spellStart"/>
            <w:r w:rsidRPr="78AE8092" w:rsidR="009E1E02">
              <w:rPr>
                <w:sz w:val="20"/>
                <w:szCs w:val="20"/>
                <w:lang w:val="en-GB"/>
              </w:rPr>
              <w:t>programatic</w:t>
            </w:r>
            <w:proofErr w:type="spellEnd"/>
            <w:r w:rsidRPr="78AE8092" w:rsidR="009E1E02">
              <w:rPr>
                <w:sz w:val="20"/>
                <w:szCs w:val="20"/>
                <w:lang w:val="en-GB"/>
              </w:rPr>
              <w:t xml:space="preserve"> know-how and financial reporting and integrity. </w:t>
            </w:r>
          </w:p>
          <w:p w:rsidRPr="00327A31" w:rsidR="009E1E02" w:rsidP="38F5364C" w:rsidRDefault="009E1E02" w14:paraId="3C6F6631" w14:textId="77777777">
            <w:pPr>
              <w:spacing w:line="300" w:lineRule="exact"/>
              <w:rPr>
                <w:sz w:val="20"/>
                <w:szCs w:val="20"/>
                <w:lang w:val="en-GB"/>
              </w:rPr>
            </w:pPr>
          </w:p>
          <w:p w:rsidRPr="00327A31" w:rsidR="009E1E02" w:rsidP="38F5364C" w:rsidRDefault="009E1E02" w14:paraId="26CFCE50" w14:textId="77777777">
            <w:pPr>
              <w:spacing w:line="300" w:lineRule="exact"/>
              <w:rPr>
                <w:sz w:val="20"/>
                <w:szCs w:val="20"/>
                <w:lang w:val="en-GB"/>
              </w:rPr>
            </w:pPr>
            <w:r w:rsidRPr="00327A31">
              <w:rPr>
                <w:sz w:val="20"/>
                <w:szCs w:val="20"/>
                <w:lang w:val="en-GB"/>
              </w:rPr>
              <w:t xml:space="preserve">This approach will improve the dynamism of the support the program receives at the national and sub national level. </w:t>
            </w:r>
          </w:p>
          <w:p w:rsidR="009E1E02" w:rsidP="38F5364C" w:rsidRDefault="009E1E02" w14:paraId="64958F87" w14:textId="29832283">
            <w:pPr>
              <w:spacing w:line="300" w:lineRule="exact"/>
              <w:rPr>
                <w:lang w:val="en-GB"/>
              </w:rPr>
            </w:pPr>
          </w:p>
        </w:tc>
      </w:tr>
      <w:tr w:rsidR="009F19F8" w:rsidTr="78AE8092" w14:paraId="3821C077"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Mar/>
          </w:tcPr>
          <w:p w:rsidR="009F19F8" w:rsidP="00752CEA" w:rsidRDefault="009F19F8" w14:paraId="7F609ADB" w14:textId="799CFD5C">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(e.g</w:t>
            </w:r>
            <w:r w:rsidR="00A733BF">
              <w:rPr>
                <w:b/>
                <w:bCs/>
                <w:i/>
                <w:iCs/>
                <w:color w:val="000000" w:themeColor="text1"/>
                <w:sz w:val="20"/>
                <w:szCs w:val="20"/>
              </w:rPr>
              <w:t>.</w:t>
            </w:r>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Pr="002C42E8" w:rsidR="00025BBE">
              <w:rPr>
                <w:i/>
                <w:sz w:val="20"/>
                <w:szCs w:val="20"/>
                <w:lang w:val="en-GB"/>
              </w:rPr>
              <w:t>Please refer to section 2.3 (3. Partner Mapping) of the PEF TCA Planning Guidelines for more information.</w:t>
            </w:r>
          </w:p>
        </w:tc>
      </w:tr>
      <w:tr w:rsidR="009F19F8" w:rsidTr="78AE8092" w14:paraId="3F43E4A9" w14:textId="77777777">
        <w:tc>
          <w:tcPr>
            <w:tcW w:w="9192" w:type="dxa"/>
            <w:gridSpan w:val="2"/>
            <w:tcBorders>
              <w:top w:val="single" w:color="auto" w:sz="4" w:space="0"/>
              <w:left w:val="single" w:color="auto" w:sz="4" w:space="0"/>
              <w:bottom w:val="single" w:color="auto" w:sz="4" w:space="0"/>
              <w:right w:val="single" w:color="auto" w:sz="4" w:space="0"/>
            </w:tcBorders>
            <w:tcMar/>
          </w:tcPr>
          <w:p w:rsidRPr="00327A31" w:rsidR="009E1E02" w:rsidP="00752CEA" w:rsidRDefault="00B3051A" w14:paraId="7C4CA842" w14:textId="4E86986F">
            <w:pPr>
              <w:spacing w:line="300" w:lineRule="exact"/>
              <w:rPr>
                <w:sz w:val="20"/>
                <w:szCs w:val="20"/>
                <w:lang w:val="en-GB"/>
              </w:rPr>
            </w:pPr>
            <w:r w:rsidRPr="78AE8092" w:rsidR="00B3051A">
              <w:rPr>
                <w:sz w:val="20"/>
                <w:szCs w:val="20"/>
                <w:lang w:val="en-GB"/>
              </w:rPr>
              <w:t>The CSOs</w:t>
            </w:r>
            <w:r w:rsidRPr="78AE8092" w:rsidR="009E1E02">
              <w:rPr>
                <w:sz w:val="20"/>
                <w:szCs w:val="20"/>
                <w:lang w:val="en-GB"/>
              </w:rPr>
              <w:t xml:space="preserve"> in Kenya are a critical support </w:t>
            </w:r>
            <w:r w:rsidRPr="78AE8092" w:rsidR="00EB4633">
              <w:rPr>
                <w:sz w:val="20"/>
                <w:szCs w:val="20"/>
                <w:lang w:val="en-GB"/>
              </w:rPr>
              <w:t xml:space="preserve">resource </w:t>
            </w:r>
            <w:r w:rsidRPr="78AE8092" w:rsidR="009E1E02">
              <w:rPr>
                <w:sz w:val="20"/>
                <w:szCs w:val="20"/>
                <w:lang w:val="en-GB"/>
              </w:rPr>
              <w:t>and partner to the</w:t>
            </w:r>
            <w:r w:rsidRPr="78AE8092" w:rsidR="00084E1D">
              <w:rPr>
                <w:sz w:val="20"/>
                <w:szCs w:val="20"/>
                <w:lang w:val="en-GB"/>
              </w:rPr>
              <w:t xml:space="preserve"> immunization</w:t>
            </w:r>
            <w:r w:rsidRPr="78AE8092" w:rsidR="009E1E02">
              <w:rPr>
                <w:sz w:val="20"/>
                <w:szCs w:val="20"/>
                <w:lang w:val="en-GB"/>
              </w:rPr>
              <w:t xml:space="preserve"> program at the national and county level. The capabilities </w:t>
            </w:r>
            <w:r w:rsidRPr="78AE8092" w:rsidR="00084E1D">
              <w:rPr>
                <w:sz w:val="20"/>
                <w:szCs w:val="20"/>
                <w:lang w:val="en-GB"/>
              </w:rPr>
              <w:t xml:space="preserve">of each CSO are </w:t>
            </w:r>
            <w:r w:rsidRPr="78AE8092" w:rsidR="009E1E02">
              <w:rPr>
                <w:sz w:val="20"/>
                <w:szCs w:val="20"/>
                <w:lang w:val="en-GB"/>
              </w:rPr>
              <w:t>var</w:t>
            </w:r>
            <w:r w:rsidRPr="78AE8092" w:rsidR="00084E1D">
              <w:rPr>
                <w:sz w:val="20"/>
                <w:szCs w:val="20"/>
                <w:lang w:val="en-GB"/>
              </w:rPr>
              <w:t xml:space="preserve">ied in terms of its </w:t>
            </w:r>
            <w:r w:rsidRPr="78AE8092" w:rsidR="009E1E02">
              <w:rPr>
                <w:sz w:val="20"/>
                <w:szCs w:val="20"/>
                <w:lang w:val="en-GB"/>
              </w:rPr>
              <w:t>echnical, programmatic</w:t>
            </w:r>
            <w:r w:rsidRPr="78AE8092" w:rsidR="00084E1D">
              <w:rPr>
                <w:sz w:val="20"/>
                <w:szCs w:val="20"/>
                <w:lang w:val="en-GB"/>
              </w:rPr>
              <w:t>,</w:t>
            </w:r>
            <w:r w:rsidRPr="78AE8092" w:rsidR="009E1E02">
              <w:rPr>
                <w:sz w:val="20"/>
                <w:szCs w:val="20"/>
                <w:lang w:val="en-GB"/>
              </w:rPr>
              <w:t xml:space="preserve"> financial</w:t>
            </w:r>
            <w:r w:rsidRPr="78AE8092" w:rsidR="00084E1D">
              <w:rPr>
                <w:sz w:val="20"/>
                <w:szCs w:val="20"/>
                <w:lang w:val="en-GB"/>
              </w:rPr>
              <w:t xml:space="preserve"> and </w:t>
            </w:r>
            <w:r w:rsidRPr="78AE8092" w:rsidR="009E1E02">
              <w:rPr>
                <w:sz w:val="20"/>
                <w:szCs w:val="20"/>
                <w:lang w:val="en-GB"/>
              </w:rPr>
              <w:t xml:space="preserve">management capacities. </w:t>
            </w:r>
          </w:p>
          <w:p w:rsidR="00084E1D" w:rsidP="00752CEA" w:rsidRDefault="00084E1D" w14:paraId="06286201" w14:textId="60B54874">
            <w:pPr>
              <w:spacing w:line="300" w:lineRule="exact"/>
              <w:rPr>
                <w:sz w:val="20"/>
                <w:szCs w:val="20"/>
                <w:lang w:val="en-GB"/>
              </w:rPr>
            </w:pPr>
            <w:r w:rsidRPr="78AE8092" w:rsidR="00084E1D">
              <w:rPr>
                <w:sz w:val="20"/>
                <w:szCs w:val="20"/>
                <w:lang w:val="en-GB"/>
              </w:rPr>
              <w:t xml:space="preserve">Kenya Government has previous experience working with CSO to implement the second Gavi HSS grant that is currently ending. From this experience, the country has learnt lessons that will inform improvement in the next HSS/EAF grant funding to be </w:t>
            </w:r>
            <w:r w:rsidRPr="78AE8092" w:rsidR="00084E1D">
              <w:rPr>
                <w:sz w:val="20"/>
                <w:szCs w:val="20"/>
                <w:lang w:val="en-GB"/>
              </w:rPr>
              <w:t>chaneled</w:t>
            </w:r>
            <w:r w:rsidRPr="78AE8092" w:rsidR="00084E1D">
              <w:rPr>
                <w:sz w:val="20"/>
                <w:szCs w:val="20"/>
                <w:lang w:val="en-GB"/>
              </w:rPr>
              <w:t xml:space="preserve"> through a CSO or CSOs. </w:t>
            </w:r>
          </w:p>
          <w:p w:rsidRPr="00327A31" w:rsidR="009E1E02" w:rsidP="00752CEA" w:rsidRDefault="00084E1D" w14:paraId="5E7D6903" w14:textId="197DB228">
            <w:pPr>
              <w:spacing w:line="300" w:lineRule="exact"/>
              <w:rPr>
                <w:sz w:val="20"/>
                <w:szCs w:val="20"/>
                <w:lang w:val="en-GB"/>
              </w:rPr>
            </w:pPr>
            <w:r>
              <w:rPr>
                <w:sz w:val="20"/>
                <w:szCs w:val="20"/>
                <w:lang w:val="en-GB"/>
              </w:rPr>
              <w:t xml:space="preserve"> </w:t>
            </w:r>
          </w:p>
          <w:p w:rsidR="00B3051A" w:rsidP="00225B1D" w:rsidRDefault="009E1E02" w14:paraId="01E16748" w14:textId="102FA8E8">
            <w:pPr>
              <w:spacing w:line="300" w:lineRule="exact"/>
              <w:rPr>
                <w:lang w:val="en-GB"/>
              </w:rPr>
            </w:pPr>
            <w:r w:rsidRPr="00327A31">
              <w:rPr>
                <w:sz w:val="20"/>
                <w:szCs w:val="20"/>
                <w:lang w:val="en-GB"/>
              </w:rPr>
              <w:t>In the current TCA</w:t>
            </w:r>
            <w:r w:rsidRPr="00327A31" w:rsidR="00EB4633">
              <w:rPr>
                <w:sz w:val="20"/>
                <w:szCs w:val="20"/>
                <w:lang w:val="en-GB"/>
              </w:rPr>
              <w:t>,</w:t>
            </w:r>
            <w:r w:rsidRPr="00327A31">
              <w:rPr>
                <w:sz w:val="20"/>
                <w:szCs w:val="20"/>
                <w:lang w:val="en-GB"/>
              </w:rPr>
              <w:t xml:space="preserve"> the main focus will be the mapping and identification of the different CSO</w:t>
            </w:r>
            <w:r w:rsidRPr="00327A31" w:rsidR="00EB4633">
              <w:rPr>
                <w:sz w:val="20"/>
                <w:szCs w:val="20"/>
                <w:lang w:val="en-GB"/>
              </w:rPr>
              <w:t>s</w:t>
            </w:r>
            <w:r w:rsidRPr="00327A31">
              <w:rPr>
                <w:sz w:val="20"/>
                <w:szCs w:val="20"/>
                <w:lang w:val="en-GB"/>
              </w:rPr>
              <w:t xml:space="preserve"> supporting </w:t>
            </w:r>
            <w:r w:rsidRPr="00327A31" w:rsidR="00EB4633">
              <w:rPr>
                <w:sz w:val="20"/>
                <w:szCs w:val="20"/>
                <w:lang w:val="en-GB"/>
              </w:rPr>
              <w:t xml:space="preserve">the Ministry of Health </w:t>
            </w:r>
            <w:r w:rsidRPr="00327A31">
              <w:rPr>
                <w:sz w:val="20"/>
                <w:szCs w:val="20"/>
                <w:lang w:val="en-GB"/>
              </w:rPr>
              <w:t xml:space="preserve">and those that have the capacity to support the program. The TCA </w:t>
            </w:r>
            <w:r w:rsidRPr="00327A31" w:rsidR="00EB4633">
              <w:rPr>
                <w:sz w:val="20"/>
                <w:szCs w:val="20"/>
                <w:lang w:val="en-GB"/>
              </w:rPr>
              <w:lastRenderedPageBreak/>
              <w:t xml:space="preserve">will </w:t>
            </w:r>
            <w:r w:rsidRPr="00327A31">
              <w:rPr>
                <w:sz w:val="20"/>
                <w:szCs w:val="20"/>
                <w:lang w:val="en-GB"/>
              </w:rPr>
              <w:t>be utilized to build the network and integrat</w:t>
            </w:r>
            <w:r w:rsidRPr="00327A31" w:rsidR="00EB4633">
              <w:rPr>
                <w:sz w:val="20"/>
                <w:szCs w:val="20"/>
                <w:lang w:val="en-GB"/>
              </w:rPr>
              <w:t>e</w:t>
            </w:r>
            <w:r w:rsidRPr="00327A31">
              <w:rPr>
                <w:sz w:val="20"/>
                <w:szCs w:val="20"/>
                <w:lang w:val="en-GB"/>
              </w:rPr>
              <w:t xml:space="preserve"> the CSO</w:t>
            </w:r>
            <w:r w:rsidRPr="00327A31" w:rsidR="00EB4633">
              <w:rPr>
                <w:sz w:val="20"/>
                <w:szCs w:val="20"/>
                <w:lang w:val="en-GB"/>
              </w:rPr>
              <w:t>s</w:t>
            </w:r>
            <w:r w:rsidRPr="00327A31">
              <w:rPr>
                <w:sz w:val="20"/>
                <w:szCs w:val="20"/>
                <w:lang w:val="en-GB"/>
              </w:rPr>
              <w:t xml:space="preserve"> into the current</w:t>
            </w:r>
            <w:r w:rsidRPr="00327A31" w:rsidR="00B070CC">
              <w:rPr>
                <w:sz w:val="20"/>
                <w:szCs w:val="20"/>
                <w:lang w:val="en-GB"/>
              </w:rPr>
              <w:t xml:space="preserve"> coordination process at the national and subnational level. The funding for CSO</w:t>
            </w:r>
            <w:r w:rsidRPr="00327A31" w:rsidR="00EB4633">
              <w:rPr>
                <w:sz w:val="20"/>
                <w:szCs w:val="20"/>
                <w:lang w:val="en-GB"/>
              </w:rPr>
              <w:t>s</w:t>
            </w:r>
            <w:r w:rsidRPr="00327A31" w:rsidR="00B3051A">
              <w:rPr>
                <w:sz w:val="20"/>
                <w:szCs w:val="20"/>
                <w:lang w:val="en-GB"/>
              </w:rPr>
              <w:t xml:space="preserve"> will </w:t>
            </w:r>
            <w:r w:rsidRPr="00327A31" w:rsidR="00EB4633">
              <w:rPr>
                <w:sz w:val="20"/>
                <w:szCs w:val="20"/>
                <w:lang w:val="en-GB"/>
              </w:rPr>
              <w:t xml:space="preserve">be </w:t>
            </w:r>
            <w:r w:rsidRPr="00327A31" w:rsidR="00B3051A">
              <w:rPr>
                <w:sz w:val="20"/>
                <w:szCs w:val="20"/>
                <w:lang w:val="en-GB"/>
              </w:rPr>
              <w:t xml:space="preserve">factored into the </w:t>
            </w:r>
            <w:r w:rsidR="00084E1D">
              <w:rPr>
                <w:sz w:val="20"/>
                <w:szCs w:val="20"/>
                <w:lang w:val="en-GB"/>
              </w:rPr>
              <w:t xml:space="preserve">HSS component of </w:t>
            </w:r>
            <w:r w:rsidRPr="00327A31" w:rsidR="00B3051A">
              <w:rPr>
                <w:sz w:val="20"/>
                <w:szCs w:val="20"/>
                <w:lang w:val="en-GB"/>
              </w:rPr>
              <w:t>FPP process and will be funded through the EAF</w:t>
            </w:r>
            <w:r w:rsidRPr="00327A31" w:rsidR="00B070CC">
              <w:rPr>
                <w:sz w:val="20"/>
                <w:szCs w:val="20"/>
                <w:lang w:val="en-GB"/>
              </w:rPr>
              <w:t>/</w:t>
            </w:r>
            <w:r w:rsidRPr="00327A31" w:rsidR="00B3051A">
              <w:rPr>
                <w:sz w:val="20"/>
                <w:szCs w:val="20"/>
                <w:lang w:val="en-GB"/>
              </w:rPr>
              <w:t>HSS funding</w:t>
            </w:r>
            <w:r w:rsidRPr="00327A31" w:rsidR="00B070CC">
              <w:rPr>
                <w:sz w:val="20"/>
                <w:szCs w:val="20"/>
                <w:lang w:val="en-GB"/>
              </w:rPr>
              <w:t>.</w:t>
            </w:r>
          </w:p>
        </w:tc>
      </w:tr>
    </w:tbl>
    <w:p w:rsidRPr="009F19F8" w:rsidR="00372D1F" w:rsidP="00372D1F" w:rsidRDefault="00372D1F" w14:paraId="0FF1AB89" w14:textId="77777777">
      <w:pPr>
        <w:pStyle w:val="ListParagraph"/>
        <w:spacing w:line="300" w:lineRule="exact"/>
        <w:ind w:left="0"/>
        <w:jc w:val="right"/>
        <w:rPr>
          <w:b/>
          <w:color w:val="70AD47" w:themeColor="accent6"/>
          <w:sz w:val="26"/>
          <w:szCs w:val="26"/>
        </w:rPr>
      </w:pPr>
    </w:p>
    <w:p w:rsidRPr="0033192A" w:rsidR="009F0292" w:rsidP="00CE1F57" w:rsidRDefault="009F0292" w14:paraId="79848434" w14:textId="5CA61DE4">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9F0292" w:rsidTr="78AE8092" w14:paraId="3F8B0CB5" w14:textId="77777777">
        <w:tc>
          <w:tcPr>
            <w:tcW w:w="9192" w:type="dxa"/>
            <w:tcBorders>
              <w:bottom w:val="single" w:color="auto" w:sz="4" w:space="0"/>
            </w:tcBorders>
            <w:shd w:val="clear" w:color="auto" w:fill="F2F2F2" w:themeFill="background1" w:themeFillShade="F2"/>
            <w:tcMar/>
          </w:tcPr>
          <w:p w:rsidRPr="00B614D7" w:rsidR="009F0292" w:rsidP="00871FCF" w:rsidRDefault="0033192A" w14:paraId="6BD0AD08" w14:textId="376F045C">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Pr="00B614D7" w:rsidR="009F0292">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Pr="00B614D7" w:rsidR="009F0292">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Pr="00B614D7" w:rsidR="009F0292">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taken into account in </w:t>
            </w:r>
            <w:r w:rsidR="00FA04B1">
              <w:rPr>
                <w:b/>
                <w:bCs/>
                <w:i/>
                <w:iCs/>
                <w:color w:val="000000" w:themeColor="text1"/>
                <w:sz w:val="20"/>
                <w:szCs w:val="20"/>
                <w:lang w:val="en-GB"/>
              </w:rPr>
              <w:t>this TCA planning and prioritisation</w:t>
            </w:r>
            <w:r w:rsidRPr="00B614D7" w:rsidR="009F0292">
              <w:rPr>
                <w:b/>
                <w:bCs/>
                <w:i/>
                <w:iCs/>
                <w:color w:val="000000" w:themeColor="text1"/>
                <w:sz w:val="20"/>
                <w:szCs w:val="20"/>
                <w:lang w:val="en-GB"/>
              </w:rPr>
              <w:t xml:space="preserve">. </w:t>
            </w:r>
            <w:r w:rsidRPr="00B614D7" w:rsidR="009F0292">
              <w:rPr>
                <w:b/>
                <w:bCs/>
                <w:i/>
                <w:iCs/>
                <w:sz w:val="20"/>
                <w:szCs w:val="20"/>
              </w:rPr>
              <w:t xml:space="preserve"> </w:t>
            </w:r>
          </w:p>
        </w:tc>
      </w:tr>
      <w:tr w:rsidR="009F0292" w:rsidTr="78AE8092" w14:paraId="690BE9DA" w14:textId="77777777">
        <w:tc>
          <w:tcPr>
            <w:tcW w:w="9192" w:type="dxa"/>
            <w:tcBorders>
              <w:top w:val="single" w:color="auto" w:sz="4" w:space="0"/>
              <w:left w:val="single" w:color="auto" w:sz="4" w:space="0"/>
              <w:bottom w:val="single" w:color="auto" w:sz="4" w:space="0"/>
              <w:right w:val="single" w:color="auto" w:sz="4" w:space="0"/>
            </w:tcBorders>
            <w:tcMar/>
          </w:tcPr>
          <w:p w:rsidR="009F0292" w:rsidP="00871FCF" w:rsidRDefault="006D7F35" w14:paraId="08758DC9" w14:textId="69F29CB6">
            <w:pPr>
              <w:spacing w:line="300" w:lineRule="exact"/>
              <w:rPr>
                <w:sz w:val="20"/>
                <w:szCs w:val="20"/>
                <w:lang w:val="en-GB"/>
              </w:rPr>
            </w:pPr>
            <w:r w:rsidRPr="006D7F35">
              <w:rPr>
                <w:sz w:val="20"/>
                <w:szCs w:val="20"/>
                <w:lang w:val="en-GB"/>
              </w:rPr>
              <w:t>Since the design of partners engagement framework</w:t>
            </w:r>
            <w:r w:rsidR="00F36199">
              <w:rPr>
                <w:sz w:val="20"/>
                <w:szCs w:val="20"/>
                <w:lang w:val="en-GB"/>
              </w:rPr>
              <w:t xml:space="preserve"> (PEF)</w:t>
            </w:r>
            <w:r w:rsidRPr="006D7F35">
              <w:rPr>
                <w:sz w:val="20"/>
                <w:szCs w:val="20"/>
                <w:lang w:val="en-GB"/>
              </w:rPr>
              <w:t>, Kenya has been a beneficiary of the targeted country assistance</w:t>
            </w:r>
            <w:r>
              <w:rPr>
                <w:sz w:val="20"/>
                <w:szCs w:val="20"/>
                <w:lang w:val="en-GB"/>
              </w:rPr>
              <w:t xml:space="preserve"> (TCA)</w:t>
            </w:r>
            <w:r w:rsidRPr="006D7F35">
              <w:rPr>
                <w:sz w:val="20"/>
                <w:szCs w:val="20"/>
                <w:lang w:val="en-GB"/>
              </w:rPr>
              <w:t xml:space="preserve"> support</w:t>
            </w:r>
            <w:r>
              <w:rPr>
                <w:sz w:val="20"/>
                <w:szCs w:val="20"/>
                <w:lang w:val="en-GB"/>
              </w:rPr>
              <w:t xml:space="preserve"> from Gavi the Vaccine alliance. The support has been provided through the Gavi core partners as well as the extended partners</w:t>
            </w:r>
            <w:r w:rsidRPr="006D7F35">
              <w:rPr>
                <w:sz w:val="20"/>
                <w:szCs w:val="20"/>
                <w:lang w:val="en-GB"/>
              </w:rPr>
              <w:t xml:space="preserve">. The previous TCA support to Kenya has been resourceful and catalytic to Kenya </w:t>
            </w:r>
            <w:r>
              <w:rPr>
                <w:sz w:val="20"/>
                <w:szCs w:val="20"/>
                <w:lang w:val="en-GB"/>
              </w:rPr>
              <w:t>by availing</w:t>
            </w:r>
            <w:r w:rsidRPr="006D7F35">
              <w:rPr>
                <w:sz w:val="20"/>
                <w:szCs w:val="20"/>
                <w:lang w:val="en-GB"/>
              </w:rPr>
              <w:t xml:space="preserve"> additional funding, additional human resource recruit</w:t>
            </w:r>
            <w:r>
              <w:rPr>
                <w:sz w:val="20"/>
                <w:szCs w:val="20"/>
                <w:lang w:val="en-GB"/>
              </w:rPr>
              <w:t>ed</w:t>
            </w:r>
            <w:r w:rsidRPr="006D7F35">
              <w:rPr>
                <w:sz w:val="20"/>
                <w:szCs w:val="20"/>
                <w:lang w:val="en-GB"/>
              </w:rPr>
              <w:t xml:space="preserve"> to work with the immunization programme as well as</w:t>
            </w:r>
            <w:r w:rsidR="00223FB4">
              <w:rPr>
                <w:sz w:val="20"/>
                <w:szCs w:val="20"/>
                <w:lang w:val="en-GB"/>
              </w:rPr>
              <w:t xml:space="preserve"> the broader</w:t>
            </w:r>
            <w:r w:rsidRPr="006D7F35">
              <w:rPr>
                <w:sz w:val="20"/>
                <w:szCs w:val="20"/>
                <w:lang w:val="en-GB"/>
              </w:rPr>
              <w:t xml:space="preserve"> technical assistance provided. </w:t>
            </w:r>
          </w:p>
          <w:p w:rsidR="006D7F35" w:rsidP="00871FCF" w:rsidRDefault="006D7F35" w14:paraId="3A1A370D" w14:textId="1ABEC53E">
            <w:pPr>
              <w:spacing w:line="300" w:lineRule="exact"/>
              <w:rPr>
                <w:sz w:val="20"/>
                <w:szCs w:val="20"/>
                <w:lang w:val="en-GB"/>
              </w:rPr>
            </w:pPr>
          </w:p>
          <w:p w:rsidR="001D1BD2" w:rsidP="00871FCF" w:rsidRDefault="006D7F35" w14:paraId="7B69B375" w14:textId="6BCAE170">
            <w:pPr>
              <w:spacing w:line="300" w:lineRule="exact"/>
              <w:rPr>
                <w:sz w:val="20"/>
                <w:szCs w:val="20"/>
                <w:lang w:val="en-GB"/>
              </w:rPr>
            </w:pPr>
            <w:r w:rsidRPr="78AE8092" w:rsidR="0E6A0545">
              <w:rPr>
                <w:sz w:val="20"/>
                <w:szCs w:val="20"/>
                <w:lang w:val="en-GB"/>
              </w:rPr>
              <w:t>Th</w:t>
            </w:r>
            <w:r w:rsidRPr="78AE8092" w:rsidR="0A2C850C">
              <w:rPr>
                <w:sz w:val="20"/>
                <w:szCs w:val="20"/>
                <w:lang w:val="en-GB"/>
              </w:rPr>
              <w:t>rough the TCA that Kenya received</w:t>
            </w:r>
            <w:r w:rsidRPr="78AE8092" w:rsidR="5A5CE397">
              <w:rPr>
                <w:sz w:val="20"/>
                <w:szCs w:val="20"/>
                <w:lang w:val="en-GB"/>
              </w:rPr>
              <w:t xml:space="preserve"> over the years</w:t>
            </w:r>
            <w:r w:rsidRPr="78AE8092" w:rsidR="0A2C850C">
              <w:rPr>
                <w:sz w:val="20"/>
                <w:szCs w:val="20"/>
                <w:lang w:val="en-GB"/>
              </w:rPr>
              <w:t xml:space="preserve">, the country was supported to implement the </w:t>
            </w:r>
            <w:r w:rsidRPr="78AE8092" w:rsidR="11501B50">
              <w:rPr>
                <w:sz w:val="20"/>
                <w:szCs w:val="20"/>
                <w:lang w:val="en-GB"/>
              </w:rPr>
              <w:t>second Gavi</w:t>
            </w:r>
            <w:r w:rsidRPr="78AE8092" w:rsidR="0E6A0545">
              <w:rPr>
                <w:sz w:val="20"/>
                <w:szCs w:val="20"/>
                <w:lang w:val="en-GB"/>
              </w:rPr>
              <w:t xml:space="preserve"> Health Systems Strengthening grant </w:t>
            </w:r>
            <w:r w:rsidRPr="78AE8092" w:rsidR="11501B50">
              <w:rPr>
                <w:sz w:val="20"/>
                <w:szCs w:val="20"/>
                <w:lang w:val="en-GB"/>
              </w:rPr>
              <w:t>to Kenya</w:t>
            </w:r>
            <w:r w:rsidRPr="78AE8092" w:rsidR="5A5CE397">
              <w:rPr>
                <w:sz w:val="20"/>
                <w:szCs w:val="20"/>
                <w:lang w:val="en-GB"/>
              </w:rPr>
              <w:t xml:space="preserve"> since 2016</w:t>
            </w:r>
            <w:r w:rsidRPr="78AE8092" w:rsidR="11501B50">
              <w:rPr>
                <w:sz w:val="20"/>
                <w:szCs w:val="20"/>
                <w:lang w:val="en-GB"/>
              </w:rPr>
              <w:t>.</w:t>
            </w:r>
            <w:r w:rsidRPr="78AE8092" w:rsidR="25F08C64">
              <w:rPr>
                <w:sz w:val="20"/>
                <w:szCs w:val="20"/>
                <w:lang w:val="en-GB"/>
              </w:rPr>
              <w:t xml:space="preserve"> TCA funding has been </w:t>
            </w:r>
            <w:r w:rsidRPr="78AE8092" w:rsidR="25F08C64">
              <w:rPr>
                <w:sz w:val="20"/>
                <w:szCs w:val="20"/>
                <w:lang w:val="en-GB"/>
              </w:rPr>
              <w:t>channelled</w:t>
            </w:r>
            <w:r w:rsidRPr="78AE8092" w:rsidR="25F08C64">
              <w:rPr>
                <w:sz w:val="20"/>
                <w:szCs w:val="20"/>
                <w:lang w:val="en-GB"/>
              </w:rPr>
              <w:t xml:space="preserve"> through WHO, UNICEF, CDC, CHAI among other partners that ha</w:t>
            </w:r>
            <w:r w:rsidRPr="78AE8092" w:rsidR="4C364DE1">
              <w:rPr>
                <w:sz w:val="20"/>
                <w:szCs w:val="20"/>
                <w:lang w:val="en-GB"/>
              </w:rPr>
              <w:t>ve</w:t>
            </w:r>
            <w:r w:rsidRPr="78AE8092" w:rsidR="25F08C64">
              <w:rPr>
                <w:sz w:val="20"/>
                <w:szCs w:val="20"/>
                <w:lang w:val="en-GB"/>
              </w:rPr>
              <w:t xml:space="preserve"> been used to provide operational support and technical assistance to Kenya immunization programme. </w:t>
            </w:r>
            <w:r w:rsidRPr="78AE8092" w:rsidR="0DB9E3E5">
              <w:rPr>
                <w:sz w:val="20"/>
                <w:szCs w:val="20"/>
                <w:lang w:val="en-GB"/>
              </w:rPr>
              <w:t xml:space="preserve">As a result, the country has sustained the immunization coverage gains made and increased coverage of vaccines </w:t>
            </w:r>
            <w:proofErr w:type="gramStart"/>
            <w:r w:rsidRPr="78AE8092" w:rsidR="0DB9E3E5">
              <w:rPr>
                <w:sz w:val="20"/>
                <w:szCs w:val="20"/>
                <w:lang w:val="en-GB"/>
              </w:rPr>
              <w:t>e.g.</w:t>
            </w:r>
            <w:proofErr w:type="gramEnd"/>
            <w:r w:rsidRPr="78AE8092" w:rsidR="0DB9E3E5">
              <w:rPr>
                <w:sz w:val="20"/>
                <w:szCs w:val="20"/>
                <w:lang w:val="en-GB"/>
              </w:rPr>
              <w:t xml:space="preserve"> increasing coverage of MR2 from &lt;20% to &gt;50% coverage.</w:t>
            </w:r>
          </w:p>
          <w:p w:rsidR="001D1BD2" w:rsidP="00871FCF" w:rsidRDefault="001D1BD2" w14:paraId="089CED33" w14:textId="77777777">
            <w:pPr>
              <w:spacing w:line="300" w:lineRule="exact"/>
              <w:rPr>
                <w:sz w:val="20"/>
                <w:szCs w:val="20"/>
                <w:lang w:val="en-GB"/>
              </w:rPr>
            </w:pPr>
          </w:p>
          <w:p w:rsidR="009851AC" w:rsidP="00871FCF" w:rsidRDefault="009851AC" w14:paraId="0555E0C8" w14:textId="65013C0D">
            <w:pPr>
              <w:spacing w:line="300" w:lineRule="exact"/>
              <w:rPr>
                <w:sz w:val="20"/>
                <w:szCs w:val="20"/>
                <w:lang w:val="en-GB"/>
              </w:rPr>
            </w:pPr>
            <w:r>
              <w:rPr>
                <w:sz w:val="20"/>
                <w:szCs w:val="20"/>
                <w:lang w:val="en-GB"/>
              </w:rPr>
              <w:t>Some of the lessons learnt during the implementation include</w:t>
            </w:r>
          </w:p>
          <w:p w:rsidR="009851AC" w:rsidP="009851AC" w:rsidRDefault="009851AC" w14:paraId="41FD5ADC" w14:textId="66294F1B">
            <w:pPr>
              <w:pStyle w:val="ListParagraph"/>
              <w:numPr>
                <w:ilvl w:val="0"/>
                <w:numId w:val="7"/>
              </w:numPr>
              <w:spacing w:line="300" w:lineRule="exact"/>
              <w:rPr>
                <w:sz w:val="20"/>
                <w:szCs w:val="20"/>
                <w:lang w:val="en-GB"/>
              </w:rPr>
            </w:pPr>
            <w:r>
              <w:rPr>
                <w:sz w:val="20"/>
                <w:szCs w:val="20"/>
                <w:lang w:val="en-GB"/>
              </w:rPr>
              <w:t>Leadership by Ministry of Health is important</w:t>
            </w:r>
          </w:p>
          <w:p w:rsidR="00B3051A" w:rsidP="00B3051A" w:rsidRDefault="00B3051A" w14:paraId="59CCA9E1" w14:textId="43656892">
            <w:pPr>
              <w:pStyle w:val="ListParagraph"/>
              <w:spacing w:line="300" w:lineRule="exact"/>
              <w:rPr>
                <w:sz w:val="20"/>
                <w:szCs w:val="20"/>
                <w:lang w:val="en-GB"/>
              </w:rPr>
            </w:pPr>
            <w:r>
              <w:rPr>
                <w:sz w:val="20"/>
                <w:szCs w:val="20"/>
                <w:lang w:val="en-GB"/>
              </w:rPr>
              <w:t xml:space="preserve">TCA </w:t>
            </w:r>
            <w:r w:rsidR="00225B1D">
              <w:rPr>
                <w:sz w:val="20"/>
                <w:szCs w:val="20"/>
                <w:lang w:val="en-GB"/>
              </w:rPr>
              <w:t xml:space="preserve">has </w:t>
            </w:r>
            <w:r>
              <w:rPr>
                <w:sz w:val="20"/>
                <w:szCs w:val="20"/>
                <w:lang w:val="en-GB"/>
              </w:rPr>
              <w:t xml:space="preserve">been instrumental in building the capacity of the Ministry through Senior manager trainings and other technical assistance to build capacity and increasing human resources. </w:t>
            </w:r>
          </w:p>
          <w:p w:rsidR="0087372E" w:rsidP="0087372E" w:rsidRDefault="0087372E" w14:paraId="65BFAE18" w14:textId="7FC8D828">
            <w:pPr>
              <w:pStyle w:val="ListParagraph"/>
              <w:numPr>
                <w:ilvl w:val="0"/>
                <w:numId w:val="7"/>
              </w:numPr>
              <w:spacing w:line="300" w:lineRule="exact"/>
              <w:rPr>
                <w:sz w:val="20"/>
                <w:szCs w:val="20"/>
                <w:lang w:val="en-GB"/>
              </w:rPr>
            </w:pPr>
            <w:r>
              <w:rPr>
                <w:sz w:val="20"/>
                <w:szCs w:val="20"/>
                <w:lang w:val="en-GB"/>
              </w:rPr>
              <w:t>The existence of immunization forum</w:t>
            </w:r>
            <w:r w:rsidR="00B3051A">
              <w:rPr>
                <w:sz w:val="20"/>
                <w:szCs w:val="20"/>
                <w:lang w:val="en-GB"/>
              </w:rPr>
              <w:t>s</w:t>
            </w:r>
            <w:r>
              <w:rPr>
                <w:sz w:val="20"/>
                <w:szCs w:val="20"/>
                <w:lang w:val="en-GB"/>
              </w:rPr>
              <w:t xml:space="preserve"> provid</w:t>
            </w:r>
            <w:r w:rsidR="00225B1D">
              <w:rPr>
                <w:sz w:val="20"/>
                <w:szCs w:val="20"/>
                <w:lang w:val="en-GB"/>
              </w:rPr>
              <w:t>ed</w:t>
            </w:r>
            <w:r>
              <w:rPr>
                <w:sz w:val="20"/>
                <w:szCs w:val="20"/>
                <w:lang w:val="en-GB"/>
              </w:rPr>
              <w:t xml:space="preserve"> an avenue for coordination</w:t>
            </w:r>
            <w:r w:rsidR="00B3051A">
              <w:rPr>
                <w:sz w:val="20"/>
                <w:szCs w:val="20"/>
                <w:lang w:val="en-GB"/>
              </w:rPr>
              <w:t xml:space="preserve"> within Government stakeholders and between Government and partners</w:t>
            </w:r>
          </w:p>
          <w:p w:rsidR="00B3051A" w:rsidP="00B3051A" w:rsidRDefault="00B3051A" w14:paraId="54DC9571" w14:textId="57196905">
            <w:pPr>
              <w:pStyle w:val="ListParagraph"/>
              <w:spacing w:line="300" w:lineRule="exact"/>
              <w:rPr>
                <w:sz w:val="20"/>
                <w:szCs w:val="20"/>
                <w:lang w:val="en-GB"/>
              </w:rPr>
            </w:pPr>
            <w:r>
              <w:rPr>
                <w:sz w:val="20"/>
                <w:szCs w:val="20"/>
                <w:lang w:val="en-GB"/>
              </w:rPr>
              <w:t xml:space="preserve">The TCA </w:t>
            </w:r>
            <w:r w:rsidR="00225B1D">
              <w:rPr>
                <w:sz w:val="20"/>
                <w:szCs w:val="20"/>
                <w:lang w:val="en-GB"/>
              </w:rPr>
              <w:t>has</w:t>
            </w:r>
            <w:r>
              <w:rPr>
                <w:sz w:val="20"/>
                <w:szCs w:val="20"/>
                <w:lang w:val="en-GB"/>
              </w:rPr>
              <w:t xml:space="preserve"> supported set up and implementation of technical working groups, KENITAG, and other immunization forums that have supported in decision making and implementation of activities around immunization. </w:t>
            </w:r>
          </w:p>
          <w:p w:rsidR="009851AC" w:rsidP="009851AC" w:rsidRDefault="009851AC" w14:paraId="0905821A" w14:textId="71D06491">
            <w:pPr>
              <w:pStyle w:val="ListParagraph"/>
              <w:numPr>
                <w:ilvl w:val="0"/>
                <w:numId w:val="7"/>
              </w:numPr>
              <w:spacing w:line="300" w:lineRule="exact"/>
              <w:rPr>
                <w:sz w:val="20"/>
                <w:szCs w:val="20"/>
                <w:lang w:val="en-GB"/>
              </w:rPr>
            </w:pPr>
            <w:r>
              <w:rPr>
                <w:sz w:val="20"/>
                <w:szCs w:val="20"/>
                <w:lang w:val="en-GB"/>
              </w:rPr>
              <w:t xml:space="preserve">Information sharing across partnership facilitates smooth working </w:t>
            </w:r>
          </w:p>
          <w:p w:rsidR="00B3051A" w:rsidP="00B3051A" w:rsidRDefault="00B3051A" w14:paraId="62AF0A15" w14:textId="0362E6CA">
            <w:pPr>
              <w:pStyle w:val="ListParagraph"/>
              <w:spacing w:line="300" w:lineRule="exact"/>
              <w:rPr>
                <w:sz w:val="20"/>
                <w:szCs w:val="20"/>
                <w:lang w:val="en-GB"/>
              </w:rPr>
            </w:pPr>
            <w:r>
              <w:rPr>
                <w:sz w:val="20"/>
                <w:szCs w:val="20"/>
                <w:lang w:val="en-GB"/>
              </w:rPr>
              <w:t xml:space="preserve">The Government currently </w:t>
            </w:r>
            <w:r w:rsidR="00153ADF">
              <w:rPr>
                <w:sz w:val="20"/>
                <w:szCs w:val="20"/>
                <w:lang w:val="en-GB"/>
              </w:rPr>
              <w:t xml:space="preserve">utilizes data driven decision making approaches in several areas and these have been supported through TCA for example </w:t>
            </w:r>
            <w:r w:rsidR="005F3254">
              <w:rPr>
                <w:sz w:val="20"/>
                <w:szCs w:val="20"/>
                <w:lang w:val="en-GB"/>
              </w:rPr>
              <w:t xml:space="preserve">the PMT support that utilizes cold chain inventory data to support </w:t>
            </w:r>
            <w:r w:rsidR="00225B1D">
              <w:rPr>
                <w:sz w:val="20"/>
                <w:szCs w:val="20"/>
                <w:lang w:val="en-GB"/>
              </w:rPr>
              <w:t>t</w:t>
            </w:r>
            <w:r w:rsidR="005F3254">
              <w:rPr>
                <w:sz w:val="20"/>
                <w:szCs w:val="20"/>
                <w:lang w:val="en-GB"/>
              </w:rPr>
              <w:t xml:space="preserve">he roll out of the CCEOP program. </w:t>
            </w:r>
          </w:p>
          <w:p w:rsidR="0087372E" w:rsidP="009851AC" w:rsidRDefault="0087372E" w14:paraId="4DFD0A27" w14:textId="6DC39D83">
            <w:pPr>
              <w:pStyle w:val="ListParagraph"/>
              <w:numPr>
                <w:ilvl w:val="0"/>
                <w:numId w:val="7"/>
              </w:numPr>
              <w:spacing w:line="300" w:lineRule="exact"/>
              <w:rPr>
                <w:sz w:val="20"/>
                <w:szCs w:val="20"/>
                <w:lang w:val="en-GB"/>
              </w:rPr>
            </w:pPr>
            <w:r>
              <w:rPr>
                <w:sz w:val="20"/>
                <w:szCs w:val="20"/>
                <w:lang w:val="en-GB"/>
              </w:rPr>
              <w:t>Targeted vaccination to address performance gaps across different counties is critical to address inequities</w:t>
            </w:r>
          </w:p>
          <w:p w:rsidR="005F3254" w:rsidP="005F3254" w:rsidRDefault="005F3254" w14:paraId="047EA51A" w14:textId="07EC078E">
            <w:pPr>
              <w:pStyle w:val="ListParagraph"/>
              <w:spacing w:line="300" w:lineRule="exact"/>
              <w:rPr>
                <w:sz w:val="20"/>
                <w:szCs w:val="20"/>
                <w:lang w:val="en-GB"/>
              </w:rPr>
            </w:pPr>
            <w:r>
              <w:rPr>
                <w:sz w:val="20"/>
                <w:szCs w:val="20"/>
                <w:lang w:val="en-GB"/>
              </w:rPr>
              <w:t xml:space="preserve">The TCA activities have supported HPV roll out and other campaigns where approaches have had to be adapted for local settings to reach hard to reach communities.  </w:t>
            </w:r>
          </w:p>
          <w:p w:rsidR="009851AC" w:rsidP="009851AC" w:rsidRDefault="001D1BD2" w14:paraId="0A6E1F42" w14:textId="04EA84CB">
            <w:pPr>
              <w:pStyle w:val="ListParagraph"/>
              <w:numPr>
                <w:ilvl w:val="0"/>
                <w:numId w:val="7"/>
              </w:numPr>
              <w:spacing w:line="300" w:lineRule="exact"/>
              <w:rPr>
                <w:sz w:val="20"/>
                <w:szCs w:val="20"/>
                <w:lang w:val="en-GB"/>
              </w:rPr>
            </w:pPr>
            <w:r>
              <w:rPr>
                <w:sz w:val="20"/>
                <w:szCs w:val="20"/>
                <w:lang w:val="en-GB"/>
              </w:rPr>
              <w:t>TA has contributed to increasing the knowledge base and management capacity of Kenya immunization programme.</w:t>
            </w:r>
          </w:p>
          <w:p w:rsidR="005F3254" w:rsidP="005F3254" w:rsidRDefault="005F3254" w14:paraId="33F507AF" w14:textId="7369E07D">
            <w:pPr>
              <w:pStyle w:val="ListParagraph"/>
              <w:spacing w:line="300" w:lineRule="exact"/>
              <w:rPr>
                <w:sz w:val="20"/>
                <w:szCs w:val="20"/>
                <w:lang w:val="en-GB"/>
              </w:rPr>
            </w:pPr>
            <w:r>
              <w:rPr>
                <w:sz w:val="20"/>
                <w:szCs w:val="20"/>
                <w:lang w:val="en-GB"/>
              </w:rPr>
              <w:t xml:space="preserve">The TCA has also supported the Ministry improve on utilizing different approaches to building capacity for example Zoom trainings for immunization staff and targeted intervention training </w:t>
            </w:r>
            <w:r>
              <w:rPr>
                <w:sz w:val="20"/>
                <w:szCs w:val="20"/>
                <w:lang w:val="en-GB"/>
              </w:rPr>
              <w:lastRenderedPageBreak/>
              <w:t xml:space="preserve">such as Operation level trainings are examples that highlight improvement on knowledge base </w:t>
            </w:r>
            <w:r w:rsidR="00225B1D">
              <w:rPr>
                <w:sz w:val="20"/>
                <w:szCs w:val="20"/>
                <w:lang w:val="en-GB"/>
              </w:rPr>
              <w:t xml:space="preserve">and </w:t>
            </w:r>
            <w:r>
              <w:rPr>
                <w:sz w:val="20"/>
                <w:szCs w:val="20"/>
                <w:lang w:val="en-GB"/>
              </w:rPr>
              <w:t>support to achieve high and sustainable coverage.</w:t>
            </w:r>
          </w:p>
          <w:p w:rsidR="009851AC" w:rsidP="009851AC" w:rsidRDefault="009851AC" w14:paraId="271A31F6" w14:textId="7523C98C">
            <w:pPr>
              <w:spacing w:line="300" w:lineRule="exact"/>
              <w:rPr>
                <w:sz w:val="20"/>
                <w:szCs w:val="20"/>
                <w:lang w:val="en-GB"/>
              </w:rPr>
            </w:pPr>
          </w:p>
          <w:p w:rsidR="009851AC" w:rsidP="009851AC" w:rsidRDefault="009851AC" w14:paraId="78F7FC89" w14:textId="65CBB25E">
            <w:pPr>
              <w:spacing w:line="300" w:lineRule="exact"/>
              <w:rPr>
                <w:sz w:val="20"/>
                <w:szCs w:val="20"/>
                <w:lang w:val="en-GB"/>
              </w:rPr>
            </w:pPr>
            <w:r w:rsidRPr="78AE8092" w:rsidR="25F08C64">
              <w:rPr>
                <w:sz w:val="20"/>
                <w:szCs w:val="20"/>
                <w:lang w:val="en-GB"/>
              </w:rPr>
              <w:t xml:space="preserve">Learning from the experience of previous TCA, the amount of </w:t>
            </w:r>
            <w:r w:rsidRPr="78AE8092" w:rsidR="006676B4">
              <w:rPr>
                <w:sz w:val="20"/>
                <w:szCs w:val="20"/>
                <w:lang w:val="en-GB"/>
              </w:rPr>
              <w:t xml:space="preserve">TCA </w:t>
            </w:r>
            <w:r w:rsidRPr="78AE8092" w:rsidR="25F08C64">
              <w:rPr>
                <w:sz w:val="20"/>
                <w:szCs w:val="20"/>
                <w:lang w:val="en-GB"/>
              </w:rPr>
              <w:t xml:space="preserve">funding allocated to Kenya was insufficient to cater for the country needs, </w:t>
            </w:r>
            <w:r w:rsidRPr="78AE8092" w:rsidR="006676B4">
              <w:rPr>
                <w:sz w:val="20"/>
                <w:szCs w:val="20"/>
                <w:lang w:val="en-GB"/>
              </w:rPr>
              <w:t>hence</w:t>
            </w:r>
            <w:r w:rsidRPr="78AE8092" w:rsidR="25F08C64">
              <w:rPr>
                <w:sz w:val="20"/>
                <w:szCs w:val="20"/>
                <w:lang w:val="en-GB"/>
              </w:rPr>
              <w:t xml:space="preserve"> there will be need to leverage on other resources to maximize support to</w:t>
            </w:r>
            <w:r w:rsidRPr="78AE8092" w:rsidR="4C364DE1">
              <w:rPr>
                <w:sz w:val="20"/>
                <w:szCs w:val="20"/>
                <w:lang w:val="en-GB"/>
              </w:rPr>
              <w:t xml:space="preserve"> the</w:t>
            </w:r>
            <w:r w:rsidRPr="78AE8092" w:rsidR="25F08C64">
              <w:rPr>
                <w:sz w:val="20"/>
                <w:szCs w:val="20"/>
                <w:lang w:val="en-GB"/>
              </w:rPr>
              <w:t xml:space="preserve"> Kenya immunization programme </w:t>
            </w:r>
            <w:r w:rsidRPr="78AE8092" w:rsidR="0DB9E3E5">
              <w:rPr>
                <w:sz w:val="20"/>
                <w:szCs w:val="20"/>
                <w:lang w:val="en-GB"/>
              </w:rPr>
              <w:t xml:space="preserve">to address inequities </w:t>
            </w:r>
            <w:r w:rsidRPr="78AE8092" w:rsidR="25F08C64">
              <w:rPr>
                <w:sz w:val="20"/>
                <w:szCs w:val="20"/>
                <w:lang w:val="en-GB"/>
              </w:rPr>
              <w:t>in view of the devolved structure</w:t>
            </w:r>
            <w:r w:rsidRPr="78AE8092" w:rsidR="006676B4">
              <w:rPr>
                <w:sz w:val="20"/>
                <w:szCs w:val="20"/>
                <w:lang w:val="en-GB"/>
              </w:rPr>
              <w:t xml:space="preserve"> for health services</w:t>
            </w:r>
            <w:r w:rsidRPr="78AE8092" w:rsidR="25F08C64">
              <w:rPr>
                <w:sz w:val="20"/>
                <w:szCs w:val="20"/>
                <w:lang w:val="en-GB"/>
              </w:rPr>
              <w:t xml:space="preserve">. </w:t>
            </w:r>
            <w:r w:rsidRPr="78AE8092" w:rsidR="7CB2EAC3">
              <w:rPr>
                <w:sz w:val="20"/>
                <w:szCs w:val="20"/>
                <w:lang w:val="en-GB"/>
              </w:rPr>
              <w:t xml:space="preserve">Kenya MOH will continue to face frequent </w:t>
            </w:r>
            <w:r w:rsidRPr="78AE8092" w:rsidR="7CB2EAC3">
              <w:rPr>
                <w:sz w:val="20"/>
                <w:szCs w:val="20"/>
                <w:lang w:val="en-GB"/>
              </w:rPr>
              <w:t>turnover</w:t>
            </w:r>
            <w:r w:rsidRPr="78AE8092" w:rsidR="7CB2EAC3">
              <w:rPr>
                <w:sz w:val="20"/>
                <w:szCs w:val="20"/>
                <w:lang w:val="en-GB"/>
              </w:rPr>
              <w:t xml:space="preserve"> of staff working in the immunization programme hence the need for continuous capacity stren</w:t>
            </w:r>
            <w:r w:rsidRPr="78AE8092" w:rsidR="4C364DE1">
              <w:rPr>
                <w:sz w:val="20"/>
                <w:szCs w:val="20"/>
                <w:lang w:val="en-GB"/>
              </w:rPr>
              <w:t>gth</w:t>
            </w:r>
            <w:r w:rsidRPr="78AE8092" w:rsidR="7CB2EAC3">
              <w:rPr>
                <w:sz w:val="20"/>
                <w:szCs w:val="20"/>
                <w:lang w:val="en-GB"/>
              </w:rPr>
              <w:t>ening of new staff.</w:t>
            </w:r>
          </w:p>
          <w:p w:rsidRPr="009851AC" w:rsidR="00B3051A" w:rsidP="009851AC" w:rsidRDefault="00B3051A" w14:paraId="068DA33C" w14:textId="7D9C099A">
            <w:pPr>
              <w:spacing w:line="300" w:lineRule="exact"/>
              <w:rPr>
                <w:sz w:val="20"/>
                <w:szCs w:val="20"/>
                <w:lang w:val="en-GB"/>
              </w:rPr>
            </w:pPr>
          </w:p>
          <w:p w:rsidRPr="006D7F35" w:rsidR="006D7F35" w:rsidP="00871FCF" w:rsidRDefault="006D7F35" w14:paraId="54735EE2" w14:textId="242A5E6F">
            <w:pPr>
              <w:spacing w:line="300" w:lineRule="exact"/>
              <w:rPr>
                <w:sz w:val="20"/>
                <w:szCs w:val="20"/>
                <w:lang w:val="en-GB"/>
              </w:rPr>
            </w:pPr>
          </w:p>
        </w:tc>
      </w:tr>
    </w:tbl>
    <w:p w:rsidR="009F0292" w:rsidP="00372D1F" w:rsidRDefault="009F0292" w14:paraId="4B96F6BD" w14:textId="77777777">
      <w:pPr>
        <w:pStyle w:val="ListParagraph"/>
        <w:spacing w:line="300" w:lineRule="exact"/>
        <w:ind w:left="0"/>
        <w:jc w:val="right"/>
        <w:rPr>
          <w:b/>
          <w:color w:val="70AD47" w:themeColor="accent6"/>
          <w:sz w:val="26"/>
          <w:szCs w:val="26"/>
          <w:lang w:val="en-GB"/>
        </w:rPr>
      </w:pPr>
    </w:p>
    <w:p w:rsidRPr="00A957C9" w:rsidR="00610D71" w:rsidP="00CE1F57" w:rsidRDefault="003F0221" w14:paraId="11BFC6A9" w14:textId="753345FA">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Pr="08473C56" w:rsidR="000A3F37">
        <w:rPr>
          <w:b/>
          <w:bCs/>
          <w:color w:val="70AD47" w:themeColor="accent6"/>
          <w:sz w:val="26"/>
          <w:szCs w:val="26"/>
          <w:lang w:val="en-GB"/>
        </w:rPr>
        <w:t xml:space="preserve">ment of </w:t>
      </w:r>
      <w:r w:rsidRPr="08473C56" w:rsidR="000A6AC3">
        <w:rPr>
          <w:b/>
          <w:bCs/>
          <w:color w:val="70AD47" w:themeColor="accent6"/>
          <w:sz w:val="26"/>
          <w:szCs w:val="26"/>
          <w:lang w:val="en-GB"/>
        </w:rPr>
        <w:t>the</w:t>
      </w:r>
      <w:r w:rsidRPr="08473C56" w:rsidR="000A3F37">
        <w:rPr>
          <w:b/>
          <w:bCs/>
          <w:color w:val="70AD47" w:themeColor="accent6"/>
          <w:sz w:val="26"/>
          <w:szCs w:val="26"/>
          <w:lang w:val="en-GB"/>
        </w:rPr>
        <w:t xml:space="preserve"> One T</w:t>
      </w:r>
      <w:r w:rsidRPr="08473C56" w:rsidR="002510AA">
        <w:rPr>
          <w:b/>
          <w:bCs/>
          <w:color w:val="70AD47" w:themeColor="accent6"/>
          <w:sz w:val="26"/>
          <w:szCs w:val="26"/>
          <w:lang w:val="en-GB"/>
        </w:rPr>
        <w:t>C</w:t>
      </w:r>
      <w:r w:rsidRPr="08473C56" w:rsidR="000A3F37">
        <w:rPr>
          <w:b/>
          <w:bCs/>
          <w:color w:val="70AD47" w:themeColor="accent6"/>
          <w:sz w:val="26"/>
          <w:szCs w:val="26"/>
          <w:lang w:val="en-GB"/>
        </w:rPr>
        <w:t xml:space="preserve">A plan with </w:t>
      </w:r>
      <w:r w:rsidRPr="08473C56" w:rsidR="00106608">
        <w:rPr>
          <w:b/>
          <w:bCs/>
          <w:color w:val="70AD47" w:themeColor="accent6"/>
          <w:sz w:val="26"/>
          <w:szCs w:val="26"/>
          <w:lang w:val="en-GB"/>
        </w:rPr>
        <w:t xml:space="preserve">future </w:t>
      </w:r>
      <w:r w:rsidR="00600378">
        <w:rPr>
          <w:b/>
          <w:bCs/>
          <w:color w:val="70AD47" w:themeColor="accent6"/>
          <w:sz w:val="26"/>
          <w:szCs w:val="26"/>
          <w:lang w:val="en-GB"/>
        </w:rPr>
        <w:t xml:space="preserve">Gavi </w:t>
      </w:r>
      <w:r w:rsidRPr="08473C56" w:rsidR="00106608">
        <w:rPr>
          <w:b/>
          <w:bCs/>
          <w:color w:val="70AD47" w:themeColor="accent6"/>
          <w:sz w:val="26"/>
          <w:szCs w:val="26"/>
          <w:lang w:val="en-GB"/>
        </w:rPr>
        <w:t>planned investments</w:t>
      </w:r>
      <w:r w:rsidRPr="08473C56" w:rsidR="005747F6">
        <w:rPr>
          <w:b/>
          <w:bCs/>
          <w:color w:val="70AD47" w:themeColor="accent6"/>
          <w:sz w:val="26"/>
          <w:szCs w:val="26"/>
          <w:lang w:val="en-GB"/>
        </w:rPr>
        <w:t xml:space="preserve">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A957C9" w:rsidTr="78AE8092" w14:paraId="3F6BA8B3" w14:textId="77777777">
        <w:tc>
          <w:tcPr>
            <w:tcW w:w="9192" w:type="dxa"/>
            <w:tcBorders>
              <w:bottom w:val="single" w:color="auto" w:sz="4" w:space="0"/>
            </w:tcBorders>
            <w:shd w:val="clear" w:color="auto" w:fill="F2F2F2" w:themeFill="background1" w:themeFillShade="F2"/>
            <w:tcMar/>
          </w:tcPr>
          <w:p w:rsidRPr="00CF3BC4" w:rsidR="00A957C9" w:rsidP="00FC4A11" w:rsidRDefault="007476F9" w14:paraId="518A3DA4" w14:textId="40BBA6B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Pr="00CF3BC4" w:rsidR="00A957C9">
              <w:rPr>
                <w:b/>
                <w:bCs/>
                <w:i/>
                <w:iCs/>
                <w:sz w:val="20"/>
                <w:szCs w:val="20"/>
              </w:rPr>
              <w:t xml:space="preserve">Please list all planned upcoming Gavi investments (e.g.  </w:t>
            </w:r>
            <w:r w:rsidR="00016A9B">
              <w:rPr>
                <w:b/>
                <w:bCs/>
                <w:i/>
                <w:iCs/>
                <w:sz w:val="20"/>
                <w:szCs w:val="20"/>
              </w:rPr>
              <w:t>new vaccine support</w:t>
            </w:r>
            <w:r w:rsidRPr="00CF3BC4" w:rsidR="00A957C9">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Pr="00CF3BC4" w:rsidR="00A957C9">
              <w:rPr>
                <w:b/>
                <w:bCs/>
                <w:i/>
                <w:iCs/>
                <w:sz w:val="20"/>
                <w:szCs w:val="20"/>
              </w:rPr>
              <w:t xml:space="preserve"> plan will be aligned with the ongoing and/or planned investments made by Gavi</w:t>
            </w:r>
            <w:r w:rsidR="005F6AD5">
              <w:rPr>
                <w:b/>
                <w:bCs/>
                <w:i/>
                <w:iCs/>
                <w:sz w:val="20"/>
                <w:szCs w:val="20"/>
              </w:rPr>
              <w:t>.</w:t>
            </w:r>
          </w:p>
        </w:tc>
      </w:tr>
      <w:tr w:rsidRPr="001D1BD2" w:rsidR="00A957C9" w:rsidTr="78AE8092" w14:paraId="7B4C9334" w14:textId="77777777">
        <w:trPr>
          <w:trHeight w:val="50"/>
        </w:trPr>
        <w:tc>
          <w:tcPr>
            <w:tcW w:w="9192" w:type="dxa"/>
            <w:tcBorders>
              <w:top w:val="single" w:color="auto" w:sz="4" w:space="0"/>
              <w:left w:val="single" w:color="auto" w:sz="4" w:space="0"/>
              <w:bottom w:val="single" w:color="auto" w:sz="4" w:space="0"/>
              <w:right w:val="single" w:color="auto" w:sz="4" w:space="0"/>
            </w:tcBorders>
            <w:tcMar/>
          </w:tcPr>
          <w:p w:rsidR="00B544AC" w:rsidP="009E4F92" w:rsidRDefault="0064220A" w14:paraId="28A0A24D" w14:textId="656BB4F8">
            <w:pPr>
              <w:autoSpaceDE w:val="0"/>
              <w:autoSpaceDN w:val="0"/>
              <w:adjustRightInd w:val="0"/>
              <w:spacing w:line="240" w:lineRule="auto"/>
              <w:rPr>
                <w:sz w:val="20"/>
                <w:szCs w:val="20"/>
                <w:lang w:val="en-GB"/>
              </w:rPr>
            </w:pPr>
            <w:r w:rsidRPr="78AE8092" w:rsidR="159B593F">
              <w:rPr>
                <w:sz w:val="20"/>
                <w:szCs w:val="20"/>
                <w:lang w:val="en-GB"/>
              </w:rPr>
              <w:t xml:space="preserve">Kenya has identified key investment areas to increase immunization coverage and address inequities in its 5-year </w:t>
            </w:r>
            <w:r w:rsidRPr="78AE8092" w:rsidR="45DE4F42">
              <w:rPr>
                <w:sz w:val="20"/>
                <w:szCs w:val="20"/>
                <w:lang w:val="en-GB"/>
              </w:rPr>
              <w:t>National Vaccine and Immunization Strategic plan 2021-2025</w:t>
            </w:r>
            <w:r w:rsidRPr="78AE8092" w:rsidR="159B593F">
              <w:rPr>
                <w:sz w:val="20"/>
                <w:szCs w:val="20"/>
                <w:lang w:val="en-GB"/>
              </w:rPr>
              <w:t xml:space="preserve">. </w:t>
            </w:r>
            <w:r w:rsidRPr="78AE8092" w:rsidR="0DB9E3E5">
              <w:rPr>
                <w:sz w:val="20"/>
                <w:szCs w:val="20"/>
                <w:lang w:val="en-GB"/>
              </w:rPr>
              <w:t xml:space="preserve">The draft Kenya </w:t>
            </w:r>
            <w:r w:rsidRPr="78AE8092" w:rsidR="0DB9E3E5">
              <w:rPr>
                <w:sz w:val="20"/>
                <w:szCs w:val="20"/>
                <w:lang w:val="en-GB"/>
              </w:rPr>
              <w:t>Gavi Full Portfolio Planning (</w:t>
            </w:r>
            <w:r w:rsidRPr="78AE8092" w:rsidR="0DB9E3E5">
              <w:rPr>
                <w:sz w:val="20"/>
                <w:szCs w:val="20"/>
                <w:lang w:val="en-GB"/>
              </w:rPr>
              <w:t>FPP</w:t>
            </w:r>
            <w:r w:rsidRPr="78AE8092" w:rsidR="0DB9E3E5">
              <w:rPr>
                <w:sz w:val="20"/>
                <w:szCs w:val="20"/>
                <w:lang w:val="en-GB"/>
              </w:rPr>
              <w:t>)</w:t>
            </w:r>
            <w:r w:rsidRPr="78AE8092" w:rsidR="0DB9E3E5">
              <w:rPr>
                <w:sz w:val="20"/>
                <w:szCs w:val="20"/>
                <w:lang w:val="en-GB"/>
              </w:rPr>
              <w:t xml:space="preserve"> has outlined key investment areas in the next five years</w:t>
            </w:r>
            <w:r w:rsidRPr="78AE8092" w:rsidR="6983D6A7">
              <w:rPr>
                <w:sz w:val="20"/>
                <w:szCs w:val="20"/>
                <w:lang w:val="en-GB"/>
              </w:rPr>
              <w:t xml:space="preserve"> aligned to the Kenya immunization strategic plan. </w:t>
            </w:r>
          </w:p>
          <w:p w:rsidRPr="001D1BD2" w:rsidR="00A957C9" w:rsidP="009E4F92" w:rsidRDefault="00B57B74" w14:paraId="4D9E034A" w14:textId="2E1E57AA">
            <w:pPr>
              <w:autoSpaceDE w:val="0"/>
              <w:autoSpaceDN w:val="0"/>
              <w:adjustRightInd w:val="0"/>
              <w:spacing w:line="240" w:lineRule="auto"/>
              <w:rPr>
                <w:sz w:val="20"/>
                <w:szCs w:val="20"/>
                <w:lang w:val="en-GB"/>
              </w:rPr>
            </w:pPr>
            <w:r w:rsidRPr="78AE8092" w:rsidR="6983D6A7">
              <w:rPr>
                <w:sz w:val="20"/>
                <w:szCs w:val="20"/>
                <w:lang w:val="en-GB"/>
              </w:rPr>
              <w:t xml:space="preserve">In order to realize the </w:t>
            </w:r>
            <w:r w:rsidRPr="78AE8092" w:rsidR="6983D6A7">
              <w:rPr>
                <w:sz w:val="20"/>
                <w:szCs w:val="20"/>
                <w:lang w:val="en-GB"/>
              </w:rPr>
              <w:t>objectives,</w:t>
            </w:r>
            <w:r w:rsidRPr="78AE8092" w:rsidR="6983D6A7">
              <w:rPr>
                <w:sz w:val="20"/>
                <w:szCs w:val="20"/>
                <w:lang w:val="en-GB"/>
              </w:rPr>
              <w:t xml:space="preserve"> set out in the areas to be supported by Gavi under Gavi FPP, </w:t>
            </w:r>
            <w:r w:rsidRPr="78AE8092" w:rsidR="0DB9E3E5">
              <w:rPr>
                <w:sz w:val="20"/>
                <w:szCs w:val="20"/>
                <w:lang w:val="en-GB"/>
              </w:rPr>
              <w:t>continued technical assistance</w:t>
            </w:r>
            <w:r w:rsidRPr="78AE8092" w:rsidR="6983D6A7">
              <w:rPr>
                <w:sz w:val="20"/>
                <w:szCs w:val="20"/>
                <w:lang w:val="en-GB"/>
              </w:rPr>
              <w:t xml:space="preserve"> w</w:t>
            </w:r>
            <w:r w:rsidRPr="78AE8092" w:rsidR="1F38AAF6">
              <w:rPr>
                <w:sz w:val="20"/>
                <w:szCs w:val="20"/>
                <w:lang w:val="en-GB"/>
              </w:rPr>
              <w:t xml:space="preserve">ill </w:t>
            </w:r>
            <w:r w:rsidRPr="78AE8092" w:rsidR="6983D6A7">
              <w:rPr>
                <w:sz w:val="20"/>
                <w:szCs w:val="20"/>
                <w:lang w:val="en-GB"/>
              </w:rPr>
              <w:t>be required</w:t>
            </w:r>
            <w:r w:rsidRPr="78AE8092" w:rsidR="0DB9E3E5">
              <w:rPr>
                <w:sz w:val="20"/>
                <w:szCs w:val="20"/>
                <w:lang w:val="en-GB"/>
              </w:rPr>
              <w:t xml:space="preserve">. </w:t>
            </w:r>
            <w:r w:rsidRPr="78AE8092" w:rsidR="6983D6A7">
              <w:rPr>
                <w:sz w:val="20"/>
                <w:szCs w:val="20"/>
                <w:lang w:val="en-GB"/>
              </w:rPr>
              <w:t xml:space="preserve">Some of the </w:t>
            </w:r>
            <w:r w:rsidRPr="78AE8092" w:rsidR="0DB9E3E5">
              <w:rPr>
                <w:sz w:val="20"/>
                <w:szCs w:val="20"/>
                <w:lang w:val="en-GB"/>
              </w:rPr>
              <w:t xml:space="preserve">investment areas </w:t>
            </w:r>
            <w:r w:rsidRPr="78AE8092" w:rsidR="6983D6A7">
              <w:rPr>
                <w:sz w:val="20"/>
                <w:szCs w:val="20"/>
                <w:lang w:val="en-GB"/>
              </w:rPr>
              <w:t>that would require TA include</w:t>
            </w:r>
            <w:r w:rsidRPr="78AE8092" w:rsidR="0DB9E3E5">
              <w:rPr>
                <w:sz w:val="20"/>
                <w:szCs w:val="20"/>
                <w:lang w:val="en-GB"/>
              </w:rPr>
              <w:t xml:space="preserve">: </w:t>
            </w:r>
          </w:p>
          <w:p w:rsidRPr="001D1BD2" w:rsidR="001D1BD2" w:rsidP="001D1BD2" w:rsidRDefault="001D1BD2" w14:paraId="349268B1" w14:textId="66335EAE">
            <w:pPr>
              <w:pStyle w:val="ListParagraph"/>
              <w:numPr>
                <w:ilvl w:val="0"/>
                <w:numId w:val="8"/>
              </w:numPr>
              <w:spacing w:line="300" w:lineRule="exact"/>
              <w:rPr>
                <w:sz w:val="20"/>
                <w:szCs w:val="20"/>
                <w:lang w:val="en-GB"/>
              </w:rPr>
            </w:pPr>
            <w:r w:rsidRPr="001D1BD2">
              <w:rPr>
                <w:sz w:val="20"/>
                <w:szCs w:val="20"/>
                <w:lang w:val="en-GB"/>
              </w:rPr>
              <w:t>Introduction of new vaccines</w:t>
            </w:r>
            <w:r>
              <w:rPr>
                <w:sz w:val="20"/>
                <w:szCs w:val="20"/>
                <w:lang w:val="en-GB"/>
              </w:rPr>
              <w:t xml:space="preserve"> namely</w:t>
            </w:r>
            <w:r w:rsidRPr="00092DA2">
              <w:rPr>
                <w:sz w:val="20"/>
                <w:szCs w:val="20"/>
              </w:rPr>
              <w:t xml:space="preserve"> </w:t>
            </w:r>
            <w:r w:rsidR="002D63CB">
              <w:rPr>
                <w:sz w:val="20"/>
                <w:szCs w:val="20"/>
              </w:rPr>
              <w:t>second dose of inactivated polio vaccine (</w:t>
            </w:r>
            <w:r w:rsidRPr="00092DA2">
              <w:rPr>
                <w:sz w:val="20"/>
                <w:szCs w:val="20"/>
              </w:rPr>
              <w:t>IPV</w:t>
            </w:r>
            <w:r w:rsidR="002D63CB">
              <w:rPr>
                <w:sz w:val="20"/>
                <w:szCs w:val="20"/>
              </w:rPr>
              <w:t>)</w:t>
            </w:r>
            <w:r w:rsidRPr="00092DA2">
              <w:rPr>
                <w:sz w:val="20"/>
                <w:szCs w:val="20"/>
              </w:rPr>
              <w:t>, TCV, Men A and Malaria</w:t>
            </w:r>
            <w:r>
              <w:rPr>
                <w:sz w:val="20"/>
                <w:szCs w:val="20"/>
              </w:rPr>
              <w:t xml:space="preserve"> vaccine in Counties with high</w:t>
            </w:r>
            <w:r w:rsidR="002D63CB">
              <w:rPr>
                <w:sz w:val="20"/>
                <w:szCs w:val="20"/>
              </w:rPr>
              <w:t xml:space="preserve"> malaria</w:t>
            </w:r>
            <w:r>
              <w:rPr>
                <w:sz w:val="20"/>
                <w:szCs w:val="20"/>
              </w:rPr>
              <w:t xml:space="preserve"> prevalence</w:t>
            </w:r>
          </w:p>
          <w:p w:rsidR="00DE7F26" w:rsidP="001D1BD2" w:rsidRDefault="00DE7F26" w14:paraId="0671F27D" w14:textId="0EDA8D05">
            <w:pPr>
              <w:pStyle w:val="ListParagraph"/>
              <w:numPr>
                <w:ilvl w:val="0"/>
                <w:numId w:val="8"/>
              </w:numPr>
              <w:spacing w:line="300" w:lineRule="exact"/>
              <w:rPr>
                <w:sz w:val="20"/>
                <w:szCs w:val="20"/>
                <w:lang w:val="en-GB"/>
              </w:rPr>
            </w:pPr>
            <w:r w:rsidRPr="78AE8092" w:rsidR="2D3731EC">
              <w:rPr>
                <w:sz w:val="20"/>
                <w:szCs w:val="20"/>
                <w:lang w:val="en-GB"/>
              </w:rPr>
              <w:t xml:space="preserve">Switch of vaccine formulation </w:t>
            </w:r>
            <w:r w:rsidRPr="78AE8092" w:rsidR="2D3731EC">
              <w:rPr>
                <w:sz w:val="20"/>
                <w:szCs w:val="20"/>
                <w:lang w:val="en-GB"/>
              </w:rPr>
              <w:t>e.g. switching</w:t>
            </w:r>
            <w:r w:rsidRPr="78AE8092" w:rsidR="2D3731EC">
              <w:rPr>
                <w:sz w:val="20"/>
                <w:szCs w:val="20"/>
                <w:lang w:val="en-GB"/>
              </w:rPr>
              <w:t xml:space="preserve"> from Rotarix to </w:t>
            </w:r>
            <w:proofErr w:type="spellStart"/>
            <w:r w:rsidRPr="78AE8092" w:rsidR="2D3731EC">
              <w:rPr>
                <w:sz w:val="20"/>
                <w:szCs w:val="20"/>
                <w:lang w:val="en-GB"/>
              </w:rPr>
              <w:t>rotavac</w:t>
            </w:r>
            <w:proofErr w:type="spellEnd"/>
            <w:r w:rsidRPr="78AE8092" w:rsidR="2D3731EC">
              <w:rPr>
                <w:sz w:val="20"/>
                <w:szCs w:val="20"/>
                <w:lang w:val="en-GB"/>
              </w:rPr>
              <w:t xml:space="preserve"> formulations</w:t>
            </w:r>
          </w:p>
          <w:p w:rsidR="00B63123" w:rsidP="001D1BD2" w:rsidRDefault="00B63123" w14:paraId="147F4BB4" w14:textId="605A6217">
            <w:pPr>
              <w:pStyle w:val="ListParagraph"/>
              <w:numPr>
                <w:ilvl w:val="0"/>
                <w:numId w:val="8"/>
              </w:numPr>
              <w:spacing w:line="300" w:lineRule="exact"/>
              <w:rPr>
                <w:sz w:val="20"/>
                <w:szCs w:val="20"/>
                <w:lang w:val="en-GB"/>
              </w:rPr>
            </w:pPr>
            <w:r>
              <w:rPr>
                <w:sz w:val="20"/>
                <w:szCs w:val="20"/>
                <w:lang w:val="en-GB"/>
              </w:rPr>
              <w:t>Stren</w:t>
            </w:r>
            <w:r w:rsidR="00DE7F26">
              <w:rPr>
                <w:sz w:val="20"/>
                <w:szCs w:val="20"/>
                <w:lang w:val="en-GB"/>
              </w:rPr>
              <w:t>g</w:t>
            </w:r>
            <w:r>
              <w:rPr>
                <w:sz w:val="20"/>
                <w:szCs w:val="20"/>
                <w:lang w:val="en-GB"/>
              </w:rPr>
              <w:t>thening leadership, governance and coordination for immunization services</w:t>
            </w:r>
          </w:p>
          <w:p w:rsidR="0064220A" w:rsidP="001D1BD2" w:rsidRDefault="0064220A" w14:paraId="0CECBD1A" w14:textId="51CB1FE1">
            <w:pPr>
              <w:pStyle w:val="ListParagraph"/>
              <w:numPr>
                <w:ilvl w:val="0"/>
                <w:numId w:val="8"/>
              </w:numPr>
              <w:spacing w:line="300" w:lineRule="exact"/>
              <w:rPr>
                <w:sz w:val="20"/>
                <w:szCs w:val="20"/>
                <w:lang w:val="en-GB"/>
              </w:rPr>
            </w:pPr>
            <w:r w:rsidRPr="78AE8092" w:rsidR="159B593F">
              <w:rPr>
                <w:sz w:val="20"/>
                <w:szCs w:val="20"/>
                <w:lang w:val="en-GB"/>
              </w:rPr>
              <w:t xml:space="preserve">Reaching the unreached </w:t>
            </w:r>
            <w:r w:rsidRPr="78AE8092" w:rsidR="159B593F">
              <w:rPr>
                <w:sz w:val="20"/>
                <w:szCs w:val="20"/>
                <w:lang w:val="en-GB"/>
              </w:rPr>
              <w:t>population</w:t>
            </w:r>
            <w:r w:rsidRPr="78AE8092" w:rsidR="159B593F">
              <w:rPr>
                <w:sz w:val="20"/>
                <w:szCs w:val="20"/>
                <w:lang w:val="en-GB"/>
              </w:rPr>
              <w:t>,</w:t>
            </w:r>
            <w:r w:rsidRPr="78AE8092" w:rsidR="2254A775">
              <w:rPr>
                <w:sz w:val="20"/>
                <w:szCs w:val="20"/>
                <w:lang w:val="en-GB"/>
              </w:rPr>
              <w:t xml:space="preserve"> special populations,</w:t>
            </w:r>
            <w:r w:rsidRPr="78AE8092" w:rsidR="159B593F">
              <w:rPr>
                <w:sz w:val="20"/>
                <w:szCs w:val="20"/>
                <w:lang w:val="en-GB"/>
              </w:rPr>
              <w:t xml:space="preserve"> the missed and zero dose children</w:t>
            </w:r>
          </w:p>
          <w:p w:rsidR="000A352C" w:rsidP="001D1BD2" w:rsidRDefault="000A352C" w14:paraId="49A5E4A9" w14:textId="495958F8">
            <w:pPr>
              <w:pStyle w:val="ListParagraph"/>
              <w:numPr>
                <w:ilvl w:val="0"/>
                <w:numId w:val="8"/>
              </w:numPr>
              <w:spacing w:line="300" w:lineRule="exact"/>
              <w:rPr>
                <w:sz w:val="20"/>
                <w:szCs w:val="20"/>
                <w:lang w:val="en-GB"/>
              </w:rPr>
            </w:pPr>
            <w:r>
              <w:rPr>
                <w:sz w:val="20"/>
                <w:szCs w:val="20"/>
                <w:lang w:val="en-GB"/>
              </w:rPr>
              <w:t>Vaccination campaigns e.g. follow up MR vaccination</w:t>
            </w:r>
          </w:p>
          <w:p w:rsidR="0067022D" w:rsidP="001D1BD2" w:rsidRDefault="0067022D" w14:paraId="5B696FE0" w14:textId="2896A147">
            <w:pPr>
              <w:pStyle w:val="ListParagraph"/>
              <w:numPr>
                <w:ilvl w:val="0"/>
                <w:numId w:val="8"/>
              </w:numPr>
              <w:spacing w:line="300" w:lineRule="exact"/>
              <w:rPr>
                <w:sz w:val="20"/>
                <w:szCs w:val="20"/>
                <w:lang w:val="en-GB"/>
              </w:rPr>
            </w:pPr>
            <w:r>
              <w:rPr>
                <w:sz w:val="20"/>
                <w:szCs w:val="20"/>
                <w:lang w:val="en-GB"/>
              </w:rPr>
              <w:t>Building capacity of Counties to deliver immunization services</w:t>
            </w:r>
          </w:p>
          <w:p w:rsidR="0064220A" w:rsidP="001D1BD2" w:rsidRDefault="0064220A" w14:paraId="5AE63C04" w14:textId="289945FF">
            <w:pPr>
              <w:pStyle w:val="ListParagraph"/>
              <w:numPr>
                <w:ilvl w:val="0"/>
                <w:numId w:val="8"/>
              </w:numPr>
              <w:spacing w:line="300" w:lineRule="exact"/>
              <w:rPr>
                <w:sz w:val="20"/>
                <w:szCs w:val="20"/>
                <w:lang w:val="en-GB"/>
              </w:rPr>
            </w:pPr>
            <w:r>
              <w:rPr>
                <w:sz w:val="20"/>
                <w:szCs w:val="20"/>
                <w:lang w:val="en-GB"/>
              </w:rPr>
              <w:t>Improving data quality</w:t>
            </w:r>
            <w:r w:rsidR="001C71E1">
              <w:rPr>
                <w:sz w:val="20"/>
                <w:szCs w:val="20"/>
                <w:lang w:val="en-GB"/>
              </w:rPr>
              <w:t xml:space="preserve"> for evidence-based decision making </w:t>
            </w:r>
          </w:p>
          <w:p w:rsidR="00B57B74" w:rsidP="001D1BD2" w:rsidRDefault="00B57B74" w14:paraId="3E9FE45D" w14:textId="3B94EA1D">
            <w:pPr>
              <w:pStyle w:val="ListParagraph"/>
              <w:numPr>
                <w:ilvl w:val="0"/>
                <w:numId w:val="8"/>
              </w:numPr>
              <w:spacing w:line="300" w:lineRule="exact"/>
              <w:rPr>
                <w:sz w:val="20"/>
                <w:szCs w:val="20"/>
                <w:lang w:val="en-GB"/>
              </w:rPr>
            </w:pPr>
            <w:r>
              <w:rPr>
                <w:sz w:val="20"/>
                <w:szCs w:val="20"/>
                <w:lang w:val="en-GB"/>
              </w:rPr>
              <w:t>S</w:t>
            </w:r>
            <w:r w:rsidR="007D36E2">
              <w:rPr>
                <w:sz w:val="20"/>
                <w:szCs w:val="20"/>
                <w:lang w:val="en-GB"/>
              </w:rPr>
              <w:t>trengthening s</w:t>
            </w:r>
            <w:r>
              <w:rPr>
                <w:sz w:val="20"/>
                <w:szCs w:val="20"/>
                <w:lang w:val="en-GB"/>
              </w:rPr>
              <w:t xml:space="preserve">upply chain </w:t>
            </w:r>
          </w:p>
          <w:p w:rsidR="001D1BD2" w:rsidP="001D1BD2" w:rsidRDefault="001D1BD2" w14:paraId="71B7A834" w14:textId="77777777">
            <w:pPr>
              <w:pStyle w:val="ListParagraph"/>
              <w:numPr>
                <w:ilvl w:val="0"/>
                <w:numId w:val="8"/>
              </w:numPr>
              <w:spacing w:line="300" w:lineRule="exact"/>
              <w:rPr>
                <w:sz w:val="20"/>
                <w:szCs w:val="20"/>
                <w:lang w:val="en-GB"/>
              </w:rPr>
            </w:pPr>
            <w:r w:rsidRPr="001D1BD2">
              <w:rPr>
                <w:sz w:val="20"/>
                <w:szCs w:val="20"/>
                <w:lang w:val="en-GB"/>
              </w:rPr>
              <w:t>Cold chain expansion</w:t>
            </w:r>
            <w:r>
              <w:rPr>
                <w:sz w:val="20"/>
                <w:szCs w:val="20"/>
                <w:lang w:val="en-GB"/>
              </w:rPr>
              <w:t xml:space="preserve"> under CCEOP</w:t>
            </w:r>
          </w:p>
          <w:p w:rsidR="0067022D" w:rsidP="001D1BD2" w:rsidRDefault="0067022D" w14:paraId="726DCFA7" w14:textId="77777777">
            <w:pPr>
              <w:pStyle w:val="ListParagraph"/>
              <w:numPr>
                <w:ilvl w:val="0"/>
                <w:numId w:val="8"/>
              </w:numPr>
              <w:spacing w:line="300" w:lineRule="exact"/>
              <w:rPr>
                <w:sz w:val="20"/>
                <w:szCs w:val="20"/>
                <w:lang w:val="en-GB"/>
              </w:rPr>
            </w:pPr>
            <w:r>
              <w:rPr>
                <w:sz w:val="20"/>
                <w:szCs w:val="20"/>
                <w:lang w:val="en-GB"/>
              </w:rPr>
              <w:t>Sustainable immunization financing</w:t>
            </w:r>
          </w:p>
          <w:p w:rsidR="00CD2090" w:rsidP="001D1BD2" w:rsidRDefault="00CD2090" w14:paraId="0121793E" w14:textId="77777777">
            <w:pPr>
              <w:pStyle w:val="ListParagraph"/>
              <w:numPr>
                <w:ilvl w:val="0"/>
                <w:numId w:val="8"/>
              </w:numPr>
              <w:spacing w:line="300" w:lineRule="exact"/>
              <w:rPr>
                <w:sz w:val="20"/>
                <w:szCs w:val="20"/>
                <w:lang w:val="en-GB"/>
              </w:rPr>
            </w:pPr>
            <w:r>
              <w:rPr>
                <w:sz w:val="20"/>
                <w:szCs w:val="20"/>
                <w:lang w:val="en-GB"/>
              </w:rPr>
              <w:t>Planning for transitioning from Gavi support</w:t>
            </w:r>
          </w:p>
          <w:p w:rsidRPr="005F3254" w:rsidR="00B55A15" w:rsidP="001D1BD2" w:rsidRDefault="00B55A15" w14:paraId="2A9B9602" w14:textId="77777777">
            <w:pPr>
              <w:pStyle w:val="ListParagraph"/>
              <w:numPr>
                <w:ilvl w:val="0"/>
                <w:numId w:val="8"/>
              </w:numPr>
              <w:spacing w:line="300" w:lineRule="exact"/>
              <w:rPr>
                <w:sz w:val="20"/>
                <w:szCs w:val="20"/>
                <w:lang w:val="en-GB"/>
              </w:rPr>
            </w:pPr>
            <w:r>
              <w:rPr>
                <w:sz w:val="20"/>
                <w:szCs w:val="20"/>
                <w:lang w:val="en-GB"/>
              </w:rPr>
              <w:t xml:space="preserve">Empowering communities </w:t>
            </w:r>
            <w:r>
              <w:rPr>
                <w:rFonts w:eastAsiaTheme="minorHAnsi"/>
                <w:sz w:val="20"/>
                <w:szCs w:val="20"/>
                <w:lang w:val="en-US" w:eastAsia="en-US"/>
              </w:rPr>
              <w:t>to participate, demand and utilize immunization services</w:t>
            </w:r>
          </w:p>
          <w:p w:rsidRPr="001D1BD2" w:rsidR="005F3254" w:rsidP="001D1BD2" w:rsidRDefault="005F3254" w14:paraId="2033B8FD" w14:textId="1BBB559A">
            <w:pPr>
              <w:pStyle w:val="ListParagraph"/>
              <w:numPr>
                <w:ilvl w:val="0"/>
                <w:numId w:val="8"/>
              </w:numPr>
              <w:spacing w:line="300" w:lineRule="exact"/>
              <w:rPr>
                <w:sz w:val="20"/>
                <w:szCs w:val="20"/>
                <w:lang w:val="en-GB"/>
              </w:rPr>
            </w:pPr>
            <w:r>
              <w:rPr>
                <w:sz w:val="20"/>
                <w:szCs w:val="20"/>
                <w:lang w:val="en-US"/>
              </w:rPr>
              <w:t>Improving data use by counties through roll out of improved data review meetings</w:t>
            </w:r>
          </w:p>
        </w:tc>
      </w:tr>
    </w:tbl>
    <w:p w:rsidRPr="001D1BD2" w:rsidR="0090123D" w:rsidP="001D1BD2" w:rsidRDefault="0090123D" w14:paraId="658606AB" w14:textId="77777777">
      <w:pPr>
        <w:pStyle w:val="ListParagraph"/>
        <w:spacing w:line="300" w:lineRule="exact"/>
        <w:rPr>
          <w:sz w:val="20"/>
          <w:szCs w:val="20"/>
          <w:lang w:val="en-GB"/>
        </w:rPr>
      </w:pPr>
    </w:p>
    <w:p w:rsidRPr="0090123D" w:rsidR="00603CB9" w:rsidP="00CE1F57" w:rsidRDefault="00672E21" w14:paraId="1A7FCC98" w14:textId="47F91448">
      <w:pPr>
        <w:pStyle w:val="ListParagraph"/>
        <w:numPr>
          <w:ilvl w:val="0"/>
          <w:numId w:val="4"/>
        </w:numPr>
        <w:spacing w:line="300" w:lineRule="exact"/>
        <w:ind w:left="426"/>
        <w:rPr>
          <w:lang w:val="en-GB"/>
        </w:rPr>
      </w:pPr>
      <w:r>
        <w:rPr>
          <w:b/>
          <w:bCs/>
          <w:color w:val="70AD47" w:themeColor="accent6"/>
          <w:sz w:val="26"/>
          <w:szCs w:val="26"/>
          <w:lang w:val="en-GB"/>
        </w:rPr>
        <w:t>TCA Monitoring</w:t>
      </w:r>
      <w:r w:rsidRPr="08473C56" w:rsidR="00D14702">
        <w:rPr>
          <w:b/>
          <w:bCs/>
          <w:color w:val="70AD47" w:themeColor="accent6"/>
          <w:sz w:val="26"/>
          <w:szCs w:val="26"/>
          <w:lang w:val="en-GB"/>
        </w:rPr>
        <w:t xml:space="preserve"> (</w:t>
      </w:r>
      <w:r w:rsidR="0023395F">
        <w:rPr>
          <w:b/>
          <w:bCs/>
          <w:color w:val="70AD47" w:themeColor="accent6"/>
          <w:sz w:val="26"/>
          <w:szCs w:val="26"/>
          <w:lang w:val="en-GB"/>
        </w:rPr>
        <w:t>1</w:t>
      </w:r>
      <w:r w:rsidRPr="08473C56" w:rsidR="00D14702">
        <w:rPr>
          <w:b/>
          <w:bCs/>
          <w:color w:val="70AD47" w:themeColor="accent6"/>
          <w:sz w:val="26"/>
          <w:szCs w:val="26"/>
          <w:lang w:val="en-GB"/>
        </w:rPr>
        <w:t xml:space="preserve"> page)</w:t>
      </w:r>
    </w:p>
    <w:p w:rsidRPr="00A26F75" w:rsidR="00AB4B2D" w:rsidP="00FC4A11" w:rsidRDefault="00AB4B2D" w14:paraId="603C9386" w14:textId="77777777">
      <w:pPr>
        <w:pStyle w:val="ListParagraph"/>
        <w:spacing w:line="300" w:lineRule="exact"/>
        <w:ind w:left="0"/>
        <w:rPr>
          <w:lang w:val="en-GB"/>
        </w:rPr>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14"/>
      </w:tblGrid>
      <w:tr w:rsidRPr="00A957C9" w:rsidR="00A957C9" w:rsidTr="78AE8092" w14:paraId="4BFA7B74" w14:textId="77777777">
        <w:tc>
          <w:tcPr>
            <w:tcW w:w="9214" w:type="dxa"/>
            <w:tcBorders>
              <w:bottom w:val="single" w:color="auto" w:sz="4" w:space="0"/>
            </w:tcBorders>
            <w:shd w:val="clear" w:color="auto" w:fill="F2F2F2" w:themeFill="background1" w:themeFillShade="F2"/>
            <w:tcMar/>
          </w:tcPr>
          <w:p w:rsidRPr="00A957C9" w:rsidR="00AB4B2D" w:rsidP="00FC4A11" w:rsidRDefault="0023395F" w14:paraId="4522328F" w14:textId="19D81915">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Pr="00A957C9" w:rsidR="00C47384">
              <w:rPr>
                <w:b/>
                <w:bCs/>
                <w:i/>
                <w:iCs/>
                <w:sz w:val="20"/>
                <w:szCs w:val="20"/>
              </w:rPr>
              <w:t>Please provide an outline of the TCA</w:t>
            </w:r>
            <w:r w:rsidR="0023057A">
              <w:rPr>
                <w:b/>
                <w:bCs/>
                <w:i/>
                <w:iCs/>
                <w:sz w:val="20"/>
                <w:szCs w:val="20"/>
              </w:rPr>
              <w:t xml:space="preserve">  in-country</w:t>
            </w:r>
            <w:r w:rsidRPr="00A957C9" w:rsidR="00C47384">
              <w:rPr>
                <w:b/>
                <w:bCs/>
                <w:i/>
                <w:iCs/>
                <w:sz w:val="20"/>
                <w:szCs w:val="20"/>
              </w:rPr>
              <w:t xml:space="preserve"> </w:t>
            </w:r>
            <w:r w:rsidR="00D57494">
              <w:rPr>
                <w:b/>
                <w:bCs/>
                <w:i/>
                <w:iCs/>
                <w:sz w:val="20"/>
                <w:szCs w:val="20"/>
              </w:rPr>
              <w:t xml:space="preserve">mechanism </w:t>
            </w:r>
            <w:r w:rsidRPr="00A957C9" w:rsidR="00C47384">
              <w:rPr>
                <w:b/>
                <w:bCs/>
                <w:i/>
                <w:iCs/>
                <w:sz w:val="20"/>
                <w:szCs w:val="20"/>
              </w:rPr>
              <w:t xml:space="preserve">to jointly monitor and track implementation progress and generation of results of the </w:t>
            </w:r>
            <w:r w:rsidR="00372D1F">
              <w:rPr>
                <w:b/>
                <w:bCs/>
                <w:i/>
                <w:iCs/>
                <w:sz w:val="20"/>
                <w:szCs w:val="20"/>
              </w:rPr>
              <w:t>TCA</w:t>
            </w:r>
            <w:r w:rsidRPr="00A957C9" w:rsidR="00C47384">
              <w:rPr>
                <w:b/>
                <w:bCs/>
                <w:i/>
                <w:iCs/>
                <w:sz w:val="20"/>
                <w:szCs w:val="20"/>
              </w:rPr>
              <w:t xml:space="preserve"> plan as a whole</w:t>
            </w:r>
            <w:r w:rsidR="00564856">
              <w:rPr>
                <w:b/>
                <w:bCs/>
                <w:i/>
                <w:iCs/>
                <w:sz w:val="20"/>
                <w:szCs w:val="20"/>
              </w:rPr>
              <w:t xml:space="preserve">. </w:t>
            </w:r>
            <w:r w:rsidRPr="00A957C9" w:rsidR="00564856">
              <w:rPr>
                <w:b/>
                <w:bCs/>
                <w:i/>
                <w:iCs/>
                <w:sz w:val="20"/>
                <w:szCs w:val="20"/>
              </w:rPr>
              <w:t>How will that information be used to adjust and improve programme implementation?</w:t>
            </w:r>
            <w:r w:rsidRPr="00A957C9" w:rsidR="00DD391A">
              <w:rPr>
                <w:b/>
                <w:bCs/>
                <w:i/>
                <w:iCs/>
                <w:sz w:val="20"/>
                <w:szCs w:val="20"/>
              </w:rPr>
              <w:t xml:space="preserve"> How frequently are </w:t>
            </w:r>
            <w:r w:rsidRPr="00A957C9" w:rsidR="00DD391A">
              <w:rPr>
                <w:b/>
                <w:bCs/>
                <w:i/>
                <w:iCs/>
                <w:sz w:val="20"/>
                <w:szCs w:val="20"/>
              </w:rPr>
              <w:lastRenderedPageBreak/>
              <w:t>data reviewed and used and who will be responsible to ensure that review and learning occurs?</w:t>
            </w:r>
          </w:p>
        </w:tc>
      </w:tr>
      <w:tr w:rsidRPr="006A272B" w:rsidR="00A957C9" w:rsidTr="78AE8092" w14:paraId="4CAB625F" w14:textId="77777777">
        <w:tc>
          <w:tcPr>
            <w:tcW w:w="9214" w:type="dxa"/>
            <w:tcBorders>
              <w:top w:val="single" w:color="auto" w:sz="4" w:space="0"/>
              <w:left w:val="single" w:color="auto" w:sz="4" w:space="0"/>
              <w:bottom w:val="single" w:color="auto" w:sz="4" w:space="0"/>
              <w:right w:val="single" w:color="auto" w:sz="4" w:space="0"/>
            </w:tcBorders>
            <w:tcMar/>
          </w:tcPr>
          <w:p w:rsidRPr="00020A79" w:rsidR="00020A79" w:rsidP="00020A79" w:rsidRDefault="00020A79" w14:paraId="05DE9635" w14:textId="4D699E29">
            <w:pPr>
              <w:autoSpaceDE w:val="0"/>
              <w:autoSpaceDN w:val="0"/>
              <w:adjustRightInd w:val="0"/>
              <w:spacing w:line="240" w:lineRule="auto"/>
              <w:rPr>
                <w:sz w:val="20"/>
                <w:szCs w:val="20"/>
                <w:lang w:val="en-GB"/>
              </w:rPr>
            </w:pPr>
            <w:r w:rsidRPr="00020A79">
              <w:rPr>
                <w:sz w:val="20"/>
                <w:szCs w:val="20"/>
                <w:lang w:val="en-GB"/>
              </w:rPr>
              <w:lastRenderedPageBreak/>
              <w:t>The country team will carry out joint planning every year that will give rise to the Kenya  annual work plan for immunization. The annual work plan will contain all activities that have been prioritized to be implemented in the year through support of</w:t>
            </w:r>
            <w:r w:rsidR="002874DE">
              <w:rPr>
                <w:sz w:val="20"/>
                <w:szCs w:val="20"/>
                <w:lang w:val="en-GB"/>
              </w:rPr>
              <w:t xml:space="preserve"> Government of Kenya and</w:t>
            </w:r>
            <w:r w:rsidRPr="00020A79">
              <w:rPr>
                <w:sz w:val="20"/>
                <w:szCs w:val="20"/>
                <w:lang w:val="en-GB"/>
              </w:rPr>
              <w:t xml:space="preserve"> all partners in immunization. The implementation of the annual plan will be monitored jointly using the existing immunization coordination structures. </w:t>
            </w:r>
          </w:p>
          <w:p w:rsidR="002874DE" w:rsidP="002874DE" w:rsidRDefault="002874DE" w14:paraId="701BAE06" w14:textId="77777777">
            <w:pPr>
              <w:autoSpaceDE w:val="0"/>
              <w:autoSpaceDN w:val="0"/>
              <w:adjustRightInd w:val="0"/>
              <w:spacing w:line="240" w:lineRule="auto"/>
              <w:rPr>
                <w:sz w:val="20"/>
                <w:szCs w:val="20"/>
                <w:lang w:val="en-GB"/>
              </w:rPr>
            </w:pPr>
          </w:p>
          <w:p w:rsidR="002874DE" w:rsidP="002874DE" w:rsidRDefault="002874DE" w14:paraId="777982B5" w14:textId="61D1FD0B">
            <w:pPr>
              <w:autoSpaceDE w:val="0"/>
              <w:autoSpaceDN w:val="0"/>
              <w:adjustRightInd w:val="0"/>
              <w:spacing w:line="240" w:lineRule="auto"/>
              <w:rPr>
                <w:sz w:val="20"/>
                <w:szCs w:val="20"/>
                <w:lang w:val="en-GB"/>
              </w:rPr>
            </w:pPr>
            <w:r w:rsidRPr="00020A79">
              <w:rPr>
                <w:sz w:val="20"/>
                <w:szCs w:val="20"/>
                <w:lang w:val="en-GB"/>
              </w:rPr>
              <w:t xml:space="preserve">The immunization partners will be brought together through the immunization technical working group (TWG) and the thematic groups that focus on specific areas e.g. capacity building, logistics etc. These fora will provide an opportunity for coordination and a forum </w:t>
            </w:r>
            <w:r>
              <w:rPr>
                <w:sz w:val="20"/>
                <w:szCs w:val="20"/>
                <w:lang w:val="en-GB"/>
              </w:rPr>
              <w:t xml:space="preserve">to </w:t>
            </w:r>
            <w:r w:rsidRPr="00020A79">
              <w:rPr>
                <w:sz w:val="20"/>
                <w:szCs w:val="20"/>
                <w:lang w:val="en-GB"/>
              </w:rPr>
              <w:t xml:space="preserve">monitor progress made and outputs achieved towards delivery of planned activities. The meetings will be held at least every month and on adhoc basis as may be necessary. </w:t>
            </w:r>
            <w:r>
              <w:rPr>
                <w:sz w:val="20"/>
                <w:szCs w:val="20"/>
                <w:lang w:val="en-GB"/>
              </w:rPr>
              <w:t>Any bottlenecks faced or identified in the course of implementation of the activities will be presented and discussed in the TWG. Solutions will be sought and implemented.</w:t>
            </w:r>
          </w:p>
          <w:p w:rsidR="00020A79" w:rsidP="00BB0B8D" w:rsidRDefault="00020A79" w14:paraId="247688A5" w14:textId="77777777">
            <w:pPr>
              <w:autoSpaceDE w:val="0"/>
              <w:autoSpaceDN w:val="0"/>
              <w:adjustRightInd w:val="0"/>
              <w:spacing w:line="240" w:lineRule="auto"/>
              <w:rPr>
                <w:sz w:val="20"/>
                <w:szCs w:val="20"/>
                <w:lang w:val="en-GB"/>
              </w:rPr>
            </w:pPr>
          </w:p>
          <w:p w:rsidRPr="00020A79" w:rsidR="000629C7" w:rsidP="00BB0B8D" w:rsidRDefault="00BB0B8D" w14:paraId="75097085" w14:textId="7C5B0489">
            <w:pPr>
              <w:autoSpaceDE w:val="0"/>
              <w:autoSpaceDN w:val="0"/>
              <w:adjustRightInd w:val="0"/>
              <w:spacing w:line="240" w:lineRule="auto"/>
              <w:rPr>
                <w:sz w:val="20"/>
                <w:szCs w:val="20"/>
                <w:lang w:val="en-GB"/>
              </w:rPr>
            </w:pPr>
            <w:r w:rsidRPr="78AE8092" w:rsidR="01723506">
              <w:rPr>
                <w:sz w:val="20"/>
                <w:szCs w:val="20"/>
                <w:lang w:val="en-GB"/>
              </w:rPr>
              <w:t>The</w:t>
            </w:r>
            <w:r w:rsidRPr="78AE8092" w:rsidR="01723506">
              <w:rPr>
                <w:sz w:val="20"/>
                <w:szCs w:val="20"/>
                <w:lang w:val="en-GB"/>
              </w:rPr>
              <w:t xml:space="preserve"> TCA will be channelled through immunization</w:t>
            </w:r>
            <w:r w:rsidRPr="78AE8092" w:rsidR="01723506">
              <w:rPr>
                <w:sz w:val="20"/>
                <w:szCs w:val="20"/>
                <w:lang w:val="en-GB"/>
              </w:rPr>
              <w:t xml:space="preserve"> partners</w:t>
            </w:r>
            <w:r w:rsidRPr="78AE8092" w:rsidR="01723506">
              <w:rPr>
                <w:sz w:val="20"/>
                <w:szCs w:val="20"/>
                <w:lang w:val="en-GB"/>
              </w:rPr>
              <w:t xml:space="preserve"> </w:t>
            </w:r>
            <w:r w:rsidRPr="78AE8092" w:rsidR="7903DA85">
              <w:rPr>
                <w:sz w:val="20"/>
                <w:szCs w:val="20"/>
                <w:lang w:val="en-GB"/>
              </w:rPr>
              <w:t xml:space="preserve">who </w:t>
            </w:r>
            <w:r w:rsidRPr="78AE8092" w:rsidR="01723506">
              <w:rPr>
                <w:sz w:val="20"/>
                <w:szCs w:val="20"/>
                <w:lang w:val="en-GB"/>
              </w:rPr>
              <w:t>will work to support the Government of Kenya</w:t>
            </w:r>
            <w:r w:rsidRPr="78AE8092" w:rsidR="7903DA85">
              <w:rPr>
                <w:sz w:val="20"/>
                <w:szCs w:val="20"/>
                <w:lang w:val="en-GB"/>
              </w:rPr>
              <w:t xml:space="preserve"> towards</w:t>
            </w:r>
            <w:r w:rsidRPr="78AE8092" w:rsidR="01723506">
              <w:rPr>
                <w:sz w:val="20"/>
                <w:szCs w:val="20"/>
                <w:lang w:val="en-GB"/>
              </w:rPr>
              <w:t xml:space="preserve"> </w:t>
            </w:r>
            <w:r w:rsidRPr="78AE8092" w:rsidR="7903DA85">
              <w:rPr>
                <w:sz w:val="20"/>
                <w:szCs w:val="20"/>
                <w:lang w:val="en-GB"/>
              </w:rPr>
              <w:t xml:space="preserve">the attainment of universal access and utilization of immunization services. The ultimate outcome of interest and result of the support is the national and sub-national immunization coverage that will be tracked using the existing country system for tracking immunization coverage. Immunization data will be collected and transmitted through Kenya Health Information System (KHIS) every month. The compiled data will be </w:t>
            </w:r>
            <w:r w:rsidRPr="78AE8092" w:rsidR="7903DA85">
              <w:rPr>
                <w:sz w:val="20"/>
                <w:szCs w:val="20"/>
                <w:lang w:val="en-GB"/>
              </w:rPr>
              <w:t>analysed</w:t>
            </w:r>
            <w:r w:rsidRPr="78AE8092" w:rsidR="7903DA85">
              <w:rPr>
                <w:sz w:val="20"/>
                <w:szCs w:val="20"/>
                <w:lang w:val="en-GB"/>
              </w:rPr>
              <w:t xml:space="preserve"> and </w:t>
            </w:r>
            <w:r w:rsidRPr="78AE8092" w:rsidR="4C364DE1">
              <w:rPr>
                <w:sz w:val="20"/>
                <w:szCs w:val="20"/>
                <w:lang w:val="en-GB"/>
              </w:rPr>
              <w:t xml:space="preserve">used to track </w:t>
            </w:r>
            <w:r w:rsidRPr="78AE8092" w:rsidR="7903DA85">
              <w:rPr>
                <w:sz w:val="20"/>
                <w:szCs w:val="20"/>
                <w:lang w:val="en-GB"/>
              </w:rPr>
              <w:t>progress. Coverage data by County and sub-county will be used to inform decisions on prioritization of areas for concerted effort</w:t>
            </w:r>
            <w:r w:rsidRPr="78AE8092" w:rsidR="6E56CF43">
              <w:rPr>
                <w:sz w:val="20"/>
                <w:szCs w:val="20"/>
                <w:lang w:val="en-GB"/>
              </w:rPr>
              <w:t>. Immunization data generated will be reviewed every month, but action</w:t>
            </w:r>
            <w:r w:rsidRPr="78AE8092" w:rsidR="4C364DE1">
              <w:rPr>
                <w:sz w:val="20"/>
                <w:szCs w:val="20"/>
                <w:lang w:val="en-GB"/>
              </w:rPr>
              <w:t>s</w:t>
            </w:r>
            <w:r w:rsidRPr="78AE8092" w:rsidR="6E56CF43">
              <w:rPr>
                <w:sz w:val="20"/>
                <w:szCs w:val="20"/>
                <w:lang w:val="en-GB"/>
              </w:rPr>
              <w:t xml:space="preserve"> will be reviewed every quarter. At</w:t>
            </w:r>
            <w:r w:rsidRPr="78AE8092" w:rsidR="161AA126">
              <w:rPr>
                <w:sz w:val="20"/>
                <w:szCs w:val="20"/>
                <w:lang w:val="en-GB"/>
              </w:rPr>
              <w:t xml:space="preserve"> the end of the year, a review will be carried out on overa</w:t>
            </w:r>
            <w:r w:rsidRPr="78AE8092" w:rsidR="4C364DE1">
              <w:rPr>
                <w:sz w:val="20"/>
                <w:szCs w:val="20"/>
                <w:lang w:val="en-GB"/>
              </w:rPr>
              <w:t>l</w:t>
            </w:r>
            <w:r w:rsidRPr="78AE8092" w:rsidR="161AA126">
              <w:rPr>
                <w:sz w:val="20"/>
                <w:szCs w:val="20"/>
                <w:lang w:val="en-GB"/>
              </w:rPr>
              <w:t>l immunization performance and status of implementation of planned activities.</w:t>
            </w:r>
          </w:p>
          <w:p w:rsidRPr="00020A79" w:rsidR="008C6CC8" w:rsidP="00BB0B8D" w:rsidRDefault="008C6CC8" w14:paraId="498AD796" w14:textId="77777777">
            <w:pPr>
              <w:autoSpaceDE w:val="0"/>
              <w:autoSpaceDN w:val="0"/>
              <w:adjustRightInd w:val="0"/>
              <w:spacing w:line="240" w:lineRule="auto"/>
              <w:rPr>
                <w:sz w:val="20"/>
                <w:szCs w:val="20"/>
                <w:lang w:val="en-GB"/>
              </w:rPr>
            </w:pPr>
          </w:p>
          <w:p w:rsidRPr="00020A79" w:rsidR="00EE00B3" w:rsidP="00BB0B8D" w:rsidRDefault="00EE00B3" w14:paraId="635EF35F" w14:textId="3802756E">
            <w:pPr>
              <w:autoSpaceDE w:val="0"/>
              <w:autoSpaceDN w:val="0"/>
              <w:adjustRightInd w:val="0"/>
              <w:spacing w:line="240" w:lineRule="auto"/>
              <w:rPr>
                <w:sz w:val="20"/>
                <w:szCs w:val="20"/>
                <w:lang w:val="en-GB"/>
              </w:rPr>
            </w:pPr>
            <w:r w:rsidRPr="78AE8092" w:rsidR="2DB757CA">
              <w:rPr>
                <w:sz w:val="20"/>
                <w:szCs w:val="20"/>
                <w:lang w:val="en-GB"/>
              </w:rPr>
              <w:t xml:space="preserve">Ministry of Health will be responsible for overall leadership in coordinating the partners, monitoring the implementation of the planned activities and overall programme performance. Each partner will be responsible for spearheading </w:t>
            </w:r>
            <w:r w:rsidRPr="78AE8092" w:rsidR="2DB757CA">
              <w:rPr>
                <w:sz w:val="20"/>
                <w:szCs w:val="20"/>
                <w:lang w:val="en-GB"/>
              </w:rPr>
              <w:t>the implementation</w:t>
            </w:r>
            <w:r w:rsidRPr="78AE8092" w:rsidR="2DB757CA">
              <w:rPr>
                <w:sz w:val="20"/>
                <w:szCs w:val="20"/>
                <w:lang w:val="en-GB"/>
              </w:rPr>
              <w:t xml:space="preserve"> of the activities under the Gavi TCA and tracking its progress. </w:t>
            </w:r>
            <w:r w:rsidRPr="78AE8092" w:rsidR="1247ACD3">
              <w:rPr>
                <w:sz w:val="20"/>
                <w:szCs w:val="20"/>
                <w:lang w:val="en-GB"/>
              </w:rPr>
              <w:t xml:space="preserve">Mutual accountability will be promoted in the implementation of the Gavi TCA. </w:t>
            </w:r>
          </w:p>
        </w:tc>
      </w:tr>
    </w:tbl>
    <w:p w:rsidR="007612C6" w:rsidP="00FC4A11" w:rsidRDefault="007612C6" w14:paraId="146AE6CC" w14:textId="77777777">
      <w:pPr>
        <w:spacing w:line="300" w:lineRule="exact"/>
        <w:rPr>
          <w:lang w:val="en-GB"/>
        </w:rPr>
      </w:pPr>
    </w:p>
    <w:sectPr w:rsidR="007612C6" w:rsidSect="007612C6">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70D0" w:rsidP="00431CA9" w:rsidRDefault="00F370D0" w14:paraId="4619D1FA" w14:textId="77777777">
      <w:pPr>
        <w:spacing w:line="240" w:lineRule="auto"/>
      </w:pPr>
      <w:r>
        <w:separator/>
      </w:r>
    </w:p>
  </w:endnote>
  <w:endnote w:type="continuationSeparator" w:id="0">
    <w:p w:rsidR="00F370D0" w:rsidP="00431CA9" w:rsidRDefault="00F370D0" w14:paraId="7C7D9276" w14:textId="77777777">
      <w:pPr>
        <w:spacing w:line="240" w:lineRule="auto"/>
      </w:pPr>
      <w:r>
        <w:continuationSeparator/>
      </w:r>
    </w:p>
  </w:endnote>
  <w:endnote w:type="continuationNotice" w:id="1">
    <w:p w:rsidR="00F370D0" w:rsidRDefault="00F370D0" w14:paraId="627FD11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840" w:rsidRDefault="00507840" w14:paraId="5F1ADA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rsidR="008A79C9" w:rsidRDefault="00356CDE" w14:paraId="25F050AA" w14:textId="0F29EC52">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00225B1D">
          <w:rPr>
            <w:noProof/>
            <w:sz w:val="20"/>
            <w:szCs w:val="20"/>
          </w:rPr>
          <w:t>11</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840" w:rsidRDefault="00507840" w14:paraId="5D134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70D0" w:rsidP="00431CA9" w:rsidRDefault="00F370D0" w14:paraId="35595714" w14:textId="77777777">
      <w:pPr>
        <w:spacing w:line="240" w:lineRule="auto"/>
      </w:pPr>
      <w:r>
        <w:separator/>
      </w:r>
    </w:p>
  </w:footnote>
  <w:footnote w:type="continuationSeparator" w:id="0">
    <w:p w:rsidR="00F370D0" w:rsidP="00431CA9" w:rsidRDefault="00F370D0" w14:paraId="09F9120A" w14:textId="77777777">
      <w:pPr>
        <w:spacing w:line="240" w:lineRule="auto"/>
      </w:pPr>
      <w:r>
        <w:continuationSeparator/>
      </w:r>
    </w:p>
  </w:footnote>
  <w:footnote w:type="continuationNotice" w:id="1">
    <w:p w:rsidR="00F370D0" w:rsidRDefault="00F370D0" w14:paraId="2E237E2D" w14:textId="77777777">
      <w:pPr>
        <w:spacing w:line="240" w:lineRule="auto"/>
      </w:pPr>
    </w:p>
  </w:footnote>
  <w:footnote w:id="2">
    <w:p w:rsidR="00982483" w:rsidP="00982483" w:rsidRDefault="00982483" w14:paraId="0590B980" w14:textId="77777777">
      <w:pPr>
        <w:pBdr>
          <w:top w:val="nil"/>
          <w:left w:val="nil"/>
          <w:bottom w:val="nil"/>
          <w:right w:val="nil"/>
          <w:between w:val="nil"/>
        </w:pBdr>
        <w:spacing w:before="60" w:after="60"/>
        <w:rPr>
          <w:rFonts w:ascii="Calibri" w:hAnsi="Calibri" w:eastAsia="Calibri" w:cs="Calibri"/>
          <w:i/>
          <w:color w:val="000000"/>
          <w:sz w:val="16"/>
          <w:szCs w:val="16"/>
        </w:rPr>
      </w:pPr>
      <w:r>
        <w:rPr>
          <w:rStyle w:val="FootnoteReference"/>
        </w:rPr>
        <w:footnoteRef/>
      </w:r>
      <w:r>
        <w:rPr>
          <w:rFonts w:ascii="Calibri" w:hAnsi="Calibri" w:eastAsia="Calibri" w:cs="Calibri"/>
          <w:i/>
          <w:color w:val="000000"/>
          <w:sz w:val="16"/>
          <w:szCs w:val="16"/>
        </w:rPr>
        <w:t xml:space="preserve"> Kenya Comprehensive Integrated National Vaccine and Immunization Programme Review, June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840" w:rsidRDefault="00507840" w14:paraId="48AE0A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p14">
  <w:p w:rsidR="00431CA9" w:rsidRDefault="003A0D3A" w14:paraId="59757D54" w14:textId="6021F0DD">
    <w:pPr>
      <w:pStyle w:val="Header"/>
    </w:pPr>
    <w:r w:rsidRPr="00892432">
      <w:rPr>
        <w:noProof/>
        <w:lang w:val="en-GB"/>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rsidR="00BD1FEE" w:rsidP="00055BF9" w:rsidRDefault="004C6B53" w14:paraId="70F2D3FD" w14:textId="30B324B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rsidRPr="00C4436D" w:rsidR="00892432" w:rsidP="00055BF9" w:rsidRDefault="00F43296" w14:paraId="4599C1BA" w14:textId="1E37035E">
                          <w:pPr>
                            <w:rPr>
                              <w:color w:val="0070C0"/>
                            </w:rPr>
                          </w:pPr>
                          <w:r>
                            <w:rPr>
                              <w:color w:val="0070C0"/>
                            </w:rPr>
                            <w:t>April</w:t>
                          </w:r>
                          <w:r w:rsidRPr="00BD1FEE" w:rsidR="00BD1FEE">
                            <w:rPr>
                              <w:color w:val="0070C0"/>
                            </w:rPr>
                            <w:t xml:space="preserve"> </w:t>
                          </w:r>
                          <w:r w:rsidRPr="00C4436D" w:rsidR="00DC7614">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v:textbox>
                <w:txbxContent>
                  <w:p w:rsidR="00BD1FEE" w:rsidP="00055BF9" w:rsidRDefault="004C6B53" w14:paraId="70F2D3FD" w14:textId="30B324B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rsidRPr="00C4436D" w:rsidR="00892432" w:rsidP="00055BF9" w:rsidRDefault="00F43296" w14:paraId="4599C1BA" w14:textId="1E37035E">
                    <w:pPr>
                      <w:rPr>
                        <w:color w:val="0070C0"/>
                      </w:rPr>
                    </w:pPr>
                    <w:r>
                      <w:rPr>
                        <w:color w:val="0070C0"/>
                      </w:rPr>
                      <w:t>April</w:t>
                    </w:r>
                    <w:r w:rsidRPr="00BD1FEE" w:rsidR="00BD1FEE">
                      <w:rPr>
                        <w:color w:val="0070C0"/>
                      </w:rPr>
                      <w:t xml:space="preserve"> </w:t>
                    </w:r>
                    <w:r w:rsidRPr="00C4436D" w:rsidR="00DC7614">
                      <w:rPr>
                        <w:color w:val="0070C0"/>
                      </w:rPr>
                      <w:t>2022</w:t>
                    </w:r>
                  </w:p>
                </w:txbxContent>
              </v:textbox>
              <w10:wrap anchorx="page" anchory="margin"/>
            </v:shape>
          </w:pict>
        </mc:Fallback>
      </mc:AlternateContent>
    </w:r>
    <w:r w:rsidRPr="00892432" w:rsidR="00BD4EFD">
      <w:rPr>
        <w:noProof/>
        <w:lang w:val="en-GB"/>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57281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v:stroke joinstyle="miter"/>
              <o:lock v:ext="edit" shapetype="f"/>
              <w10:wrap anchory="page"/>
            </v:line>
          </w:pict>
        </mc:Fallback>
      </mc:AlternateContent>
    </w:r>
    <w:r w:rsidRPr="00892432" w:rsidR="004D1017">
      <w:rPr>
        <w:noProof/>
        <w:lang w:val="en-GB"/>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rsidR="00892432" w:rsidP="00892432" w:rsidRDefault="00892432" w14:paraId="3DB0E3A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v:textbox>
                <w:txbxContent>
                  <w:p w:rsidR="00892432" w:rsidP="00892432" w:rsidRDefault="00892432" w14:paraId="3DB0E3A5" w14:textId="77777777">
                    <w:pPr>
                      <w:jc w:val="center"/>
                    </w:pPr>
                  </w:p>
                </w:txbxContent>
              </v:textbox>
              <w10:wrap anchorx="page" anchory="page"/>
            </v:rect>
          </w:pict>
        </mc:Fallback>
      </mc:AlternateContent>
    </w:r>
    <w:r w:rsidRPr="00892432" w:rsidR="001B6E82">
      <w:rPr>
        <w:noProof/>
        <w:lang w:val="en-GB"/>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840" w:rsidRDefault="00507840" w14:paraId="4B0A8B8B" w14:textId="77777777">
    <w:pPr>
      <w:pStyle w:val="Header"/>
    </w:pPr>
  </w:p>
</w:hdr>
</file>

<file path=word/intelligence2.xml><?xml version="1.0" encoding="utf-8"?>
<int2:intelligence xmlns:int2="http://schemas.microsoft.com/office/intelligence/2020/intelligence">
  <int2:observations>
    <int2:textHash int2:hashCode="ni8UUdXdlt6RIo" int2:id="b6nQq0UP">
      <int2:state int2:type="LegacyProofing" int2:value="Rejected"/>
    </int2:textHash>
    <int2:textHash int2:hashCode="tJgdpgn6ZYSMiT" int2:id="p4tpaQkE">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3D0B"/>
    <w:multiLevelType w:val="hybridMultilevel"/>
    <w:tmpl w:val="FBCEA2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300C4"/>
    <w:multiLevelType w:val="multilevel"/>
    <w:tmpl w:val="20D6F2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45947172"/>
    <w:multiLevelType w:val="hybridMultilevel"/>
    <w:tmpl w:val="F014E662"/>
    <w:lvl w:ilvl="0" w:tplc="04090001">
      <w:start w:val="1"/>
      <w:numFmt w:val="bullet"/>
      <w:lvlText w:val=""/>
      <w:lvlJc w:val="left"/>
      <w:pPr>
        <w:ind w:left="4897" w:hanging="360"/>
      </w:pPr>
      <w:rPr>
        <w:rFonts w:hint="default" w:ascii="Symbol" w:hAnsi="Symbol"/>
      </w:rPr>
    </w:lvl>
    <w:lvl w:ilvl="1" w:tplc="04090003" w:tentative="1">
      <w:start w:val="1"/>
      <w:numFmt w:val="bullet"/>
      <w:lvlText w:val="o"/>
      <w:lvlJc w:val="left"/>
      <w:pPr>
        <w:ind w:left="2000" w:hanging="360"/>
      </w:pPr>
      <w:rPr>
        <w:rFonts w:hint="default" w:ascii="Courier New" w:hAnsi="Courier New" w:cs="Courier New"/>
      </w:rPr>
    </w:lvl>
    <w:lvl w:ilvl="2" w:tplc="04090005" w:tentative="1">
      <w:start w:val="1"/>
      <w:numFmt w:val="bullet"/>
      <w:lvlText w:val=""/>
      <w:lvlJc w:val="left"/>
      <w:pPr>
        <w:ind w:left="2720" w:hanging="360"/>
      </w:pPr>
      <w:rPr>
        <w:rFonts w:hint="default" w:ascii="Wingdings" w:hAnsi="Wingdings"/>
      </w:rPr>
    </w:lvl>
    <w:lvl w:ilvl="3" w:tplc="04090001" w:tentative="1">
      <w:start w:val="1"/>
      <w:numFmt w:val="bullet"/>
      <w:lvlText w:val=""/>
      <w:lvlJc w:val="left"/>
      <w:pPr>
        <w:ind w:left="3440" w:hanging="360"/>
      </w:pPr>
      <w:rPr>
        <w:rFonts w:hint="default" w:ascii="Symbol" w:hAnsi="Symbol"/>
      </w:rPr>
    </w:lvl>
    <w:lvl w:ilvl="4" w:tplc="04090003" w:tentative="1">
      <w:start w:val="1"/>
      <w:numFmt w:val="bullet"/>
      <w:lvlText w:val="o"/>
      <w:lvlJc w:val="left"/>
      <w:pPr>
        <w:ind w:left="4160" w:hanging="360"/>
      </w:pPr>
      <w:rPr>
        <w:rFonts w:hint="default" w:ascii="Courier New" w:hAnsi="Courier New" w:cs="Courier New"/>
      </w:rPr>
    </w:lvl>
    <w:lvl w:ilvl="5" w:tplc="04090005" w:tentative="1">
      <w:start w:val="1"/>
      <w:numFmt w:val="bullet"/>
      <w:lvlText w:val=""/>
      <w:lvlJc w:val="left"/>
      <w:pPr>
        <w:ind w:left="4880" w:hanging="360"/>
      </w:pPr>
      <w:rPr>
        <w:rFonts w:hint="default" w:ascii="Wingdings" w:hAnsi="Wingdings"/>
      </w:rPr>
    </w:lvl>
    <w:lvl w:ilvl="6" w:tplc="04090001" w:tentative="1">
      <w:start w:val="1"/>
      <w:numFmt w:val="bullet"/>
      <w:lvlText w:val=""/>
      <w:lvlJc w:val="left"/>
      <w:pPr>
        <w:ind w:left="5600" w:hanging="360"/>
      </w:pPr>
      <w:rPr>
        <w:rFonts w:hint="default" w:ascii="Symbol" w:hAnsi="Symbol"/>
      </w:rPr>
    </w:lvl>
    <w:lvl w:ilvl="7" w:tplc="04090003" w:tentative="1">
      <w:start w:val="1"/>
      <w:numFmt w:val="bullet"/>
      <w:lvlText w:val="o"/>
      <w:lvlJc w:val="left"/>
      <w:pPr>
        <w:ind w:left="6320" w:hanging="360"/>
      </w:pPr>
      <w:rPr>
        <w:rFonts w:hint="default" w:ascii="Courier New" w:hAnsi="Courier New" w:cs="Courier New"/>
      </w:rPr>
    </w:lvl>
    <w:lvl w:ilvl="8" w:tplc="04090005" w:tentative="1">
      <w:start w:val="1"/>
      <w:numFmt w:val="bullet"/>
      <w:lvlText w:val=""/>
      <w:lvlJc w:val="left"/>
      <w:pPr>
        <w:ind w:left="7040" w:hanging="360"/>
      </w:pPr>
      <w:rPr>
        <w:rFonts w:hint="default" w:ascii="Wingdings" w:hAnsi="Wingdings"/>
      </w:rPr>
    </w:lvl>
  </w:abstractNum>
  <w:abstractNum w:abstractNumId="6" w15:restartNumberingAfterBreak="0">
    <w:nsid w:val="66836BBA"/>
    <w:multiLevelType w:val="hybridMultilevel"/>
    <w:tmpl w:val="1D06E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2761788">
    <w:abstractNumId w:val="7"/>
  </w:num>
  <w:num w:numId="2" w16cid:durableId="1444105537">
    <w:abstractNumId w:val="3"/>
  </w:num>
  <w:num w:numId="3" w16cid:durableId="208341446">
    <w:abstractNumId w:val="2"/>
  </w:num>
  <w:num w:numId="4" w16cid:durableId="1012489004">
    <w:abstractNumId w:val="4"/>
  </w:num>
  <w:num w:numId="5" w16cid:durableId="2048917733">
    <w:abstractNumId w:val="5"/>
  </w:num>
  <w:num w:numId="6" w16cid:durableId="1120077353">
    <w:abstractNumId w:val="1"/>
  </w:num>
  <w:num w:numId="7" w16cid:durableId="1166017502">
    <w:abstractNumId w:val="0"/>
  </w:num>
  <w:num w:numId="8" w16cid:durableId="6055079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17C"/>
    <w:rsid w:val="0000542A"/>
    <w:rsid w:val="0000599F"/>
    <w:rsid w:val="00005F0A"/>
    <w:rsid w:val="0000717A"/>
    <w:rsid w:val="00007EAE"/>
    <w:rsid w:val="0001063F"/>
    <w:rsid w:val="00011B02"/>
    <w:rsid w:val="00011B86"/>
    <w:rsid w:val="0001244B"/>
    <w:rsid w:val="00012FFC"/>
    <w:rsid w:val="00014AFF"/>
    <w:rsid w:val="00014F67"/>
    <w:rsid w:val="000157D5"/>
    <w:rsid w:val="00015D31"/>
    <w:rsid w:val="00016A9B"/>
    <w:rsid w:val="00016C3F"/>
    <w:rsid w:val="00017FBF"/>
    <w:rsid w:val="00020272"/>
    <w:rsid w:val="00020A79"/>
    <w:rsid w:val="00023D98"/>
    <w:rsid w:val="00024F57"/>
    <w:rsid w:val="000251A6"/>
    <w:rsid w:val="00025589"/>
    <w:rsid w:val="00025BBE"/>
    <w:rsid w:val="00025C70"/>
    <w:rsid w:val="00027322"/>
    <w:rsid w:val="00027D74"/>
    <w:rsid w:val="00027EDC"/>
    <w:rsid w:val="000301CD"/>
    <w:rsid w:val="00030751"/>
    <w:rsid w:val="00030B7F"/>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C7"/>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59BE"/>
    <w:rsid w:val="00076373"/>
    <w:rsid w:val="000779B1"/>
    <w:rsid w:val="00077FE0"/>
    <w:rsid w:val="0008165C"/>
    <w:rsid w:val="0008192A"/>
    <w:rsid w:val="000820EE"/>
    <w:rsid w:val="00083BEA"/>
    <w:rsid w:val="000840D7"/>
    <w:rsid w:val="0008474E"/>
    <w:rsid w:val="00084E1D"/>
    <w:rsid w:val="00085506"/>
    <w:rsid w:val="00085C9D"/>
    <w:rsid w:val="0008622F"/>
    <w:rsid w:val="0008793A"/>
    <w:rsid w:val="00090087"/>
    <w:rsid w:val="00090755"/>
    <w:rsid w:val="00091225"/>
    <w:rsid w:val="000915AC"/>
    <w:rsid w:val="00092DA2"/>
    <w:rsid w:val="0009314C"/>
    <w:rsid w:val="00094439"/>
    <w:rsid w:val="000973DF"/>
    <w:rsid w:val="000A22D4"/>
    <w:rsid w:val="000A2FAE"/>
    <w:rsid w:val="000A352C"/>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C95"/>
    <w:rsid w:val="000D5DEA"/>
    <w:rsid w:val="000D5E7B"/>
    <w:rsid w:val="000D7667"/>
    <w:rsid w:val="000D7A66"/>
    <w:rsid w:val="000E08AF"/>
    <w:rsid w:val="000E092B"/>
    <w:rsid w:val="000E0FA6"/>
    <w:rsid w:val="000E16B2"/>
    <w:rsid w:val="000E28EF"/>
    <w:rsid w:val="000E2A0C"/>
    <w:rsid w:val="000E387E"/>
    <w:rsid w:val="000E45DD"/>
    <w:rsid w:val="000E5047"/>
    <w:rsid w:val="000E6346"/>
    <w:rsid w:val="000E68BF"/>
    <w:rsid w:val="000E69CF"/>
    <w:rsid w:val="000E6BC0"/>
    <w:rsid w:val="000F1AA4"/>
    <w:rsid w:val="000F28C0"/>
    <w:rsid w:val="000F309B"/>
    <w:rsid w:val="000F34D2"/>
    <w:rsid w:val="000F494D"/>
    <w:rsid w:val="000F4B25"/>
    <w:rsid w:val="000F51E0"/>
    <w:rsid w:val="000F62B5"/>
    <w:rsid w:val="000F7405"/>
    <w:rsid w:val="000F74FF"/>
    <w:rsid w:val="000F7CEA"/>
    <w:rsid w:val="0010021C"/>
    <w:rsid w:val="0010039E"/>
    <w:rsid w:val="00100A48"/>
    <w:rsid w:val="00102D7C"/>
    <w:rsid w:val="001052BA"/>
    <w:rsid w:val="001060FF"/>
    <w:rsid w:val="0010613E"/>
    <w:rsid w:val="00106608"/>
    <w:rsid w:val="00106CE4"/>
    <w:rsid w:val="001072A0"/>
    <w:rsid w:val="00107D9F"/>
    <w:rsid w:val="00112041"/>
    <w:rsid w:val="00112228"/>
    <w:rsid w:val="00112852"/>
    <w:rsid w:val="00112BEC"/>
    <w:rsid w:val="0011324C"/>
    <w:rsid w:val="0011340A"/>
    <w:rsid w:val="001135FC"/>
    <w:rsid w:val="001151FB"/>
    <w:rsid w:val="00115DB0"/>
    <w:rsid w:val="00116509"/>
    <w:rsid w:val="00120084"/>
    <w:rsid w:val="00120220"/>
    <w:rsid w:val="00120AAE"/>
    <w:rsid w:val="0012478F"/>
    <w:rsid w:val="00125F79"/>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47FBE"/>
    <w:rsid w:val="00150D82"/>
    <w:rsid w:val="0015170E"/>
    <w:rsid w:val="00151B12"/>
    <w:rsid w:val="00153ADF"/>
    <w:rsid w:val="001543AD"/>
    <w:rsid w:val="00155110"/>
    <w:rsid w:val="00160C34"/>
    <w:rsid w:val="00161593"/>
    <w:rsid w:val="00162C55"/>
    <w:rsid w:val="00162F02"/>
    <w:rsid w:val="001634CF"/>
    <w:rsid w:val="00163B04"/>
    <w:rsid w:val="00163F8E"/>
    <w:rsid w:val="0016435C"/>
    <w:rsid w:val="001651AF"/>
    <w:rsid w:val="00166475"/>
    <w:rsid w:val="001665A3"/>
    <w:rsid w:val="00166D25"/>
    <w:rsid w:val="001708D2"/>
    <w:rsid w:val="00170A97"/>
    <w:rsid w:val="001711B8"/>
    <w:rsid w:val="0017125B"/>
    <w:rsid w:val="00171A98"/>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5BC2"/>
    <w:rsid w:val="00186FF8"/>
    <w:rsid w:val="001902F3"/>
    <w:rsid w:val="001903BE"/>
    <w:rsid w:val="0019040A"/>
    <w:rsid w:val="00190C9A"/>
    <w:rsid w:val="00190D29"/>
    <w:rsid w:val="00191568"/>
    <w:rsid w:val="00191597"/>
    <w:rsid w:val="001919B1"/>
    <w:rsid w:val="001921A9"/>
    <w:rsid w:val="001925CC"/>
    <w:rsid w:val="00192849"/>
    <w:rsid w:val="00192E66"/>
    <w:rsid w:val="00192FE8"/>
    <w:rsid w:val="001930A7"/>
    <w:rsid w:val="00193633"/>
    <w:rsid w:val="00194067"/>
    <w:rsid w:val="00194786"/>
    <w:rsid w:val="0019681F"/>
    <w:rsid w:val="00196D75"/>
    <w:rsid w:val="00197055"/>
    <w:rsid w:val="0019737F"/>
    <w:rsid w:val="00197BA9"/>
    <w:rsid w:val="001A1634"/>
    <w:rsid w:val="001A2B4F"/>
    <w:rsid w:val="001A2BBC"/>
    <w:rsid w:val="001A2C5C"/>
    <w:rsid w:val="001A348C"/>
    <w:rsid w:val="001A378C"/>
    <w:rsid w:val="001A4060"/>
    <w:rsid w:val="001A42A3"/>
    <w:rsid w:val="001A6804"/>
    <w:rsid w:val="001A69D7"/>
    <w:rsid w:val="001A701E"/>
    <w:rsid w:val="001B0284"/>
    <w:rsid w:val="001B032E"/>
    <w:rsid w:val="001B0487"/>
    <w:rsid w:val="001B0F6A"/>
    <w:rsid w:val="001B12D7"/>
    <w:rsid w:val="001B1823"/>
    <w:rsid w:val="001B197D"/>
    <w:rsid w:val="001B19F2"/>
    <w:rsid w:val="001B2DC5"/>
    <w:rsid w:val="001B31AC"/>
    <w:rsid w:val="001B48A0"/>
    <w:rsid w:val="001B4928"/>
    <w:rsid w:val="001B4BEF"/>
    <w:rsid w:val="001B6E82"/>
    <w:rsid w:val="001B7196"/>
    <w:rsid w:val="001B790D"/>
    <w:rsid w:val="001C1877"/>
    <w:rsid w:val="001C1D82"/>
    <w:rsid w:val="001C20E5"/>
    <w:rsid w:val="001C2586"/>
    <w:rsid w:val="001C259F"/>
    <w:rsid w:val="001C2745"/>
    <w:rsid w:val="001C3448"/>
    <w:rsid w:val="001C3904"/>
    <w:rsid w:val="001C3A94"/>
    <w:rsid w:val="001C3D34"/>
    <w:rsid w:val="001C3EC1"/>
    <w:rsid w:val="001C406E"/>
    <w:rsid w:val="001C467D"/>
    <w:rsid w:val="001C4DB8"/>
    <w:rsid w:val="001C71E1"/>
    <w:rsid w:val="001C77D7"/>
    <w:rsid w:val="001D1572"/>
    <w:rsid w:val="001D18B0"/>
    <w:rsid w:val="001D1BD2"/>
    <w:rsid w:val="001D3CC6"/>
    <w:rsid w:val="001D4CBA"/>
    <w:rsid w:val="001D540C"/>
    <w:rsid w:val="001D591E"/>
    <w:rsid w:val="001D5ACA"/>
    <w:rsid w:val="001D5C6A"/>
    <w:rsid w:val="001D6E9E"/>
    <w:rsid w:val="001E1AB1"/>
    <w:rsid w:val="001E1B7F"/>
    <w:rsid w:val="001E1C11"/>
    <w:rsid w:val="001E1E64"/>
    <w:rsid w:val="001E37F5"/>
    <w:rsid w:val="001E3FED"/>
    <w:rsid w:val="001E503B"/>
    <w:rsid w:val="001E6363"/>
    <w:rsid w:val="001E7090"/>
    <w:rsid w:val="001E7F8D"/>
    <w:rsid w:val="001F1286"/>
    <w:rsid w:val="001F3298"/>
    <w:rsid w:val="001F56B2"/>
    <w:rsid w:val="001F5945"/>
    <w:rsid w:val="001F7004"/>
    <w:rsid w:val="001F7E34"/>
    <w:rsid w:val="0020034E"/>
    <w:rsid w:val="00200F7F"/>
    <w:rsid w:val="00202BB3"/>
    <w:rsid w:val="00203B04"/>
    <w:rsid w:val="00204900"/>
    <w:rsid w:val="00206145"/>
    <w:rsid w:val="002063AD"/>
    <w:rsid w:val="00206C09"/>
    <w:rsid w:val="002074A9"/>
    <w:rsid w:val="00207BBE"/>
    <w:rsid w:val="002101DE"/>
    <w:rsid w:val="00210A4F"/>
    <w:rsid w:val="002117C8"/>
    <w:rsid w:val="00212F37"/>
    <w:rsid w:val="00213E2E"/>
    <w:rsid w:val="00213F13"/>
    <w:rsid w:val="00214406"/>
    <w:rsid w:val="00214B69"/>
    <w:rsid w:val="00214CAA"/>
    <w:rsid w:val="00214E8B"/>
    <w:rsid w:val="002157CF"/>
    <w:rsid w:val="0021646F"/>
    <w:rsid w:val="00217C23"/>
    <w:rsid w:val="002205D1"/>
    <w:rsid w:val="002214F0"/>
    <w:rsid w:val="0022163D"/>
    <w:rsid w:val="00222FD0"/>
    <w:rsid w:val="00223FB4"/>
    <w:rsid w:val="00224526"/>
    <w:rsid w:val="0022530F"/>
    <w:rsid w:val="00225B1D"/>
    <w:rsid w:val="00225EDA"/>
    <w:rsid w:val="002274E0"/>
    <w:rsid w:val="002279A5"/>
    <w:rsid w:val="00227BBB"/>
    <w:rsid w:val="00227D79"/>
    <w:rsid w:val="0023057A"/>
    <w:rsid w:val="0023071D"/>
    <w:rsid w:val="00232758"/>
    <w:rsid w:val="0023299A"/>
    <w:rsid w:val="0023395F"/>
    <w:rsid w:val="00235256"/>
    <w:rsid w:val="00235947"/>
    <w:rsid w:val="0023766B"/>
    <w:rsid w:val="002430BB"/>
    <w:rsid w:val="00244787"/>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52D"/>
    <w:rsid w:val="00274F89"/>
    <w:rsid w:val="0027606E"/>
    <w:rsid w:val="002768B0"/>
    <w:rsid w:val="00276FD7"/>
    <w:rsid w:val="0028001A"/>
    <w:rsid w:val="00280B5B"/>
    <w:rsid w:val="00282C24"/>
    <w:rsid w:val="00282E76"/>
    <w:rsid w:val="002840C8"/>
    <w:rsid w:val="00284412"/>
    <w:rsid w:val="00284A22"/>
    <w:rsid w:val="002857C1"/>
    <w:rsid w:val="002859B6"/>
    <w:rsid w:val="002859E8"/>
    <w:rsid w:val="00285A19"/>
    <w:rsid w:val="00285B59"/>
    <w:rsid w:val="00285B73"/>
    <w:rsid w:val="002874DE"/>
    <w:rsid w:val="002901E0"/>
    <w:rsid w:val="00291921"/>
    <w:rsid w:val="00291E7D"/>
    <w:rsid w:val="00292233"/>
    <w:rsid w:val="00293BA5"/>
    <w:rsid w:val="00294171"/>
    <w:rsid w:val="00294306"/>
    <w:rsid w:val="00294C50"/>
    <w:rsid w:val="00296DCC"/>
    <w:rsid w:val="00296E78"/>
    <w:rsid w:val="00297346"/>
    <w:rsid w:val="002977CA"/>
    <w:rsid w:val="00297D0F"/>
    <w:rsid w:val="002A0F02"/>
    <w:rsid w:val="002A2C17"/>
    <w:rsid w:val="002A2E75"/>
    <w:rsid w:val="002A44A9"/>
    <w:rsid w:val="002A46AE"/>
    <w:rsid w:val="002A48FE"/>
    <w:rsid w:val="002A4F84"/>
    <w:rsid w:val="002A5CBE"/>
    <w:rsid w:val="002A5CE7"/>
    <w:rsid w:val="002A6CC8"/>
    <w:rsid w:val="002A791F"/>
    <w:rsid w:val="002B0630"/>
    <w:rsid w:val="002B0C61"/>
    <w:rsid w:val="002B1AC5"/>
    <w:rsid w:val="002B1B80"/>
    <w:rsid w:val="002B2402"/>
    <w:rsid w:val="002B3C29"/>
    <w:rsid w:val="002B3ECA"/>
    <w:rsid w:val="002B6243"/>
    <w:rsid w:val="002B63B0"/>
    <w:rsid w:val="002B6D64"/>
    <w:rsid w:val="002B6DCF"/>
    <w:rsid w:val="002C00AC"/>
    <w:rsid w:val="002C0185"/>
    <w:rsid w:val="002C0581"/>
    <w:rsid w:val="002C0F5F"/>
    <w:rsid w:val="002C1CAC"/>
    <w:rsid w:val="002C2EF7"/>
    <w:rsid w:val="002C3C49"/>
    <w:rsid w:val="002C42E8"/>
    <w:rsid w:val="002C6AD3"/>
    <w:rsid w:val="002C6F61"/>
    <w:rsid w:val="002C728E"/>
    <w:rsid w:val="002C73F5"/>
    <w:rsid w:val="002D2DA7"/>
    <w:rsid w:val="002D31D5"/>
    <w:rsid w:val="002D5862"/>
    <w:rsid w:val="002D63CB"/>
    <w:rsid w:val="002D6BED"/>
    <w:rsid w:val="002D7B91"/>
    <w:rsid w:val="002D7D14"/>
    <w:rsid w:val="002E03AD"/>
    <w:rsid w:val="002E0882"/>
    <w:rsid w:val="002E0983"/>
    <w:rsid w:val="002E0A55"/>
    <w:rsid w:val="002E3451"/>
    <w:rsid w:val="002E38C1"/>
    <w:rsid w:val="002E5FF8"/>
    <w:rsid w:val="002E6376"/>
    <w:rsid w:val="002E652B"/>
    <w:rsid w:val="002E71FA"/>
    <w:rsid w:val="002F5CD9"/>
    <w:rsid w:val="002F61AD"/>
    <w:rsid w:val="002F62C0"/>
    <w:rsid w:val="002F736A"/>
    <w:rsid w:val="002F7947"/>
    <w:rsid w:val="002F799C"/>
    <w:rsid w:val="00301307"/>
    <w:rsid w:val="0030149C"/>
    <w:rsid w:val="003036DC"/>
    <w:rsid w:val="003043B2"/>
    <w:rsid w:val="00304ACD"/>
    <w:rsid w:val="003058C7"/>
    <w:rsid w:val="0030601B"/>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45A4"/>
    <w:rsid w:val="00325B21"/>
    <w:rsid w:val="003268D0"/>
    <w:rsid w:val="00327A31"/>
    <w:rsid w:val="00330401"/>
    <w:rsid w:val="0033136F"/>
    <w:rsid w:val="00331590"/>
    <w:rsid w:val="0033192A"/>
    <w:rsid w:val="003325BE"/>
    <w:rsid w:val="0033266B"/>
    <w:rsid w:val="00332ACA"/>
    <w:rsid w:val="00332E3F"/>
    <w:rsid w:val="003333A3"/>
    <w:rsid w:val="003339DB"/>
    <w:rsid w:val="00334629"/>
    <w:rsid w:val="00334887"/>
    <w:rsid w:val="00334BDE"/>
    <w:rsid w:val="00335117"/>
    <w:rsid w:val="00336291"/>
    <w:rsid w:val="0034188F"/>
    <w:rsid w:val="003427FA"/>
    <w:rsid w:val="00342CB5"/>
    <w:rsid w:val="00342EB5"/>
    <w:rsid w:val="00343A42"/>
    <w:rsid w:val="003449D6"/>
    <w:rsid w:val="00344FEB"/>
    <w:rsid w:val="003452F4"/>
    <w:rsid w:val="003454A5"/>
    <w:rsid w:val="0034571A"/>
    <w:rsid w:val="00346234"/>
    <w:rsid w:val="00346802"/>
    <w:rsid w:val="0034776E"/>
    <w:rsid w:val="003503D1"/>
    <w:rsid w:val="00351F3E"/>
    <w:rsid w:val="00352AE9"/>
    <w:rsid w:val="00352FA5"/>
    <w:rsid w:val="003536EC"/>
    <w:rsid w:val="00353728"/>
    <w:rsid w:val="0035504E"/>
    <w:rsid w:val="00356B27"/>
    <w:rsid w:val="00356C0F"/>
    <w:rsid w:val="00356CDE"/>
    <w:rsid w:val="00357A29"/>
    <w:rsid w:val="00360703"/>
    <w:rsid w:val="00360B97"/>
    <w:rsid w:val="00361500"/>
    <w:rsid w:val="00362B13"/>
    <w:rsid w:val="00364218"/>
    <w:rsid w:val="003649C6"/>
    <w:rsid w:val="00364C4B"/>
    <w:rsid w:val="003658FC"/>
    <w:rsid w:val="00367AE5"/>
    <w:rsid w:val="00367BF6"/>
    <w:rsid w:val="003707B5"/>
    <w:rsid w:val="00372C37"/>
    <w:rsid w:val="00372D1F"/>
    <w:rsid w:val="0037400E"/>
    <w:rsid w:val="003741E6"/>
    <w:rsid w:val="0037484A"/>
    <w:rsid w:val="003753AB"/>
    <w:rsid w:val="0037595F"/>
    <w:rsid w:val="0037615E"/>
    <w:rsid w:val="003814E6"/>
    <w:rsid w:val="003816F7"/>
    <w:rsid w:val="00381E88"/>
    <w:rsid w:val="00381F32"/>
    <w:rsid w:val="003822DF"/>
    <w:rsid w:val="00382DB2"/>
    <w:rsid w:val="003837D8"/>
    <w:rsid w:val="00383F2B"/>
    <w:rsid w:val="00385206"/>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2605"/>
    <w:rsid w:val="003C5E20"/>
    <w:rsid w:val="003C66EE"/>
    <w:rsid w:val="003C6773"/>
    <w:rsid w:val="003C77E0"/>
    <w:rsid w:val="003D0156"/>
    <w:rsid w:val="003D0473"/>
    <w:rsid w:val="003D0D8C"/>
    <w:rsid w:val="003D16BF"/>
    <w:rsid w:val="003D2384"/>
    <w:rsid w:val="003D2828"/>
    <w:rsid w:val="003D4323"/>
    <w:rsid w:val="003D545D"/>
    <w:rsid w:val="003E0EE8"/>
    <w:rsid w:val="003E0F13"/>
    <w:rsid w:val="003E289A"/>
    <w:rsid w:val="003E28A0"/>
    <w:rsid w:val="003E52F0"/>
    <w:rsid w:val="003E74C9"/>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2A4C"/>
    <w:rsid w:val="004032B8"/>
    <w:rsid w:val="004034F2"/>
    <w:rsid w:val="004039BD"/>
    <w:rsid w:val="00406338"/>
    <w:rsid w:val="00406DAA"/>
    <w:rsid w:val="0040773E"/>
    <w:rsid w:val="0041092A"/>
    <w:rsid w:val="00412BE5"/>
    <w:rsid w:val="004145FE"/>
    <w:rsid w:val="00414627"/>
    <w:rsid w:val="004151A0"/>
    <w:rsid w:val="004161CC"/>
    <w:rsid w:val="0041751A"/>
    <w:rsid w:val="00420376"/>
    <w:rsid w:val="00421904"/>
    <w:rsid w:val="00423711"/>
    <w:rsid w:val="00423815"/>
    <w:rsid w:val="00423A70"/>
    <w:rsid w:val="00423DFC"/>
    <w:rsid w:val="004240CD"/>
    <w:rsid w:val="00424360"/>
    <w:rsid w:val="004249A7"/>
    <w:rsid w:val="00424A13"/>
    <w:rsid w:val="00425A3C"/>
    <w:rsid w:val="004264ED"/>
    <w:rsid w:val="00426D6B"/>
    <w:rsid w:val="00427165"/>
    <w:rsid w:val="0043175C"/>
    <w:rsid w:val="00431CA9"/>
    <w:rsid w:val="004327BC"/>
    <w:rsid w:val="004333D4"/>
    <w:rsid w:val="00433D48"/>
    <w:rsid w:val="00434C26"/>
    <w:rsid w:val="004400C8"/>
    <w:rsid w:val="004410AD"/>
    <w:rsid w:val="004435AF"/>
    <w:rsid w:val="00443CA0"/>
    <w:rsid w:val="00444495"/>
    <w:rsid w:val="00444F75"/>
    <w:rsid w:val="0044714D"/>
    <w:rsid w:val="0045010E"/>
    <w:rsid w:val="00451FC2"/>
    <w:rsid w:val="00452C3B"/>
    <w:rsid w:val="00453430"/>
    <w:rsid w:val="004534BC"/>
    <w:rsid w:val="00453CB5"/>
    <w:rsid w:val="00454285"/>
    <w:rsid w:val="0045525C"/>
    <w:rsid w:val="00455E02"/>
    <w:rsid w:val="004560EB"/>
    <w:rsid w:val="0045621C"/>
    <w:rsid w:val="004574D6"/>
    <w:rsid w:val="0046030E"/>
    <w:rsid w:val="0046062C"/>
    <w:rsid w:val="00460674"/>
    <w:rsid w:val="00460A66"/>
    <w:rsid w:val="00463C66"/>
    <w:rsid w:val="00464113"/>
    <w:rsid w:val="00465598"/>
    <w:rsid w:val="00466533"/>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4CE"/>
    <w:rsid w:val="00485F2C"/>
    <w:rsid w:val="00486519"/>
    <w:rsid w:val="0048676E"/>
    <w:rsid w:val="00486A4E"/>
    <w:rsid w:val="00486FE9"/>
    <w:rsid w:val="00487E95"/>
    <w:rsid w:val="004905F8"/>
    <w:rsid w:val="00493B22"/>
    <w:rsid w:val="00493FAD"/>
    <w:rsid w:val="00494980"/>
    <w:rsid w:val="00495278"/>
    <w:rsid w:val="00495355"/>
    <w:rsid w:val="004954E9"/>
    <w:rsid w:val="00496961"/>
    <w:rsid w:val="00497815"/>
    <w:rsid w:val="004979CC"/>
    <w:rsid w:val="004A0005"/>
    <w:rsid w:val="004A0816"/>
    <w:rsid w:val="004A2F87"/>
    <w:rsid w:val="004A4825"/>
    <w:rsid w:val="004A4D76"/>
    <w:rsid w:val="004A6165"/>
    <w:rsid w:val="004A6A79"/>
    <w:rsid w:val="004B47C0"/>
    <w:rsid w:val="004B4BBC"/>
    <w:rsid w:val="004B632A"/>
    <w:rsid w:val="004B7F95"/>
    <w:rsid w:val="004C0594"/>
    <w:rsid w:val="004C0A98"/>
    <w:rsid w:val="004C158F"/>
    <w:rsid w:val="004C1E1C"/>
    <w:rsid w:val="004C4BD7"/>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0FC9"/>
    <w:rsid w:val="004E1A4F"/>
    <w:rsid w:val="004E2247"/>
    <w:rsid w:val="004E2955"/>
    <w:rsid w:val="004E2AE6"/>
    <w:rsid w:val="004E356B"/>
    <w:rsid w:val="004E4361"/>
    <w:rsid w:val="004E467F"/>
    <w:rsid w:val="004E4DD0"/>
    <w:rsid w:val="004E5A90"/>
    <w:rsid w:val="004E6249"/>
    <w:rsid w:val="004E6CFE"/>
    <w:rsid w:val="004E6E54"/>
    <w:rsid w:val="004E7890"/>
    <w:rsid w:val="004F0591"/>
    <w:rsid w:val="004F0A8F"/>
    <w:rsid w:val="004F1203"/>
    <w:rsid w:val="004F167E"/>
    <w:rsid w:val="004F3B7A"/>
    <w:rsid w:val="004F3C18"/>
    <w:rsid w:val="004F42B6"/>
    <w:rsid w:val="004F450A"/>
    <w:rsid w:val="004F4B1C"/>
    <w:rsid w:val="004F5915"/>
    <w:rsid w:val="004F6829"/>
    <w:rsid w:val="00500509"/>
    <w:rsid w:val="00500E2A"/>
    <w:rsid w:val="00500E4A"/>
    <w:rsid w:val="0050279C"/>
    <w:rsid w:val="00504F79"/>
    <w:rsid w:val="00505896"/>
    <w:rsid w:val="005062C6"/>
    <w:rsid w:val="00506684"/>
    <w:rsid w:val="005067E6"/>
    <w:rsid w:val="00507313"/>
    <w:rsid w:val="005077A3"/>
    <w:rsid w:val="00507840"/>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25E8"/>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2BDD"/>
    <w:rsid w:val="00543846"/>
    <w:rsid w:val="00544D9B"/>
    <w:rsid w:val="00544DBF"/>
    <w:rsid w:val="00545688"/>
    <w:rsid w:val="005472AB"/>
    <w:rsid w:val="00547752"/>
    <w:rsid w:val="0054784D"/>
    <w:rsid w:val="00550266"/>
    <w:rsid w:val="00550B90"/>
    <w:rsid w:val="005516FE"/>
    <w:rsid w:val="00551D5F"/>
    <w:rsid w:val="00553C62"/>
    <w:rsid w:val="0055427F"/>
    <w:rsid w:val="00554377"/>
    <w:rsid w:val="00554633"/>
    <w:rsid w:val="00554C81"/>
    <w:rsid w:val="00555A71"/>
    <w:rsid w:val="0055632E"/>
    <w:rsid w:val="0056073B"/>
    <w:rsid w:val="005640D8"/>
    <w:rsid w:val="00564856"/>
    <w:rsid w:val="005649C9"/>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137"/>
    <w:rsid w:val="0058636E"/>
    <w:rsid w:val="0058661C"/>
    <w:rsid w:val="005876B5"/>
    <w:rsid w:val="0059098F"/>
    <w:rsid w:val="00592554"/>
    <w:rsid w:val="005928C9"/>
    <w:rsid w:val="00593006"/>
    <w:rsid w:val="005930E9"/>
    <w:rsid w:val="00593487"/>
    <w:rsid w:val="00593828"/>
    <w:rsid w:val="005939B8"/>
    <w:rsid w:val="00593AF8"/>
    <w:rsid w:val="00594771"/>
    <w:rsid w:val="00594DFE"/>
    <w:rsid w:val="005954F8"/>
    <w:rsid w:val="00596004"/>
    <w:rsid w:val="00596B8C"/>
    <w:rsid w:val="00597A3B"/>
    <w:rsid w:val="005A0AD4"/>
    <w:rsid w:val="005A0B38"/>
    <w:rsid w:val="005A108B"/>
    <w:rsid w:val="005A2CF2"/>
    <w:rsid w:val="005A341E"/>
    <w:rsid w:val="005A37E3"/>
    <w:rsid w:val="005A38B5"/>
    <w:rsid w:val="005A5036"/>
    <w:rsid w:val="005A53C2"/>
    <w:rsid w:val="005A5414"/>
    <w:rsid w:val="005A6518"/>
    <w:rsid w:val="005A6689"/>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D02A2"/>
    <w:rsid w:val="005D0C1C"/>
    <w:rsid w:val="005D0F9E"/>
    <w:rsid w:val="005D20D8"/>
    <w:rsid w:val="005D23B7"/>
    <w:rsid w:val="005D520B"/>
    <w:rsid w:val="005D6304"/>
    <w:rsid w:val="005D694A"/>
    <w:rsid w:val="005D752C"/>
    <w:rsid w:val="005E0072"/>
    <w:rsid w:val="005E01F2"/>
    <w:rsid w:val="005E0593"/>
    <w:rsid w:val="005E05CC"/>
    <w:rsid w:val="005E0C17"/>
    <w:rsid w:val="005E1B90"/>
    <w:rsid w:val="005E29D5"/>
    <w:rsid w:val="005E2A50"/>
    <w:rsid w:val="005E2B5E"/>
    <w:rsid w:val="005E4623"/>
    <w:rsid w:val="005E4B32"/>
    <w:rsid w:val="005E53DC"/>
    <w:rsid w:val="005E54E1"/>
    <w:rsid w:val="005E55F4"/>
    <w:rsid w:val="005E5647"/>
    <w:rsid w:val="005E564C"/>
    <w:rsid w:val="005E639D"/>
    <w:rsid w:val="005E728F"/>
    <w:rsid w:val="005E77C8"/>
    <w:rsid w:val="005F0001"/>
    <w:rsid w:val="005F0401"/>
    <w:rsid w:val="005F0DDE"/>
    <w:rsid w:val="005F0F57"/>
    <w:rsid w:val="005F1573"/>
    <w:rsid w:val="005F1B86"/>
    <w:rsid w:val="005F1E73"/>
    <w:rsid w:val="005F2060"/>
    <w:rsid w:val="005F26FC"/>
    <w:rsid w:val="005F3254"/>
    <w:rsid w:val="005F478A"/>
    <w:rsid w:val="005F59D5"/>
    <w:rsid w:val="005F644C"/>
    <w:rsid w:val="005F6AD5"/>
    <w:rsid w:val="005F77C5"/>
    <w:rsid w:val="005F793E"/>
    <w:rsid w:val="00600378"/>
    <w:rsid w:val="0060363A"/>
    <w:rsid w:val="00603CB9"/>
    <w:rsid w:val="00605991"/>
    <w:rsid w:val="006071F2"/>
    <w:rsid w:val="00607CB7"/>
    <w:rsid w:val="00610D71"/>
    <w:rsid w:val="00610E21"/>
    <w:rsid w:val="00610E68"/>
    <w:rsid w:val="00611995"/>
    <w:rsid w:val="00611D39"/>
    <w:rsid w:val="00611F92"/>
    <w:rsid w:val="0061204E"/>
    <w:rsid w:val="00613368"/>
    <w:rsid w:val="00614F7D"/>
    <w:rsid w:val="0061573A"/>
    <w:rsid w:val="00615B5C"/>
    <w:rsid w:val="00617429"/>
    <w:rsid w:val="00620417"/>
    <w:rsid w:val="0062156F"/>
    <w:rsid w:val="00621D99"/>
    <w:rsid w:val="00623677"/>
    <w:rsid w:val="00623B11"/>
    <w:rsid w:val="006251FE"/>
    <w:rsid w:val="006258BD"/>
    <w:rsid w:val="00625987"/>
    <w:rsid w:val="00625E52"/>
    <w:rsid w:val="00627161"/>
    <w:rsid w:val="0062744B"/>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220A"/>
    <w:rsid w:val="0064338F"/>
    <w:rsid w:val="0064386B"/>
    <w:rsid w:val="00643AAD"/>
    <w:rsid w:val="00643F51"/>
    <w:rsid w:val="00645F0B"/>
    <w:rsid w:val="00646BBB"/>
    <w:rsid w:val="00650576"/>
    <w:rsid w:val="00650EB6"/>
    <w:rsid w:val="00652197"/>
    <w:rsid w:val="00652297"/>
    <w:rsid w:val="00652E87"/>
    <w:rsid w:val="0065351E"/>
    <w:rsid w:val="00654BBD"/>
    <w:rsid w:val="006554C9"/>
    <w:rsid w:val="006558EC"/>
    <w:rsid w:val="00655D56"/>
    <w:rsid w:val="0065655B"/>
    <w:rsid w:val="00656ECA"/>
    <w:rsid w:val="006615C2"/>
    <w:rsid w:val="00661FAD"/>
    <w:rsid w:val="00662ACF"/>
    <w:rsid w:val="0066434D"/>
    <w:rsid w:val="00664DD8"/>
    <w:rsid w:val="006656EA"/>
    <w:rsid w:val="00665CC3"/>
    <w:rsid w:val="006676B4"/>
    <w:rsid w:val="00667C35"/>
    <w:rsid w:val="0067022D"/>
    <w:rsid w:val="00670384"/>
    <w:rsid w:val="00670738"/>
    <w:rsid w:val="00671D7C"/>
    <w:rsid w:val="00672E21"/>
    <w:rsid w:val="00672E58"/>
    <w:rsid w:val="0067359C"/>
    <w:rsid w:val="00673D74"/>
    <w:rsid w:val="00673E18"/>
    <w:rsid w:val="006753F3"/>
    <w:rsid w:val="006760DD"/>
    <w:rsid w:val="00676509"/>
    <w:rsid w:val="006771AB"/>
    <w:rsid w:val="00680F5A"/>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EDC"/>
    <w:rsid w:val="006B4F8F"/>
    <w:rsid w:val="006B7C73"/>
    <w:rsid w:val="006C01EA"/>
    <w:rsid w:val="006C10B8"/>
    <w:rsid w:val="006C1146"/>
    <w:rsid w:val="006C1ABF"/>
    <w:rsid w:val="006C1E0D"/>
    <w:rsid w:val="006C2E7C"/>
    <w:rsid w:val="006C39BF"/>
    <w:rsid w:val="006C41D0"/>
    <w:rsid w:val="006C459B"/>
    <w:rsid w:val="006C47A8"/>
    <w:rsid w:val="006C566A"/>
    <w:rsid w:val="006C63B1"/>
    <w:rsid w:val="006C6B4C"/>
    <w:rsid w:val="006C700E"/>
    <w:rsid w:val="006D01E1"/>
    <w:rsid w:val="006D1F74"/>
    <w:rsid w:val="006D3657"/>
    <w:rsid w:val="006D37EB"/>
    <w:rsid w:val="006D4530"/>
    <w:rsid w:val="006D49D3"/>
    <w:rsid w:val="006D4F0A"/>
    <w:rsid w:val="006D5892"/>
    <w:rsid w:val="006D647D"/>
    <w:rsid w:val="006D76FF"/>
    <w:rsid w:val="006D7F35"/>
    <w:rsid w:val="006E0314"/>
    <w:rsid w:val="006E0F0D"/>
    <w:rsid w:val="006E2714"/>
    <w:rsid w:val="006E3A34"/>
    <w:rsid w:val="006E44BE"/>
    <w:rsid w:val="006E52F6"/>
    <w:rsid w:val="006E7767"/>
    <w:rsid w:val="006E788B"/>
    <w:rsid w:val="006F27F8"/>
    <w:rsid w:val="006F39D8"/>
    <w:rsid w:val="006F3C12"/>
    <w:rsid w:val="006F42E1"/>
    <w:rsid w:val="006F61B1"/>
    <w:rsid w:val="006F6339"/>
    <w:rsid w:val="006F748C"/>
    <w:rsid w:val="00700CC3"/>
    <w:rsid w:val="0070125B"/>
    <w:rsid w:val="00702895"/>
    <w:rsid w:val="00704813"/>
    <w:rsid w:val="0070520E"/>
    <w:rsid w:val="007054E6"/>
    <w:rsid w:val="00706DEC"/>
    <w:rsid w:val="00711D73"/>
    <w:rsid w:val="007122E8"/>
    <w:rsid w:val="007132AB"/>
    <w:rsid w:val="007134F7"/>
    <w:rsid w:val="0071439C"/>
    <w:rsid w:val="007152C3"/>
    <w:rsid w:val="00715765"/>
    <w:rsid w:val="007172E8"/>
    <w:rsid w:val="00717EEB"/>
    <w:rsid w:val="007203BA"/>
    <w:rsid w:val="00722948"/>
    <w:rsid w:val="00722F56"/>
    <w:rsid w:val="00723F80"/>
    <w:rsid w:val="00725AA6"/>
    <w:rsid w:val="0072704F"/>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58FC"/>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7A5"/>
    <w:rsid w:val="00760AA6"/>
    <w:rsid w:val="00760FCB"/>
    <w:rsid w:val="00761232"/>
    <w:rsid w:val="007612C6"/>
    <w:rsid w:val="007612EC"/>
    <w:rsid w:val="007617DC"/>
    <w:rsid w:val="00761962"/>
    <w:rsid w:val="00762B73"/>
    <w:rsid w:val="0076309A"/>
    <w:rsid w:val="00763793"/>
    <w:rsid w:val="00763F72"/>
    <w:rsid w:val="00764768"/>
    <w:rsid w:val="007663ED"/>
    <w:rsid w:val="00766585"/>
    <w:rsid w:val="007665AF"/>
    <w:rsid w:val="007711D9"/>
    <w:rsid w:val="00771DA0"/>
    <w:rsid w:val="00771FC9"/>
    <w:rsid w:val="0077332C"/>
    <w:rsid w:val="00773AA4"/>
    <w:rsid w:val="00773F49"/>
    <w:rsid w:val="00773F9D"/>
    <w:rsid w:val="00775AC8"/>
    <w:rsid w:val="00775FA2"/>
    <w:rsid w:val="00776B79"/>
    <w:rsid w:val="007770F8"/>
    <w:rsid w:val="007771F1"/>
    <w:rsid w:val="00777596"/>
    <w:rsid w:val="00777960"/>
    <w:rsid w:val="00777F0A"/>
    <w:rsid w:val="00780382"/>
    <w:rsid w:val="00780650"/>
    <w:rsid w:val="007828C0"/>
    <w:rsid w:val="007844C9"/>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D9B"/>
    <w:rsid w:val="007A3FC1"/>
    <w:rsid w:val="007A5A29"/>
    <w:rsid w:val="007A5A79"/>
    <w:rsid w:val="007A68ED"/>
    <w:rsid w:val="007A7B07"/>
    <w:rsid w:val="007B008C"/>
    <w:rsid w:val="007B0489"/>
    <w:rsid w:val="007B0839"/>
    <w:rsid w:val="007B0B7F"/>
    <w:rsid w:val="007B138C"/>
    <w:rsid w:val="007B2DAD"/>
    <w:rsid w:val="007B3D50"/>
    <w:rsid w:val="007B42BF"/>
    <w:rsid w:val="007B4D35"/>
    <w:rsid w:val="007B53D1"/>
    <w:rsid w:val="007B55CD"/>
    <w:rsid w:val="007B57CE"/>
    <w:rsid w:val="007B6820"/>
    <w:rsid w:val="007B693C"/>
    <w:rsid w:val="007B6CDD"/>
    <w:rsid w:val="007C037E"/>
    <w:rsid w:val="007C0B45"/>
    <w:rsid w:val="007C1739"/>
    <w:rsid w:val="007C1FA0"/>
    <w:rsid w:val="007C23F2"/>
    <w:rsid w:val="007C4006"/>
    <w:rsid w:val="007C4268"/>
    <w:rsid w:val="007C5BD8"/>
    <w:rsid w:val="007C635F"/>
    <w:rsid w:val="007D092D"/>
    <w:rsid w:val="007D192B"/>
    <w:rsid w:val="007D22B4"/>
    <w:rsid w:val="007D28B7"/>
    <w:rsid w:val="007D3491"/>
    <w:rsid w:val="007D354C"/>
    <w:rsid w:val="007D36E2"/>
    <w:rsid w:val="007D3D6D"/>
    <w:rsid w:val="007D3E8C"/>
    <w:rsid w:val="007D48DC"/>
    <w:rsid w:val="007D5474"/>
    <w:rsid w:val="007E04D4"/>
    <w:rsid w:val="007E2A2A"/>
    <w:rsid w:val="007E38FB"/>
    <w:rsid w:val="007E45E5"/>
    <w:rsid w:val="007E5321"/>
    <w:rsid w:val="007F0C16"/>
    <w:rsid w:val="007F0EE6"/>
    <w:rsid w:val="007F1297"/>
    <w:rsid w:val="007F129C"/>
    <w:rsid w:val="007F2F8B"/>
    <w:rsid w:val="007F5746"/>
    <w:rsid w:val="007F67C7"/>
    <w:rsid w:val="007F6CEF"/>
    <w:rsid w:val="007F6E37"/>
    <w:rsid w:val="007F7051"/>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1EC8"/>
    <w:rsid w:val="008237C2"/>
    <w:rsid w:val="00825A5E"/>
    <w:rsid w:val="00826985"/>
    <w:rsid w:val="00826D88"/>
    <w:rsid w:val="0082716F"/>
    <w:rsid w:val="00830620"/>
    <w:rsid w:val="00830DDC"/>
    <w:rsid w:val="00831282"/>
    <w:rsid w:val="0083230A"/>
    <w:rsid w:val="008323B2"/>
    <w:rsid w:val="008341B6"/>
    <w:rsid w:val="00834E25"/>
    <w:rsid w:val="00834F37"/>
    <w:rsid w:val="008361E1"/>
    <w:rsid w:val="00836211"/>
    <w:rsid w:val="00836389"/>
    <w:rsid w:val="00837FD1"/>
    <w:rsid w:val="0084111C"/>
    <w:rsid w:val="0084226D"/>
    <w:rsid w:val="00843074"/>
    <w:rsid w:val="00844137"/>
    <w:rsid w:val="008447E6"/>
    <w:rsid w:val="00845548"/>
    <w:rsid w:val="00845CF8"/>
    <w:rsid w:val="0084686E"/>
    <w:rsid w:val="00846A75"/>
    <w:rsid w:val="00847813"/>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215F"/>
    <w:rsid w:val="00863767"/>
    <w:rsid w:val="00863A24"/>
    <w:rsid w:val="00863A71"/>
    <w:rsid w:val="00865910"/>
    <w:rsid w:val="00865EE9"/>
    <w:rsid w:val="008660D4"/>
    <w:rsid w:val="00870E1D"/>
    <w:rsid w:val="00871DA2"/>
    <w:rsid w:val="00871FCF"/>
    <w:rsid w:val="008721B8"/>
    <w:rsid w:val="0087372E"/>
    <w:rsid w:val="008750A5"/>
    <w:rsid w:val="00876030"/>
    <w:rsid w:val="008779D5"/>
    <w:rsid w:val="0088037D"/>
    <w:rsid w:val="00880E4B"/>
    <w:rsid w:val="00881023"/>
    <w:rsid w:val="008810FA"/>
    <w:rsid w:val="00881396"/>
    <w:rsid w:val="00881459"/>
    <w:rsid w:val="0088199F"/>
    <w:rsid w:val="00883710"/>
    <w:rsid w:val="00883783"/>
    <w:rsid w:val="008837F3"/>
    <w:rsid w:val="008839F8"/>
    <w:rsid w:val="00885620"/>
    <w:rsid w:val="00887596"/>
    <w:rsid w:val="008902E6"/>
    <w:rsid w:val="00890B0C"/>
    <w:rsid w:val="00890C73"/>
    <w:rsid w:val="00891051"/>
    <w:rsid w:val="00892432"/>
    <w:rsid w:val="00892829"/>
    <w:rsid w:val="008940AB"/>
    <w:rsid w:val="00894285"/>
    <w:rsid w:val="0089522A"/>
    <w:rsid w:val="008966DB"/>
    <w:rsid w:val="008975C2"/>
    <w:rsid w:val="008A13A1"/>
    <w:rsid w:val="008A5244"/>
    <w:rsid w:val="008A79C9"/>
    <w:rsid w:val="008B2F8A"/>
    <w:rsid w:val="008B3B43"/>
    <w:rsid w:val="008B3BA6"/>
    <w:rsid w:val="008B3F7B"/>
    <w:rsid w:val="008B5064"/>
    <w:rsid w:val="008B5523"/>
    <w:rsid w:val="008C2F6D"/>
    <w:rsid w:val="008C343B"/>
    <w:rsid w:val="008C4702"/>
    <w:rsid w:val="008C50F9"/>
    <w:rsid w:val="008C5969"/>
    <w:rsid w:val="008C5B93"/>
    <w:rsid w:val="008C6A16"/>
    <w:rsid w:val="008C6CC8"/>
    <w:rsid w:val="008C7464"/>
    <w:rsid w:val="008C753C"/>
    <w:rsid w:val="008D0E4C"/>
    <w:rsid w:val="008D1187"/>
    <w:rsid w:val="008D13DC"/>
    <w:rsid w:val="008D19E6"/>
    <w:rsid w:val="008D24DC"/>
    <w:rsid w:val="008D2934"/>
    <w:rsid w:val="008D34C1"/>
    <w:rsid w:val="008D368A"/>
    <w:rsid w:val="008D3F16"/>
    <w:rsid w:val="008D3F8B"/>
    <w:rsid w:val="008D4BE6"/>
    <w:rsid w:val="008D4C22"/>
    <w:rsid w:val="008D64C9"/>
    <w:rsid w:val="008D7F55"/>
    <w:rsid w:val="008E03AC"/>
    <w:rsid w:val="008E1249"/>
    <w:rsid w:val="008E14DB"/>
    <w:rsid w:val="008E1B0F"/>
    <w:rsid w:val="008E21D7"/>
    <w:rsid w:val="008E2600"/>
    <w:rsid w:val="008E29B9"/>
    <w:rsid w:val="008E30ED"/>
    <w:rsid w:val="008E3202"/>
    <w:rsid w:val="008E517E"/>
    <w:rsid w:val="008E5289"/>
    <w:rsid w:val="008E528E"/>
    <w:rsid w:val="008E55BE"/>
    <w:rsid w:val="008E6030"/>
    <w:rsid w:val="008E6274"/>
    <w:rsid w:val="008F3180"/>
    <w:rsid w:val="008F35C0"/>
    <w:rsid w:val="008F3612"/>
    <w:rsid w:val="008F3634"/>
    <w:rsid w:val="008F421E"/>
    <w:rsid w:val="008F422C"/>
    <w:rsid w:val="008F50F8"/>
    <w:rsid w:val="008F56BC"/>
    <w:rsid w:val="008F6B3C"/>
    <w:rsid w:val="0090123D"/>
    <w:rsid w:val="009017D7"/>
    <w:rsid w:val="00903D2C"/>
    <w:rsid w:val="00905BB2"/>
    <w:rsid w:val="0090647B"/>
    <w:rsid w:val="00906672"/>
    <w:rsid w:val="00906989"/>
    <w:rsid w:val="00907DB1"/>
    <w:rsid w:val="009102E2"/>
    <w:rsid w:val="00911E33"/>
    <w:rsid w:val="009133D1"/>
    <w:rsid w:val="00914FFD"/>
    <w:rsid w:val="00915114"/>
    <w:rsid w:val="009151C0"/>
    <w:rsid w:val="009206CA"/>
    <w:rsid w:val="009213AB"/>
    <w:rsid w:val="00923523"/>
    <w:rsid w:val="0092449D"/>
    <w:rsid w:val="0092482D"/>
    <w:rsid w:val="0092551E"/>
    <w:rsid w:val="009258A1"/>
    <w:rsid w:val="00925949"/>
    <w:rsid w:val="00925F5B"/>
    <w:rsid w:val="00925F94"/>
    <w:rsid w:val="0092713F"/>
    <w:rsid w:val="00927CA3"/>
    <w:rsid w:val="009304BF"/>
    <w:rsid w:val="009307D7"/>
    <w:rsid w:val="00930E42"/>
    <w:rsid w:val="00930E5E"/>
    <w:rsid w:val="009311BA"/>
    <w:rsid w:val="00931DE6"/>
    <w:rsid w:val="009330ED"/>
    <w:rsid w:val="009342E6"/>
    <w:rsid w:val="00934393"/>
    <w:rsid w:val="00934ACE"/>
    <w:rsid w:val="00934CAF"/>
    <w:rsid w:val="00935177"/>
    <w:rsid w:val="00936CAE"/>
    <w:rsid w:val="0094128B"/>
    <w:rsid w:val="009414AC"/>
    <w:rsid w:val="009433FD"/>
    <w:rsid w:val="00943C34"/>
    <w:rsid w:val="00945993"/>
    <w:rsid w:val="0094628D"/>
    <w:rsid w:val="00946312"/>
    <w:rsid w:val="009469F4"/>
    <w:rsid w:val="00946C49"/>
    <w:rsid w:val="00947944"/>
    <w:rsid w:val="0095142E"/>
    <w:rsid w:val="0095370A"/>
    <w:rsid w:val="0095469D"/>
    <w:rsid w:val="00955073"/>
    <w:rsid w:val="00955158"/>
    <w:rsid w:val="009552CA"/>
    <w:rsid w:val="00955361"/>
    <w:rsid w:val="009569EF"/>
    <w:rsid w:val="00957085"/>
    <w:rsid w:val="00963AC6"/>
    <w:rsid w:val="0096492D"/>
    <w:rsid w:val="00964BBB"/>
    <w:rsid w:val="00964C87"/>
    <w:rsid w:val="00965030"/>
    <w:rsid w:val="00966312"/>
    <w:rsid w:val="0096631A"/>
    <w:rsid w:val="009663A7"/>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7C"/>
    <w:rsid w:val="00982483"/>
    <w:rsid w:val="009829EE"/>
    <w:rsid w:val="009834B5"/>
    <w:rsid w:val="0098412E"/>
    <w:rsid w:val="0098415C"/>
    <w:rsid w:val="00984606"/>
    <w:rsid w:val="00984A76"/>
    <w:rsid w:val="009851AC"/>
    <w:rsid w:val="00985BDE"/>
    <w:rsid w:val="00985D25"/>
    <w:rsid w:val="009912B7"/>
    <w:rsid w:val="009924CF"/>
    <w:rsid w:val="00992659"/>
    <w:rsid w:val="009928DD"/>
    <w:rsid w:val="00993015"/>
    <w:rsid w:val="009933D1"/>
    <w:rsid w:val="0099431C"/>
    <w:rsid w:val="00994470"/>
    <w:rsid w:val="009948E5"/>
    <w:rsid w:val="00994D6A"/>
    <w:rsid w:val="00994E9B"/>
    <w:rsid w:val="00994EB7"/>
    <w:rsid w:val="0099615A"/>
    <w:rsid w:val="00996388"/>
    <w:rsid w:val="009968B1"/>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442F"/>
    <w:rsid w:val="009B5438"/>
    <w:rsid w:val="009B5502"/>
    <w:rsid w:val="009B6AF8"/>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482"/>
    <w:rsid w:val="009D68F5"/>
    <w:rsid w:val="009D6E90"/>
    <w:rsid w:val="009D77CD"/>
    <w:rsid w:val="009D7988"/>
    <w:rsid w:val="009D7AE5"/>
    <w:rsid w:val="009D7E43"/>
    <w:rsid w:val="009E04F1"/>
    <w:rsid w:val="009E1A7E"/>
    <w:rsid w:val="009E1E02"/>
    <w:rsid w:val="009E251F"/>
    <w:rsid w:val="009E385D"/>
    <w:rsid w:val="009E4F92"/>
    <w:rsid w:val="009E57DA"/>
    <w:rsid w:val="009E5993"/>
    <w:rsid w:val="009E671B"/>
    <w:rsid w:val="009E67A7"/>
    <w:rsid w:val="009E78AA"/>
    <w:rsid w:val="009F0292"/>
    <w:rsid w:val="009F0418"/>
    <w:rsid w:val="009F1795"/>
    <w:rsid w:val="009F19F8"/>
    <w:rsid w:val="009F3923"/>
    <w:rsid w:val="009F4958"/>
    <w:rsid w:val="009F6873"/>
    <w:rsid w:val="009F7930"/>
    <w:rsid w:val="00A00119"/>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4F4"/>
    <w:rsid w:val="00A213CA"/>
    <w:rsid w:val="00A22BA9"/>
    <w:rsid w:val="00A23E9F"/>
    <w:rsid w:val="00A26F75"/>
    <w:rsid w:val="00A27B13"/>
    <w:rsid w:val="00A3055C"/>
    <w:rsid w:val="00A30624"/>
    <w:rsid w:val="00A31D8E"/>
    <w:rsid w:val="00A31F0D"/>
    <w:rsid w:val="00A32072"/>
    <w:rsid w:val="00A334A7"/>
    <w:rsid w:val="00A33919"/>
    <w:rsid w:val="00A3485F"/>
    <w:rsid w:val="00A34FBD"/>
    <w:rsid w:val="00A362B8"/>
    <w:rsid w:val="00A36324"/>
    <w:rsid w:val="00A36389"/>
    <w:rsid w:val="00A36B96"/>
    <w:rsid w:val="00A37A8C"/>
    <w:rsid w:val="00A4007B"/>
    <w:rsid w:val="00A40C69"/>
    <w:rsid w:val="00A42713"/>
    <w:rsid w:val="00A44774"/>
    <w:rsid w:val="00A47FCF"/>
    <w:rsid w:val="00A50132"/>
    <w:rsid w:val="00A51F12"/>
    <w:rsid w:val="00A5400A"/>
    <w:rsid w:val="00A5480B"/>
    <w:rsid w:val="00A5791E"/>
    <w:rsid w:val="00A61551"/>
    <w:rsid w:val="00A61D95"/>
    <w:rsid w:val="00A641D3"/>
    <w:rsid w:val="00A64E34"/>
    <w:rsid w:val="00A70C81"/>
    <w:rsid w:val="00A7282C"/>
    <w:rsid w:val="00A73334"/>
    <w:rsid w:val="00A733BF"/>
    <w:rsid w:val="00A77372"/>
    <w:rsid w:val="00A80397"/>
    <w:rsid w:val="00A81F6C"/>
    <w:rsid w:val="00A82597"/>
    <w:rsid w:val="00A82901"/>
    <w:rsid w:val="00A8339B"/>
    <w:rsid w:val="00A8620B"/>
    <w:rsid w:val="00A90E6D"/>
    <w:rsid w:val="00A9157A"/>
    <w:rsid w:val="00A919E9"/>
    <w:rsid w:val="00A93EDB"/>
    <w:rsid w:val="00A94917"/>
    <w:rsid w:val="00A94C10"/>
    <w:rsid w:val="00A95102"/>
    <w:rsid w:val="00A957C9"/>
    <w:rsid w:val="00A95F01"/>
    <w:rsid w:val="00A971D1"/>
    <w:rsid w:val="00A97226"/>
    <w:rsid w:val="00A9737C"/>
    <w:rsid w:val="00AA12AB"/>
    <w:rsid w:val="00AA1505"/>
    <w:rsid w:val="00AA22E2"/>
    <w:rsid w:val="00AA32F8"/>
    <w:rsid w:val="00AA39CC"/>
    <w:rsid w:val="00AA41A0"/>
    <w:rsid w:val="00AA543E"/>
    <w:rsid w:val="00AA5E54"/>
    <w:rsid w:val="00AA6EB5"/>
    <w:rsid w:val="00AB3458"/>
    <w:rsid w:val="00AB4AEE"/>
    <w:rsid w:val="00AB4B2D"/>
    <w:rsid w:val="00AB5B93"/>
    <w:rsid w:val="00AB6557"/>
    <w:rsid w:val="00AB6B19"/>
    <w:rsid w:val="00AB7056"/>
    <w:rsid w:val="00AB7F9F"/>
    <w:rsid w:val="00AC0BCC"/>
    <w:rsid w:val="00AC1D96"/>
    <w:rsid w:val="00AC1F31"/>
    <w:rsid w:val="00AC3BD9"/>
    <w:rsid w:val="00AC55EB"/>
    <w:rsid w:val="00AC69FA"/>
    <w:rsid w:val="00AC7583"/>
    <w:rsid w:val="00AC783B"/>
    <w:rsid w:val="00AD0A42"/>
    <w:rsid w:val="00AD10CE"/>
    <w:rsid w:val="00AD1142"/>
    <w:rsid w:val="00AD17F8"/>
    <w:rsid w:val="00AD2EDF"/>
    <w:rsid w:val="00AD4720"/>
    <w:rsid w:val="00AD5447"/>
    <w:rsid w:val="00AD656C"/>
    <w:rsid w:val="00AE033A"/>
    <w:rsid w:val="00AE07B9"/>
    <w:rsid w:val="00AE1141"/>
    <w:rsid w:val="00AE2304"/>
    <w:rsid w:val="00AE241B"/>
    <w:rsid w:val="00AE2D4D"/>
    <w:rsid w:val="00AE43EB"/>
    <w:rsid w:val="00AF0472"/>
    <w:rsid w:val="00AF0863"/>
    <w:rsid w:val="00AF103C"/>
    <w:rsid w:val="00AF226A"/>
    <w:rsid w:val="00AF4BE7"/>
    <w:rsid w:val="00AF78DB"/>
    <w:rsid w:val="00B00A2A"/>
    <w:rsid w:val="00B00E22"/>
    <w:rsid w:val="00B00F4C"/>
    <w:rsid w:val="00B015EE"/>
    <w:rsid w:val="00B01B27"/>
    <w:rsid w:val="00B0235E"/>
    <w:rsid w:val="00B02716"/>
    <w:rsid w:val="00B032ED"/>
    <w:rsid w:val="00B037E3"/>
    <w:rsid w:val="00B040AC"/>
    <w:rsid w:val="00B04E10"/>
    <w:rsid w:val="00B05758"/>
    <w:rsid w:val="00B0585F"/>
    <w:rsid w:val="00B05E8E"/>
    <w:rsid w:val="00B06122"/>
    <w:rsid w:val="00B070CC"/>
    <w:rsid w:val="00B07323"/>
    <w:rsid w:val="00B07701"/>
    <w:rsid w:val="00B07B94"/>
    <w:rsid w:val="00B10AB6"/>
    <w:rsid w:val="00B10FF1"/>
    <w:rsid w:val="00B112A5"/>
    <w:rsid w:val="00B127C8"/>
    <w:rsid w:val="00B13769"/>
    <w:rsid w:val="00B1393A"/>
    <w:rsid w:val="00B153E5"/>
    <w:rsid w:val="00B16600"/>
    <w:rsid w:val="00B177EC"/>
    <w:rsid w:val="00B224F9"/>
    <w:rsid w:val="00B22F29"/>
    <w:rsid w:val="00B247AA"/>
    <w:rsid w:val="00B276DA"/>
    <w:rsid w:val="00B27A76"/>
    <w:rsid w:val="00B27DEC"/>
    <w:rsid w:val="00B29BBB"/>
    <w:rsid w:val="00B30348"/>
    <w:rsid w:val="00B3051A"/>
    <w:rsid w:val="00B315AD"/>
    <w:rsid w:val="00B330AE"/>
    <w:rsid w:val="00B3364C"/>
    <w:rsid w:val="00B33C79"/>
    <w:rsid w:val="00B34599"/>
    <w:rsid w:val="00B36B73"/>
    <w:rsid w:val="00B4070C"/>
    <w:rsid w:val="00B41597"/>
    <w:rsid w:val="00B42E72"/>
    <w:rsid w:val="00B43CE1"/>
    <w:rsid w:val="00B43DEC"/>
    <w:rsid w:val="00B43F39"/>
    <w:rsid w:val="00B45BEE"/>
    <w:rsid w:val="00B47A21"/>
    <w:rsid w:val="00B519E1"/>
    <w:rsid w:val="00B5279A"/>
    <w:rsid w:val="00B5323A"/>
    <w:rsid w:val="00B53AA3"/>
    <w:rsid w:val="00B544AC"/>
    <w:rsid w:val="00B5457B"/>
    <w:rsid w:val="00B55A15"/>
    <w:rsid w:val="00B56B46"/>
    <w:rsid w:val="00B56D41"/>
    <w:rsid w:val="00B57375"/>
    <w:rsid w:val="00B57B74"/>
    <w:rsid w:val="00B57E22"/>
    <w:rsid w:val="00B60765"/>
    <w:rsid w:val="00B614D7"/>
    <w:rsid w:val="00B61754"/>
    <w:rsid w:val="00B628BF"/>
    <w:rsid w:val="00B629E6"/>
    <w:rsid w:val="00B63123"/>
    <w:rsid w:val="00B631B0"/>
    <w:rsid w:val="00B64A9D"/>
    <w:rsid w:val="00B664EF"/>
    <w:rsid w:val="00B70E7E"/>
    <w:rsid w:val="00B71A0C"/>
    <w:rsid w:val="00B730B9"/>
    <w:rsid w:val="00B735BA"/>
    <w:rsid w:val="00B7388D"/>
    <w:rsid w:val="00B738B0"/>
    <w:rsid w:val="00B741D0"/>
    <w:rsid w:val="00B74F8E"/>
    <w:rsid w:val="00B7503B"/>
    <w:rsid w:val="00B76951"/>
    <w:rsid w:val="00B77966"/>
    <w:rsid w:val="00B80406"/>
    <w:rsid w:val="00B80521"/>
    <w:rsid w:val="00B80F5B"/>
    <w:rsid w:val="00B81CA4"/>
    <w:rsid w:val="00B8308C"/>
    <w:rsid w:val="00B8351A"/>
    <w:rsid w:val="00B83554"/>
    <w:rsid w:val="00B85287"/>
    <w:rsid w:val="00B87772"/>
    <w:rsid w:val="00B8779E"/>
    <w:rsid w:val="00B87DEF"/>
    <w:rsid w:val="00B90616"/>
    <w:rsid w:val="00B91314"/>
    <w:rsid w:val="00B91F37"/>
    <w:rsid w:val="00B920A1"/>
    <w:rsid w:val="00B92D45"/>
    <w:rsid w:val="00B9327B"/>
    <w:rsid w:val="00B9516E"/>
    <w:rsid w:val="00B954F8"/>
    <w:rsid w:val="00B95590"/>
    <w:rsid w:val="00B962AD"/>
    <w:rsid w:val="00B962BB"/>
    <w:rsid w:val="00B96E0F"/>
    <w:rsid w:val="00B97138"/>
    <w:rsid w:val="00B972D4"/>
    <w:rsid w:val="00BA0846"/>
    <w:rsid w:val="00BA0EF3"/>
    <w:rsid w:val="00BA2282"/>
    <w:rsid w:val="00BA2633"/>
    <w:rsid w:val="00BA356C"/>
    <w:rsid w:val="00BA38C9"/>
    <w:rsid w:val="00BA47C3"/>
    <w:rsid w:val="00BA5928"/>
    <w:rsid w:val="00BA5D62"/>
    <w:rsid w:val="00BA6719"/>
    <w:rsid w:val="00BA72E0"/>
    <w:rsid w:val="00BB0B8D"/>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72E"/>
    <w:rsid w:val="00BD187F"/>
    <w:rsid w:val="00BD1DE9"/>
    <w:rsid w:val="00BD1FEE"/>
    <w:rsid w:val="00BD237D"/>
    <w:rsid w:val="00BD2F19"/>
    <w:rsid w:val="00BD3894"/>
    <w:rsid w:val="00BD3BE4"/>
    <w:rsid w:val="00BD4BCE"/>
    <w:rsid w:val="00BD4E5D"/>
    <w:rsid w:val="00BD4EFD"/>
    <w:rsid w:val="00BD58EF"/>
    <w:rsid w:val="00BD5EF9"/>
    <w:rsid w:val="00BD62EA"/>
    <w:rsid w:val="00BD6671"/>
    <w:rsid w:val="00BD7134"/>
    <w:rsid w:val="00BE01DD"/>
    <w:rsid w:val="00BE0DA0"/>
    <w:rsid w:val="00BE2AB1"/>
    <w:rsid w:val="00BE3108"/>
    <w:rsid w:val="00BE411F"/>
    <w:rsid w:val="00BE4270"/>
    <w:rsid w:val="00BE5C69"/>
    <w:rsid w:val="00BE66F8"/>
    <w:rsid w:val="00BE715D"/>
    <w:rsid w:val="00BE7CDD"/>
    <w:rsid w:val="00BF04C1"/>
    <w:rsid w:val="00BF072B"/>
    <w:rsid w:val="00BF26E3"/>
    <w:rsid w:val="00BF2ABC"/>
    <w:rsid w:val="00BF431C"/>
    <w:rsid w:val="00BF442C"/>
    <w:rsid w:val="00BF4A4B"/>
    <w:rsid w:val="00BF4D04"/>
    <w:rsid w:val="00BF6076"/>
    <w:rsid w:val="00BF6818"/>
    <w:rsid w:val="00BF6BFF"/>
    <w:rsid w:val="00BF7A71"/>
    <w:rsid w:val="00C007F4"/>
    <w:rsid w:val="00C01C22"/>
    <w:rsid w:val="00C058BA"/>
    <w:rsid w:val="00C06BE6"/>
    <w:rsid w:val="00C078E2"/>
    <w:rsid w:val="00C07B99"/>
    <w:rsid w:val="00C07D27"/>
    <w:rsid w:val="00C1185B"/>
    <w:rsid w:val="00C12C54"/>
    <w:rsid w:val="00C14E8F"/>
    <w:rsid w:val="00C1617F"/>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3D76"/>
    <w:rsid w:val="00C43E07"/>
    <w:rsid w:val="00C44092"/>
    <w:rsid w:val="00C4436D"/>
    <w:rsid w:val="00C44856"/>
    <w:rsid w:val="00C4705B"/>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207D"/>
    <w:rsid w:val="00C637F3"/>
    <w:rsid w:val="00C64508"/>
    <w:rsid w:val="00C6514E"/>
    <w:rsid w:val="00C6740F"/>
    <w:rsid w:val="00C705BD"/>
    <w:rsid w:val="00C70BE6"/>
    <w:rsid w:val="00C722AA"/>
    <w:rsid w:val="00C7272D"/>
    <w:rsid w:val="00C732D6"/>
    <w:rsid w:val="00C7373D"/>
    <w:rsid w:val="00C74683"/>
    <w:rsid w:val="00C75F46"/>
    <w:rsid w:val="00C77EAA"/>
    <w:rsid w:val="00C824AD"/>
    <w:rsid w:val="00C8328F"/>
    <w:rsid w:val="00C8352F"/>
    <w:rsid w:val="00C8399B"/>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E7A"/>
    <w:rsid w:val="00CA4D5E"/>
    <w:rsid w:val="00CA5024"/>
    <w:rsid w:val="00CA6B8C"/>
    <w:rsid w:val="00CB111D"/>
    <w:rsid w:val="00CB1544"/>
    <w:rsid w:val="00CB1764"/>
    <w:rsid w:val="00CB1BE3"/>
    <w:rsid w:val="00CB1F78"/>
    <w:rsid w:val="00CB2E8F"/>
    <w:rsid w:val="00CB3683"/>
    <w:rsid w:val="00CB38A5"/>
    <w:rsid w:val="00CB4531"/>
    <w:rsid w:val="00CB4A35"/>
    <w:rsid w:val="00CB5C26"/>
    <w:rsid w:val="00CB6930"/>
    <w:rsid w:val="00CB6D26"/>
    <w:rsid w:val="00CB72C7"/>
    <w:rsid w:val="00CB7C93"/>
    <w:rsid w:val="00CC05EA"/>
    <w:rsid w:val="00CC2B39"/>
    <w:rsid w:val="00CC33F7"/>
    <w:rsid w:val="00CC4071"/>
    <w:rsid w:val="00CC6960"/>
    <w:rsid w:val="00CC726B"/>
    <w:rsid w:val="00CD0801"/>
    <w:rsid w:val="00CD099E"/>
    <w:rsid w:val="00CD166C"/>
    <w:rsid w:val="00CD1A34"/>
    <w:rsid w:val="00CD1C0A"/>
    <w:rsid w:val="00CD1F99"/>
    <w:rsid w:val="00CD2090"/>
    <w:rsid w:val="00CD323D"/>
    <w:rsid w:val="00CD35B3"/>
    <w:rsid w:val="00CD3E63"/>
    <w:rsid w:val="00CD4C26"/>
    <w:rsid w:val="00CD54EB"/>
    <w:rsid w:val="00CD598D"/>
    <w:rsid w:val="00CD703D"/>
    <w:rsid w:val="00CE0D54"/>
    <w:rsid w:val="00CE180C"/>
    <w:rsid w:val="00CE1F57"/>
    <w:rsid w:val="00CE2E2F"/>
    <w:rsid w:val="00CE3BD9"/>
    <w:rsid w:val="00CE3BF7"/>
    <w:rsid w:val="00CE3CEC"/>
    <w:rsid w:val="00CE4793"/>
    <w:rsid w:val="00CE5E0B"/>
    <w:rsid w:val="00CE610A"/>
    <w:rsid w:val="00CE643F"/>
    <w:rsid w:val="00CE6445"/>
    <w:rsid w:val="00CE6886"/>
    <w:rsid w:val="00CE6F92"/>
    <w:rsid w:val="00CE7301"/>
    <w:rsid w:val="00CF3BC4"/>
    <w:rsid w:val="00CF456C"/>
    <w:rsid w:val="00CF47BD"/>
    <w:rsid w:val="00CF5598"/>
    <w:rsid w:val="00CF60FF"/>
    <w:rsid w:val="00D02684"/>
    <w:rsid w:val="00D02A57"/>
    <w:rsid w:val="00D04EFA"/>
    <w:rsid w:val="00D05B3C"/>
    <w:rsid w:val="00D06096"/>
    <w:rsid w:val="00D06278"/>
    <w:rsid w:val="00D064FA"/>
    <w:rsid w:val="00D110D7"/>
    <w:rsid w:val="00D117EE"/>
    <w:rsid w:val="00D11C6B"/>
    <w:rsid w:val="00D124FC"/>
    <w:rsid w:val="00D138E3"/>
    <w:rsid w:val="00D13E22"/>
    <w:rsid w:val="00D146BA"/>
    <w:rsid w:val="00D14702"/>
    <w:rsid w:val="00D15CB4"/>
    <w:rsid w:val="00D1696D"/>
    <w:rsid w:val="00D17E32"/>
    <w:rsid w:val="00D20DCB"/>
    <w:rsid w:val="00D20DF4"/>
    <w:rsid w:val="00D2109B"/>
    <w:rsid w:val="00D21A5D"/>
    <w:rsid w:val="00D229FB"/>
    <w:rsid w:val="00D22E59"/>
    <w:rsid w:val="00D23EB7"/>
    <w:rsid w:val="00D26F3F"/>
    <w:rsid w:val="00D271C0"/>
    <w:rsid w:val="00D30F94"/>
    <w:rsid w:val="00D312C1"/>
    <w:rsid w:val="00D31784"/>
    <w:rsid w:val="00D33290"/>
    <w:rsid w:val="00D338B0"/>
    <w:rsid w:val="00D344CB"/>
    <w:rsid w:val="00D3460D"/>
    <w:rsid w:val="00D34753"/>
    <w:rsid w:val="00D353AF"/>
    <w:rsid w:val="00D359F1"/>
    <w:rsid w:val="00D35D47"/>
    <w:rsid w:val="00D369A3"/>
    <w:rsid w:val="00D37417"/>
    <w:rsid w:val="00D374B6"/>
    <w:rsid w:val="00D407BD"/>
    <w:rsid w:val="00D41E9E"/>
    <w:rsid w:val="00D4221F"/>
    <w:rsid w:val="00D430A2"/>
    <w:rsid w:val="00D44D03"/>
    <w:rsid w:val="00D44FBD"/>
    <w:rsid w:val="00D4518E"/>
    <w:rsid w:val="00D45AF2"/>
    <w:rsid w:val="00D45E87"/>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204B"/>
    <w:rsid w:val="00D634C1"/>
    <w:rsid w:val="00D67985"/>
    <w:rsid w:val="00D706E5"/>
    <w:rsid w:val="00D71E33"/>
    <w:rsid w:val="00D72665"/>
    <w:rsid w:val="00D739D5"/>
    <w:rsid w:val="00D740FF"/>
    <w:rsid w:val="00D77BD9"/>
    <w:rsid w:val="00D8032F"/>
    <w:rsid w:val="00D810A9"/>
    <w:rsid w:val="00D812A2"/>
    <w:rsid w:val="00D81EE2"/>
    <w:rsid w:val="00D8344B"/>
    <w:rsid w:val="00D86723"/>
    <w:rsid w:val="00D8693B"/>
    <w:rsid w:val="00D86950"/>
    <w:rsid w:val="00D86FD6"/>
    <w:rsid w:val="00D8775C"/>
    <w:rsid w:val="00D87A24"/>
    <w:rsid w:val="00D87E53"/>
    <w:rsid w:val="00D90799"/>
    <w:rsid w:val="00D93986"/>
    <w:rsid w:val="00D94D4B"/>
    <w:rsid w:val="00D95683"/>
    <w:rsid w:val="00D9577B"/>
    <w:rsid w:val="00D9703F"/>
    <w:rsid w:val="00D9723A"/>
    <w:rsid w:val="00DA0D20"/>
    <w:rsid w:val="00DA3172"/>
    <w:rsid w:val="00DA43B8"/>
    <w:rsid w:val="00DA488C"/>
    <w:rsid w:val="00DA4C59"/>
    <w:rsid w:val="00DA6323"/>
    <w:rsid w:val="00DA650B"/>
    <w:rsid w:val="00DA777C"/>
    <w:rsid w:val="00DA7E56"/>
    <w:rsid w:val="00DB14B3"/>
    <w:rsid w:val="00DB2D75"/>
    <w:rsid w:val="00DB3EDA"/>
    <w:rsid w:val="00DB41DD"/>
    <w:rsid w:val="00DB594A"/>
    <w:rsid w:val="00DB7620"/>
    <w:rsid w:val="00DC0C9D"/>
    <w:rsid w:val="00DC1A8D"/>
    <w:rsid w:val="00DC26D7"/>
    <w:rsid w:val="00DC271B"/>
    <w:rsid w:val="00DC2D5A"/>
    <w:rsid w:val="00DC3133"/>
    <w:rsid w:val="00DC403E"/>
    <w:rsid w:val="00DC4D30"/>
    <w:rsid w:val="00DC7614"/>
    <w:rsid w:val="00DC791F"/>
    <w:rsid w:val="00DD1A2A"/>
    <w:rsid w:val="00DD2766"/>
    <w:rsid w:val="00DD2899"/>
    <w:rsid w:val="00DD391A"/>
    <w:rsid w:val="00DD55D2"/>
    <w:rsid w:val="00DD56F7"/>
    <w:rsid w:val="00DD5888"/>
    <w:rsid w:val="00DD6A66"/>
    <w:rsid w:val="00DD6B4A"/>
    <w:rsid w:val="00DD7030"/>
    <w:rsid w:val="00DE0688"/>
    <w:rsid w:val="00DE0955"/>
    <w:rsid w:val="00DE166A"/>
    <w:rsid w:val="00DE24F0"/>
    <w:rsid w:val="00DE3352"/>
    <w:rsid w:val="00DE3474"/>
    <w:rsid w:val="00DE4592"/>
    <w:rsid w:val="00DE4627"/>
    <w:rsid w:val="00DE4D0F"/>
    <w:rsid w:val="00DE4D1D"/>
    <w:rsid w:val="00DE5AFD"/>
    <w:rsid w:val="00DE5E3E"/>
    <w:rsid w:val="00DE6F78"/>
    <w:rsid w:val="00DE7F26"/>
    <w:rsid w:val="00DF12FC"/>
    <w:rsid w:val="00DF310C"/>
    <w:rsid w:val="00DF5364"/>
    <w:rsid w:val="00DF5556"/>
    <w:rsid w:val="00DF5786"/>
    <w:rsid w:val="00DF620C"/>
    <w:rsid w:val="00DF666C"/>
    <w:rsid w:val="00DF6BD8"/>
    <w:rsid w:val="00DF73AE"/>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3397"/>
    <w:rsid w:val="00E14236"/>
    <w:rsid w:val="00E14E31"/>
    <w:rsid w:val="00E152B4"/>
    <w:rsid w:val="00E165B4"/>
    <w:rsid w:val="00E20111"/>
    <w:rsid w:val="00E21200"/>
    <w:rsid w:val="00E2368E"/>
    <w:rsid w:val="00E27DDF"/>
    <w:rsid w:val="00E301B9"/>
    <w:rsid w:val="00E31268"/>
    <w:rsid w:val="00E31CCA"/>
    <w:rsid w:val="00E334DD"/>
    <w:rsid w:val="00E3372F"/>
    <w:rsid w:val="00E350B1"/>
    <w:rsid w:val="00E35401"/>
    <w:rsid w:val="00E35915"/>
    <w:rsid w:val="00E36C1A"/>
    <w:rsid w:val="00E40BE9"/>
    <w:rsid w:val="00E40D15"/>
    <w:rsid w:val="00E411A6"/>
    <w:rsid w:val="00E41678"/>
    <w:rsid w:val="00E42186"/>
    <w:rsid w:val="00E42B24"/>
    <w:rsid w:val="00E43C68"/>
    <w:rsid w:val="00E4535E"/>
    <w:rsid w:val="00E45644"/>
    <w:rsid w:val="00E45B47"/>
    <w:rsid w:val="00E45BF0"/>
    <w:rsid w:val="00E4643C"/>
    <w:rsid w:val="00E47E48"/>
    <w:rsid w:val="00E50185"/>
    <w:rsid w:val="00E50D7D"/>
    <w:rsid w:val="00E52298"/>
    <w:rsid w:val="00E5302A"/>
    <w:rsid w:val="00E533B8"/>
    <w:rsid w:val="00E5405A"/>
    <w:rsid w:val="00E54974"/>
    <w:rsid w:val="00E54F0E"/>
    <w:rsid w:val="00E5596D"/>
    <w:rsid w:val="00E559E2"/>
    <w:rsid w:val="00E55CFA"/>
    <w:rsid w:val="00E560BA"/>
    <w:rsid w:val="00E57E81"/>
    <w:rsid w:val="00E6011C"/>
    <w:rsid w:val="00E612D0"/>
    <w:rsid w:val="00E62FE0"/>
    <w:rsid w:val="00E643E6"/>
    <w:rsid w:val="00E646CA"/>
    <w:rsid w:val="00E65BFB"/>
    <w:rsid w:val="00E66C80"/>
    <w:rsid w:val="00E6756F"/>
    <w:rsid w:val="00E707CA"/>
    <w:rsid w:val="00E7088E"/>
    <w:rsid w:val="00E72955"/>
    <w:rsid w:val="00E730C9"/>
    <w:rsid w:val="00E7392A"/>
    <w:rsid w:val="00E749E3"/>
    <w:rsid w:val="00E74BD5"/>
    <w:rsid w:val="00E74D02"/>
    <w:rsid w:val="00E74E32"/>
    <w:rsid w:val="00E75139"/>
    <w:rsid w:val="00E761FE"/>
    <w:rsid w:val="00E77DE7"/>
    <w:rsid w:val="00E802EF"/>
    <w:rsid w:val="00E80A44"/>
    <w:rsid w:val="00E82CF0"/>
    <w:rsid w:val="00E85E40"/>
    <w:rsid w:val="00E86A94"/>
    <w:rsid w:val="00E87819"/>
    <w:rsid w:val="00E90265"/>
    <w:rsid w:val="00E90615"/>
    <w:rsid w:val="00E91C65"/>
    <w:rsid w:val="00E940B9"/>
    <w:rsid w:val="00E9452A"/>
    <w:rsid w:val="00E94841"/>
    <w:rsid w:val="00E94D13"/>
    <w:rsid w:val="00E95219"/>
    <w:rsid w:val="00EA0CEE"/>
    <w:rsid w:val="00EA0E8B"/>
    <w:rsid w:val="00EA1792"/>
    <w:rsid w:val="00EA335A"/>
    <w:rsid w:val="00EA33BE"/>
    <w:rsid w:val="00EA3669"/>
    <w:rsid w:val="00EA3E35"/>
    <w:rsid w:val="00EA4DE2"/>
    <w:rsid w:val="00EA552E"/>
    <w:rsid w:val="00EA5601"/>
    <w:rsid w:val="00EA70FD"/>
    <w:rsid w:val="00EA7614"/>
    <w:rsid w:val="00EA76B2"/>
    <w:rsid w:val="00EB0A8B"/>
    <w:rsid w:val="00EB2414"/>
    <w:rsid w:val="00EB3BA9"/>
    <w:rsid w:val="00EB4633"/>
    <w:rsid w:val="00EB52EA"/>
    <w:rsid w:val="00EB5619"/>
    <w:rsid w:val="00EB65C1"/>
    <w:rsid w:val="00EB6D78"/>
    <w:rsid w:val="00EB74F8"/>
    <w:rsid w:val="00EB769C"/>
    <w:rsid w:val="00EC0A18"/>
    <w:rsid w:val="00EC1023"/>
    <w:rsid w:val="00EC2386"/>
    <w:rsid w:val="00EC26AC"/>
    <w:rsid w:val="00EC2702"/>
    <w:rsid w:val="00EC2A95"/>
    <w:rsid w:val="00EC2AF1"/>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00B3"/>
    <w:rsid w:val="00EE0DD9"/>
    <w:rsid w:val="00EE1128"/>
    <w:rsid w:val="00EE13B6"/>
    <w:rsid w:val="00EE2AA0"/>
    <w:rsid w:val="00EE30EE"/>
    <w:rsid w:val="00EE4729"/>
    <w:rsid w:val="00EE566A"/>
    <w:rsid w:val="00EE5EA4"/>
    <w:rsid w:val="00EE5EF0"/>
    <w:rsid w:val="00EF03AD"/>
    <w:rsid w:val="00EF113D"/>
    <w:rsid w:val="00EF23F6"/>
    <w:rsid w:val="00EF2FBD"/>
    <w:rsid w:val="00EF41C8"/>
    <w:rsid w:val="00EF47EC"/>
    <w:rsid w:val="00EF4894"/>
    <w:rsid w:val="00EF52EE"/>
    <w:rsid w:val="00EF56A6"/>
    <w:rsid w:val="00EF7B57"/>
    <w:rsid w:val="00F005FE"/>
    <w:rsid w:val="00F00D89"/>
    <w:rsid w:val="00F025EC"/>
    <w:rsid w:val="00F02CD4"/>
    <w:rsid w:val="00F05612"/>
    <w:rsid w:val="00F0655E"/>
    <w:rsid w:val="00F10203"/>
    <w:rsid w:val="00F10DE4"/>
    <w:rsid w:val="00F12878"/>
    <w:rsid w:val="00F13976"/>
    <w:rsid w:val="00F14791"/>
    <w:rsid w:val="00F171DD"/>
    <w:rsid w:val="00F173AF"/>
    <w:rsid w:val="00F2096C"/>
    <w:rsid w:val="00F20DC1"/>
    <w:rsid w:val="00F20F1A"/>
    <w:rsid w:val="00F21D2A"/>
    <w:rsid w:val="00F22D10"/>
    <w:rsid w:val="00F233E7"/>
    <w:rsid w:val="00F23535"/>
    <w:rsid w:val="00F23ECB"/>
    <w:rsid w:val="00F25738"/>
    <w:rsid w:val="00F257BF"/>
    <w:rsid w:val="00F26307"/>
    <w:rsid w:val="00F2661D"/>
    <w:rsid w:val="00F26C40"/>
    <w:rsid w:val="00F308AB"/>
    <w:rsid w:val="00F31F21"/>
    <w:rsid w:val="00F34BAC"/>
    <w:rsid w:val="00F35D4E"/>
    <w:rsid w:val="00F36199"/>
    <w:rsid w:val="00F362F4"/>
    <w:rsid w:val="00F36B32"/>
    <w:rsid w:val="00F370D0"/>
    <w:rsid w:val="00F3721F"/>
    <w:rsid w:val="00F43296"/>
    <w:rsid w:val="00F443BD"/>
    <w:rsid w:val="00F45522"/>
    <w:rsid w:val="00F46409"/>
    <w:rsid w:val="00F464AE"/>
    <w:rsid w:val="00F466B8"/>
    <w:rsid w:val="00F50774"/>
    <w:rsid w:val="00F50E6F"/>
    <w:rsid w:val="00F53489"/>
    <w:rsid w:val="00F53986"/>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5F15"/>
    <w:rsid w:val="00F6622C"/>
    <w:rsid w:val="00F6689B"/>
    <w:rsid w:val="00F6698C"/>
    <w:rsid w:val="00F67578"/>
    <w:rsid w:val="00F67EDF"/>
    <w:rsid w:val="00F70423"/>
    <w:rsid w:val="00F70D0E"/>
    <w:rsid w:val="00F7103C"/>
    <w:rsid w:val="00F72137"/>
    <w:rsid w:val="00F723F1"/>
    <w:rsid w:val="00F726D5"/>
    <w:rsid w:val="00F731EB"/>
    <w:rsid w:val="00F73FF8"/>
    <w:rsid w:val="00F74481"/>
    <w:rsid w:val="00F75612"/>
    <w:rsid w:val="00F756E2"/>
    <w:rsid w:val="00F75BB6"/>
    <w:rsid w:val="00F76356"/>
    <w:rsid w:val="00F76935"/>
    <w:rsid w:val="00F76A64"/>
    <w:rsid w:val="00F76C4C"/>
    <w:rsid w:val="00F80383"/>
    <w:rsid w:val="00F80A5F"/>
    <w:rsid w:val="00F80A7D"/>
    <w:rsid w:val="00F82AF0"/>
    <w:rsid w:val="00F847FF"/>
    <w:rsid w:val="00F84AE8"/>
    <w:rsid w:val="00F85295"/>
    <w:rsid w:val="00F9165B"/>
    <w:rsid w:val="00F91B66"/>
    <w:rsid w:val="00F93606"/>
    <w:rsid w:val="00F9445D"/>
    <w:rsid w:val="00F9472A"/>
    <w:rsid w:val="00F97889"/>
    <w:rsid w:val="00FA04B1"/>
    <w:rsid w:val="00FA0AC0"/>
    <w:rsid w:val="00FA0D06"/>
    <w:rsid w:val="00FA0F24"/>
    <w:rsid w:val="00FA1982"/>
    <w:rsid w:val="00FA19C2"/>
    <w:rsid w:val="00FA1FA0"/>
    <w:rsid w:val="00FA23AF"/>
    <w:rsid w:val="00FA2E0E"/>
    <w:rsid w:val="00FA484D"/>
    <w:rsid w:val="00FA6F69"/>
    <w:rsid w:val="00FA7F9E"/>
    <w:rsid w:val="00FB048D"/>
    <w:rsid w:val="00FB065F"/>
    <w:rsid w:val="00FB0963"/>
    <w:rsid w:val="00FB18F4"/>
    <w:rsid w:val="00FB3569"/>
    <w:rsid w:val="00FB4334"/>
    <w:rsid w:val="00FB7375"/>
    <w:rsid w:val="00FC2518"/>
    <w:rsid w:val="00FC27E9"/>
    <w:rsid w:val="00FC2E1B"/>
    <w:rsid w:val="00FC42D7"/>
    <w:rsid w:val="00FC4A11"/>
    <w:rsid w:val="00FC5514"/>
    <w:rsid w:val="00FC5A9E"/>
    <w:rsid w:val="00FC6A27"/>
    <w:rsid w:val="00FC6D6F"/>
    <w:rsid w:val="00FC76F6"/>
    <w:rsid w:val="00FC7EB1"/>
    <w:rsid w:val="00FD05CA"/>
    <w:rsid w:val="00FD27FA"/>
    <w:rsid w:val="00FD2B4C"/>
    <w:rsid w:val="00FD397F"/>
    <w:rsid w:val="00FD4292"/>
    <w:rsid w:val="00FD5008"/>
    <w:rsid w:val="00FD6F4C"/>
    <w:rsid w:val="00FD7091"/>
    <w:rsid w:val="00FD778D"/>
    <w:rsid w:val="00FE1BC9"/>
    <w:rsid w:val="00FE2A60"/>
    <w:rsid w:val="00FE4DCB"/>
    <w:rsid w:val="00FE53B0"/>
    <w:rsid w:val="00FE670E"/>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094C7E"/>
    <w:rsid w:val="0127F11C"/>
    <w:rsid w:val="0144117D"/>
    <w:rsid w:val="01723506"/>
    <w:rsid w:val="01940749"/>
    <w:rsid w:val="01DA9506"/>
    <w:rsid w:val="01DCF0E0"/>
    <w:rsid w:val="02177440"/>
    <w:rsid w:val="0236C2C0"/>
    <w:rsid w:val="0266E86B"/>
    <w:rsid w:val="027BEC80"/>
    <w:rsid w:val="029B7D7B"/>
    <w:rsid w:val="02A8B731"/>
    <w:rsid w:val="02D09E76"/>
    <w:rsid w:val="030F1F19"/>
    <w:rsid w:val="032BA92C"/>
    <w:rsid w:val="03672A75"/>
    <w:rsid w:val="0396B36F"/>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8C69E59"/>
    <w:rsid w:val="09367DE7"/>
    <w:rsid w:val="096C65D7"/>
    <w:rsid w:val="09752946"/>
    <w:rsid w:val="09A0FF0A"/>
    <w:rsid w:val="09BE687E"/>
    <w:rsid w:val="0A2C850C"/>
    <w:rsid w:val="0A788E4F"/>
    <w:rsid w:val="0AF88E2F"/>
    <w:rsid w:val="0B103690"/>
    <w:rsid w:val="0B1054CB"/>
    <w:rsid w:val="0C391661"/>
    <w:rsid w:val="0CB73C68"/>
    <w:rsid w:val="0CE6C6D2"/>
    <w:rsid w:val="0D172931"/>
    <w:rsid w:val="0D2BFA75"/>
    <w:rsid w:val="0D440878"/>
    <w:rsid w:val="0DB9E3E5"/>
    <w:rsid w:val="0E3F1FAF"/>
    <w:rsid w:val="0E6A0545"/>
    <w:rsid w:val="0EC0BC2F"/>
    <w:rsid w:val="0F3246FB"/>
    <w:rsid w:val="0F5FCC5D"/>
    <w:rsid w:val="0F7AE5FC"/>
    <w:rsid w:val="0F8D0193"/>
    <w:rsid w:val="0FA4A511"/>
    <w:rsid w:val="1030F000"/>
    <w:rsid w:val="10559C24"/>
    <w:rsid w:val="10AF8292"/>
    <w:rsid w:val="10C77BFF"/>
    <w:rsid w:val="10CBA166"/>
    <w:rsid w:val="1139A341"/>
    <w:rsid w:val="114D607C"/>
    <w:rsid w:val="11501B50"/>
    <w:rsid w:val="1158F1C1"/>
    <w:rsid w:val="116124E4"/>
    <w:rsid w:val="117E7BF5"/>
    <w:rsid w:val="11F07066"/>
    <w:rsid w:val="11F8D7CB"/>
    <w:rsid w:val="1247ACD3"/>
    <w:rsid w:val="1299CAFF"/>
    <w:rsid w:val="12D59147"/>
    <w:rsid w:val="1332C8A5"/>
    <w:rsid w:val="13C97C32"/>
    <w:rsid w:val="144B18B2"/>
    <w:rsid w:val="14D09BA9"/>
    <w:rsid w:val="14E9B95B"/>
    <w:rsid w:val="154E6E4F"/>
    <w:rsid w:val="156C709F"/>
    <w:rsid w:val="1573F883"/>
    <w:rsid w:val="159B593F"/>
    <w:rsid w:val="15A86953"/>
    <w:rsid w:val="161AA126"/>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79712"/>
    <w:rsid w:val="1CFDA188"/>
    <w:rsid w:val="1DE8DF7D"/>
    <w:rsid w:val="1DF06761"/>
    <w:rsid w:val="1E81FB5E"/>
    <w:rsid w:val="1E918394"/>
    <w:rsid w:val="1EB61FBE"/>
    <w:rsid w:val="1EDB86DD"/>
    <w:rsid w:val="1EE640CD"/>
    <w:rsid w:val="1F133E4F"/>
    <w:rsid w:val="1F38AAF6"/>
    <w:rsid w:val="1F540A14"/>
    <w:rsid w:val="203C32B6"/>
    <w:rsid w:val="203E8FC7"/>
    <w:rsid w:val="207B20C2"/>
    <w:rsid w:val="208DB2D3"/>
    <w:rsid w:val="20DB2321"/>
    <w:rsid w:val="213597B1"/>
    <w:rsid w:val="2173EF7E"/>
    <w:rsid w:val="21E5E3EF"/>
    <w:rsid w:val="2254A775"/>
    <w:rsid w:val="22BC50A0"/>
    <w:rsid w:val="232472AA"/>
    <w:rsid w:val="2335B85F"/>
    <w:rsid w:val="2335EB30"/>
    <w:rsid w:val="23572F85"/>
    <w:rsid w:val="236D47B3"/>
    <w:rsid w:val="237907D3"/>
    <w:rsid w:val="23BCAC80"/>
    <w:rsid w:val="23BFBAD3"/>
    <w:rsid w:val="23DF278E"/>
    <w:rsid w:val="2429D5E3"/>
    <w:rsid w:val="24BE2FE5"/>
    <w:rsid w:val="250C2A66"/>
    <w:rsid w:val="2516F8EC"/>
    <w:rsid w:val="252924B2"/>
    <w:rsid w:val="25639E99"/>
    <w:rsid w:val="25AE62FB"/>
    <w:rsid w:val="25F08C64"/>
    <w:rsid w:val="261A631F"/>
    <w:rsid w:val="26333270"/>
    <w:rsid w:val="26A179E0"/>
    <w:rsid w:val="26AE16C9"/>
    <w:rsid w:val="272CB665"/>
    <w:rsid w:val="273E812F"/>
    <w:rsid w:val="27CA4ED3"/>
    <w:rsid w:val="27D4A41C"/>
    <w:rsid w:val="27D4B8B2"/>
    <w:rsid w:val="28064657"/>
    <w:rsid w:val="280C3370"/>
    <w:rsid w:val="28ED1264"/>
    <w:rsid w:val="291D19D4"/>
    <w:rsid w:val="293C868F"/>
    <w:rsid w:val="298F0E45"/>
    <w:rsid w:val="29B2029C"/>
    <w:rsid w:val="2AFBC1F9"/>
    <w:rsid w:val="2B7DB66D"/>
    <w:rsid w:val="2BA86064"/>
    <w:rsid w:val="2BB2273D"/>
    <w:rsid w:val="2CB22C93"/>
    <w:rsid w:val="2CE28EF2"/>
    <w:rsid w:val="2D3731EC"/>
    <w:rsid w:val="2D4DBAEA"/>
    <w:rsid w:val="2D53791D"/>
    <w:rsid w:val="2DB757CA"/>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9F9BE0"/>
    <w:rsid w:val="33FA254B"/>
    <w:rsid w:val="348BB948"/>
    <w:rsid w:val="34D5F597"/>
    <w:rsid w:val="351CFC39"/>
    <w:rsid w:val="35251529"/>
    <w:rsid w:val="35286208"/>
    <w:rsid w:val="353FA472"/>
    <w:rsid w:val="35772A0E"/>
    <w:rsid w:val="35A43028"/>
    <w:rsid w:val="35AE58AD"/>
    <w:rsid w:val="35D3FC2F"/>
    <w:rsid w:val="364610DD"/>
    <w:rsid w:val="36484DB1"/>
    <w:rsid w:val="364D96BF"/>
    <w:rsid w:val="3684DEAC"/>
    <w:rsid w:val="369A68DD"/>
    <w:rsid w:val="36B9D72D"/>
    <w:rsid w:val="36F6E7B3"/>
    <w:rsid w:val="3720DB47"/>
    <w:rsid w:val="3738652F"/>
    <w:rsid w:val="373F886C"/>
    <w:rsid w:val="37907C02"/>
    <w:rsid w:val="379D2EB9"/>
    <w:rsid w:val="3864AB4C"/>
    <w:rsid w:val="38A08456"/>
    <w:rsid w:val="38F5364C"/>
    <w:rsid w:val="393FA91A"/>
    <w:rsid w:val="3957844C"/>
    <w:rsid w:val="3957A287"/>
    <w:rsid w:val="3978D72C"/>
    <w:rsid w:val="399F3CF1"/>
    <w:rsid w:val="39D0EC0B"/>
    <w:rsid w:val="3A5B0CBA"/>
    <w:rsid w:val="3A6B3C50"/>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DE4F42"/>
    <w:rsid w:val="45F10F96"/>
    <w:rsid w:val="460E66A7"/>
    <w:rsid w:val="46236731"/>
    <w:rsid w:val="465AD0E4"/>
    <w:rsid w:val="4672FD22"/>
    <w:rsid w:val="4687CE66"/>
    <w:rsid w:val="470ABEA0"/>
    <w:rsid w:val="47313D95"/>
    <w:rsid w:val="4731522B"/>
    <w:rsid w:val="47372111"/>
    <w:rsid w:val="47AA9BAF"/>
    <w:rsid w:val="47B8361B"/>
    <w:rsid w:val="47FD2D0A"/>
    <w:rsid w:val="4822846D"/>
    <w:rsid w:val="485A31FC"/>
    <w:rsid w:val="48716051"/>
    <w:rsid w:val="48844D83"/>
    <w:rsid w:val="4920188E"/>
    <w:rsid w:val="49204B5F"/>
    <w:rsid w:val="49255D79"/>
    <w:rsid w:val="49618003"/>
    <w:rsid w:val="4991EEC4"/>
    <w:rsid w:val="4995988E"/>
    <w:rsid w:val="49B15B7F"/>
    <w:rsid w:val="49B17015"/>
    <w:rsid w:val="4A0B5683"/>
    <w:rsid w:val="4A8F0E1D"/>
    <w:rsid w:val="4ACBB049"/>
    <w:rsid w:val="4ADA4FE6"/>
    <w:rsid w:val="4B6BE3E3"/>
    <w:rsid w:val="4C07D5A0"/>
    <w:rsid w:val="4C122AE9"/>
    <w:rsid w:val="4C33BF82"/>
    <w:rsid w:val="4C364DE1"/>
    <w:rsid w:val="4C64C5FC"/>
    <w:rsid w:val="4CB90FC8"/>
    <w:rsid w:val="4D0EEA76"/>
    <w:rsid w:val="4D1920AB"/>
    <w:rsid w:val="4D255023"/>
    <w:rsid w:val="4D7A5F71"/>
    <w:rsid w:val="4D9F5029"/>
    <w:rsid w:val="4E0D1B47"/>
    <w:rsid w:val="4E4DD800"/>
    <w:rsid w:val="4E53A0F5"/>
    <w:rsid w:val="4E6BC79A"/>
    <w:rsid w:val="4E7D5954"/>
    <w:rsid w:val="4E932C36"/>
    <w:rsid w:val="4EAA4240"/>
    <w:rsid w:val="4F791A6C"/>
    <w:rsid w:val="4FDAA9F5"/>
    <w:rsid w:val="5034A4F9"/>
    <w:rsid w:val="50F60D95"/>
    <w:rsid w:val="50F99924"/>
    <w:rsid w:val="50FCB63E"/>
    <w:rsid w:val="519CBA3D"/>
    <w:rsid w:val="51C1DECF"/>
    <w:rsid w:val="51C4D427"/>
    <w:rsid w:val="520E5DA2"/>
    <w:rsid w:val="52EC6866"/>
    <w:rsid w:val="530A5E2C"/>
    <w:rsid w:val="53BB553F"/>
    <w:rsid w:val="53C8B335"/>
    <w:rsid w:val="53D02683"/>
    <w:rsid w:val="53E83486"/>
    <w:rsid w:val="54155043"/>
    <w:rsid w:val="546EE41D"/>
    <w:rsid w:val="54A69334"/>
    <w:rsid w:val="54D390B6"/>
    <w:rsid w:val="54D54D6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DC9B22"/>
    <w:rsid w:val="57ED5785"/>
    <w:rsid w:val="57F3D7E7"/>
    <w:rsid w:val="5842BCAC"/>
    <w:rsid w:val="58C9B080"/>
    <w:rsid w:val="58E237AC"/>
    <w:rsid w:val="590951B3"/>
    <w:rsid w:val="59760802"/>
    <w:rsid w:val="599806A7"/>
    <w:rsid w:val="599A63B8"/>
    <w:rsid w:val="599FACC6"/>
    <w:rsid w:val="5A5CE397"/>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B1AA6B"/>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83D6A7"/>
    <w:rsid w:val="69C4F4EE"/>
    <w:rsid w:val="69D9E46D"/>
    <w:rsid w:val="6A83539C"/>
    <w:rsid w:val="6A945C6F"/>
    <w:rsid w:val="6AC6A279"/>
    <w:rsid w:val="6AD2F957"/>
    <w:rsid w:val="6AD6D6E5"/>
    <w:rsid w:val="6BBA349A"/>
    <w:rsid w:val="6BC37658"/>
    <w:rsid w:val="6C796364"/>
    <w:rsid w:val="6CA20334"/>
    <w:rsid w:val="6CDAC9DC"/>
    <w:rsid w:val="6D037186"/>
    <w:rsid w:val="6D06986E"/>
    <w:rsid w:val="6D5D6C8A"/>
    <w:rsid w:val="6D6A95D0"/>
    <w:rsid w:val="6D8014C3"/>
    <w:rsid w:val="6D9AF02B"/>
    <w:rsid w:val="6DF4912E"/>
    <w:rsid w:val="6E02CE2B"/>
    <w:rsid w:val="6E0F0EDC"/>
    <w:rsid w:val="6E56CF43"/>
    <w:rsid w:val="6EAA8C57"/>
    <w:rsid w:val="6ECD17FD"/>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AC5B75"/>
    <w:rsid w:val="72B3583D"/>
    <w:rsid w:val="72D2C4F8"/>
    <w:rsid w:val="73254CAE"/>
    <w:rsid w:val="732C2A6F"/>
    <w:rsid w:val="732CBFFC"/>
    <w:rsid w:val="734A4787"/>
    <w:rsid w:val="73503969"/>
    <w:rsid w:val="73911A01"/>
    <w:rsid w:val="73B6E0AB"/>
    <w:rsid w:val="73EE2898"/>
    <w:rsid w:val="742EB407"/>
    <w:rsid w:val="747553EF"/>
    <w:rsid w:val="74923597"/>
    <w:rsid w:val="74EED044"/>
    <w:rsid w:val="75228F19"/>
    <w:rsid w:val="7576DFD0"/>
    <w:rsid w:val="7607E5DB"/>
    <w:rsid w:val="761E95A3"/>
    <w:rsid w:val="766A1BCF"/>
    <w:rsid w:val="76744F65"/>
    <w:rsid w:val="772A4A8A"/>
    <w:rsid w:val="773A68C8"/>
    <w:rsid w:val="775AF02C"/>
    <w:rsid w:val="77E0E29F"/>
    <w:rsid w:val="77E3A526"/>
    <w:rsid w:val="77F135ED"/>
    <w:rsid w:val="7842D083"/>
    <w:rsid w:val="785234BA"/>
    <w:rsid w:val="789148F7"/>
    <w:rsid w:val="78AA4B8D"/>
    <w:rsid w:val="78AE8092"/>
    <w:rsid w:val="78BDA518"/>
    <w:rsid w:val="78C60F07"/>
    <w:rsid w:val="78D113A2"/>
    <w:rsid w:val="78DBDB27"/>
    <w:rsid w:val="7903DA85"/>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B2EAC3"/>
    <w:rsid w:val="7CF18FFC"/>
    <w:rsid w:val="7D58EB03"/>
    <w:rsid w:val="7E93CDE7"/>
    <w:rsid w:val="7EB33AA2"/>
    <w:rsid w:val="7ED346FA"/>
    <w:rsid w:val="7F49C1E6"/>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C811D"/>
  <w15:chartTrackingRefBased/>
  <w15:docId w15:val="{B552177C-91E0-4CC9-8AC9-E7EABB4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4BCE"/>
    <w:pPr>
      <w:spacing w:after="0" w:line="276" w:lineRule="auto"/>
    </w:pPr>
    <w:rPr>
      <w:rFonts w:ascii="Arial" w:hAnsi="Arial" w:eastAsia="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4BCE"/>
    <w:rPr>
      <w:rFonts w:ascii="Arial" w:hAnsi="Arial" w:eastAsia="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styleId="CommentTextChar" w:customStyle="1">
    <w:name w:val="Comment Text Char"/>
    <w:basedOn w:val="DefaultParagraphFont"/>
    <w:link w:val="CommentText"/>
    <w:uiPriority w:val="99"/>
    <w:rsid w:val="00BD4BCE"/>
    <w:rPr>
      <w:rFonts w:ascii="Arial" w:hAnsi="Arial" w:eastAsia="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styleId="paragraph" w:customStyle="1">
    <w:name w:val="paragraph"/>
    <w:basedOn w:val="Normal"/>
    <w:rsid w:val="00BD4BCE"/>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normaltextrun" w:customStyle="1">
    <w:name w:val="normaltextrun"/>
    <w:basedOn w:val="DefaultParagraphFont"/>
    <w:rsid w:val="00BD4BCE"/>
  </w:style>
  <w:style w:type="character" w:styleId="eop" w:customStyle="1">
    <w:name w:val="eop"/>
    <w:basedOn w:val="DefaultParagraphFont"/>
    <w:rsid w:val="00BD4BCE"/>
  </w:style>
  <w:style w:type="character" w:styleId="spellingerror" w:customStyle="1">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styleId="HeaderChar" w:customStyle="1">
    <w:name w:val="Header Char"/>
    <w:basedOn w:val="DefaultParagraphFont"/>
    <w:link w:val="Header"/>
    <w:uiPriority w:val="99"/>
    <w:rsid w:val="00431CA9"/>
    <w:rPr>
      <w:rFonts w:ascii="Arial" w:hAnsi="Arial" w:eastAsia="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styleId="FooterChar" w:customStyle="1">
    <w:name w:val="Footer Char"/>
    <w:basedOn w:val="DefaultParagraphFont"/>
    <w:link w:val="Footer"/>
    <w:uiPriority w:val="99"/>
    <w:rsid w:val="00431CA9"/>
    <w:rPr>
      <w:rFonts w:ascii="Arial" w:hAnsi="Arial" w:eastAsia="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styleId="CommentSubjectChar" w:customStyle="1">
    <w:name w:val="Comment Subject Char"/>
    <w:basedOn w:val="CommentTextChar"/>
    <w:link w:val="CommentSubject"/>
    <w:uiPriority w:val="99"/>
    <w:semiHidden/>
    <w:rsid w:val="007A3FC1"/>
    <w:rPr>
      <w:rFonts w:ascii="Arial" w:hAnsi="Arial" w:eastAsia="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hAnsi="Arial" w:eastAsia="Arial" w:cs="Arial"/>
      <w:lang w:val="en" w:eastAsia="en-GB"/>
    </w:rPr>
  </w:style>
  <w:style w:type="character" w:styleId="Mention1" w:customStyle="1">
    <w:name w:val="Mention1"/>
    <w:basedOn w:val="DefaultParagraphFont"/>
    <w:uiPriority w:val="99"/>
    <w:unhideWhenUsed/>
    <w:rsid w:val="00AA32F8"/>
    <w:rPr>
      <w:color w:val="2B579A"/>
      <w:shd w:val="clear" w:color="auto" w:fill="E6E6E6"/>
    </w:rPr>
  </w:style>
  <w:style w:type="character" w:styleId="UnresolvedMention1" w:customStyle="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styleId="TitleChar" w:customStyle="1">
    <w:name w:val="Title Char"/>
    <w:basedOn w:val="DefaultParagraphFont"/>
    <w:link w:val="Title"/>
    <w:uiPriority w:val="10"/>
    <w:rsid w:val="00806832"/>
    <w:rPr>
      <w:rFonts w:ascii="Arial" w:hAnsi="Arial" w:eastAsia="MS Mincho" w:cs="Arial"/>
      <w:b/>
      <w:bCs/>
      <w:kern w:val="28"/>
      <w:sz w:val="32"/>
      <w:szCs w:val="32"/>
      <w:lang w:eastAsia="ja-JP"/>
    </w:rPr>
  </w:style>
  <w:style w:type="paragraph" w:styleId="Revision">
    <w:name w:val="Revision"/>
    <w:hidden/>
    <w:uiPriority w:val="99"/>
    <w:semiHidden/>
    <w:rsid w:val="002518B4"/>
    <w:pPr>
      <w:spacing w:after="0" w:line="240" w:lineRule="auto"/>
    </w:pPr>
    <w:rPr>
      <w:rFonts w:ascii="Arial" w:hAnsi="Arial" w:eastAsia="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hAnsi="Times New Roman" w:eastAsia="Times New Roman" w:cs="Times New Roman"/>
      <w:sz w:val="24"/>
      <w:szCs w:val="24"/>
    </w:rPr>
  </w:style>
  <w:style w:type="numbering" w:styleId="CurrentList1" w:customStyle="1">
    <w:name w:val="Current List1"/>
    <w:uiPriority w:val="99"/>
    <w:rsid w:val="004E4361"/>
    <w:pPr>
      <w:numPr>
        <w:numId w:val="1"/>
      </w:numPr>
    </w:pPr>
  </w:style>
  <w:style w:type="numbering" w:styleId="CurrentList2" w:customStyle="1">
    <w:name w:val="Current List2"/>
    <w:uiPriority w:val="99"/>
    <w:rsid w:val="00F73FF8"/>
    <w:pPr>
      <w:numPr>
        <w:numId w:val="2"/>
      </w:numPr>
    </w:pPr>
  </w:style>
  <w:style w:type="numbering" w:styleId="CurrentList3" w:customStyle="1">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hAnsi="Arial" w:eastAsia="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styleId="FootnoteTextChar" w:customStyle="1">
    <w:name w:val="Footnote Text Char"/>
    <w:basedOn w:val="DefaultParagraphFont"/>
    <w:link w:val="FootnoteText"/>
    <w:uiPriority w:val="99"/>
    <w:semiHidden/>
    <w:rsid w:val="00D77BD9"/>
    <w:rPr>
      <w:rFonts w:ascii="Arial" w:hAnsi="Arial" w:eastAsia="Arial" w:cs="Arial"/>
      <w:sz w:val="20"/>
      <w:szCs w:val="20"/>
      <w:lang w:val="en" w:eastAsia="en-GB"/>
    </w:rPr>
  </w:style>
  <w:style w:type="character" w:styleId="FootnoteReference">
    <w:name w:val="footnote reference"/>
    <w:aliases w:val=" BVI fnr Char Char,BVI fnr Char Char, BVI fnr Car Car Char Char,BVI fnr Car Char Char, BVI fnr Car Car Car Car Char Char, BVI fnr Car Car Car Car Char Char Char,ftref Char Char Char Char, BVI fnr Car Car Car Car Char Char Char Char"/>
    <w:basedOn w:val="DefaultParagraphFont"/>
    <w:uiPriority w:val="99"/>
    <w:unhideWhenUsed/>
    <w:rsid w:val="00D77BD9"/>
    <w:rPr>
      <w:vertAlign w:val="superscript"/>
    </w:rPr>
  </w:style>
  <w:style w:type="paragraph" w:styleId="Default" w:customStyle="1">
    <w:name w:val="Default"/>
    <w:rsid w:val="00982483"/>
    <w:pPr>
      <w:autoSpaceDE w:val="0"/>
      <w:autoSpaceDN w:val="0"/>
      <w:adjustRightInd w:val="0"/>
      <w:spacing w:after="0" w:line="240" w:lineRule="auto"/>
    </w:pPr>
    <w:rPr>
      <w:rFonts w:ascii="Maiandra GD" w:hAnsi="Maiandra GD" w:cs="Maiandra GD"/>
      <w:color w:val="000000"/>
      <w:sz w:val="24"/>
      <w:szCs w:val="24"/>
    </w:rPr>
  </w:style>
  <w:style w:type="paragraph" w:styleId="BalloonText">
    <w:name w:val="Balloon Text"/>
    <w:basedOn w:val="Normal"/>
    <w:link w:val="BalloonTextChar"/>
    <w:uiPriority w:val="99"/>
    <w:semiHidden/>
    <w:unhideWhenUsed/>
    <w:rsid w:val="005F1573"/>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1573"/>
    <w:rPr>
      <w:rFonts w:ascii="Segoe UI" w:hAnsi="Segoe UI" w:eastAsia="Arial" w:cs="Segoe UI"/>
      <w:sz w:val="18"/>
      <w:szCs w:val="18"/>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7509">
      <w:bodyDiv w:val="1"/>
      <w:marLeft w:val="0"/>
      <w:marRight w:val="0"/>
      <w:marTop w:val="0"/>
      <w:marBottom w:val="0"/>
      <w:divBdr>
        <w:top w:val="none" w:sz="0" w:space="0" w:color="auto"/>
        <w:left w:val="none" w:sz="0" w:space="0" w:color="auto"/>
        <w:bottom w:val="none" w:sz="0" w:space="0" w:color="auto"/>
        <w:right w:val="none" w:sz="0" w:space="0" w:color="auto"/>
      </w:divBdr>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gavi.org/news/document-library/gavi-programme-funding-guideline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ur01.safelinks.protection.outlook.com/?url=https%3A%2F%2Fwww.gavi.org%2Fnews%2Fdocument-library%2Ftca-guidelines&amp;data=05%7C01%7Cegormley%40gavi.org%7C990571ac9fe3410660a008da24644b30%7C1de6d9f30daf4df6b9d65959f16f6118%7C0%7C0%7C637862310415669979%7CUnknown%7CTWFpbGZsb3d8eyJWIjoiMC4wLjAwMDAiLCJQIjoiV2luMzIiLCJBTiI6Ik1haWwiLCJXVCI6Mn0%3D%7C3000%7C%7C%7C&amp;sdata=B6%2B91FguaNH9utCfM9aMPU3flVqbPk%2Bgx%2BlgiutijH0%3D&amp;reserved=0" TargetMode="External" Id="rId14" /><Relationship Type="http://schemas.openxmlformats.org/officeDocument/2006/relationships/theme" Target="theme/theme1.xml" Id="rId22" /><Relationship Type="http://schemas.openxmlformats.org/officeDocument/2006/relationships/glossaryDocument" Target="glossary/document.xml" Id="R9c477bea60f244be" /><Relationship Type="http://schemas.microsoft.com/office/2020/10/relationships/intelligence" Target="intelligence2.xml" Id="R91dedd9cdd3e4a9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c818216-3e8f-43bc-8d58-1688f2f234b7}"/>
      </w:docPartPr>
      <w:docPartBody>
        <w:p w14:paraId="1CD3DB2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GAVI-438364776-957355</_dlc_DocId>
    <_dlc_DocIdUrl xmlns="55894003-98dc-4f3e-8669-85b90bdbcc8c">
      <Url>https://gavinet.sharepoint.com/teams/PAP/srp/_layouts/15/DocIdRedir.aspx?ID=GAVI-438364776-957355</Url>
      <Description>GAVI-438364776-957355</Description>
    </_dlc_DocIdUrl>
    <lcf76f155ced4ddcb4097134ff3c332f xmlns="5c2490db-6e42-4989-a0fb-d6ff54a6a7d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2.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3.xml><?xml version="1.0" encoding="utf-8"?>
<ds:datastoreItem xmlns:ds="http://schemas.openxmlformats.org/officeDocument/2006/customXml" ds:itemID="{BEB4546A-3587-4B17-ACA4-6AA94661FF04}">
  <ds:schemaRefs>
    <ds:schemaRef ds:uri="http://schemas.openxmlformats.org/officeDocument/2006/bibliography"/>
  </ds:schemaRefs>
</ds:datastoreItem>
</file>

<file path=customXml/itemProps4.xml><?xml version="1.0" encoding="utf-8"?>
<ds:datastoreItem xmlns:ds="http://schemas.openxmlformats.org/officeDocument/2006/customXml" ds:itemID="{F03EF6FA-EAC7-4DA3-8391-3BE688261F0F}"/>
</file>

<file path=customXml/itemProps5.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customXml/itemProps6.xml><?xml version="1.0" encoding="utf-8"?>
<ds:datastoreItem xmlns:ds="http://schemas.openxmlformats.org/officeDocument/2006/customXml" ds:itemID="{7128A578-D6CE-4B46-9B14-9ECAFD982273}">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Charlie Whetham</cp:lastModifiedBy>
  <cp:revision>3</cp:revision>
  <dcterms:created xsi:type="dcterms:W3CDTF">2022-05-30T06:26:00Z</dcterms:created>
  <dcterms:modified xsi:type="dcterms:W3CDTF">2022-05-31T10:05:44Z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2abf6e2a-e6be-4caf-bfc2-fa5e0719cf80</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