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c="http://schemas.openxmlformats.org/drawingml/2006/chart" mc:Ignorable="w14 w15 w16se w16cid w16 w16cex w16sdtdh wp14">
  <w:body>
    <w:p w:rsidR="00356C0F" w:rsidP="00FC4A11" w:rsidRDefault="00356C0F" w14:paraId="670938CF" w14:textId="77777777">
      <w:pPr>
        <w:pStyle w:val="Heading1"/>
        <w:spacing w:before="0" w:after="0" w:line="300" w:lineRule="exact"/>
        <w:rPr>
          <w:b/>
          <w:color w:val="70AD47" w:themeColor="accent6"/>
          <w:sz w:val="24"/>
          <w:lang w:val="en-GB"/>
        </w:rPr>
      </w:pPr>
    </w:p>
    <w:p w:rsidRPr="00F362F4" w:rsidR="00F362F4" w:rsidP="00F362F4" w:rsidRDefault="00F362F4" w14:paraId="65EF56B6" w14:textId="77777777">
      <w:pPr>
        <w:rPr>
          <w:lang w:val="en-GB"/>
        </w:rPr>
      </w:pPr>
    </w:p>
    <w:p w:rsidRPr="002C0581" w:rsidR="00EA0E8B" w:rsidP="00FC4A11" w:rsidRDefault="00EA0E8B" w14:paraId="60FEA920" w14:textId="1ECAD990">
      <w:pPr>
        <w:pStyle w:val="Heading1"/>
        <w:spacing w:before="0" w:after="0" w:line="340" w:lineRule="exact"/>
        <w:rPr>
          <w:b/>
          <w:color w:val="70AD47" w:themeColor="accent6"/>
          <w:sz w:val="24"/>
          <w:lang w:val="en-GB"/>
        </w:rPr>
      </w:pPr>
      <w:r w:rsidRPr="002C0581">
        <w:rPr>
          <w:b/>
          <w:color w:val="70AD47" w:themeColor="accent6"/>
          <w:sz w:val="24"/>
          <w:lang w:val="en-GB"/>
        </w:rPr>
        <w:t>TEMPLATE</w:t>
      </w:r>
    </w:p>
    <w:p w:rsidR="000301CD" w:rsidP="00FC4A11" w:rsidRDefault="000301CD" w14:paraId="7C19C58D" w14:textId="6FF7F0CD">
      <w:pPr>
        <w:spacing w:line="300" w:lineRule="exact"/>
        <w:rPr>
          <w:b/>
          <w:color w:val="4472C4" w:themeColor="accent1"/>
          <w:sz w:val="36"/>
          <w:szCs w:val="36"/>
          <w:lang w:val="en-GB"/>
        </w:rPr>
      </w:pPr>
    </w:p>
    <w:p w:rsidRPr="00B177EC" w:rsidR="00B177EC" w:rsidP="00B177EC" w:rsidRDefault="00D5257C" w14:paraId="15DDCE4E" w14:textId="452F7050">
      <w:pPr>
        <w:spacing w:line="300" w:lineRule="exact"/>
        <w:jc w:val="center"/>
        <w:rPr>
          <w:b/>
          <w:color w:val="4472C4" w:themeColor="accent1"/>
          <w:sz w:val="32"/>
          <w:szCs w:val="32"/>
          <w:lang w:val="en-GB"/>
        </w:rPr>
      </w:pPr>
      <w:r w:rsidRPr="00D5257C">
        <w:rPr>
          <w:b/>
          <w:color w:val="4472C4" w:themeColor="accent1"/>
          <w:sz w:val="32"/>
          <w:szCs w:val="32"/>
          <w:lang w:val="en-GB"/>
        </w:rPr>
        <w:t>Kyrgyzstan</w:t>
      </w:r>
    </w:p>
    <w:p w:rsidR="00B177EC" w:rsidP="00FC4A11" w:rsidRDefault="00B177EC" w14:paraId="2F1C3C11" w14:textId="77777777">
      <w:pPr>
        <w:spacing w:line="300" w:lineRule="exact"/>
        <w:rPr>
          <w:b/>
          <w:color w:val="4472C4" w:themeColor="accent1"/>
          <w:sz w:val="36"/>
          <w:szCs w:val="36"/>
          <w:lang w:val="en-GB"/>
        </w:rPr>
      </w:pPr>
    </w:p>
    <w:p w:rsidR="00EA7614" w:rsidP="005B0EDC" w:rsidRDefault="000301CD" w14:paraId="104F20A4" w14:textId="46A3E482">
      <w:pPr>
        <w:spacing w:line="240" w:lineRule="auto"/>
        <w:jc w:val="center"/>
        <w:rPr>
          <w:b/>
          <w:color w:val="4471C4"/>
          <w:sz w:val="32"/>
          <w:szCs w:val="32"/>
          <w:lang w:val="en-GB"/>
        </w:rPr>
      </w:pPr>
      <w:r w:rsidRPr="4E4DD800">
        <w:rPr>
          <w:b/>
          <w:color w:val="4471C4"/>
          <w:sz w:val="32"/>
          <w:szCs w:val="32"/>
          <w:lang w:val="en-GB"/>
        </w:rPr>
        <w:t>PEF Targeted Country Assistance (TCA) Narrative</w:t>
      </w:r>
    </w:p>
    <w:p w:rsidRPr="000301CD" w:rsidR="00EA7614" w:rsidP="005B0EDC" w:rsidRDefault="000301CD" w14:paraId="299FEA98" w14:textId="14379F3C">
      <w:pPr>
        <w:spacing w:line="240" w:lineRule="auto"/>
        <w:jc w:val="center"/>
        <w:rPr>
          <w:bCs/>
          <w:color w:val="808080" w:themeColor="background1" w:themeShade="80"/>
          <w:sz w:val="32"/>
          <w:szCs w:val="32"/>
          <w:lang w:val="en-GB"/>
        </w:rPr>
      </w:pPr>
      <w:r w:rsidRPr="4E4DD800">
        <w:rPr>
          <w:b/>
          <w:color w:val="4471C4"/>
          <w:sz w:val="32"/>
          <w:szCs w:val="32"/>
          <w:lang w:val="en-GB"/>
        </w:rPr>
        <w:t>for 2022-</w:t>
      </w:r>
      <w:r w:rsidRPr="4E4DD800">
        <w:rPr>
          <w:b/>
          <w:bCs/>
          <w:color w:val="4471C4"/>
          <w:sz w:val="32"/>
          <w:szCs w:val="32"/>
          <w:lang w:val="en-GB"/>
        </w:rPr>
        <w:t>2025 Multi-</w:t>
      </w:r>
      <w:r w:rsidRPr="4E4DD800">
        <w:rPr>
          <w:b/>
          <w:bCs/>
          <w:color w:val="4472C4" w:themeColor="accent1"/>
          <w:sz w:val="32"/>
          <w:szCs w:val="32"/>
          <w:lang w:val="en-GB"/>
        </w:rPr>
        <w:t>Year Planning</w:t>
      </w:r>
    </w:p>
    <w:p w:rsidR="000301CD" w:rsidP="00FC4A11" w:rsidRDefault="000301CD" w14:paraId="505C9912" w14:textId="77777777">
      <w:pPr>
        <w:spacing w:line="300" w:lineRule="exact"/>
        <w:rPr>
          <w:bCs/>
          <w:color w:val="808080" w:themeColor="background1" w:themeShade="80"/>
          <w:lang w:val="en-GB"/>
        </w:rPr>
      </w:pPr>
    </w:p>
    <w:p w:rsidR="000D0267" w:rsidP="00FC4A11" w:rsidRDefault="00322FAC" w14:paraId="0E23D244" w14:textId="1D5F69EF">
      <w:pPr>
        <w:spacing w:line="300" w:lineRule="exact"/>
        <w:rPr>
          <w:bCs/>
          <w:color w:val="808080" w:themeColor="background1" w:themeShade="80"/>
        </w:rPr>
      </w:pPr>
      <w:r w:rsidRPr="00072D93">
        <w:rPr>
          <w:bCs/>
          <w:color w:val="808080" w:themeColor="background1" w:themeShade="80"/>
          <w:lang w:val="en-GB"/>
        </w:rPr>
        <w:t>Use this template to create a narrative that contextualise</w:t>
      </w:r>
      <w:r w:rsidR="008447E6">
        <w:rPr>
          <w:bCs/>
          <w:color w:val="808080" w:themeColor="background1" w:themeShade="80"/>
          <w:lang w:val="en-GB"/>
        </w:rPr>
        <w:t>s</w:t>
      </w:r>
      <w:r w:rsidRPr="00072D93">
        <w:rPr>
          <w:bCs/>
          <w:color w:val="808080" w:themeColor="background1" w:themeShade="80"/>
          <w:lang w:val="en-GB"/>
        </w:rPr>
        <w:t xml:space="preserve"> your </w:t>
      </w:r>
      <w:r w:rsidRPr="00072D93" w:rsidR="00E14236">
        <w:rPr>
          <w:bCs/>
          <w:color w:val="808080" w:themeColor="background1" w:themeShade="80"/>
          <w:lang w:val="en-GB"/>
        </w:rPr>
        <w:t>TCA plan</w:t>
      </w:r>
      <w:r w:rsidR="00EF52EE">
        <w:rPr>
          <w:bCs/>
          <w:color w:val="808080" w:themeColor="background1" w:themeShade="80"/>
          <w:lang w:val="en-GB"/>
        </w:rPr>
        <w:t xml:space="preserve"> for the planned</w:t>
      </w:r>
      <w:r w:rsidR="009731D8">
        <w:rPr>
          <w:bCs/>
          <w:color w:val="808080" w:themeColor="background1" w:themeShade="80"/>
          <w:lang w:val="en-GB"/>
        </w:rPr>
        <w:t xml:space="preserve"> duration</w:t>
      </w:r>
      <w:r w:rsidRPr="00072D93">
        <w:rPr>
          <w:bCs/>
          <w:color w:val="808080" w:themeColor="background1" w:themeShade="80"/>
          <w:lang w:val="en-GB"/>
        </w:rPr>
        <w:t xml:space="preserve"> and how the support </w:t>
      </w:r>
      <w:r w:rsidR="007454E0">
        <w:rPr>
          <w:bCs/>
          <w:color w:val="808080" w:themeColor="background1" w:themeShade="80"/>
          <w:lang w:val="en-GB"/>
        </w:rPr>
        <w:t>that</w:t>
      </w:r>
      <w:r w:rsidRPr="00072D93">
        <w:rPr>
          <w:bCs/>
          <w:color w:val="808080" w:themeColor="background1" w:themeShade="80"/>
          <w:lang w:val="en-GB"/>
        </w:rPr>
        <w:t xml:space="preserve"> you are requesting from Gavi will help you </w:t>
      </w:r>
      <w:r w:rsidR="008E6274">
        <w:rPr>
          <w:bCs/>
          <w:color w:val="808080" w:themeColor="background1" w:themeShade="80"/>
          <w:lang w:val="en-GB"/>
        </w:rPr>
        <w:t>reach your immuni</w:t>
      </w:r>
      <w:r w:rsidR="00FF2C35">
        <w:rPr>
          <w:bCs/>
          <w:color w:val="808080" w:themeColor="background1" w:themeShade="80"/>
          <w:lang w:val="en-GB"/>
        </w:rPr>
        <w:t>s</w:t>
      </w:r>
      <w:r w:rsidR="008E6274">
        <w:rPr>
          <w:bCs/>
          <w:color w:val="808080" w:themeColor="background1" w:themeShade="80"/>
          <w:lang w:val="en-GB"/>
        </w:rPr>
        <w:t xml:space="preserve">ation goals. </w:t>
      </w:r>
      <w:r w:rsidRPr="00072D93">
        <w:rPr>
          <w:bCs/>
          <w:color w:val="808080" w:themeColor="background1" w:themeShade="80"/>
        </w:rPr>
        <w:t xml:space="preserve"> </w:t>
      </w:r>
    </w:p>
    <w:p w:rsidRPr="00072D93" w:rsidR="00056DDF" w:rsidP="00FC4A11" w:rsidRDefault="00056DDF" w14:paraId="6F6CC660" w14:textId="77777777">
      <w:pPr>
        <w:spacing w:line="300" w:lineRule="exact"/>
        <w:rPr>
          <w:bCs/>
          <w:color w:val="808080" w:themeColor="background1" w:themeShade="80"/>
        </w:rPr>
      </w:pPr>
    </w:p>
    <w:p w:rsidRPr="0065351E" w:rsidR="001C1D82" w:rsidP="00056DDF" w:rsidRDefault="00056DDF" w14:paraId="1AB11C18" w14:textId="238BD1D1">
      <w:pPr>
        <w:spacing w:line="300" w:lineRule="exact"/>
        <w:ind w:left="426"/>
        <w:rPr>
          <w:i/>
          <w:color w:val="808080" w:themeColor="background1" w:themeShade="80"/>
          <w:lang w:val="en-GB"/>
        </w:rPr>
      </w:pPr>
      <w:r w:rsidRPr="0065351E">
        <w:rPr>
          <w:i/>
          <w:color w:val="808080" w:themeColor="background1" w:themeShade="80"/>
          <w:lang w:val="en-GB"/>
        </w:rPr>
        <w:t>(Populated by Gavi)</w:t>
      </w:r>
    </w:p>
    <w:tbl>
      <w:tblPr>
        <w:tblStyle w:val="TableGrid"/>
        <w:tblW w:w="9067" w:type="dxa"/>
        <w:shd w:val="clear" w:color="auto" w:fill="FFFFFF" w:themeFill="background1"/>
        <w:tblLook w:val="04A0" w:firstRow="1" w:lastRow="0" w:firstColumn="1" w:lastColumn="0" w:noHBand="0" w:noVBand="1"/>
      </w:tblPr>
      <w:tblGrid>
        <w:gridCol w:w="2185"/>
        <w:gridCol w:w="787"/>
        <w:gridCol w:w="4961"/>
        <w:gridCol w:w="1134"/>
      </w:tblGrid>
      <w:tr w:rsidR="00FB048D" w:rsidTr="004C6B53" w14:paraId="70C3917F" w14:textId="6D7D2D4E">
        <w:tc>
          <w:tcPr>
            <w:tcW w:w="2185" w:type="dxa"/>
            <w:shd w:val="clear" w:color="auto" w:fill="DEEAF6" w:themeFill="accent5" w:themeFillTint="33"/>
          </w:tcPr>
          <w:p w:rsidRPr="00372D1F" w:rsidR="00FB048D" w:rsidP="00FC4A11" w:rsidRDefault="00FB048D" w14:paraId="7BD2C001" w14:textId="20F00943">
            <w:pPr>
              <w:spacing w:line="300" w:lineRule="exact"/>
              <w:rPr>
                <w:b/>
                <w:lang w:val="en-GB"/>
              </w:rPr>
            </w:pPr>
            <w:r w:rsidRPr="00372D1F">
              <w:rPr>
                <w:b/>
                <w:lang w:val="en-GB"/>
              </w:rPr>
              <w:t>Total Envelope</w:t>
            </w:r>
          </w:p>
        </w:tc>
        <w:tc>
          <w:tcPr>
            <w:tcW w:w="5748" w:type="dxa"/>
            <w:gridSpan w:val="2"/>
            <w:shd w:val="clear" w:color="auto" w:fill="DEEAF6" w:themeFill="accent5" w:themeFillTint="33"/>
          </w:tcPr>
          <w:p w:rsidRPr="00372D1F" w:rsidR="00FB048D" w:rsidP="00FC4A11" w:rsidRDefault="00FB048D" w14:paraId="5F1CD927" w14:textId="6426DCE3">
            <w:pPr>
              <w:spacing w:line="300" w:lineRule="exact"/>
              <w:rPr>
                <w:b/>
                <w:lang w:val="en-GB"/>
              </w:rPr>
            </w:pPr>
            <w:r w:rsidRPr="00372D1F">
              <w:rPr>
                <w:b/>
                <w:lang w:val="en-GB"/>
              </w:rPr>
              <w:t>Indicative allocation per 2022-2025</w:t>
            </w:r>
          </w:p>
        </w:tc>
        <w:tc>
          <w:tcPr>
            <w:tcW w:w="1134" w:type="dxa"/>
            <w:shd w:val="clear" w:color="auto" w:fill="DEEAF6" w:themeFill="accent5" w:themeFillTint="33"/>
          </w:tcPr>
          <w:p w:rsidRPr="00372D1F" w:rsidR="00FB048D" w:rsidP="00FC4A11" w:rsidRDefault="00FB048D" w14:paraId="7640021E" w14:textId="0969877A">
            <w:pPr>
              <w:spacing w:line="300" w:lineRule="exact"/>
              <w:rPr>
                <w:b/>
                <w:lang w:val="en-GB"/>
              </w:rPr>
            </w:pPr>
            <w:r>
              <w:rPr>
                <w:b/>
                <w:lang w:val="en-GB"/>
              </w:rPr>
              <w:t>%</w:t>
            </w:r>
          </w:p>
        </w:tc>
      </w:tr>
      <w:tr w:rsidR="00AD5867" w:rsidTr="005B0EDC" w14:paraId="150C4E2A" w14:textId="117ACA42">
        <w:tc>
          <w:tcPr>
            <w:tcW w:w="2185" w:type="dxa"/>
            <w:vMerge w:val="restart"/>
            <w:shd w:val="clear" w:color="auto" w:fill="auto"/>
          </w:tcPr>
          <w:p w:rsidRPr="005B0EDC" w:rsidR="00AD5867" w:rsidP="00AD5867" w:rsidRDefault="00AD5867" w14:paraId="731ED098" w14:textId="477C16D9">
            <w:pPr>
              <w:spacing w:line="300" w:lineRule="exact"/>
              <w:rPr>
                <w:bCs/>
                <w:color w:val="808080" w:themeColor="background1" w:themeShade="80"/>
                <w:lang w:val="en-GB"/>
              </w:rPr>
            </w:pPr>
            <w:r w:rsidRPr="005B0EDC">
              <w:rPr>
                <w:color w:val="808080" w:themeColor="background1" w:themeShade="80"/>
                <w:lang w:val="en-GB"/>
              </w:rPr>
              <w:t>$2,986,199</w:t>
            </w:r>
          </w:p>
        </w:tc>
        <w:tc>
          <w:tcPr>
            <w:tcW w:w="787" w:type="dxa"/>
            <w:shd w:val="clear" w:color="auto" w:fill="auto"/>
          </w:tcPr>
          <w:p w:rsidRPr="005B0EDC" w:rsidR="00AD5867" w:rsidP="00AD5867" w:rsidRDefault="00AD5867" w14:paraId="7CFDAA42" w14:textId="1406FB5F">
            <w:pPr>
              <w:spacing w:line="300" w:lineRule="exact"/>
              <w:rPr>
                <w:b/>
                <w:lang w:val="en-GB"/>
              </w:rPr>
            </w:pPr>
            <w:r w:rsidRPr="005B0EDC">
              <w:rPr>
                <w:b/>
                <w:lang w:val="en-GB"/>
              </w:rPr>
              <w:t>2022</w:t>
            </w:r>
          </w:p>
        </w:tc>
        <w:tc>
          <w:tcPr>
            <w:tcW w:w="4961" w:type="dxa"/>
            <w:shd w:val="clear" w:color="auto" w:fill="auto"/>
          </w:tcPr>
          <w:p w:rsidRPr="00CC7CD3" w:rsidR="00AD5867" w:rsidP="00AD5867" w:rsidRDefault="00AD5867" w14:paraId="00353A5A" w14:textId="2EE524FC">
            <w:pPr>
              <w:spacing w:line="300" w:lineRule="exact"/>
              <w:rPr>
                <w:color w:val="808080" w:themeColor="background1" w:themeShade="80"/>
                <w:lang w:val="en-GB"/>
              </w:rPr>
            </w:pPr>
            <w:r w:rsidRPr="00CC7CD3">
              <w:rPr>
                <w:color w:val="808080" w:themeColor="background1" w:themeShade="80"/>
                <w:lang w:val="en-GB"/>
              </w:rPr>
              <w:t>$</w:t>
            </w:r>
            <w:r w:rsidRPr="00CC7CD3">
              <w:rPr>
                <w:color w:val="808080" w:themeColor="background1" w:themeShade="80"/>
                <w:lang w:val="ru-RU"/>
              </w:rPr>
              <w:t>767</w:t>
            </w:r>
            <w:r w:rsidRPr="00CC7CD3">
              <w:rPr>
                <w:color w:val="808080" w:themeColor="background1" w:themeShade="80"/>
                <w:lang w:val="en-GB"/>
              </w:rPr>
              <w:t>,</w:t>
            </w:r>
            <w:r w:rsidRPr="00CC7CD3">
              <w:rPr>
                <w:color w:val="808080" w:themeColor="background1" w:themeShade="80"/>
                <w:lang w:val="ru-RU"/>
              </w:rPr>
              <w:t>000</w:t>
            </w:r>
          </w:p>
        </w:tc>
        <w:tc>
          <w:tcPr>
            <w:tcW w:w="1134" w:type="dxa"/>
            <w:shd w:val="clear" w:color="auto" w:fill="E2EFD9" w:themeFill="accent6" w:themeFillTint="33"/>
          </w:tcPr>
          <w:p w:rsidRPr="00B2066D" w:rsidR="00AD5867" w:rsidP="00AD5867" w:rsidRDefault="00AD5867" w14:paraId="2EADFDF3" w14:textId="5502C5E9">
            <w:pPr>
              <w:spacing w:line="300" w:lineRule="exact"/>
              <w:rPr>
                <w:bCs/>
                <w:color w:val="808080" w:themeColor="background1" w:themeShade="80"/>
                <w:lang w:val="en-GB"/>
              </w:rPr>
            </w:pPr>
            <w:r w:rsidRPr="00B2066D">
              <w:rPr>
                <w:bCs/>
                <w:color w:val="808080" w:themeColor="background1" w:themeShade="80"/>
                <w:lang w:val="ru-RU"/>
              </w:rPr>
              <w:t>25,7</w:t>
            </w:r>
            <w:r w:rsidRPr="00B2066D">
              <w:rPr>
                <w:bCs/>
                <w:color w:val="808080" w:themeColor="background1" w:themeShade="80"/>
                <w:lang w:val="en-GB"/>
              </w:rPr>
              <w:t>%</w:t>
            </w:r>
          </w:p>
        </w:tc>
      </w:tr>
      <w:tr w:rsidR="00AD5867" w:rsidTr="005B0EDC" w14:paraId="3A3CDB53" w14:textId="7AF48707">
        <w:tc>
          <w:tcPr>
            <w:tcW w:w="2185" w:type="dxa"/>
            <w:vMerge/>
            <w:shd w:val="clear" w:color="auto" w:fill="auto"/>
          </w:tcPr>
          <w:p w:rsidRPr="005B0EDC" w:rsidR="00AD5867" w:rsidP="00AD5867" w:rsidRDefault="00AD5867" w14:paraId="0CA26921" w14:textId="77777777">
            <w:pPr>
              <w:spacing w:line="300" w:lineRule="exact"/>
              <w:rPr>
                <w:bCs/>
                <w:color w:val="808080" w:themeColor="background1" w:themeShade="80"/>
                <w:lang w:val="en-GB"/>
              </w:rPr>
            </w:pPr>
          </w:p>
        </w:tc>
        <w:tc>
          <w:tcPr>
            <w:tcW w:w="787" w:type="dxa"/>
            <w:shd w:val="clear" w:color="auto" w:fill="auto"/>
          </w:tcPr>
          <w:p w:rsidRPr="005B0EDC" w:rsidR="00AD5867" w:rsidP="00AD5867" w:rsidRDefault="00AD5867" w14:paraId="5CF45603" w14:textId="2F76FA56">
            <w:pPr>
              <w:spacing w:line="300" w:lineRule="exact"/>
              <w:rPr>
                <w:b/>
                <w:lang w:val="en-GB"/>
              </w:rPr>
            </w:pPr>
            <w:r w:rsidRPr="005B0EDC">
              <w:rPr>
                <w:b/>
                <w:lang w:val="en-GB"/>
              </w:rPr>
              <w:t>2023</w:t>
            </w:r>
          </w:p>
        </w:tc>
        <w:tc>
          <w:tcPr>
            <w:tcW w:w="4961" w:type="dxa"/>
            <w:shd w:val="clear" w:color="auto" w:fill="auto"/>
          </w:tcPr>
          <w:p w:rsidRPr="00CC7CD3" w:rsidR="00AD5867" w:rsidP="00AD5867" w:rsidRDefault="00AD5867" w14:paraId="4DA7D255" w14:textId="666F5242">
            <w:pPr>
              <w:spacing w:line="300" w:lineRule="exact"/>
              <w:rPr>
                <w:color w:val="808080" w:themeColor="background1" w:themeShade="80"/>
                <w:lang w:val="en-GB"/>
              </w:rPr>
            </w:pPr>
            <w:r w:rsidRPr="00CC7CD3">
              <w:rPr>
                <w:color w:val="808080" w:themeColor="background1" w:themeShade="80"/>
                <w:lang w:val="en-GB"/>
              </w:rPr>
              <w:t>$</w:t>
            </w:r>
            <w:r w:rsidRPr="00CC7CD3">
              <w:rPr>
                <w:color w:val="808080" w:themeColor="background1" w:themeShade="80"/>
                <w:lang w:val="ru-RU"/>
              </w:rPr>
              <w:t>885,000</w:t>
            </w:r>
          </w:p>
        </w:tc>
        <w:tc>
          <w:tcPr>
            <w:tcW w:w="1134" w:type="dxa"/>
            <w:shd w:val="clear" w:color="auto" w:fill="E2EFD9" w:themeFill="accent6" w:themeFillTint="33"/>
          </w:tcPr>
          <w:p w:rsidRPr="00B2066D" w:rsidR="00AD5867" w:rsidP="00AD5867" w:rsidRDefault="00AD5867" w14:paraId="11ED1C8B" w14:textId="230B6DF0">
            <w:pPr>
              <w:spacing w:line="300" w:lineRule="exact"/>
              <w:rPr>
                <w:bCs/>
                <w:color w:val="808080" w:themeColor="background1" w:themeShade="80"/>
                <w:lang w:val="en-GB"/>
              </w:rPr>
            </w:pPr>
            <w:r w:rsidRPr="00B2066D">
              <w:rPr>
                <w:bCs/>
                <w:color w:val="808080" w:themeColor="background1" w:themeShade="80"/>
                <w:lang w:val="ru-RU"/>
              </w:rPr>
              <w:t>29,6</w:t>
            </w:r>
            <w:r w:rsidRPr="00B2066D">
              <w:rPr>
                <w:bCs/>
                <w:color w:val="808080" w:themeColor="background1" w:themeShade="80"/>
                <w:lang w:val="en-GB"/>
              </w:rPr>
              <w:t>%</w:t>
            </w:r>
          </w:p>
        </w:tc>
      </w:tr>
      <w:tr w:rsidR="00AD5867" w:rsidTr="005B0EDC" w14:paraId="2B41AF6E" w14:textId="32236133">
        <w:tc>
          <w:tcPr>
            <w:tcW w:w="2185" w:type="dxa"/>
            <w:vMerge/>
            <w:shd w:val="clear" w:color="auto" w:fill="auto"/>
          </w:tcPr>
          <w:p w:rsidRPr="005B0EDC" w:rsidR="00AD5867" w:rsidP="00AD5867" w:rsidRDefault="00AD5867" w14:paraId="738943EB" w14:textId="77777777">
            <w:pPr>
              <w:spacing w:line="300" w:lineRule="exact"/>
              <w:rPr>
                <w:bCs/>
                <w:color w:val="808080" w:themeColor="background1" w:themeShade="80"/>
                <w:lang w:val="en-GB"/>
              </w:rPr>
            </w:pPr>
          </w:p>
        </w:tc>
        <w:tc>
          <w:tcPr>
            <w:tcW w:w="787" w:type="dxa"/>
            <w:shd w:val="clear" w:color="auto" w:fill="auto"/>
          </w:tcPr>
          <w:p w:rsidRPr="005B0EDC" w:rsidR="00AD5867" w:rsidP="00AD5867" w:rsidRDefault="00AD5867" w14:paraId="28C528DF" w14:textId="4AE7C869">
            <w:pPr>
              <w:spacing w:line="300" w:lineRule="exact"/>
              <w:rPr>
                <w:b/>
                <w:lang w:val="en-GB"/>
              </w:rPr>
            </w:pPr>
            <w:r w:rsidRPr="005B0EDC">
              <w:rPr>
                <w:b/>
                <w:lang w:val="en-GB"/>
              </w:rPr>
              <w:t>2024</w:t>
            </w:r>
          </w:p>
        </w:tc>
        <w:tc>
          <w:tcPr>
            <w:tcW w:w="4961" w:type="dxa"/>
            <w:shd w:val="clear" w:color="auto" w:fill="auto"/>
          </w:tcPr>
          <w:p w:rsidRPr="00CC7CD3" w:rsidR="00AD5867" w:rsidP="00AD5867" w:rsidRDefault="00AD5867" w14:paraId="73FF7BEA" w14:textId="08854E4F">
            <w:pPr>
              <w:spacing w:line="300" w:lineRule="exact"/>
              <w:rPr>
                <w:color w:val="808080" w:themeColor="background1" w:themeShade="80"/>
                <w:lang w:val="en-GB"/>
              </w:rPr>
            </w:pPr>
            <w:r w:rsidRPr="00CC7CD3">
              <w:rPr>
                <w:color w:val="808080" w:themeColor="background1" w:themeShade="80"/>
                <w:lang w:val="en-GB"/>
              </w:rPr>
              <w:t>$</w:t>
            </w:r>
            <w:r w:rsidRPr="00CC7CD3">
              <w:rPr>
                <w:color w:val="808080" w:themeColor="background1" w:themeShade="80"/>
                <w:lang w:val="ru-RU"/>
              </w:rPr>
              <w:t>748</w:t>
            </w:r>
            <w:r w:rsidRPr="00CC7CD3">
              <w:rPr>
                <w:color w:val="808080" w:themeColor="background1" w:themeShade="80"/>
                <w:lang w:val="en-GB"/>
              </w:rPr>
              <w:t>,</w:t>
            </w:r>
            <w:r w:rsidRPr="00CC7CD3">
              <w:rPr>
                <w:color w:val="808080" w:themeColor="background1" w:themeShade="80"/>
                <w:lang w:val="ru-RU"/>
              </w:rPr>
              <w:t>000</w:t>
            </w:r>
          </w:p>
        </w:tc>
        <w:tc>
          <w:tcPr>
            <w:tcW w:w="1134" w:type="dxa"/>
            <w:shd w:val="clear" w:color="auto" w:fill="E2EFD9" w:themeFill="accent6" w:themeFillTint="33"/>
          </w:tcPr>
          <w:p w:rsidRPr="00B2066D" w:rsidR="00AD5867" w:rsidP="00AD5867" w:rsidRDefault="00AD5867" w14:paraId="1254B287" w14:textId="624FEBD3">
            <w:pPr>
              <w:spacing w:line="300" w:lineRule="exact"/>
              <w:rPr>
                <w:bCs/>
                <w:color w:val="808080" w:themeColor="background1" w:themeShade="80"/>
                <w:lang w:val="en-GB"/>
              </w:rPr>
            </w:pPr>
            <w:r w:rsidRPr="00B2066D">
              <w:rPr>
                <w:bCs/>
                <w:color w:val="808080" w:themeColor="background1" w:themeShade="80"/>
                <w:lang w:val="ru-RU"/>
              </w:rPr>
              <w:t>25</w:t>
            </w:r>
            <w:r w:rsidRPr="00B2066D">
              <w:rPr>
                <w:bCs/>
                <w:color w:val="808080" w:themeColor="background1" w:themeShade="80"/>
                <w:lang w:val="en-GB"/>
              </w:rPr>
              <w:t>%</w:t>
            </w:r>
          </w:p>
        </w:tc>
      </w:tr>
      <w:tr w:rsidR="00AD5867" w:rsidTr="005B0EDC" w14:paraId="73C20E40" w14:textId="35835C83">
        <w:tc>
          <w:tcPr>
            <w:tcW w:w="2185" w:type="dxa"/>
            <w:vMerge/>
            <w:shd w:val="clear" w:color="auto" w:fill="auto"/>
          </w:tcPr>
          <w:p w:rsidRPr="005B0EDC" w:rsidR="00AD5867" w:rsidP="00AD5867" w:rsidRDefault="00AD5867" w14:paraId="18EF2475" w14:textId="77777777">
            <w:pPr>
              <w:spacing w:line="300" w:lineRule="exact"/>
              <w:rPr>
                <w:bCs/>
                <w:color w:val="808080" w:themeColor="background1" w:themeShade="80"/>
                <w:lang w:val="en-GB"/>
              </w:rPr>
            </w:pPr>
          </w:p>
        </w:tc>
        <w:tc>
          <w:tcPr>
            <w:tcW w:w="787" w:type="dxa"/>
            <w:shd w:val="clear" w:color="auto" w:fill="auto"/>
          </w:tcPr>
          <w:p w:rsidRPr="005B0EDC" w:rsidR="00AD5867" w:rsidP="00AD5867" w:rsidRDefault="00AD5867" w14:paraId="0B5FF449" w14:textId="369B0CA3">
            <w:pPr>
              <w:spacing w:line="300" w:lineRule="exact"/>
              <w:rPr>
                <w:b/>
                <w:lang w:val="en-GB"/>
              </w:rPr>
            </w:pPr>
            <w:r w:rsidRPr="005B0EDC">
              <w:rPr>
                <w:b/>
                <w:lang w:val="en-GB"/>
              </w:rPr>
              <w:t>2025</w:t>
            </w:r>
          </w:p>
        </w:tc>
        <w:tc>
          <w:tcPr>
            <w:tcW w:w="4961" w:type="dxa"/>
            <w:shd w:val="clear" w:color="auto" w:fill="auto"/>
          </w:tcPr>
          <w:p w:rsidRPr="00CC7CD3" w:rsidR="00AD5867" w:rsidP="00AD5867" w:rsidRDefault="00AD5867" w14:paraId="29566DE1" w14:textId="2F16DACA">
            <w:pPr>
              <w:spacing w:line="300" w:lineRule="exact"/>
              <w:rPr>
                <w:color w:val="808080" w:themeColor="background1" w:themeShade="80"/>
                <w:lang w:val="en-GB"/>
              </w:rPr>
            </w:pPr>
            <w:r w:rsidRPr="00CC7CD3">
              <w:rPr>
                <w:color w:val="808080" w:themeColor="background1" w:themeShade="80"/>
                <w:lang w:val="en-GB"/>
              </w:rPr>
              <w:t>$</w:t>
            </w:r>
            <w:r w:rsidRPr="00CC7CD3">
              <w:rPr>
                <w:color w:val="808080" w:themeColor="background1" w:themeShade="80"/>
                <w:lang w:val="ru-RU"/>
              </w:rPr>
              <w:t>586,199</w:t>
            </w:r>
          </w:p>
        </w:tc>
        <w:tc>
          <w:tcPr>
            <w:tcW w:w="1134" w:type="dxa"/>
            <w:shd w:val="clear" w:color="auto" w:fill="E2EFD9" w:themeFill="accent6" w:themeFillTint="33"/>
          </w:tcPr>
          <w:p w:rsidRPr="00B2066D" w:rsidR="00AD5867" w:rsidP="00AD5867" w:rsidRDefault="00AD5867" w14:paraId="0B80D2E7" w14:textId="5CF7F7FE">
            <w:pPr>
              <w:spacing w:line="300" w:lineRule="exact"/>
              <w:rPr>
                <w:bCs/>
                <w:color w:val="808080" w:themeColor="background1" w:themeShade="80"/>
                <w:lang w:val="en-GB"/>
              </w:rPr>
            </w:pPr>
            <w:r w:rsidRPr="00B2066D">
              <w:rPr>
                <w:bCs/>
                <w:color w:val="808080" w:themeColor="background1" w:themeShade="80"/>
                <w:lang w:val="ru-RU"/>
              </w:rPr>
              <w:t>19,7</w:t>
            </w:r>
            <w:r w:rsidRPr="00B2066D">
              <w:rPr>
                <w:bCs/>
                <w:color w:val="808080" w:themeColor="background1" w:themeShade="80"/>
                <w:lang w:val="en-GB"/>
              </w:rPr>
              <w:t>%</w:t>
            </w:r>
          </w:p>
        </w:tc>
      </w:tr>
    </w:tbl>
    <w:p w:rsidR="00A47FCF" w:rsidP="00FC4A11" w:rsidRDefault="00A47FCF" w14:paraId="1F6083B3" w14:textId="77777777">
      <w:pPr>
        <w:spacing w:line="300" w:lineRule="exact"/>
        <w:rPr>
          <w:bCs/>
          <w:color w:val="808080" w:themeColor="background1" w:themeShade="80"/>
          <w:lang w:val="en-GB"/>
        </w:rPr>
      </w:pPr>
    </w:p>
    <w:p w:rsidR="00650EB6" w:rsidP="00CE1F57" w:rsidRDefault="00FB7375" w14:paraId="030CF340" w14:textId="34A3E30E">
      <w:pPr>
        <w:pStyle w:val="ListParagraph"/>
        <w:numPr>
          <w:ilvl w:val="0"/>
          <w:numId w:val="4"/>
        </w:numPr>
        <w:spacing w:line="300" w:lineRule="exact"/>
        <w:ind w:left="426"/>
        <w:rPr>
          <w:b/>
          <w:color w:val="84C650"/>
          <w:sz w:val="26"/>
          <w:szCs w:val="26"/>
          <w:lang w:val="en-GB"/>
        </w:rPr>
      </w:pPr>
      <w:r>
        <w:rPr>
          <w:b/>
          <w:color w:val="70AD47" w:themeColor="accent6"/>
          <w:sz w:val="26"/>
          <w:szCs w:val="26"/>
          <w:lang w:val="en-GB"/>
        </w:rPr>
        <w:t>K</w:t>
      </w:r>
      <w:r w:rsidRPr="00FB7375">
        <w:rPr>
          <w:b/>
          <w:color w:val="70AD47" w:themeColor="accent6"/>
          <w:sz w:val="26"/>
          <w:szCs w:val="26"/>
          <w:lang w:val="en-GB"/>
        </w:rPr>
        <w:t xml:space="preserve">ey objectives for the </w:t>
      </w:r>
      <w:r>
        <w:rPr>
          <w:b/>
          <w:color w:val="70AD47" w:themeColor="accent6"/>
          <w:sz w:val="26"/>
          <w:szCs w:val="26"/>
          <w:lang w:val="en-GB"/>
        </w:rPr>
        <w:t>EPI</w:t>
      </w:r>
      <w:r w:rsidRPr="00FB7375">
        <w:rPr>
          <w:b/>
          <w:color w:val="70AD47" w:themeColor="accent6"/>
          <w:sz w:val="26"/>
          <w:szCs w:val="26"/>
          <w:lang w:val="en-GB"/>
        </w:rPr>
        <w:t xml:space="preserve"> program and known gaps/bottlenecks </w:t>
      </w:r>
      <w:r w:rsidR="00650EB6">
        <w:rPr>
          <w:b/>
          <w:color w:val="70AD47" w:themeColor="accent6"/>
          <w:sz w:val="26"/>
          <w:szCs w:val="26"/>
          <w:lang w:val="en-GB"/>
        </w:rPr>
        <w:t>(0.5 page)</w:t>
      </w:r>
    </w:p>
    <w:p w:rsidR="000E69CF" w:rsidP="00FC4A11" w:rsidRDefault="000E69CF" w14:paraId="52D793FC" w14:textId="77777777">
      <w:pPr>
        <w:spacing w:line="300" w:lineRule="exact"/>
        <w:rPr>
          <w:bCs/>
          <w:color w:val="808080" w:themeColor="background1" w:themeShade="80"/>
          <w:lang w:val="en-G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192"/>
      </w:tblGrid>
      <w:tr w:rsidR="00650EB6" w:rsidTr="00294171" w14:paraId="4DE8D376" w14:textId="77777777">
        <w:tc>
          <w:tcPr>
            <w:tcW w:w="9192" w:type="dxa"/>
            <w:tcBorders>
              <w:bottom w:val="single" w:color="auto" w:sz="6" w:space="0"/>
            </w:tcBorders>
            <w:shd w:val="clear" w:color="auto" w:fill="F2F2F2" w:themeFill="background1" w:themeFillShade="F2"/>
          </w:tcPr>
          <w:p w:rsidRPr="00650EB6" w:rsidR="00650EB6" w:rsidP="00871FCF" w:rsidRDefault="00650EB6" w14:paraId="7976640A" w14:textId="70A33093">
            <w:pPr>
              <w:spacing w:line="300" w:lineRule="exact"/>
              <w:rPr>
                <w:b/>
                <w:i/>
                <w:iCs/>
                <w:color w:val="000000" w:themeColor="text1"/>
                <w:sz w:val="20"/>
                <w:szCs w:val="20"/>
                <w:lang w:val="en-GB"/>
              </w:rPr>
            </w:pPr>
            <w:r>
              <w:rPr>
                <w:b/>
                <w:bCs/>
                <w:i/>
                <w:iCs/>
                <w:color w:val="000000" w:themeColor="text1"/>
                <w:sz w:val="20"/>
                <w:szCs w:val="20"/>
                <w:lang w:val="en-GB"/>
              </w:rPr>
              <w:t xml:space="preserve">1.1 </w:t>
            </w:r>
            <w:r w:rsidRPr="008C7464">
              <w:rPr>
                <w:b/>
                <w:bCs/>
                <w:i/>
                <w:iCs/>
                <w:sz w:val="20"/>
                <w:szCs w:val="20"/>
              </w:rPr>
              <w:t xml:space="preserve">Please note any country context that </w:t>
            </w:r>
            <w:r w:rsidR="00483273">
              <w:rPr>
                <w:b/>
                <w:bCs/>
                <w:i/>
                <w:iCs/>
                <w:sz w:val="20"/>
                <w:szCs w:val="20"/>
              </w:rPr>
              <w:t>is</w:t>
            </w:r>
            <w:r w:rsidRPr="008C7464">
              <w:rPr>
                <w:b/>
                <w:bCs/>
                <w:i/>
                <w:iCs/>
                <w:sz w:val="20"/>
                <w:szCs w:val="20"/>
              </w:rPr>
              <w:t xml:space="preserve"> significant to understanding the country</w:t>
            </w:r>
            <w:r w:rsidR="00483273">
              <w:rPr>
                <w:b/>
                <w:bCs/>
                <w:i/>
                <w:iCs/>
                <w:sz w:val="20"/>
                <w:szCs w:val="20"/>
              </w:rPr>
              <w:t>'s</w:t>
            </w:r>
            <w:r w:rsidRPr="008C7464">
              <w:rPr>
                <w:b/>
                <w:bCs/>
                <w:i/>
                <w:iCs/>
                <w:sz w:val="20"/>
                <w:szCs w:val="20"/>
              </w:rPr>
              <w:t xml:space="preserve"> vision and request for Gavi TCA support. What specific effects do these factors have on the national </w:t>
            </w:r>
            <w:proofErr w:type="spellStart"/>
            <w:r w:rsidRPr="008C7464">
              <w:rPr>
                <w:b/>
                <w:bCs/>
                <w:i/>
                <w:iCs/>
                <w:sz w:val="20"/>
                <w:szCs w:val="20"/>
              </w:rPr>
              <w:t>immunisation</w:t>
            </w:r>
            <w:proofErr w:type="spellEnd"/>
            <w:r w:rsidRPr="008C7464">
              <w:rPr>
                <w:b/>
                <w:bCs/>
                <w:i/>
                <w:iCs/>
                <w:sz w:val="20"/>
                <w:szCs w:val="20"/>
              </w:rPr>
              <w:t xml:space="preserve"> </w:t>
            </w:r>
            <w:proofErr w:type="spellStart"/>
            <w:r w:rsidRPr="008C7464">
              <w:rPr>
                <w:b/>
                <w:bCs/>
                <w:i/>
                <w:iCs/>
                <w:sz w:val="20"/>
                <w:szCs w:val="20"/>
              </w:rPr>
              <w:t>programme</w:t>
            </w:r>
            <w:proofErr w:type="spellEnd"/>
            <w:r w:rsidR="003036DC">
              <w:rPr>
                <w:b/>
                <w:bCs/>
                <w:i/>
                <w:iCs/>
                <w:sz w:val="20"/>
                <w:szCs w:val="20"/>
              </w:rPr>
              <w:t>?</w:t>
            </w:r>
          </w:p>
        </w:tc>
      </w:tr>
      <w:tr w:rsidR="00650EB6" w:rsidTr="00294171" w14:paraId="79578C2F" w14:textId="77777777">
        <w:tc>
          <w:tcPr>
            <w:tcW w:w="9192" w:type="dxa"/>
            <w:tcBorders>
              <w:top w:val="single" w:color="auto" w:sz="6" w:space="0"/>
              <w:left w:val="single" w:color="auto" w:sz="6" w:space="0"/>
              <w:bottom w:val="single" w:color="auto" w:sz="6" w:space="0"/>
              <w:right w:val="single" w:color="auto" w:sz="6" w:space="0"/>
            </w:tcBorders>
          </w:tcPr>
          <w:p w:rsidR="00ED0237" w:rsidP="00ED0237" w:rsidRDefault="00ED0237" w14:paraId="5313E7BE" w14:textId="5E8EBFD4">
            <w:pPr>
              <w:spacing w:line="240" w:lineRule="auto"/>
              <w:jc w:val="both"/>
              <w:rPr>
                <w:rFonts w:eastAsia="Calibri"/>
                <w:sz w:val="20"/>
                <w:szCs w:val="20"/>
                <w:highlight w:val="white"/>
                <w:lang w:val="en-GB" w:eastAsia="en-US"/>
              </w:rPr>
            </w:pPr>
            <w:r w:rsidRPr="00ED0237">
              <w:rPr>
                <w:rFonts w:eastAsia="Calibri"/>
                <w:sz w:val="20"/>
                <w:szCs w:val="20"/>
                <w:highlight w:val="white"/>
                <w:lang w:val="en-GB" w:eastAsia="en-US"/>
              </w:rPr>
              <w:t xml:space="preserve">TCA 2022-2025 support is centered around the goals of Gavi 5.0 and aims to achieve the goals and objectives of the Immunization Program, and is also aligned with the HSS-3, </w:t>
            </w:r>
            <w:r w:rsidRPr="00ED0237">
              <w:rPr>
                <w:rFonts w:eastAsia="Calibri"/>
                <w:sz w:val="20"/>
                <w:szCs w:val="20"/>
                <w:highlight w:val="white"/>
                <w:lang w:val="en-GB" w:eastAsia="en-US"/>
              </w:rPr>
              <w:t>CCEOP</w:t>
            </w:r>
            <w:r w:rsidRPr="00ED0237">
              <w:rPr>
                <w:rFonts w:eastAsia="Calibri"/>
                <w:sz w:val="20"/>
                <w:szCs w:val="20"/>
                <w:highlight w:val="white"/>
                <w:lang w:val="en-GB" w:eastAsia="en-US"/>
              </w:rPr>
              <w:t xml:space="preserve"> grants</w:t>
            </w:r>
            <w:r w:rsidRPr="00ED0237">
              <w:rPr>
                <w:rFonts w:eastAsia="Calibri"/>
                <w:sz w:val="20"/>
                <w:szCs w:val="20"/>
                <w:highlight w:val="white"/>
                <w:lang w:val="en-GB" w:eastAsia="en-US"/>
              </w:rPr>
              <w:t>.</w:t>
            </w:r>
          </w:p>
          <w:p w:rsidRPr="00ED0237" w:rsidR="00ED0237" w:rsidP="00ED0237" w:rsidRDefault="00ED0237" w14:paraId="25620501" w14:textId="77777777">
            <w:pPr>
              <w:spacing w:line="240" w:lineRule="auto"/>
              <w:jc w:val="both"/>
              <w:rPr>
                <w:rFonts w:eastAsia="Calibri"/>
                <w:sz w:val="20"/>
                <w:szCs w:val="20"/>
                <w:highlight w:val="white"/>
                <w:lang w:val="en-GB" w:eastAsia="en-US"/>
              </w:rPr>
            </w:pPr>
          </w:p>
          <w:p w:rsidRPr="00ED0237" w:rsidR="003B1A47" w:rsidP="00ED0237" w:rsidRDefault="003B1A47" w14:paraId="69E47A12" w14:textId="59775C11">
            <w:pPr>
              <w:spacing w:line="240" w:lineRule="auto"/>
              <w:jc w:val="both"/>
              <w:rPr>
                <w:rFonts w:ascii="Times New Roman" w:hAnsi="Times New Roman" w:eastAsia="Times New Roman" w:cs="Times New Roman"/>
                <w:lang w:val="en-MD"/>
              </w:rPr>
            </w:pPr>
            <w:r w:rsidRPr="004E0FD3">
              <w:rPr>
                <w:rFonts w:eastAsia="Calibri"/>
                <w:sz w:val="20"/>
                <w:szCs w:val="20"/>
                <w:highlight w:val="white"/>
                <w:lang w:val="en-GB" w:eastAsia="en-US"/>
              </w:rPr>
              <w:t>The rationale of Gavi investments is to close the remaining gaps in performance of National Immunization Program of Kyrgyzstan and strengthening immunization system components through implementation of HSS, CCEOP and NVS programs, ensuring synergies and complementarity over the course of implementation for achievement the highest results.</w:t>
            </w:r>
          </w:p>
          <w:p w:rsidR="00ED0237" w:rsidP="003B1A47" w:rsidRDefault="00ED0237" w14:paraId="4C19103B" w14:textId="77777777">
            <w:pPr>
              <w:pStyle w:val="CommentText"/>
              <w:rPr>
                <w:u w:val="single"/>
              </w:rPr>
            </w:pPr>
          </w:p>
          <w:p w:rsidRPr="004E0FD3" w:rsidR="003B1A47" w:rsidP="003B1A47" w:rsidRDefault="003B1A47" w14:paraId="0B727687" w14:textId="3C66BACD">
            <w:pPr>
              <w:pStyle w:val="CommentText"/>
              <w:rPr>
                <w:lang w:val="en-US"/>
              </w:rPr>
            </w:pPr>
            <w:r w:rsidRPr="00C9199F">
              <w:rPr>
                <w:u w:val="single"/>
              </w:rPr>
              <w:t>Main areas of the HSS3 grant</w:t>
            </w:r>
            <w:r w:rsidRPr="004E0FD3">
              <w:rPr>
                <w:lang w:val="en-US"/>
              </w:rPr>
              <w:t>:</w:t>
            </w:r>
          </w:p>
          <w:p w:rsidRPr="004E0FD3" w:rsidR="00D56FC7" w:rsidP="00D56FC7" w:rsidRDefault="00D56FC7" w14:paraId="78408121" w14:textId="77777777">
            <w:pPr>
              <w:pStyle w:val="CommentText"/>
              <w:rPr>
                <w:lang w:val="en-US"/>
              </w:rPr>
            </w:pPr>
          </w:p>
          <w:p w:rsidRPr="004E0FD3" w:rsidR="003B1A47" w:rsidP="003B1A47" w:rsidRDefault="003B1A47" w14:paraId="0ACD44BD" w14:textId="77777777">
            <w:pPr>
              <w:ind w:right="130"/>
              <w:rPr>
                <w:b/>
                <w:sz w:val="20"/>
                <w:szCs w:val="20"/>
                <w:highlight w:val="white"/>
              </w:rPr>
            </w:pPr>
            <w:r w:rsidRPr="004E0FD3">
              <w:rPr>
                <w:b/>
                <w:sz w:val="20"/>
                <w:szCs w:val="20"/>
                <w:highlight w:val="white"/>
              </w:rPr>
              <w:t>Rationale – Objective 1</w:t>
            </w:r>
          </w:p>
          <w:p w:rsidRPr="004E0FD3" w:rsidR="003B1A47" w:rsidP="003B1A47" w:rsidRDefault="003B1A47" w14:paraId="7FD2C885" w14:textId="77777777">
            <w:pPr>
              <w:ind w:right="130"/>
              <w:rPr>
                <w:sz w:val="20"/>
                <w:szCs w:val="20"/>
                <w:highlight w:val="white"/>
              </w:rPr>
            </w:pPr>
            <w:r w:rsidRPr="004E0FD3">
              <w:rPr>
                <w:sz w:val="20"/>
                <w:szCs w:val="20"/>
                <w:highlight w:val="white"/>
              </w:rPr>
              <w:t xml:space="preserve">Existence of missed opportunities </w:t>
            </w:r>
          </w:p>
          <w:p w:rsidRPr="004E0FD3" w:rsidR="003B1A47" w:rsidP="003B1A47" w:rsidRDefault="003B1A47" w14:paraId="5463898E" w14:textId="77777777">
            <w:pPr>
              <w:numPr>
                <w:ilvl w:val="0"/>
                <w:numId w:val="13"/>
              </w:numPr>
              <w:pBdr>
                <w:top w:val="nil"/>
                <w:left w:val="nil"/>
                <w:bottom w:val="nil"/>
                <w:right w:val="nil"/>
                <w:between w:val="nil"/>
              </w:pBdr>
              <w:spacing w:line="240" w:lineRule="auto"/>
              <w:ind w:right="130"/>
              <w:jc w:val="both"/>
              <w:rPr>
                <w:sz w:val="20"/>
                <w:szCs w:val="20"/>
                <w:highlight w:val="white"/>
              </w:rPr>
            </w:pPr>
            <w:r w:rsidRPr="004E0FD3">
              <w:rPr>
                <w:sz w:val="20"/>
                <w:szCs w:val="20"/>
                <w:highlight w:val="white"/>
              </w:rPr>
              <w:t>Zero dose/under vaccinated children – due to the insufficient system for identification, registration and defaulter tracking;</w:t>
            </w:r>
          </w:p>
          <w:p w:rsidRPr="004E0FD3" w:rsidR="003B1A47" w:rsidP="003B1A47" w:rsidRDefault="003B1A47" w14:paraId="09A0F484" w14:textId="77762641">
            <w:pPr>
              <w:numPr>
                <w:ilvl w:val="0"/>
                <w:numId w:val="13"/>
              </w:numPr>
              <w:pBdr>
                <w:top w:val="nil"/>
                <w:left w:val="nil"/>
                <w:bottom w:val="nil"/>
                <w:right w:val="nil"/>
                <w:between w:val="nil"/>
              </w:pBdr>
              <w:spacing w:line="240" w:lineRule="auto"/>
              <w:ind w:right="130"/>
              <w:jc w:val="both"/>
              <w:rPr>
                <w:sz w:val="20"/>
                <w:szCs w:val="20"/>
                <w:highlight w:val="white"/>
              </w:rPr>
            </w:pPr>
            <w:r w:rsidRPr="004E0FD3">
              <w:rPr>
                <w:sz w:val="20"/>
                <w:szCs w:val="20"/>
                <w:highlight w:val="white"/>
              </w:rPr>
              <w:t>Problematic access to the immunization services in the remote areas of the country;</w:t>
            </w:r>
          </w:p>
          <w:p w:rsidR="003B1A47" w:rsidP="003B1A47" w:rsidRDefault="003B1A47" w14:paraId="7ED11CF4" w14:textId="7535A70E">
            <w:pPr>
              <w:numPr>
                <w:ilvl w:val="0"/>
                <w:numId w:val="13"/>
              </w:numPr>
              <w:pBdr>
                <w:top w:val="nil"/>
                <w:left w:val="nil"/>
                <w:bottom w:val="nil"/>
                <w:right w:val="nil"/>
                <w:between w:val="nil"/>
              </w:pBdr>
              <w:spacing w:line="240" w:lineRule="auto"/>
              <w:ind w:right="130"/>
              <w:jc w:val="both"/>
              <w:rPr>
                <w:sz w:val="20"/>
                <w:szCs w:val="20"/>
                <w:highlight w:val="white"/>
              </w:rPr>
            </w:pPr>
            <w:r w:rsidRPr="004E0FD3">
              <w:rPr>
                <w:sz w:val="20"/>
                <w:szCs w:val="20"/>
                <w:highlight w:val="white"/>
              </w:rPr>
              <w:t>Drop outs in vaccination;</w:t>
            </w:r>
          </w:p>
          <w:p w:rsidRPr="004E0FD3" w:rsidR="00ED0237" w:rsidP="00ED0237" w:rsidRDefault="00ED0237" w14:paraId="2656AFE9" w14:textId="77777777">
            <w:pPr>
              <w:pBdr>
                <w:top w:val="nil"/>
                <w:left w:val="nil"/>
                <w:bottom w:val="nil"/>
                <w:right w:val="nil"/>
                <w:between w:val="nil"/>
              </w:pBdr>
              <w:spacing w:line="240" w:lineRule="auto"/>
              <w:ind w:left="720" w:right="130"/>
              <w:jc w:val="both"/>
              <w:rPr>
                <w:sz w:val="20"/>
                <w:szCs w:val="20"/>
                <w:highlight w:val="white"/>
              </w:rPr>
            </w:pPr>
          </w:p>
          <w:p w:rsidRPr="004E0FD3" w:rsidR="003B1A47" w:rsidP="003B1A47" w:rsidRDefault="003B1A47" w14:paraId="3750B4E7" w14:textId="77777777">
            <w:pPr>
              <w:ind w:right="130"/>
              <w:rPr>
                <w:b/>
                <w:sz w:val="20"/>
                <w:szCs w:val="20"/>
              </w:rPr>
            </w:pPr>
            <w:r w:rsidRPr="004E0FD3">
              <w:rPr>
                <w:b/>
                <w:sz w:val="20"/>
                <w:szCs w:val="20"/>
                <w:highlight w:val="white"/>
              </w:rPr>
              <w:t>Rationale Objective 2</w:t>
            </w:r>
          </w:p>
          <w:p w:rsidRPr="004E0FD3" w:rsidR="003B1A47" w:rsidP="003B1A47" w:rsidRDefault="003B1A47" w14:paraId="2E38C9ED" w14:textId="77777777">
            <w:pPr>
              <w:pStyle w:val="ListParagraph"/>
              <w:numPr>
                <w:ilvl w:val="0"/>
                <w:numId w:val="14"/>
              </w:numPr>
              <w:spacing w:before="120" w:after="120" w:line="240" w:lineRule="auto"/>
              <w:jc w:val="both"/>
              <w:rPr>
                <w:sz w:val="20"/>
                <w:szCs w:val="20"/>
              </w:rPr>
            </w:pPr>
            <w:r w:rsidRPr="004E0FD3">
              <w:rPr>
                <w:sz w:val="20"/>
                <w:szCs w:val="20"/>
              </w:rPr>
              <w:t>Inadequate capacity of personnel for interpersonal communication for immunization and knowledge in vaccine safety of health personal in PHC sector, with the focus on geographic areas indicated in the Part B</w:t>
            </w:r>
          </w:p>
          <w:p w:rsidRPr="004E0FD3" w:rsidR="003B1A47" w:rsidP="003B1A47" w:rsidRDefault="003B1A47" w14:paraId="53A751ED" w14:textId="77777777">
            <w:pPr>
              <w:pStyle w:val="ListParagraph"/>
              <w:numPr>
                <w:ilvl w:val="0"/>
                <w:numId w:val="14"/>
              </w:numPr>
              <w:spacing w:before="120" w:after="120" w:line="240" w:lineRule="auto"/>
              <w:jc w:val="both"/>
              <w:rPr>
                <w:sz w:val="20"/>
                <w:szCs w:val="20"/>
              </w:rPr>
            </w:pPr>
            <w:r w:rsidRPr="004E0FD3">
              <w:rPr>
                <w:sz w:val="20"/>
                <w:szCs w:val="20"/>
              </w:rPr>
              <w:lastRenderedPageBreak/>
              <w:t>Lack of state budget allocations for the demand generation interventions</w:t>
            </w:r>
          </w:p>
          <w:p w:rsidRPr="004E0FD3" w:rsidR="003B1A47" w:rsidP="003B1A47" w:rsidRDefault="0068416D" w14:paraId="54FEE037" w14:textId="77777777">
            <w:pPr>
              <w:pStyle w:val="ListParagraph"/>
              <w:numPr>
                <w:ilvl w:val="0"/>
                <w:numId w:val="14"/>
              </w:numPr>
              <w:spacing w:before="120" w:after="120" w:line="240" w:lineRule="auto"/>
              <w:jc w:val="both"/>
              <w:rPr>
                <w:sz w:val="20"/>
                <w:szCs w:val="20"/>
                <w:highlight w:val="white"/>
              </w:rPr>
            </w:pPr>
            <w:sdt>
              <w:sdtPr>
                <w:rPr>
                  <w:sz w:val="20"/>
                  <w:szCs w:val="20"/>
                </w:rPr>
                <w:tag w:val="goog_rdk_16"/>
                <w:id w:val="1802580307"/>
              </w:sdtPr>
              <w:sdtEndPr/>
              <w:sdtContent/>
            </w:sdt>
            <w:r w:rsidRPr="004E0FD3" w:rsidR="003B1A47">
              <w:rPr>
                <w:sz w:val="20"/>
                <w:szCs w:val="20"/>
              </w:rPr>
              <w:t>No social listening mechanisms in place to understand anti-vaccine narratives in social media</w:t>
            </w:r>
            <w:r w:rsidRPr="004E0FD3" w:rsidR="003B1A47">
              <w:rPr>
                <w:sz w:val="20"/>
                <w:szCs w:val="20"/>
                <w:highlight w:val="white"/>
              </w:rPr>
              <w:t>.</w:t>
            </w:r>
          </w:p>
          <w:p w:rsidRPr="004E0FD3" w:rsidR="003B1A47" w:rsidP="003B1A47" w:rsidRDefault="003B1A47" w14:paraId="50EC8621" w14:textId="77777777">
            <w:pPr>
              <w:pStyle w:val="ListParagraph"/>
              <w:numPr>
                <w:ilvl w:val="0"/>
                <w:numId w:val="14"/>
              </w:numPr>
              <w:spacing w:before="120" w:after="120" w:line="240" w:lineRule="auto"/>
              <w:ind w:right="130"/>
              <w:jc w:val="both"/>
              <w:rPr>
                <w:b/>
                <w:sz w:val="20"/>
                <w:szCs w:val="20"/>
                <w:highlight w:val="white"/>
              </w:rPr>
            </w:pPr>
            <w:r w:rsidRPr="004E0FD3">
              <w:rPr>
                <w:sz w:val="20"/>
                <w:szCs w:val="20"/>
              </w:rPr>
              <w:t>A lack of secured continuity of clear, user-appropriate, convincing information flow to the target audience (focusing on new parents) about the benefits of vaccination, beyond medical facilities</w:t>
            </w:r>
            <w:r w:rsidRPr="004E0FD3">
              <w:rPr>
                <w:b/>
                <w:sz w:val="20"/>
                <w:szCs w:val="20"/>
                <w:highlight w:val="white"/>
              </w:rPr>
              <w:t xml:space="preserve"> </w:t>
            </w:r>
          </w:p>
          <w:p w:rsidRPr="004E0FD3" w:rsidR="003B1A47" w:rsidP="003B1A47" w:rsidRDefault="003B1A47" w14:paraId="1CE28C43" w14:textId="77777777">
            <w:pPr>
              <w:ind w:right="130"/>
              <w:rPr>
                <w:sz w:val="20"/>
                <w:szCs w:val="20"/>
                <w:highlight w:val="white"/>
              </w:rPr>
            </w:pPr>
            <w:r w:rsidRPr="004E0FD3">
              <w:rPr>
                <w:b/>
                <w:sz w:val="20"/>
                <w:szCs w:val="20"/>
                <w:highlight w:val="white"/>
              </w:rPr>
              <w:t>Rationale Objective 3</w:t>
            </w:r>
          </w:p>
          <w:p w:rsidRPr="004E0FD3" w:rsidR="003B1A47" w:rsidP="003B1A47" w:rsidRDefault="003B1A47" w14:paraId="3A2BABE0" w14:textId="77777777">
            <w:pPr>
              <w:pStyle w:val="NoSpacing"/>
              <w:numPr>
                <w:ilvl w:val="0"/>
                <w:numId w:val="15"/>
              </w:numPr>
              <w:jc w:val="both"/>
              <w:rPr>
                <w:sz w:val="20"/>
                <w:szCs w:val="20"/>
              </w:rPr>
            </w:pPr>
            <w:r w:rsidRPr="004E0FD3">
              <w:rPr>
                <w:sz w:val="20"/>
                <w:szCs w:val="20"/>
              </w:rPr>
              <w:t>Improve the system of vaccine logistics by upgrading the central and subnational warehousing system;</w:t>
            </w:r>
          </w:p>
          <w:p w:rsidRPr="004E0FD3" w:rsidR="003B1A47" w:rsidP="003B1A47" w:rsidRDefault="003B1A47" w14:paraId="386D796E" w14:textId="77777777">
            <w:pPr>
              <w:pStyle w:val="NoSpacing"/>
              <w:numPr>
                <w:ilvl w:val="0"/>
                <w:numId w:val="15"/>
              </w:numPr>
              <w:jc w:val="both"/>
              <w:rPr>
                <w:sz w:val="20"/>
                <w:szCs w:val="20"/>
              </w:rPr>
            </w:pPr>
            <w:r w:rsidRPr="004E0FD3">
              <w:rPr>
                <w:sz w:val="20"/>
                <w:szCs w:val="20"/>
              </w:rPr>
              <w:t>Lack of vaccine Logistic Management Information system</w:t>
            </w:r>
          </w:p>
          <w:p w:rsidRPr="004E0FD3" w:rsidR="003B1A47" w:rsidP="003B1A47" w:rsidRDefault="003B1A47" w14:paraId="5AD84E9F" w14:textId="77777777">
            <w:pPr>
              <w:pStyle w:val="NoSpacing"/>
              <w:ind w:left="720"/>
              <w:rPr>
                <w:sz w:val="20"/>
                <w:szCs w:val="20"/>
              </w:rPr>
            </w:pPr>
          </w:p>
          <w:p w:rsidRPr="004E0FD3" w:rsidR="003B1A47" w:rsidP="003B1A47" w:rsidRDefault="003B1A47" w14:paraId="374D058D" w14:textId="77777777">
            <w:pPr>
              <w:pBdr>
                <w:top w:val="nil"/>
                <w:left w:val="nil"/>
                <w:bottom w:val="nil"/>
                <w:right w:val="nil"/>
                <w:between w:val="nil"/>
              </w:pBdr>
              <w:rPr>
                <w:b/>
                <w:sz w:val="20"/>
                <w:szCs w:val="20"/>
                <w:highlight w:val="white"/>
              </w:rPr>
            </w:pPr>
            <w:r w:rsidRPr="004E0FD3">
              <w:rPr>
                <w:b/>
                <w:sz w:val="20"/>
                <w:szCs w:val="20"/>
                <w:highlight w:val="white"/>
              </w:rPr>
              <w:t>Rationale Objective 4</w:t>
            </w:r>
          </w:p>
          <w:p w:rsidRPr="004E0FD3" w:rsidR="003B1A47" w:rsidP="00F679FD" w:rsidRDefault="003B1A47" w14:paraId="20DAB942" w14:textId="77777777">
            <w:pPr>
              <w:pStyle w:val="NoSpacing"/>
              <w:numPr>
                <w:ilvl w:val="0"/>
                <w:numId w:val="17"/>
              </w:numPr>
              <w:jc w:val="both"/>
              <w:rPr>
                <w:sz w:val="20"/>
                <w:szCs w:val="20"/>
                <w:highlight w:val="white"/>
              </w:rPr>
            </w:pPr>
            <w:r w:rsidRPr="004E0FD3">
              <w:rPr>
                <w:sz w:val="20"/>
                <w:szCs w:val="20"/>
                <w:highlight w:val="white"/>
              </w:rPr>
              <w:t xml:space="preserve">Weak financial sustainability – NIP is prone to financial shocks derived from pandemic/budget shortage </w:t>
            </w:r>
            <w:proofErr w:type="spellStart"/>
            <w:r w:rsidRPr="004E0FD3">
              <w:rPr>
                <w:sz w:val="20"/>
                <w:szCs w:val="20"/>
                <w:highlight w:val="white"/>
              </w:rPr>
              <w:t>etc</w:t>
            </w:r>
            <w:proofErr w:type="spellEnd"/>
          </w:p>
          <w:p w:rsidRPr="004E0FD3" w:rsidR="003B1A47" w:rsidP="00F679FD" w:rsidRDefault="003B1A47" w14:paraId="0201D3F3" w14:textId="77777777">
            <w:pPr>
              <w:pStyle w:val="NoSpacing"/>
              <w:numPr>
                <w:ilvl w:val="0"/>
                <w:numId w:val="17"/>
              </w:numPr>
              <w:jc w:val="both"/>
              <w:rPr>
                <w:sz w:val="20"/>
                <w:szCs w:val="20"/>
                <w:highlight w:val="white"/>
              </w:rPr>
            </w:pPr>
            <w:r w:rsidRPr="004E0FD3">
              <w:rPr>
                <w:sz w:val="20"/>
                <w:szCs w:val="20"/>
                <w:highlight w:val="white"/>
              </w:rPr>
              <w:t>Ability to sustain existing technical advisory and coordination mechanisms.</w:t>
            </w:r>
          </w:p>
          <w:p w:rsidRPr="004E0FD3" w:rsidR="003B1A47" w:rsidP="00F679FD" w:rsidRDefault="003B1A47" w14:paraId="1B2CC2E2" w14:textId="77777777">
            <w:pPr>
              <w:pStyle w:val="NoSpacing"/>
              <w:numPr>
                <w:ilvl w:val="0"/>
                <w:numId w:val="17"/>
              </w:numPr>
              <w:jc w:val="both"/>
              <w:rPr>
                <w:sz w:val="20"/>
                <w:szCs w:val="20"/>
                <w:highlight w:val="white"/>
              </w:rPr>
            </w:pPr>
            <w:r w:rsidRPr="004E0FD3">
              <w:rPr>
                <w:sz w:val="20"/>
                <w:szCs w:val="20"/>
                <w:highlight w:val="white"/>
              </w:rPr>
              <w:t>Ability to sustain enhancement of the RCI management capacity</w:t>
            </w:r>
          </w:p>
          <w:p w:rsidRPr="004E0FD3" w:rsidR="003B1A47" w:rsidP="00F679FD" w:rsidRDefault="003B1A47" w14:paraId="1F3D1506" w14:textId="77777777">
            <w:pPr>
              <w:pStyle w:val="NoSpacing"/>
              <w:numPr>
                <w:ilvl w:val="0"/>
                <w:numId w:val="17"/>
              </w:numPr>
              <w:jc w:val="both"/>
              <w:rPr>
                <w:sz w:val="20"/>
                <w:szCs w:val="20"/>
                <w:highlight w:val="white"/>
              </w:rPr>
            </w:pPr>
            <w:r w:rsidRPr="004E0FD3">
              <w:rPr>
                <w:sz w:val="20"/>
                <w:szCs w:val="20"/>
                <w:highlight w:val="white"/>
              </w:rPr>
              <w:t>Outbreak and pandemic preparedness and response capacity</w:t>
            </w:r>
          </w:p>
          <w:p w:rsidR="003B1A47" w:rsidP="00F679FD" w:rsidRDefault="003B1A47" w14:paraId="055C4526" w14:textId="6F19B068">
            <w:pPr>
              <w:pStyle w:val="NoSpacing"/>
              <w:numPr>
                <w:ilvl w:val="0"/>
                <w:numId w:val="17"/>
              </w:numPr>
              <w:jc w:val="both"/>
              <w:rPr>
                <w:sz w:val="20"/>
                <w:szCs w:val="20"/>
                <w:highlight w:val="white"/>
              </w:rPr>
            </w:pPr>
            <w:r w:rsidRPr="004E0FD3">
              <w:rPr>
                <w:sz w:val="20"/>
                <w:szCs w:val="20"/>
                <w:highlight w:val="white"/>
              </w:rPr>
              <w:t>Ability to sustain supportive supervision capacity through introduction of respective procedures and tools</w:t>
            </w:r>
          </w:p>
          <w:p w:rsidRPr="004E0FD3" w:rsidR="00D56FC7" w:rsidP="00F679FD" w:rsidRDefault="003B1A47" w14:paraId="6108D7C2" w14:textId="3FD57E99">
            <w:pPr>
              <w:pStyle w:val="CommentText"/>
              <w:numPr>
                <w:ilvl w:val="0"/>
                <w:numId w:val="17"/>
              </w:numPr>
              <w:rPr>
                <w:lang w:val="ru-RU"/>
              </w:rPr>
            </w:pPr>
            <w:r w:rsidRPr="004E0FD3">
              <w:rPr>
                <w:highlight w:val="white"/>
              </w:rPr>
              <w:t>Sub</w:t>
            </w:r>
            <w:r w:rsidRPr="004E0FD3">
              <w:rPr>
                <w:highlight w:val="white"/>
                <w:lang w:val="ru-RU"/>
              </w:rPr>
              <w:t>-</w:t>
            </w:r>
            <w:r w:rsidRPr="004E0FD3">
              <w:rPr>
                <w:highlight w:val="white"/>
              </w:rPr>
              <w:t>standard</w:t>
            </w:r>
            <w:r w:rsidRPr="004E0FD3">
              <w:rPr>
                <w:highlight w:val="white"/>
                <w:lang w:val="ru-RU"/>
              </w:rPr>
              <w:t xml:space="preserve"> </w:t>
            </w:r>
            <w:r w:rsidRPr="004E0FD3">
              <w:rPr>
                <w:highlight w:val="white"/>
              </w:rPr>
              <w:t>data</w:t>
            </w:r>
            <w:r w:rsidRPr="004E0FD3">
              <w:rPr>
                <w:highlight w:val="white"/>
                <w:lang w:val="ru-RU"/>
              </w:rPr>
              <w:t xml:space="preserve"> </w:t>
            </w:r>
            <w:r w:rsidRPr="004E0FD3">
              <w:rPr>
                <w:highlight w:val="white"/>
              </w:rPr>
              <w:t>quality</w:t>
            </w:r>
          </w:p>
          <w:p w:rsidRPr="004E0FD3" w:rsidR="00D56FC7" w:rsidP="00D56FC7" w:rsidRDefault="00D56FC7" w14:paraId="55CA74C6" w14:textId="77777777">
            <w:pPr>
              <w:pStyle w:val="CommentText"/>
              <w:rPr>
                <w:lang w:val="ru-RU"/>
              </w:rPr>
            </w:pPr>
          </w:p>
          <w:p w:rsidR="004E0FD3" w:rsidP="00ED0237" w:rsidRDefault="004E0FD3" w14:paraId="2D5599FD" w14:textId="4BDDD4C8">
            <w:pPr>
              <w:jc w:val="both"/>
              <w:rPr>
                <w:sz w:val="20"/>
                <w:szCs w:val="20"/>
                <w:lang w:val="en-US"/>
              </w:rPr>
            </w:pPr>
            <w:r w:rsidRPr="00F679FD">
              <w:rPr>
                <w:sz w:val="20"/>
                <w:szCs w:val="20"/>
                <w:lang w:val="en-US"/>
              </w:rPr>
              <w:t>In 2018, 6,460 children from the immunization target group did not complete DTP vaccination. Among them 1,762 children remained unvaccinated due to the medical contraindications and/or refusal of vaccine hesitant parents and caregivers to vaccinate their children</w:t>
            </w:r>
            <w:r w:rsidRPr="00F679FD">
              <w:rPr>
                <w:sz w:val="20"/>
                <w:szCs w:val="20"/>
                <w:vertAlign w:val="superscript"/>
              </w:rPr>
              <w:footnoteReference w:id="2"/>
            </w:r>
            <w:r w:rsidRPr="00F679FD">
              <w:rPr>
                <w:sz w:val="20"/>
                <w:szCs w:val="20"/>
                <w:lang w:val="en-US"/>
              </w:rPr>
              <w:t>.</w:t>
            </w:r>
          </w:p>
          <w:p w:rsidRPr="00F679FD" w:rsidR="003B64C9" w:rsidP="00ED0237" w:rsidRDefault="003B64C9" w14:paraId="1838E88E" w14:textId="77777777">
            <w:pPr>
              <w:jc w:val="both"/>
              <w:rPr>
                <w:rFonts w:eastAsia="Calibri"/>
                <w:sz w:val="20"/>
                <w:szCs w:val="20"/>
                <w:lang w:val="en-US" w:eastAsia="en-US"/>
              </w:rPr>
            </w:pPr>
          </w:p>
          <w:p w:rsidR="004E0FD3" w:rsidP="00ED0237" w:rsidRDefault="004E0FD3" w14:paraId="6EA43A18" w14:textId="5A3E58A4">
            <w:pPr>
              <w:pStyle w:val="CommentText"/>
              <w:jc w:val="both"/>
              <w:rPr>
                <w:lang w:val="en-US"/>
              </w:rPr>
            </w:pPr>
            <w:r w:rsidRPr="00F679FD">
              <w:rPr>
                <w:lang w:val="en-US"/>
              </w:rPr>
              <w:t>One of the key priorities of the Immunization Program in Kyrgyzstan is to identify and reach zero-dose and under immunized children to ensure that no one is left without proper immunization. According to MICS 2018, the percentage of children with a zero dose was 9.8% (children who did not receive a first dose of DTP vaccine), and the percentage of under immunized children was 12.3% (children who did not receive a third dose of DTP vaccine).</w:t>
            </w:r>
          </w:p>
          <w:p w:rsidRPr="00F679FD" w:rsidR="003B64C9" w:rsidP="00ED0237" w:rsidRDefault="003B64C9" w14:paraId="24DB693E" w14:textId="77777777">
            <w:pPr>
              <w:pStyle w:val="CommentText"/>
              <w:jc w:val="both"/>
              <w:rPr>
                <w:lang w:val="en-US"/>
              </w:rPr>
            </w:pPr>
          </w:p>
          <w:p w:rsidR="004E0FD3" w:rsidP="00ED0237" w:rsidRDefault="004E0FD3" w14:paraId="2B1DF005" w14:textId="106124F3">
            <w:pPr>
              <w:jc w:val="both"/>
              <w:rPr>
                <w:sz w:val="20"/>
                <w:szCs w:val="20"/>
                <w:lang w:val="en-US"/>
              </w:rPr>
            </w:pPr>
            <w:r w:rsidRPr="00F679FD">
              <w:rPr>
                <w:sz w:val="20"/>
                <w:szCs w:val="20"/>
                <w:lang w:val="en-US"/>
              </w:rPr>
              <w:t>Comparison between MICS 2014 and MICS 2018, shows that DTP3 coverage decreased by 9.1% (95.9% versus 86.4%).</w:t>
            </w:r>
          </w:p>
          <w:p w:rsidRPr="00F679FD" w:rsidR="003B64C9" w:rsidP="00ED0237" w:rsidRDefault="003B64C9" w14:paraId="79D3454E" w14:textId="77777777">
            <w:pPr>
              <w:jc w:val="both"/>
              <w:rPr>
                <w:sz w:val="20"/>
                <w:szCs w:val="20"/>
                <w:lang w:val="en-US"/>
              </w:rPr>
            </w:pPr>
          </w:p>
          <w:p w:rsidRPr="00F679FD" w:rsidR="004E0FD3" w:rsidP="00ED0237" w:rsidRDefault="004E0FD3" w14:paraId="368DAF5B" w14:textId="77777777">
            <w:pPr>
              <w:jc w:val="both"/>
              <w:rPr>
                <w:sz w:val="20"/>
                <w:szCs w:val="20"/>
                <w:lang w:val="en-US"/>
              </w:rPr>
            </w:pPr>
            <w:r w:rsidRPr="00F679FD">
              <w:rPr>
                <w:sz w:val="20"/>
                <w:szCs w:val="20"/>
                <w:lang w:val="en-US"/>
              </w:rPr>
              <w:t>In difference with DTP vaccination, MMR1 coverage increased by 3.2% (from 93% in 2</w:t>
            </w:r>
            <w:sdt>
              <w:sdtPr>
                <w:rPr>
                  <w:sz w:val="20"/>
                  <w:szCs w:val="20"/>
                </w:rPr>
                <w:tag w:val="goog_rdk_0"/>
                <w:id w:val="-1632233568"/>
              </w:sdtPr>
              <w:sdtEndPr/>
              <w:sdtContent/>
            </w:sdt>
            <w:r w:rsidRPr="00F679FD">
              <w:rPr>
                <w:sz w:val="20"/>
                <w:szCs w:val="20"/>
                <w:lang w:val="en-US"/>
              </w:rPr>
              <w:t>014 versus 96.</w:t>
            </w:r>
            <w:sdt>
              <w:sdtPr>
                <w:rPr>
                  <w:sz w:val="20"/>
                  <w:szCs w:val="20"/>
                </w:rPr>
                <w:tag w:val="goog_rdk_36"/>
                <w:id w:val="-1795815772"/>
              </w:sdtPr>
              <w:sdtEndPr/>
              <w:sdtContent/>
            </w:sdt>
            <w:sdt>
              <w:sdtPr>
                <w:rPr>
                  <w:sz w:val="20"/>
                  <w:szCs w:val="20"/>
                </w:rPr>
                <w:tag w:val="goog_rdk_52"/>
                <w:id w:val="132755604"/>
              </w:sdtPr>
              <w:sdtEndPr/>
              <w:sdtContent/>
            </w:sdt>
            <w:sdt>
              <w:sdtPr>
                <w:rPr>
                  <w:sz w:val="20"/>
                  <w:szCs w:val="20"/>
                </w:rPr>
                <w:tag w:val="goog_rdk_69"/>
                <w:id w:val="-1924023952"/>
              </w:sdtPr>
              <w:sdtEndPr/>
              <w:sdtContent/>
            </w:sdt>
            <w:sdt>
              <w:sdtPr>
                <w:rPr>
                  <w:sz w:val="20"/>
                  <w:szCs w:val="20"/>
                </w:rPr>
                <w:tag w:val="goog_rdk_84"/>
                <w:id w:val="1700973230"/>
              </w:sdtPr>
              <w:sdtEndPr/>
              <w:sdtContent/>
            </w:sdt>
            <w:sdt>
              <w:sdtPr>
                <w:rPr>
                  <w:sz w:val="20"/>
                  <w:szCs w:val="20"/>
                </w:rPr>
                <w:tag w:val="goog_rdk_100"/>
                <w:id w:val="-841166756"/>
              </w:sdtPr>
              <w:sdtEndPr/>
              <w:sdtContent/>
            </w:sdt>
            <w:sdt>
              <w:sdtPr>
                <w:rPr>
                  <w:sz w:val="20"/>
                  <w:szCs w:val="20"/>
                </w:rPr>
                <w:tag w:val="goog_rdk_117"/>
                <w:id w:val="-977525395"/>
              </w:sdtPr>
              <w:sdtEndPr/>
              <w:sdtContent/>
            </w:sdt>
            <w:sdt>
              <w:sdtPr>
                <w:rPr>
                  <w:sz w:val="20"/>
                  <w:szCs w:val="20"/>
                </w:rPr>
                <w:tag w:val="goog_rdk_135"/>
                <w:id w:val="499320808"/>
              </w:sdtPr>
              <w:sdtEndPr/>
              <w:sdtContent/>
            </w:sdt>
            <w:sdt>
              <w:sdtPr>
                <w:rPr>
                  <w:sz w:val="20"/>
                  <w:szCs w:val="20"/>
                </w:rPr>
                <w:tag w:val="goog_rdk_154"/>
                <w:id w:val="-1778476390"/>
              </w:sdtPr>
              <w:sdtEndPr/>
              <w:sdtContent/>
            </w:sdt>
            <w:sdt>
              <w:sdtPr>
                <w:rPr>
                  <w:sz w:val="20"/>
                  <w:szCs w:val="20"/>
                </w:rPr>
                <w:tag w:val="goog_rdk_174"/>
                <w:id w:val="1804726714"/>
              </w:sdtPr>
              <w:sdtEndPr/>
              <w:sdtContent/>
            </w:sdt>
            <w:sdt>
              <w:sdtPr>
                <w:rPr>
                  <w:sz w:val="20"/>
                  <w:szCs w:val="20"/>
                </w:rPr>
                <w:tag w:val="goog_rdk_195"/>
                <w:id w:val="-461965340"/>
              </w:sdtPr>
              <w:sdtEndPr/>
              <w:sdtContent/>
            </w:sdt>
            <w:sdt>
              <w:sdtPr>
                <w:rPr>
                  <w:sz w:val="20"/>
                  <w:szCs w:val="20"/>
                </w:rPr>
                <w:tag w:val="goog_rdk_217"/>
                <w:id w:val="1390689044"/>
              </w:sdtPr>
              <w:sdtEndPr/>
              <w:sdtContent/>
            </w:sdt>
            <w:sdt>
              <w:sdtPr>
                <w:rPr>
                  <w:sz w:val="20"/>
                  <w:szCs w:val="20"/>
                </w:rPr>
                <w:tag w:val="goog_rdk_240"/>
                <w:id w:val="-1057539569"/>
              </w:sdtPr>
              <w:sdtEndPr/>
              <w:sdtContent/>
            </w:sdt>
            <w:sdt>
              <w:sdtPr>
                <w:rPr>
                  <w:sz w:val="20"/>
                  <w:szCs w:val="20"/>
                </w:rPr>
                <w:tag w:val="goog_rdk_264"/>
                <w:id w:val="-1651132800"/>
              </w:sdtPr>
              <w:sdtEndPr/>
              <w:sdtContent/>
            </w:sdt>
            <w:sdt>
              <w:sdtPr>
                <w:rPr>
                  <w:sz w:val="20"/>
                  <w:szCs w:val="20"/>
                </w:rPr>
                <w:tag w:val="goog_rdk_288"/>
                <w:id w:val="-1604878001"/>
              </w:sdtPr>
              <w:sdtEndPr/>
              <w:sdtContent/>
            </w:sdt>
            <w:sdt>
              <w:sdtPr>
                <w:rPr>
                  <w:sz w:val="20"/>
                  <w:szCs w:val="20"/>
                </w:rPr>
                <w:tag w:val="goog_rdk_314"/>
                <w:id w:val="246394400"/>
              </w:sdtPr>
              <w:sdtEndPr/>
              <w:sdtContent/>
            </w:sdt>
            <w:sdt>
              <w:sdtPr>
                <w:rPr>
                  <w:sz w:val="20"/>
                  <w:szCs w:val="20"/>
                </w:rPr>
                <w:tag w:val="goog_rdk_341"/>
                <w:id w:val="1776681989"/>
              </w:sdtPr>
              <w:sdtEndPr/>
              <w:sdtContent/>
            </w:sdt>
            <w:sdt>
              <w:sdtPr>
                <w:rPr>
                  <w:sz w:val="20"/>
                  <w:szCs w:val="20"/>
                </w:rPr>
                <w:tag w:val="goog_rdk_369"/>
                <w:id w:val="2144460373"/>
              </w:sdtPr>
              <w:sdtEndPr/>
              <w:sdtContent/>
            </w:sdt>
            <w:sdt>
              <w:sdtPr>
                <w:rPr>
                  <w:sz w:val="20"/>
                  <w:szCs w:val="20"/>
                </w:rPr>
                <w:tag w:val="goog_rdk_398"/>
                <w:id w:val="-610125472"/>
              </w:sdtPr>
              <w:sdtEndPr/>
              <w:sdtContent/>
            </w:sdt>
            <w:r w:rsidRPr="00F679FD">
              <w:rPr>
                <w:sz w:val="20"/>
                <w:szCs w:val="20"/>
                <w:lang w:val="en-US"/>
              </w:rPr>
              <w:t>2% in 2018), while according to the WIENIC estimates MMR2 coverage decreased by 1% from 97% in 2014 to 96% in 2018.</w:t>
            </w:r>
            <w:r w:rsidRPr="00F679FD">
              <w:rPr>
                <w:sz w:val="20"/>
                <w:szCs w:val="20"/>
                <w:vertAlign w:val="superscript"/>
              </w:rPr>
              <w:footnoteReference w:id="3"/>
            </w:r>
          </w:p>
          <w:p w:rsidR="003B64C9" w:rsidP="004E0FD3" w:rsidRDefault="003B64C9" w14:paraId="3A2B0FF3" w14:textId="77777777">
            <w:pPr>
              <w:rPr>
                <w:b/>
                <w:sz w:val="20"/>
                <w:szCs w:val="20"/>
                <w:lang w:val="en-US"/>
              </w:rPr>
            </w:pPr>
          </w:p>
          <w:p w:rsidRPr="009E77BF" w:rsidR="004E0FD3" w:rsidP="004E0FD3" w:rsidRDefault="004E0FD3" w14:paraId="748D1118" w14:textId="3916C908">
            <w:pPr>
              <w:rPr>
                <w:b/>
                <w:sz w:val="20"/>
                <w:szCs w:val="20"/>
                <w:lang w:val="en-US"/>
              </w:rPr>
            </w:pPr>
            <w:r w:rsidRPr="009E77BF">
              <w:rPr>
                <w:b/>
                <w:sz w:val="20"/>
                <w:szCs w:val="20"/>
                <w:lang w:val="en-US"/>
              </w:rPr>
              <w:t>Equity in accessing immunization services</w:t>
            </w:r>
          </w:p>
          <w:p w:rsidRPr="009E77BF" w:rsidR="004E0FD3" w:rsidP="004E0FD3" w:rsidRDefault="004E0FD3" w14:paraId="62D5BA28" w14:textId="77777777">
            <w:pPr>
              <w:rPr>
                <w:sz w:val="20"/>
                <w:szCs w:val="20"/>
                <w:lang w:val="en-US"/>
              </w:rPr>
            </w:pPr>
            <w:r w:rsidRPr="009E77BF">
              <w:rPr>
                <w:sz w:val="20"/>
                <w:szCs w:val="20"/>
                <w:lang w:val="en-US"/>
              </w:rPr>
              <w:t>According to the results of MICS 2018, DTP3 coverage has the following trends:</w:t>
            </w:r>
          </w:p>
          <w:p w:rsidRPr="009E77BF" w:rsidR="004E0FD3" w:rsidP="004E0FD3" w:rsidRDefault="004E0FD3" w14:paraId="3C5374DC" w14:textId="77777777">
            <w:pPr>
              <w:numPr>
                <w:ilvl w:val="0"/>
                <w:numId w:val="6"/>
              </w:numPr>
              <w:spacing w:before="120" w:line="240" w:lineRule="auto"/>
              <w:jc w:val="both"/>
              <w:rPr>
                <w:sz w:val="20"/>
                <w:szCs w:val="20"/>
              </w:rPr>
            </w:pPr>
            <w:r w:rsidRPr="009E77BF">
              <w:rPr>
                <w:color w:val="000000"/>
                <w:sz w:val="20"/>
                <w:szCs w:val="20"/>
                <w:lang w:val="en-US"/>
              </w:rPr>
              <w:t xml:space="preserve">by the wealth disparity index, there are significant differences with a difference of 11% between the richest and the poorest (76.4% versus 87.5%). </w:t>
            </w:r>
            <w:r w:rsidRPr="009E77BF">
              <w:rPr>
                <w:color w:val="000000"/>
                <w:sz w:val="20"/>
                <w:szCs w:val="20"/>
              </w:rPr>
              <w:t>The trend increased by 5.4% compared to 2014.</w:t>
            </w:r>
          </w:p>
          <w:p w:rsidRPr="009E77BF" w:rsidR="004E0FD3" w:rsidP="004E0FD3" w:rsidRDefault="004E0FD3" w14:paraId="68B6FE13" w14:textId="77777777">
            <w:pPr>
              <w:numPr>
                <w:ilvl w:val="0"/>
                <w:numId w:val="6"/>
              </w:numPr>
              <w:spacing w:after="120" w:line="240" w:lineRule="auto"/>
              <w:jc w:val="both"/>
              <w:rPr>
                <w:sz w:val="20"/>
                <w:szCs w:val="20"/>
                <w:lang w:val="en-US"/>
              </w:rPr>
            </w:pPr>
            <w:r w:rsidRPr="009E77BF">
              <w:rPr>
                <w:color w:val="000000"/>
                <w:sz w:val="20"/>
                <w:szCs w:val="20"/>
                <w:lang w:val="en-US"/>
              </w:rPr>
              <w:t xml:space="preserve">in terms of mothers’ education - DTP3 coverage was lower by 3.9% among the children whose mothers had basic education when compared with the children whose mothers had higher education (86.1% vs. 90%). </w:t>
            </w:r>
          </w:p>
          <w:p w:rsidRPr="009E77BF" w:rsidR="004E0FD3" w:rsidP="004E0FD3" w:rsidRDefault="004E0FD3" w14:paraId="4F3E1D28" w14:textId="77777777">
            <w:pPr>
              <w:rPr>
                <w:sz w:val="20"/>
                <w:szCs w:val="20"/>
                <w:lang w:val="en-US"/>
              </w:rPr>
            </w:pPr>
            <w:r w:rsidRPr="009E77BF">
              <w:rPr>
                <w:sz w:val="20"/>
                <w:szCs w:val="20"/>
                <w:lang w:val="en-US"/>
              </w:rPr>
              <w:t>The trend, compared to 2014, is probably maintained among the richest and middle strata of the population, due to more access to information via the Internet, where there is a large amount of negative information about the insecurity of vaccines.</w:t>
            </w:r>
          </w:p>
          <w:p w:rsidRPr="009E77BF" w:rsidR="004E0FD3" w:rsidP="004E0FD3" w:rsidRDefault="004E0FD3" w14:paraId="1CF163D8" w14:textId="77777777">
            <w:pPr>
              <w:numPr>
                <w:ilvl w:val="0"/>
                <w:numId w:val="7"/>
              </w:numPr>
              <w:spacing w:before="120" w:line="240" w:lineRule="auto"/>
              <w:jc w:val="both"/>
              <w:rPr>
                <w:sz w:val="20"/>
                <w:szCs w:val="20"/>
                <w:lang w:val="en-US"/>
              </w:rPr>
            </w:pPr>
            <w:r w:rsidRPr="009E77BF">
              <w:rPr>
                <w:color w:val="000000"/>
                <w:sz w:val="20"/>
                <w:szCs w:val="20"/>
                <w:lang w:val="en-US"/>
              </w:rPr>
              <w:lastRenderedPageBreak/>
              <w:t xml:space="preserve">DTP3 coverage among girls was 88.9%, among boys 84.1%. The gender difference in </w:t>
            </w:r>
            <w:proofErr w:type="spellStart"/>
            <w:r w:rsidRPr="009E77BF">
              <w:rPr>
                <w:color w:val="000000"/>
                <w:sz w:val="20"/>
                <w:szCs w:val="20"/>
                <w:lang w:val="en-US"/>
              </w:rPr>
              <w:t>favour</w:t>
            </w:r>
            <w:proofErr w:type="spellEnd"/>
            <w:r w:rsidRPr="009E77BF">
              <w:rPr>
                <w:color w:val="000000"/>
                <w:sz w:val="20"/>
                <w:szCs w:val="20"/>
                <w:lang w:val="en-US"/>
              </w:rPr>
              <w:t xml:space="preserve"> of girls is 4.8%, although in 2014 this difference was 1.4%.</w:t>
            </w:r>
          </w:p>
          <w:p w:rsidRPr="009E77BF" w:rsidR="004E0FD3" w:rsidP="004E0FD3" w:rsidRDefault="004E0FD3" w14:paraId="739026EA" w14:textId="77777777">
            <w:pPr>
              <w:numPr>
                <w:ilvl w:val="0"/>
                <w:numId w:val="7"/>
              </w:numPr>
              <w:spacing w:after="120" w:line="240" w:lineRule="auto"/>
              <w:jc w:val="both"/>
              <w:rPr>
                <w:sz w:val="20"/>
                <w:szCs w:val="20"/>
                <w:lang w:val="en-US"/>
              </w:rPr>
            </w:pPr>
            <w:r w:rsidRPr="009E77BF">
              <w:rPr>
                <w:color w:val="000000"/>
                <w:sz w:val="20"/>
                <w:szCs w:val="20"/>
                <w:lang w:val="en-US"/>
              </w:rPr>
              <w:t>DTP3 coverage is lower in urban areas (79.2%) than in rural areas (89.8%). Based on the regional breakdown, Bishkek and Chui oblast (about 70%) have lower coverage</w:t>
            </w:r>
            <w:r w:rsidRPr="004E0FD3">
              <w:rPr>
                <w:color w:val="000000"/>
                <w:lang w:val="en-US"/>
              </w:rPr>
              <w:t xml:space="preserve"> compared to </w:t>
            </w:r>
            <w:r w:rsidRPr="009E77BF">
              <w:rPr>
                <w:color w:val="000000"/>
                <w:sz w:val="20"/>
                <w:szCs w:val="20"/>
                <w:lang w:val="en-US"/>
              </w:rPr>
              <w:t xml:space="preserve">other regions. That could be attributed to the high number of unregistered internal migrant communities in these areas. </w:t>
            </w:r>
          </w:p>
          <w:p w:rsidRPr="009E77BF" w:rsidR="004E0FD3" w:rsidP="004E0FD3" w:rsidRDefault="004E0FD3" w14:paraId="4B482E1D" w14:textId="7BEFB383">
            <w:pPr>
              <w:pStyle w:val="CommentText"/>
              <w:rPr>
                <w:lang w:val="en-US"/>
              </w:rPr>
            </w:pPr>
            <w:r w:rsidRPr="009E77BF">
              <w:rPr>
                <w:lang w:val="en-US"/>
              </w:rPr>
              <w:t>More details on equitable access to the immunization services are presented in the figures below:</w:t>
            </w:r>
          </w:p>
          <w:p w:rsidR="009E77BF" w:rsidP="009E77BF" w:rsidRDefault="009E77BF" w14:paraId="212986CA" w14:textId="210FA12A">
            <w:pPr>
              <w:rPr>
                <w:sz w:val="20"/>
                <w:szCs w:val="20"/>
              </w:rPr>
            </w:pPr>
            <w:r w:rsidRPr="009E77BF">
              <w:rPr>
                <w:sz w:val="20"/>
                <w:szCs w:val="20"/>
              </w:rPr>
              <w:t>Comparison between MICS 2014 and MICS 2018, shows that DTP3 coverage decreased by 9.1% (95.9% versus 86.4%).</w:t>
            </w:r>
          </w:p>
          <w:p w:rsidRPr="009E77BF" w:rsidR="003B64C9" w:rsidP="009E77BF" w:rsidRDefault="003B64C9" w14:paraId="6FA69176" w14:textId="77777777">
            <w:pPr>
              <w:rPr>
                <w:sz w:val="20"/>
                <w:szCs w:val="20"/>
              </w:rPr>
            </w:pPr>
          </w:p>
          <w:p w:rsidR="009E77BF" w:rsidP="009E77BF" w:rsidRDefault="009E77BF" w14:paraId="5124B039" w14:textId="64274776">
            <w:pPr>
              <w:rPr>
                <w:sz w:val="20"/>
                <w:szCs w:val="20"/>
              </w:rPr>
            </w:pPr>
            <w:r w:rsidRPr="009E77BF">
              <w:rPr>
                <w:sz w:val="20"/>
                <w:szCs w:val="20"/>
              </w:rPr>
              <w:t>In difference with DTP vaccination, MMR1 coverage increased by 3.2% (from 93% in 2</w:t>
            </w:r>
            <w:sdt>
              <w:sdtPr>
                <w:rPr>
                  <w:sz w:val="20"/>
                  <w:szCs w:val="20"/>
                </w:rPr>
                <w:tag w:val="goog_rdk_0"/>
                <w:id w:val="702601464"/>
              </w:sdtPr>
              <w:sdtEndPr/>
              <w:sdtContent/>
            </w:sdt>
            <w:r w:rsidRPr="009E77BF">
              <w:rPr>
                <w:sz w:val="20"/>
                <w:szCs w:val="20"/>
              </w:rPr>
              <w:t>014 versus 96.</w:t>
            </w:r>
            <w:sdt>
              <w:sdtPr>
                <w:rPr>
                  <w:sz w:val="20"/>
                  <w:szCs w:val="20"/>
                </w:rPr>
                <w:tag w:val="goog_rdk_36"/>
                <w:id w:val="433782117"/>
              </w:sdtPr>
              <w:sdtEndPr/>
              <w:sdtContent/>
            </w:sdt>
            <w:sdt>
              <w:sdtPr>
                <w:rPr>
                  <w:sz w:val="20"/>
                  <w:szCs w:val="20"/>
                </w:rPr>
                <w:tag w:val="goog_rdk_52"/>
                <w:id w:val="-2143332307"/>
              </w:sdtPr>
              <w:sdtEndPr/>
              <w:sdtContent/>
            </w:sdt>
            <w:sdt>
              <w:sdtPr>
                <w:rPr>
                  <w:sz w:val="20"/>
                  <w:szCs w:val="20"/>
                </w:rPr>
                <w:tag w:val="goog_rdk_69"/>
                <w:id w:val="348225605"/>
              </w:sdtPr>
              <w:sdtEndPr/>
              <w:sdtContent/>
            </w:sdt>
            <w:sdt>
              <w:sdtPr>
                <w:rPr>
                  <w:sz w:val="20"/>
                  <w:szCs w:val="20"/>
                </w:rPr>
                <w:tag w:val="goog_rdk_84"/>
                <w:id w:val="1175840641"/>
              </w:sdtPr>
              <w:sdtEndPr/>
              <w:sdtContent/>
            </w:sdt>
            <w:sdt>
              <w:sdtPr>
                <w:rPr>
                  <w:sz w:val="20"/>
                  <w:szCs w:val="20"/>
                </w:rPr>
                <w:tag w:val="goog_rdk_100"/>
                <w:id w:val="-1103184444"/>
              </w:sdtPr>
              <w:sdtEndPr/>
              <w:sdtContent/>
            </w:sdt>
            <w:sdt>
              <w:sdtPr>
                <w:rPr>
                  <w:sz w:val="20"/>
                  <w:szCs w:val="20"/>
                </w:rPr>
                <w:tag w:val="goog_rdk_117"/>
                <w:id w:val="1627575184"/>
              </w:sdtPr>
              <w:sdtEndPr/>
              <w:sdtContent/>
            </w:sdt>
            <w:sdt>
              <w:sdtPr>
                <w:rPr>
                  <w:sz w:val="20"/>
                  <w:szCs w:val="20"/>
                </w:rPr>
                <w:tag w:val="goog_rdk_135"/>
                <w:id w:val="-1848158664"/>
              </w:sdtPr>
              <w:sdtEndPr/>
              <w:sdtContent/>
            </w:sdt>
            <w:sdt>
              <w:sdtPr>
                <w:rPr>
                  <w:sz w:val="20"/>
                  <w:szCs w:val="20"/>
                </w:rPr>
                <w:tag w:val="goog_rdk_154"/>
                <w:id w:val="-127171564"/>
              </w:sdtPr>
              <w:sdtEndPr/>
              <w:sdtContent/>
            </w:sdt>
            <w:sdt>
              <w:sdtPr>
                <w:rPr>
                  <w:sz w:val="20"/>
                  <w:szCs w:val="20"/>
                </w:rPr>
                <w:tag w:val="goog_rdk_174"/>
                <w:id w:val="1450041832"/>
              </w:sdtPr>
              <w:sdtEndPr/>
              <w:sdtContent/>
            </w:sdt>
            <w:sdt>
              <w:sdtPr>
                <w:rPr>
                  <w:sz w:val="20"/>
                  <w:szCs w:val="20"/>
                </w:rPr>
                <w:tag w:val="goog_rdk_195"/>
                <w:id w:val="-394202982"/>
              </w:sdtPr>
              <w:sdtEndPr/>
              <w:sdtContent/>
            </w:sdt>
            <w:sdt>
              <w:sdtPr>
                <w:rPr>
                  <w:sz w:val="20"/>
                  <w:szCs w:val="20"/>
                </w:rPr>
                <w:tag w:val="goog_rdk_217"/>
                <w:id w:val="-1280944318"/>
              </w:sdtPr>
              <w:sdtEndPr/>
              <w:sdtContent/>
            </w:sdt>
            <w:sdt>
              <w:sdtPr>
                <w:rPr>
                  <w:sz w:val="20"/>
                  <w:szCs w:val="20"/>
                </w:rPr>
                <w:tag w:val="goog_rdk_240"/>
                <w:id w:val="-551310510"/>
              </w:sdtPr>
              <w:sdtEndPr/>
              <w:sdtContent/>
            </w:sdt>
            <w:sdt>
              <w:sdtPr>
                <w:rPr>
                  <w:sz w:val="20"/>
                  <w:szCs w:val="20"/>
                </w:rPr>
                <w:tag w:val="goog_rdk_264"/>
                <w:id w:val="-749579822"/>
              </w:sdtPr>
              <w:sdtEndPr/>
              <w:sdtContent/>
            </w:sdt>
            <w:sdt>
              <w:sdtPr>
                <w:rPr>
                  <w:sz w:val="20"/>
                  <w:szCs w:val="20"/>
                </w:rPr>
                <w:tag w:val="goog_rdk_288"/>
                <w:id w:val="771816795"/>
              </w:sdtPr>
              <w:sdtEndPr/>
              <w:sdtContent/>
            </w:sdt>
            <w:sdt>
              <w:sdtPr>
                <w:rPr>
                  <w:sz w:val="20"/>
                  <w:szCs w:val="20"/>
                </w:rPr>
                <w:tag w:val="goog_rdk_314"/>
                <w:id w:val="125831155"/>
              </w:sdtPr>
              <w:sdtEndPr/>
              <w:sdtContent/>
            </w:sdt>
            <w:sdt>
              <w:sdtPr>
                <w:rPr>
                  <w:sz w:val="20"/>
                  <w:szCs w:val="20"/>
                </w:rPr>
                <w:tag w:val="goog_rdk_341"/>
                <w:id w:val="1041864738"/>
              </w:sdtPr>
              <w:sdtEndPr/>
              <w:sdtContent/>
            </w:sdt>
            <w:sdt>
              <w:sdtPr>
                <w:rPr>
                  <w:sz w:val="20"/>
                  <w:szCs w:val="20"/>
                </w:rPr>
                <w:tag w:val="goog_rdk_369"/>
                <w:id w:val="-1586306604"/>
              </w:sdtPr>
              <w:sdtEndPr/>
              <w:sdtContent/>
            </w:sdt>
            <w:sdt>
              <w:sdtPr>
                <w:rPr>
                  <w:sz w:val="20"/>
                  <w:szCs w:val="20"/>
                </w:rPr>
                <w:tag w:val="goog_rdk_398"/>
                <w:id w:val="-106050860"/>
              </w:sdtPr>
              <w:sdtEndPr/>
              <w:sdtContent/>
            </w:sdt>
            <w:r w:rsidRPr="009E77BF">
              <w:rPr>
                <w:sz w:val="20"/>
                <w:szCs w:val="20"/>
              </w:rPr>
              <w:t>2% in 2018), while according to the WIENIC estimates MMR2 coverage decreased by 1% from 97% in 2014 to 96% in 2018.</w:t>
            </w:r>
            <w:r w:rsidRPr="009E77BF">
              <w:rPr>
                <w:sz w:val="20"/>
                <w:szCs w:val="20"/>
                <w:vertAlign w:val="superscript"/>
              </w:rPr>
              <w:footnoteReference w:id="4"/>
            </w:r>
          </w:p>
          <w:p w:rsidRPr="009E77BF" w:rsidR="003B64C9" w:rsidP="009E77BF" w:rsidRDefault="003B64C9" w14:paraId="51ED73C6" w14:textId="77777777">
            <w:pPr>
              <w:rPr>
                <w:sz w:val="20"/>
                <w:szCs w:val="20"/>
              </w:rPr>
            </w:pPr>
          </w:p>
          <w:p w:rsidRPr="009E77BF" w:rsidR="009E77BF" w:rsidP="009E77BF" w:rsidRDefault="009E77BF" w14:paraId="0789676F" w14:textId="77777777">
            <w:pPr>
              <w:rPr>
                <w:b/>
                <w:sz w:val="20"/>
                <w:szCs w:val="20"/>
              </w:rPr>
            </w:pPr>
            <w:r w:rsidRPr="009E77BF">
              <w:rPr>
                <w:b/>
                <w:sz w:val="20"/>
                <w:szCs w:val="20"/>
              </w:rPr>
              <w:t>Equity in accessing immunization services</w:t>
            </w:r>
          </w:p>
          <w:p w:rsidRPr="009E77BF" w:rsidR="009E77BF" w:rsidP="009E77BF" w:rsidRDefault="009E77BF" w14:paraId="3D51AFF1" w14:textId="77777777">
            <w:pPr>
              <w:rPr>
                <w:sz w:val="20"/>
                <w:szCs w:val="20"/>
              </w:rPr>
            </w:pPr>
            <w:r w:rsidRPr="009E77BF">
              <w:rPr>
                <w:sz w:val="20"/>
                <w:szCs w:val="20"/>
              </w:rPr>
              <w:t>According to the results of MICS 2018, DTP3 coverage has the following trends:</w:t>
            </w:r>
          </w:p>
          <w:p w:rsidRPr="009E77BF" w:rsidR="009E77BF" w:rsidP="009E77BF" w:rsidRDefault="009E77BF" w14:paraId="01D7873F" w14:textId="77777777">
            <w:pPr>
              <w:numPr>
                <w:ilvl w:val="0"/>
                <w:numId w:val="6"/>
              </w:numPr>
              <w:pBdr>
                <w:top w:val="nil"/>
                <w:left w:val="nil"/>
                <w:bottom w:val="nil"/>
                <w:right w:val="nil"/>
                <w:between w:val="nil"/>
              </w:pBdr>
              <w:spacing w:before="120" w:line="240" w:lineRule="auto"/>
              <w:jc w:val="both"/>
              <w:rPr>
                <w:sz w:val="20"/>
                <w:szCs w:val="20"/>
              </w:rPr>
            </w:pPr>
            <w:r w:rsidRPr="009E77BF">
              <w:rPr>
                <w:color w:val="000000"/>
                <w:sz w:val="20"/>
                <w:szCs w:val="20"/>
              </w:rPr>
              <w:t>by the wealth disparity index, there are significant differences with a difference of 11% between the richest and the poorest (76.4% versus 87.5%). The trend increased by 5.4% compared to 2014.</w:t>
            </w:r>
          </w:p>
          <w:p w:rsidRPr="009E77BF" w:rsidR="009E77BF" w:rsidP="009E77BF" w:rsidRDefault="009E77BF" w14:paraId="446C356F" w14:textId="77777777">
            <w:pPr>
              <w:numPr>
                <w:ilvl w:val="0"/>
                <w:numId w:val="6"/>
              </w:numPr>
              <w:pBdr>
                <w:top w:val="nil"/>
                <w:left w:val="nil"/>
                <w:bottom w:val="nil"/>
                <w:right w:val="nil"/>
                <w:between w:val="nil"/>
              </w:pBdr>
              <w:spacing w:after="120" w:line="240" w:lineRule="auto"/>
              <w:jc w:val="both"/>
              <w:rPr>
                <w:sz w:val="20"/>
                <w:szCs w:val="20"/>
              </w:rPr>
            </w:pPr>
            <w:r w:rsidRPr="009E77BF">
              <w:rPr>
                <w:color w:val="000000"/>
                <w:sz w:val="20"/>
                <w:szCs w:val="20"/>
              </w:rPr>
              <w:t xml:space="preserve">in terms of mothers’ education - DTP3 coverage was lower by 3.9% among the children whose mothers had basic education when compared with the children whose mothers had higher education (86.1% vs. 90%). </w:t>
            </w:r>
          </w:p>
          <w:p w:rsidRPr="009E77BF" w:rsidR="009E77BF" w:rsidP="009E77BF" w:rsidRDefault="009E77BF" w14:paraId="064AA9FD" w14:textId="77777777">
            <w:pPr>
              <w:rPr>
                <w:sz w:val="20"/>
                <w:szCs w:val="20"/>
              </w:rPr>
            </w:pPr>
            <w:r w:rsidRPr="009E77BF">
              <w:rPr>
                <w:sz w:val="20"/>
                <w:szCs w:val="20"/>
              </w:rPr>
              <w:t>The trend, compared to 2014, is probably maintained among the richest and middle strata of the population, due to more access to information via the Internet, where there is a large amount of negative information about the insecurity of vaccines.</w:t>
            </w:r>
          </w:p>
          <w:p w:rsidRPr="009E77BF" w:rsidR="009E77BF" w:rsidP="009E77BF" w:rsidRDefault="009E77BF" w14:paraId="7967FE09" w14:textId="77777777">
            <w:pPr>
              <w:numPr>
                <w:ilvl w:val="0"/>
                <w:numId w:val="7"/>
              </w:numPr>
              <w:pBdr>
                <w:top w:val="nil"/>
                <w:left w:val="nil"/>
                <w:bottom w:val="nil"/>
                <w:right w:val="nil"/>
                <w:between w:val="nil"/>
              </w:pBdr>
              <w:spacing w:before="120" w:line="240" w:lineRule="auto"/>
              <w:jc w:val="both"/>
              <w:rPr>
                <w:sz w:val="20"/>
                <w:szCs w:val="20"/>
              </w:rPr>
            </w:pPr>
            <w:r w:rsidRPr="009E77BF">
              <w:rPr>
                <w:color w:val="000000"/>
                <w:sz w:val="20"/>
                <w:szCs w:val="20"/>
              </w:rPr>
              <w:t xml:space="preserve">DTP3 coverage among girls was 88.9%, among boys 84.1%. The gender difference in </w:t>
            </w:r>
            <w:proofErr w:type="spellStart"/>
            <w:r w:rsidRPr="009E77BF">
              <w:rPr>
                <w:color w:val="000000"/>
                <w:sz w:val="20"/>
                <w:szCs w:val="20"/>
              </w:rPr>
              <w:t>favour</w:t>
            </w:r>
            <w:proofErr w:type="spellEnd"/>
            <w:r w:rsidRPr="009E77BF">
              <w:rPr>
                <w:color w:val="000000"/>
                <w:sz w:val="20"/>
                <w:szCs w:val="20"/>
              </w:rPr>
              <w:t xml:space="preserve"> of girls is 4.8%, although in 2014 this difference was 1.4%.</w:t>
            </w:r>
          </w:p>
          <w:p w:rsidRPr="009E77BF" w:rsidR="009E77BF" w:rsidP="009E77BF" w:rsidRDefault="009E77BF" w14:paraId="2589A924" w14:textId="77777777">
            <w:pPr>
              <w:numPr>
                <w:ilvl w:val="0"/>
                <w:numId w:val="7"/>
              </w:numPr>
              <w:pBdr>
                <w:top w:val="nil"/>
                <w:left w:val="nil"/>
                <w:bottom w:val="nil"/>
                <w:right w:val="nil"/>
                <w:between w:val="nil"/>
              </w:pBdr>
              <w:spacing w:after="120" w:line="240" w:lineRule="auto"/>
              <w:jc w:val="both"/>
              <w:rPr>
                <w:sz w:val="20"/>
                <w:szCs w:val="20"/>
              </w:rPr>
            </w:pPr>
            <w:r w:rsidRPr="009E77BF">
              <w:rPr>
                <w:color w:val="000000"/>
                <w:sz w:val="20"/>
                <w:szCs w:val="20"/>
              </w:rPr>
              <w:t xml:space="preserve">DTP3 coverage is lower in urban areas (79.2%) than in rural areas (89.8%). Based on the regional breakdown, Bishkek and Chui oblast (about 70%) have lower coverage compared to other regions. That could be attributed to the high number of unregistered internal migrant communities in these areas. </w:t>
            </w:r>
          </w:p>
          <w:p w:rsidR="009E77BF" w:rsidP="009E77BF" w:rsidRDefault="009E77BF" w14:paraId="35C6A80B" w14:textId="2A4DDCD2">
            <w:pPr>
              <w:pStyle w:val="CommentText"/>
            </w:pPr>
            <w:r w:rsidRPr="009E77BF">
              <w:t>More details on equitable access to the immunization services are presented in the figures below:</w:t>
            </w:r>
          </w:p>
          <w:p w:rsidRPr="009E77BF" w:rsidR="009E77BF" w:rsidP="009E77BF" w:rsidRDefault="009E77BF" w14:paraId="081D2FF8" w14:textId="77777777">
            <w:pPr>
              <w:pStyle w:val="CommentText"/>
              <w:rPr>
                <w:lang w:val="en-US"/>
              </w:rPr>
            </w:pPr>
          </w:p>
          <w:p w:rsidR="00D56FC7" w:rsidRDefault="009E77BF" w14:paraId="249695B2" w14:textId="270B5EA5">
            <w:pPr>
              <w:rPr>
                <w:lang w:val="en-US"/>
              </w:rPr>
            </w:pPr>
            <w:r w:rsidRPr="004E0FD3">
              <w:rPr>
                <w:noProof/>
              </w:rPr>
              <w:drawing>
                <wp:inline distT="0" distB="0" distL="0" distR="0" wp14:anchorId="7A3ABA87" wp14:editId="3A12BE09">
                  <wp:extent cx="5318760" cy="2204720"/>
                  <wp:effectExtent l="0" t="0" r="0" b="0"/>
                  <wp:docPr id="497" name="Chart 49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E77BF" w:rsidRDefault="009E77BF" w14:paraId="7184F9FA" w14:textId="3ABE3F84">
            <w:pPr>
              <w:rPr>
                <w:lang w:val="en-US"/>
              </w:rPr>
            </w:pPr>
          </w:p>
          <w:p w:rsidR="009E77BF" w:rsidRDefault="009E77BF" w14:paraId="2F97804C" w14:textId="554F9F66">
            <w:pPr>
              <w:rPr>
                <w:lang w:val="en-US"/>
              </w:rPr>
            </w:pPr>
            <w:r w:rsidRPr="004E0FD3">
              <w:rPr>
                <w:noProof/>
              </w:rPr>
              <w:lastRenderedPageBreak/>
              <w:drawing>
                <wp:inline distT="0" distB="0" distL="0" distR="0" wp14:anchorId="6AA2EB49" wp14:editId="07294A8E">
                  <wp:extent cx="5318760" cy="2362200"/>
                  <wp:effectExtent l="0" t="0" r="0" b="0"/>
                  <wp:docPr id="500" name="Chart 50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E77BF" w:rsidRDefault="009E77BF" w14:paraId="614B8472" w14:textId="4C81C4F8">
            <w:pPr>
              <w:rPr>
                <w:lang w:val="en-US"/>
              </w:rPr>
            </w:pPr>
          </w:p>
          <w:p w:rsidRPr="004E0FD3" w:rsidR="009E77BF" w:rsidRDefault="009E77BF" w14:paraId="7A67C745" w14:textId="0C1A0C47">
            <w:pPr>
              <w:rPr>
                <w:lang w:val="en-US"/>
              </w:rPr>
            </w:pPr>
            <w:r w:rsidRPr="004E0FD3">
              <w:rPr>
                <w:noProof/>
              </w:rPr>
              <w:drawing>
                <wp:anchor distT="0" distB="0" distL="114300" distR="114300" simplePos="0" relativeHeight="251662336" behindDoc="0" locked="0" layoutInCell="1" allowOverlap="1" wp14:anchorId="62C8B026" wp14:editId="481A92B9">
                  <wp:simplePos x="0" y="0"/>
                  <wp:positionH relativeFrom="column">
                    <wp:posOffset>-5080</wp:posOffset>
                  </wp:positionH>
                  <wp:positionV relativeFrom="paragraph">
                    <wp:posOffset>189865</wp:posOffset>
                  </wp:positionV>
                  <wp:extent cx="5276850" cy="2661920"/>
                  <wp:effectExtent l="0" t="0" r="0" b="5080"/>
                  <wp:wrapSquare wrapText="bothSides"/>
                  <wp:docPr id="499" name="Chart 49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anchor>
              </w:drawing>
            </w:r>
          </w:p>
          <w:p w:rsidRPr="004E0FD3" w:rsidR="00650EB6" w:rsidP="00871FCF" w:rsidRDefault="00650EB6" w14:paraId="78052B35" w14:textId="77777777">
            <w:pPr>
              <w:spacing w:line="300" w:lineRule="exact"/>
              <w:rPr>
                <w:color w:val="92D050"/>
                <w:lang w:val="en-US"/>
              </w:rPr>
            </w:pPr>
          </w:p>
        </w:tc>
      </w:tr>
    </w:tbl>
    <w:p w:rsidR="000759BE" w:rsidP="00FC4A11" w:rsidRDefault="000759BE" w14:paraId="434C7691" w14:textId="77777777">
      <w:pPr>
        <w:spacing w:line="300" w:lineRule="exact"/>
        <w:rPr>
          <w:bCs/>
          <w:color w:val="808080" w:themeColor="background1" w:themeShade="80"/>
          <w:lang w:val="en-GB"/>
        </w:rPr>
      </w:pPr>
    </w:p>
    <w:p w:rsidRPr="00372D1F" w:rsidR="004E4361" w:rsidP="00CE1F57" w:rsidRDefault="004E4361" w14:paraId="5CAF378B" w14:textId="658F9E51">
      <w:pPr>
        <w:pStyle w:val="ListParagraph"/>
        <w:numPr>
          <w:ilvl w:val="0"/>
          <w:numId w:val="4"/>
        </w:numPr>
        <w:spacing w:line="300" w:lineRule="exact"/>
        <w:ind w:left="426"/>
        <w:rPr>
          <w:b/>
          <w:bCs/>
          <w:color w:val="84C650"/>
          <w:sz w:val="26"/>
          <w:szCs w:val="26"/>
          <w:lang w:val="en-GB"/>
        </w:rPr>
      </w:pPr>
      <w:r w:rsidRPr="08473C56">
        <w:rPr>
          <w:b/>
          <w:bCs/>
          <w:color w:val="70AD47" w:themeColor="accent6"/>
          <w:sz w:val="26"/>
          <w:szCs w:val="26"/>
          <w:lang w:val="en-GB"/>
        </w:rPr>
        <w:t xml:space="preserve">Current </w:t>
      </w:r>
      <w:r w:rsidRPr="08473C56" w:rsidR="00352AE9">
        <w:rPr>
          <w:b/>
          <w:bCs/>
          <w:color w:val="70AD47" w:themeColor="accent6"/>
          <w:sz w:val="26"/>
          <w:szCs w:val="26"/>
          <w:lang w:val="en-GB"/>
        </w:rPr>
        <w:t>TA needs</w:t>
      </w:r>
      <w:r w:rsidRPr="08473C56">
        <w:rPr>
          <w:b/>
          <w:bCs/>
          <w:color w:val="70AD47" w:themeColor="accent6"/>
          <w:sz w:val="26"/>
          <w:szCs w:val="26"/>
          <w:lang w:val="en-GB"/>
        </w:rPr>
        <w:t xml:space="preserve"> of your immunisation system </w:t>
      </w:r>
      <w:r w:rsidRPr="08473C56" w:rsidR="006D5892">
        <w:rPr>
          <w:b/>
          <w:bCs/>
          <w:color w:val="70AD47" w:themeColor="accent6"/>
          <w:sz w:val="26"/>
          <w:szCs w:val="26"/>
          <w:lang w:val="en-GB"/>
        </w:rPr>
        <w:t>(</w:t>
      </w:r>
      <w:r w:rsidRPr="08473C56" w:rsidR="00301307">
        <w:rPr>
          <w:b/>
          <w:bCs/>
          <w:color w:val="70AD47" w:themeColor="accent6"/>
          <w:sz w:val="26"/>
          <w:szCs w:val="26"/>
          <w:lang w:val="en-GB"/>
        </w:rPr>
        <w:t xml:space="preserve">1-2 </w:t>
      </w:r>
      <w:r w:rsidRPr="08473C56" w:rsidR="006D5892">
        <w:rPr>
          <w:b/>
          <w:bCs/>
          <w:color w:val="70AD47" w:themeColor="accent6"/>
          <w:sz w:val="26"/>
          <w:szCs w:val="26"/>
          <w:lang w:val="en-GB"/>
        </w:rPr>
        <w:t>pages)</w:t>
      </w:r>
    </w:p>
    <w:p w:rsidRPr="00D93986" w:rsidR="0095370A" w:rsidP="00E50185" w:rsidRDefault="00EC2EA5" w14:paraId="272993D5" w14:textId="0A023459">
      <w:pPr>
        <w:pStyle w:val="ListParagraph"/>
        <w:spacing w:line="300" w:lineRule="exact"/>
        <w:ind w:left="142"/>
        <w:rPr>
          <w:b/>
          <w:i/>
          <w:sz w:val="20"/>
          <w:szCs w:val="20"/>
        </w:rPr>
      </w:pPr>
      <w:r w:rsidRPr="00D93986">
        <w:rPr>
          <w:b/>
          <w:bCs/>
          <w:i/>
          <w:iCs/>
          <w:sz w:val="20"/>
          <w:szCs w:val="20"/>
        </w:rPr>
        <w:t xml:space="preserve">Please provide </w:t>
      </w:r>
      <w:r w:rsidRPr="00D93986" w:rsidR="008B2F8A">
        <w:rPr>
          <w:b/>
          <w:bCs/>
          <w:i/>
          <w:iCs/>
          <w:sz w:val="20"/>
          <w:szCs w:val="20"/>
        </w:rPr>
        <w:t xml:space="preserve">the planned allocation of PEF TCA towards </w:t>
      </w:r>
      <w:r w:rsidRPr="00D93986" w:rsidR="004010B7">
        <w:rPr>
          <w:b/>
          <w:bCs/>
          <w:i/>
          <w:iCs/>
          <w:sz w:val="20"/>
          <w:szCs w:val="20"/>
        </w:rPr>
        <w:t>investments areas and hig</w:t>
      </w:r>
      <w:r w:rsidR="00107D9F">
        <w:rPr>
          <w:b/>
          <w:bCs/>
          <w:i/>
          <w:iCs/>
          <w:sz w:val="20"/>
          <w:szCs w:val="20"/>
        </w:rPr>
        <w:t>h</w:t>
      </w:r>
      <w:r w:rsidRPr="00D93986" w:rsidR="004010B7">
        <w:rPr>
          <w:b/>
          <w:bCs/>
          <w:i/>
          <w:iCs/>
          <w:sz w:val="20"/>
          <w:szCs w:val="20"/>
        </w:rPr>
        <w:t>-level objectives. Gavi-supported investment areas and a menu of objectives are available for refer</w:t>
      </w:r>
      <w:r w:rsidR="00107D9F">
        <w:rPr>
          <w:b/>
          <w:bCs/>
          <w:i/>
          <w:iCs/>
          <w:sz w:val="20"/>
          <w:szCs w:val="20"/>
        </w:rPr>
        <w:t>e</w:t>
      </w:r>
      <w:r w:rsidRPr="00D93986" w:rsidR="004010B7">
        <w:rPr>
          <w:b/>
          <w:bCs/>
          <w:i/>
          <w:iCs/>
          <w:sz w:val="20"/>
          <w:szCs w:val="20"/>
        </w:rPr>
        <w:t>nce in Gav</w:t>
      </w:r>
      <w:r w:rsidR="00107D9F">
        <w:rPr>
          <w:b/>
          <w:bCs/>
          <w:i/>
          <w:iCs/>
          <w:sz w:val="20"/>
          <w:szCs w:val="20"/>
        </w:rPr>
        <w:t>i</w:t>
      </w:r>
      <w:r w:rsidRPr="00D93986" w:rsidR="004010B7">
        <w:rPr>
          <w:b/>
          <w:bCs/>
          <w:i/>
          <w:iCs/>
          <w:sz w:val="20"/>
          <w:szCs w:val="20"/>
        </w:rPr>
        <w:t xml:space="preserve">’s </w:t>
      </w:r>
      <w:hyperlink w:history="1" r:id="rId16">
        <w:r w:rsidRPr="00270AE6" w:rsidR="00270AE6">
          <w:rPr>
            <w:rStyle w:val="Hyperlink"/>
            <w:b/>
            <w:bCs/>
            <w:i/>
            <w:iCs/>
            <w:sz w:val="20"/>
            <w:szCs w:val="20"/>
          </w:rPr>
          <w:t>Programme Funding Guidelines</w:t>
        </w:r>
      </w:hyperlink>
      <w:r w:rsidRPr="00D93986" w:rsidR="004010B7">
        <w:rPr>
          <w:b/>
          <w:bCs/>
          <w:i/>
          <w:iCs/>
          <w:sz w:val="20"/>
          <w:szCs w:val="20"/>
        </w:rPr>
        <w:t>.</w:t>
      </w:r>
      <w:r w:rsidR="00DD6A66">
        <w:rPr>
          <w:b/>
          <w:bCs/>
          <w:i/>
          <w:iCs/>
          <w:sz w:val="20"/>
          <w:szCs w:val="20"/>
        </w:rPr>
        <w:t xml:space="preserve"> The country can plan </w:t>
      </w:r>
      <w:r w:rsidR="00B0585F">
        <w:rPr>
          <w:b/>
          <w:bCs/>
          <w:i/>
          <w:iCs/>
          <w:sz w:val="20"/>
          <w:szCs w:val="20"/>
        </w:rPr>
        <w:t>for the remaining duration of their current HSS grant.</w:t>
      </w:r>
    </w:p>
    <w:p w:rsidR="007F2F8B" w:rsidP="00372D1F" w:rsidRDefault="007F2F8B" w14:paraId="6567DB8B" w14:textId="77777777">
      <w:pPr>
        <w:pStyle w:val="ListParagraph"/>
        <w:spacing w:line="300" w:lineRule="exact"/>
        <w:ind w:left="426"/>
        <w:rPr>
          <w:i/>
          <w:color w:val="808080" w:themeColor="background1" w:themeShade="80"/>
          <w:lang w:val="en-GB"/>
        </w:rPr>
      </w:pPr>
    </w:p>
    <w:p w:rsidRPr="006C63B1" w:rsidR="00655D56" w:rsidP="00372D1F" w:rsidRDefault="00372D1F" w14:paraId="1D079834" w14:textId="3BFFF507">
      <w:pPr>
        <w:pStyle w:val="ListParagraph"/>
        <w:spacing w:line="300" w:lineRule="exact"/>
        <w:ind w:left="426"/>
        <w:rPr>
          <w:i/>
          <w:color w:val="808080" w:themeColor="background1" w:themeShade="80"/>
          <w:lang w:val="en-GB"/>
        </w:rPr>
      </w:pPr>
      <w:r w:rsidRPr="0065351E">
        <w:rPr>
          <w:i/>
          <w:color w:val="808080" w:themeColor="background1" w:themeShade="80"/>
          <w:lang w:val="en-GB"/>
        </w:rPr>
        <w:t>(Please feel free to add lines as needed)</w:t>
      </w:r>
    </w:p>
    <w:tbl>
      <w:tblPr>
        <w:tblStyle w:val="TableGrid"/>
        <w:tblW w:w="8982" w:type="dxa"/>
        <w:tblInd w:w="-5" w:type="dxa"/>
        <w:tblLook w:val="04A0" w:firstRow="1" w:lastRow="0" w:firstColumn="1" w:lastColumn="0" w:noHBand="0" w:noVBand="1"/>
      </w:tblPr>
      <w:tblGrid>
        <w:gridCol w:w="2162"/>
        <w:gridCol w:w="3890"/>
        <w:gridCol w:w="1908"/>
        <w:gridCol w:w="1022"/>
      </w:tblGrid>
      <w:tr w:rsidR="004D0C16" w:rsidTr="11FD19E7" w14:paraId="4754848F" w14:textId="2B3AF5AA">
        <w:tc>
          <w:tcPr>
            <w:tcW w:w="6052" w:type="dxa"/>
            <w:gridSpan w:val="2"/>
            <w:shd w:val="clear" w:color="auto" w:fill="DEEAF6" w:themeFill="accent5" w:themeFillTint="33"/>
            <w:tcMar/>
          </w:tcPr>
          <w:p w:rsidRPr="00372D1F" w:rsidR="004D0C16" w:rsidP="00871FCF" w:rsidRDefault="004D0C16" w14:paraId="60978116" w14:textId="77777777">
            <w:pPr>
              <w:spacing w:line="300" w:lineRule="exact"/>
              <w:rPr>
                <w:b/>
                <w:lang w:val="en-GB"/>
              </w:rPr>
            </w:pPr>
            <w:r>
              <w:rPr>
                <w:b/>
                <w:lang w:val="en-GB"/>
              </w:rPr>
              <w:t>High-level Plan</w:t>
            </w:r>
          </w:p>
        </w:tc>
        <w:tc>
          <w:tcPr>
            <w:tcW w:w="1908" w:type="dxa"/>
            <w:shd w:val="clear" w:color="auto" w:fill="DEEAF6" w:themeFill="accent5" w:themeFillTint="33"/>
            <w:tcMar/>
          </w:tcPr>
          <w:p w:rsidRPr="00372D1F" w:rsidR="004D0C16" w:rsidP="00871FCF" w:rsidRDefault="004D0C16" w14:paraId="2F400D8C" w14:textId="754228F6">
            <w:pPr>
              <w:spacing w:line="300" w:lineRule="exact"/>
              <w:rPr>
                <w:b/>
                <w:color w:val="808080" w:themeColor="background1" w:themeShade="80"/>
                <w:lang w:val="en-GB"/>
              </w:rPr>
            </w:pPr>
            <w:r w:rsidRPr="00372D1F">
              <w:rPr>
                <w:b/>
                <w:lang w:val="en-GB"/>
              </w:rPr>
              <w:t>Budget (USD)</w:t>
            </w:r>
          </w:p>
        </w:tc>
        <w:tc>
          <w:tcPr>
            <w:tcW w:w="1022" w:type="dxa"/>
            <w:shd w:val="clear" w:color="auto" w:fill="DEEAF6" w:themeFill="accent5" w:themeFillTint="33"/>
            <w:tcMar/>
          </w:tcPr>
          <w:p w:rsidRPr="00372D1F" w:rsidR="004D0C16" w:rsidP="00871FCF" w:rsidRDefault="00131FD5" w14:paraId="0FEF51FA" w14:textId="32409750">
            <w:pPr>
              <w:spacing w:line="300" w:lineRule="exact"/>
              <w:rPr>
                <w:b/>
                <w:lang w:val="en-GB"/>
              </w:rPr>
            </w:pPr>
            <w:r>
              <w:rPr>
                <w:b/>
                <w:lang w:val="en-GB"/>
              </w:rPr>
              <w:t>%</w:t>
            </w:r>
          </w:p>
        </w:tc>
      </w:tr>
      <w:tr w:rsidR="004D0C16" w:rsidTr="11FD19E7" w14:paraId="65B29F5B" w14:textId="129D73A5">
        <w:tc>
          <w:tcPr>
            <w:tcW w:w="6052" w:type="dxa"/>
            <w:gridSpan w:val="2"/>
            <w:shd w:val="clear" w:color="auto" w:fill="E2EFD9" w:themeFill="accent6" w:themeFillTint="33"/>
            <w:tcMar/>
          </w:tcPr>
          <w:p w:rsidRPr="00372D1F" w:rsidR="004D0C16" w:rsidP="00871FCF" w:rsidRDefault="004D0C16" w14:paraId="106E2D7B" w14:textId="77777777">
            <w:pPr>
              <w:spacing w:line="300" w:lineRule="exact"/>
              <w:jc w:val="right"/>
              <w:rPr>
                <w:b/>
                <w:color w:val="808080" w:themeColor="background1" w:themeShade="80"/>
                <w:lang w:val="en-GB"/>
              </w:rPr>
            </w:pPr>
            <w:r w:rsidRPr="00372D1F">
              <w:rPr>
                <w:b/>
                <w:lang w:val="en-GB"/>
              </w:rPr>
              <w:t>2022</w:t>
            </w:r>
          </w:p>
        </w:tc>
        <w:tc>
          <w:tcPr>
            <w:tcW w:w="1908" w:type="dxa"/>
            <w:shd w:val="clear" w:color="auto" w:fill="E2EFD9" w:themeFill="accent6" w:themeFillTint="33"/>
            <w:tcMar/>
          </w:tcPr>
          <w:p w:rsidR="004D0C16" w:rsidP="00871FCF" w:rsidRDefault="004D0C16" w14:paraId="6DD37EC1" w14:textId="77777777">
            <w:pPr>
              <w:spacing w:line="300" w:lineRule="exact"/>
              <w:jc w:val="right"/>
              <w:rPr>
                <w:bCs/>
                <w:color w:val="808080" w:themeColor="background1" w:themeShade="80"/>
                <w:lang w:val="en-GB"/>
              </w:rPr>
            </w:pPr>
          </w:p>
        </w:tc>
        <w:tc>
          <w:tcPr>
            <w:tcW w:w="1022" w:type="dxa"/>
            <w:shd w:val="clear" w:color="auto" w:fill="E2EFD9" w:themeFill="accent6" w:themeFillTint="33"/>
            <w:tcMar/>
          </w:tcPr>
          <w:p w:rsidR="004D0C16" w:rsidP="00871FCF" w:rsidRDefault="004D0C16" w14:paraId="3D6A3C6F" w14:textId="77777777">
            <w:pPr>
              <w:spacing w:line="300" w:lineRule="exact"/>
              <w:jc w:val="right"/>
              <w:rPr>
                <w:bCs/>
                <w:color w:val="808080" w:themeColor="background1" w:themeShade="80"/>
                <w:lang w:val="en-GB"/>
              </w:rPr>
            </w:pPr>
          </w:p>
        </w:tc>
      </w:tr>
      <w:tr w:rsidR="00561CA2" w:rsidTr="11FD19E7" w14:paraId="113A41E1" w14:textId="1B4A5F63">
        <w:tc>
          <w:tcPr>
            <w:tcW w:w="2162" w:type="dxa"/>
            <w:shd w:val="clear" w:color="auto" w:fill="FFFFFF" w:themeFill="background1"/>
            <w:tcMar/>
          </w:tcPr>
          <w:p w:rsidRPr="00561CA2" w:rsidR="00561CA2" w:rsidP="00561CA2" w:rsidRDefault="00561CA2" w14:paraId="10985FF8" w14:textId="5422DFB6">
            <w:pPr>
              <w:spacing w:line="300" w:lineRule="exact"/>
              <w:rPr>
                <w:bCs/>
                <w:color w:val="000000" w:themeColor="text1"/>
                <w:sz w:val="20"/>
                <w:szCs w:val="20"/>
                <w:lang w:val="en-GB"/>
              </w:rPr>
            </w:pPr>
            <w:r w:rsidRPr="00561CA2">
              <w:rPr>
                <w:bCs/>
                <w:color w:val="000000" w:themeColor="text1"/>
                <w:sz w:val="20"/>
                <w:szCs w:val="20"/>
                <w:lang w:val="en-US"/>
              </w:rPr>
              <w:t xml:space="preserve">Delivery of services </w:t>
            </w:r>
          </w:p>
        </w:tc>
        <w:tc>
          <w:tcPr>
            <w:tcW w:w="3890" w:type="dxa"/>
            <w:shd w:val="clear" w:color="auto" w:fill="FFFFFF" w:themeFill="background1"/>
            <w:tcMar/>
          </w:tcPr>
          <w:p w:rsidRPr="00E079CD" w:rsidR="00E079CD" w:rsidP="00561CA2" w:rsidRDefault="00E079CD" w14:paraId="086E75D0" w14:textId="47B851F4">
            <w:pPr>
              <w:spacing w:line="300" w:lineRule="exact"/>
              <w:jc w:val="both"/>
              <w:rPr>
                <w:sz w:val="20"/>
                <w:szCs w:val="20"/>
                <w:lang w:val="en-US"/>
              </w:rPr>
            </w:pPr>
            <w:r w:rsidRPr="00E079CD">
              <w:rPr>
                <w:sz w:val="20"/>
                <w:szCs w:val="20"/>
              </w:rPr>
              <w:t xml:space="preserve">Improve and extend </w:t>
            </w:r>
            <w:proofErr w:type="spellStart"/>
            <w:r w:rsidRPr="00E079CD">
              <w:rPr>
                <w:sz w:val="20"/>
                <w:szCs w:val="20"/>
              </w:rPr>
              <w:t>immunisation</w:t>
            </w:r>
            <w:proofErr w:type="spellEnd"/>
            <w:r w:rsidRPr="00E079CD">
              <w:rPr>
                <w:sz w:val="20"/>
                <w:szCs w:val="20"/>
              </w:rPr>
              <w:t xml:space="preserve"> service delivery by reviewing data and addressing regulatory issues</w:t>
            </w:r>
            <w:r w:rsidRPr="00E079CD">
              <w:rPr>
                <w:sz w:val="20"/>
                <w:szCs w:val="20"/>
                <w:lang w:val="en-US"/>
              </w:rPr>
              <w:t>.</w:t>
            </w:r>
          </w:p>
          <w:p w:rsidRPr="003B64C9" w:rsidR="00561CA2" w:rsidP="00561CA2" w:rsidRDefault="00E079CD" w14:paraId="40A674E0" w14:textId="24F20158">
            <w:pPr>
              <w:spacing w:line="300" w:lineRule="exact"/>
              <w:jc w:val="both"/>
              <w:rPr>
                <w:bCs/>
                <w:color w:val="000000" w:themeColor="text1"/>
                <w:sz w:val="20"/>
                <w:szCs w:val="20"/>
                <w:lang w:val="en-US"/>
              </w:rPr>
            </w:pPr>
            <w:r>
              <w:rPr>
                <w:bCs/>
                <w:color w:val="000000" w:themeColor="text1"/>
                <w:sz w:val="20"/>
                <w:szCs w:val="20"/>
                <w:lang w:val="en-US"/>
              </w:rPr>
              <w:t>S</w:t>
            </w:r>
            <w:r w:rsidRPr="00561CA2" w:rsidR="00561CA2">
              <w:rPr>
                <w:bCs/>
                <w:color w:val="000000" w:themeColor="text1"/>
                <w:sz w:val="20"/>
                <w:szCs w:val="20"/>
                <w:lang w:val="en-US"/>
              </w:rPr>
              <w:t>upport in identifying and covering zero-dose children and missed opportunities</w:t>
            </w:r>
          </w:p>
        </w:tc>
        <w:tc>
          <w:tcPr>
            <w:tcW w:w="1908" w:type="dxa"/>
            <w:shd w:val="clear" w:color="auto" w:fill="FFFFFF" w:themeFill="background1"/>
            <w:tcMar/>
          </w:tcPr>
          <w:p w:rsidRPr="00561CA2" w:rsidR="00561CA2" w:rsidP="00561CA2" w:rsidRDefault="001D5D72" w14:paraId="4CDE8FAA" w14:textId="7243576F">
            <w:pPr>
              <w:spacing w:line="300" w:lineRule="exact"/>
              <w:jc w:val="right"/>
              <w:rPr>
                <w:bCs/>
                <w:color w:val="000000" w:themeColor="text1"/>
                <w:sz w:val="20"/>
                <w:szCs w:val="20"/>
                <w:lang w:val="en-GB"/>
              </w:rPr>
            </w:pPr>
            <w:r>
              <w:rPr>
                <w:bCs/>
                <w:color w:val="000000" w:themeColor="text1"/>
                <w:sz w:val="20"/>
                <w:szCs w:val="20"/>
                <w:lang w:val="ru-RU"/>
              </w:rPr>
              <w:t>8</w:t>
            </w:r>
            <w:r w:rsidRPr="00561CA2" w:rsidR="00561CA2">
              <w:rPr>
                <w:bCs/>
                <w:color w:val="000000" w:themeColor="text1"/>
                <w:sz w:val="20"/>
                <w:szCs w:val="20"/>
                <w:lang w:val="en-US"/>
              </w:rPr>
              <w:t>5 000</w:t>
            </w:r>
          </w:p>
        </w:tc>
        <w:tc>
          <w:tcPr>
            <w:tcW w:w="1022" w:type="dxa"/>
            <w:shd w:val="clear" w:color="auto" w:fill="FFFFFF" w:themeFill="background1"/>
            <w:tcMar/>
          </w:tcPr>
          <w:p w:rsidR="00561CA2" w:rsidP="00561CA2" w:rsidRDefault="00561CA2" w14:paraId="0F3A2B8A" w14:textId="77777777">
            <w:pPr>
              <w:spacing w:line="300" w:lineRule="exact"/>
              <w:jc w:val="right"/>
              <w:rPr>
                <w:bCs/>
                <w:color w:val="808080" w:themeColor="background1" w:themeShade="80"/>
                <w:lang w:val="en-GB"/>
              </w:rPr>
            </w:pPr>
          </w:p>
        </w:tc>
      </w:tr>
      <w:tr w:rsidR="000A12EE" w:rsidTr="11FD19E7" w14:paraId="29131650" w14:textId="77777777">
        <w:tc>
          <w:tcPr>
            <w:tcW w:w="2162" w:type="dxa"/>
            <w:shd w:val="clear" w:color="auto" w:fill="FFFFFF" w:themeFill="background1"/>
            <w:tcMar/>
          </w:tcPr>
          <w:p w:rsidRPr="003B64C9" w:rsidR="000A12EE" w:rsidP="003B64C9" w:rsidRDefault="000A12EE" w14:paraId="46B527FF" w14:textId="64893B87">
            <w:pPr>
              <w:pStyle w:val="Default"/>
              <w:rPr>
                <w:color w:val="000000" w:themeColor="text1"/>
                <w:sz w:val="20"/>
                <w:szCs w:val="20"/>
              </w:rPr>
            </w:pPr>
            <w:r w:rsidRPr="00561CA2">
              <w:rPr>
                <w:color w:val="000000" w:themeColor="text1"/>
                <w:sz w:val="20"/>
                <w:szCs w:val="20"/>
              </w:rPr>
              <w:lastRenderedPageBreak/>
              <w:t xml:space="preserve">Human resources for health </w:t>
            </w:r>
          </w:p>
        </w:tc>
        <w:tc>
          <w:tcPr>
            <w:tcW w:w="3890" w:type="dxa"/>
            <w:shd w:val="clear" w:color="auto" w:fill="FFFFFF" w:themeFill="background1"/>
            <w:tcMar/>
          </w:tcPr>
          <w:p w:rsidRPr="00561CA2" w:rsidR="000A12EE" w:rsidP="000A12EE" w:rsidRDefault="000A12EE" w14:paraId="2ECC47C4" w14:textId="77777777">
            <w:pPr>
              <w:spacing w:line="300" w:lineRule="exact"/>
              <w:rPr>
                <w:bCs/>
                <w:color w:val="000000" w:themeColor="text1"/>
                <w:sz w:val="20"/>
                <w:szCs w:val="20"/>
                <w:lang w:val="en-GB"/>
              </w:rPr>
            </w:pPr>
          </w:p>
        </w:tc>
        <w:tc>
          <w:tcPr>
            <w:tcW w:w="1908" w:type="dxa"/>
            <w:shd w:val="clear" w:color="auto" w:fill="FFFFFF" w:themeFill="background1"/>
            <w:tcMar/>
          </w:tcPr>
          <w:p w:rsidRPr="00561CA2" w:rsidR="000A12EE" w:rsidP="000A12EE" w:rsidRDefault="000A12EE" w14:paraId="6DE9F3C8" w14:textId="77777777">
            <w:pPr>
              <w:spacing w:line="300" w:lineRule="exact"/>
              <w:jc w:val="right"/>
              <w:rPr>
                <w:bCs/>
                <w:color w:val="000000" w:themeColor="text1"/>
                <w:sz w:val="20"/>
                <w:szCs w:val="20"/>
                <w:lang w:val="en-GB"/>
              </w:rPr>
            </w:pPr>
          </w:p>
        </w:tc>
        <w:tc>
          <w:tcPr>
            <w:tcW w:w="1022" w:type="dxa"/>
            <w:shd w:val="clear" w:color="auto" w:fill="FFFFFF" w:themeFill="background1"/>
            <w:tcMar/>
          </w:tcPr>
          <w:p w:rsidR="000A12EE" w:rsidP="000A12EE" w:rsidRDefault="000A12EE" w14:paraId="433A27BB" w14:textId="77777777">
            <w:pPr>
              <w:spacing w:line="300" w:lineRule="exact"/>
              <w:jc w:val="right"/>
              <w:rPr>
                <w:bCs/>
                <w:color w:val="808080" w:themeColor="background1" w:themeShade="80"/>
                <w:lang w:val="en-GB"/>
              </w:rPr>
            </w:pPr>
          </w:p>
        </w:tc>
      </w:tr>
      <w:tr w:rsidR="00561CA2" w:rsidTr="11FD19E7" w14:paraId="2ADCB657" w14:textId="77777777">
        <w:tc>
          <w:tcPr>
            <w:tcW w:w="2162" w:type="dxa"/>
            <w:shd w:val="clear" w:color="auto" w:fill="FFFFFF" w:themeFill="background1"/>
            <w:tcMar/>
          </w:tcPr>
          <w:p w:rsidRPr="00561CA2" w:rsidR="00561CA2" w:rsidP="00561CA2" w:rsidRDefault="00561CA2" w14:paraId="3A084694" w14:textId="1AD63486">
            <w:pPr>
              <w:spacing w:line="300" w:lineRule="exact"/>
              <w:rPr>
                <w:bCs/>
                <w:color w:val="000000" w:themeColor="text1"/>
                <w:sz w:val="20"/>
                <w:szCs w:val="20"/>
                <w:lang w:val="en-GB"/>
              </w:rPr>
            </w:pPr>
            <w:r w:rsidRPr="00561CA2">
              <w:rPr>
                <w:bCs/>
                <w:color w:val="000000" w:themeColor="text1"/>
                <w:sz w:val="20"/>
                <w:szCs w:val="20"/>
                <w:lang w:val="en-US"/>
              </w:rPr>
              <w:t>Supply chain</w:t>
            </w:r>
          </w:p>
        </w:tc>
        <w:tc>
          <w:tcPr>
            <w:tcW w:w="3890" w:type="dxa"/>
            <w:shd w:val="clear" w:color="auto" w:fill="FFFFFF" w:themeFill="background1"/>
            <w:tcMar/>
          </w:tcPr>
          <w:p w:rsidRPr="00772E01" w:rsidR="00561CA2" w:rsidP="003B64C9" w:rsidRDefault="00561CA2" w14:paraId="6A887DFF" w14:textId="633369C5">
            <w:pPr>
              <w:spacing w:line="300" w:lineRule="exact"/>
              <w:jc w:val="both"/>
              <w:rPr>
                <w:bCs/>
                <w:color w:val="000000" w:themeColor="text1"/>
                <w:sz w:val="20"/>
                <w:szCs w:val="20"/>
                <w:lang w:val="en-US"/>
              </w:rPr>
            </w:pPr>
            <w:r w:rsidRPr="001C0F39">
              <w:rPr>
                <w:bCs/>
                <w:color w:val="000000" w:themeColor="text1"/>
                <w:sz w:val="20"/>
                <w:szCs w:val="20"/>
                <w:lang w:val="en-US"/>
              </w:rPr>
              <w:t xml:space="preserve">Support in improving reporting on supplies, forecasting/budgeting, </w:t>
            </w:r>
            <w:proofErr w:type="gramStart"/>
            <w:r w:rsidRPr="001C0F39">
              <w:rPr>
                <w:bCs/>
                <w:color w:val="000000" w:themeColor="text1"/>
                <w:sz w:val="20"/>
                <w:szCs w:val="20"/>
                <w:lang w:val="en-US"/>
              </w:rPr>
              <w:t>the  Platform</w:t>
            </w:r>
            <w:proofErr w:type="gramEnd"/>
            <w:r w:rsidRPr="001C0F39">
              <w:rPr>
                <w:bCs/>
                <w:color w:val="000000" w:themeColor="text1"/>
                <w:sz w:val="20"/>
                <w:szCs w:val="20"/>
                <w:lang w:val="en-US"/>
              </w:rPr>
              <w:t xml:space="preserve"> for Cold Chain Optimization (PCCO), coordination of vaccine procurements and effective management of vaccines</w:t>
            </w:r>
          </w:p>
        </w:tc>
        <w:tc>
          <w:tcPr>
            <w:tcW w:w="1908" w:type="dxa"/>
            <w:shd w:val="clear" w:color="auto" w:fill="FFFFFF" w:themeFill="background1"/>
            <w:tcMar/>
          </w:tcPr>
          <w:p w:rsidRPr="00561CA2" w:rsidR="00561CA2" w:rsidP="00561CA2" w:rsidRDefault="00561CA2" w14:paraId="11567E80" w14:textId="7B2D60BD">
            <w:pPr>
              <w:spacing w:line="300" w:lineRule="exact"/>
              <w:jc w:val="right"/>
              <w:rPr>
                <w:bCs/>
                <w:color w:val="000000" w:themeColor="text1"/>
                <w:sz w:val="20"/>
                <w:szCs w:val="20"/>
                <w:lang w:val="en-GB"/>
              </w:rPr>
            </w:pPr>
            <w:r w:rsidRPr="00561CA2">
              <w:rPr>
                <w:bCs/>
                <w:color w:val="000000" w:themeColor="text1"/>
                <w:sz w:val="20"/>
                <w:szCs w:val="20"/>
                <w:lang w:val="en-US"/>
              </w:rPr>
              <w:t>100 000</w:t>
            </w:r>
          </w:p>
        </w:tc>
        <w:tc>
          <w:tcPr>
            <w:tcW w:w="1022" w:type="dxa"/>
            <w:shd w:val="clear" w:color="auto" w:fill="FFFFFF" w:themeFill="background1"/>
            <w:tcMar/>
          </w:tcPr>
          <w:p w:rsidR="00561CA2" w:rsidP="00561CA2" w:rsidRDefault="00561CA2" w14:paraId="3E3FA654" w14:textId="77777777">
            <w:pPr>
              <w:spacing w:line="300" w:lineRule="exact"/>
              <w:jc w:val="right"/>
              <w:rPr>
                <w:bCs/>
                <w:color w:val="808080" w:themeColor="background1" w:themeShade="80"/>
                <w:lang w:val="en-GB"/>
              </w:rPr>
            </w:pPr>
          </w:p>
        </w:tc>
      </w:tr>
      <w:tr w:rsidR="00561CA2" w:rsidTr="11FD19E7" w14:paraId="31AAF587" w14:textId="77777777">
        <w:tc>
          <w:tcPr>
            <w:tcW w:w="2162" w:type="dxa"/>
            <w:shd w:val="clear" w:color="auto" w:fill="FFFFFF" w:themeFill="background1"/>
            <w:tcMar/>
          </w:tcPr>
          <w:p w:rsidRPr="00561CA2" w:rsidR="00561CA2" w:rsidP="00561CA2" w:rsidRDefault="00561CA2" w14:paraId="400EABC1" w14:textId="5AEA1667">
            <w:pPr>
              <w:spacing w:line="300" w:lineRule="exact"/>
              <w:rPr>
                <w:bCs/>
                <w:color w:val="808080" w:themeColor="background1" w:themeShade="80"/>
                <w:sz w:val="20"/>
                <w:szCs w:val="20"/>
                <w:lang w:val="en-GB"/>
              </w:rPr>
            </w:pPr>
            <w:r w:rsidRPr="00561CA2">
              <w:rPr>
                <w:bCs/>
                <w:sz w:val="20"/>
                <w:szCs w:val="20"/>
                <w:lang w:val="en-US"/>
              </w:rPr>
              <w:t>Health information systems, monitoring and training</w:t>
            </w:r>
          </w:p>
        </w:tc>
        <w:tc>
          <w:tcPr>
            <w:tcW w:w="3890" w:type="dxa"/>
            <w:shd w:val="clear" w:color="auto" w:fill="FFFFFF" w:themeFill="background1"/>
            <w:tcMar/>
          </w:tcPr>
          <w:p w:rsidRPr="003B64C9" w:rsidR="00561CA2" w:rsidP="003B64C9" w:rsidRDefault="00561CA2" w14:paraId="0DDFD3A6" w14:textId="5DCB8A65">
            <w:pPr>
              <w:spacing w:line="300" w:lineRule="exact"/>
              <w:jc w:val="both"/>
              <w:rPr>
                <w:bCs/>
                <w:sz w:val="20"/>
                <w:szCs w:val="20"/>
                <w:lang w:val="en-US"/>
              </w:rPr>
            </w:pPr>
            <w:r w:rsidRPr="00561CA2">
              <w:rPr>
                <w:bCs/>
                <w:sz w:val="20"/>
                <w:szCs w:val="20"/>
                <w:lang w:val="en-US"/>
              </w:rPr>
              <w:t>Strengthening good leadership, management and coordination (LMC), incl. using data for decision-making</w:t>
            </w:r>
          </w:p>
        </w:tc>
        <w:tc>
          <w:tcPr>
            <w:tcW w:w="1908" w:type="dxa"/>
            <w:shd w:val="clear" w:color="auto" w:fill="FFFFFF" w:themeFill="background1"/>
            <w:tcMar/>
          </w:tcPr>
          <w:p w:rsidRPr="00561CA2" w:rsidR="00561CA2" w:rsidP="00561CA2" w:rsidRDefault="00561CA2" w14:paraId="5EC7342F" w14:textId="625B17B8">
            <w:pPr>
              <w:spacing w:line="300" w:lineRule="exact"/>
              <w:jc w:val="right"/>
              <w:rPr>
                <w:bCs/>
                <w:color w:val="808080" w:themeColor="background1" w:themeShade="80"/>
                <w:sz w:val="20"/>
                <w:szCs w:val="20"/>
                <w:lang w:val="en-GB"/>
              </w:rPr>
            </w:pPr>
            <w:r w:rsidRPr="00561CA2">
              <w:rPr>
                <w:bCs/>
                <w:color w:val="808080" w:themeColor="background1" w:themeShade="80"/>
                <w:sz w:val="20"/>
                <w:szCs w:val="20"/>
                <w:lang w:val="en-US"/>
              </w:rPr>
              <w:t>25 000</w:t>
            </w:r>
          </w:p>
        </w:tc>
        <w:tc>
          <w:tcPr>
            <w:tcW w:w="1022" w:type="dxa"/>
            <w:shd w:val="clear" w:color="auto" w:fill="FFFFFF" w:themeFill="background1"/>
            <w:tcMar/>
          </w:tcPr>
          <w:p w:rsidR="00561CA2" w:rsidP="00561CA2" w:rsidRDefault="00561CA2" w14:paraId="1B29E7B6" w14:textId="77777777">
            <w:pPr>
              <w:spacing w:line="300" w:lineRule="exact"/>
              <w:jc w:val="right"/>
              <w:rPr>
                <w:bCs/>
                <w:color w:val="808080" w:themeColor="background1" w:themeShade="80"/>
                <w:lang w:val="en-GB"/>
              </w:rPr>
            </w:pPr>
          </w:p>
        </w:tc>
      </w:tr>
      <w:tr w:rsidR="00561CA2" w:rsidTr="11FD19E7" w14:paraId="503584AE" w14:textId="77777777">
        <w:tc>
          <w:tcPr>
            <w:tcW w:w="2162" w:type="dxa"/>
            <w:shd w:val="clear" w:color="auto" w:fill="FFFFFF" w:themeFill="background1"/>
            <w:tcMar/>
          </w:tcPr>
          <w:p w:rsidRPr="00561CA2" w:rsidR="00561CA2" w:rsidP="00561CA2" w:rsidRDefault="00561CA2" w14:paraId="576CDC73" w14:textId="46F72CBB">
            <w:pPr>
              <w:spacing w:line="300" w:lineRule="exact"/>
              <w:rPr>
                <w:bCs/>
                <w:color w:val="808080" w:themeColor="background1" w:themeShade="80"/>
                <w:sz w:val="20"/>
                <w:szCs w:val="20"/>
                <w:lang w:val="en-GB"/>
              </w:rPr>
            </w:pPr>
            <w:r w:rsidRPr="00561CA2">
              <w:rPr>
                <w:bCs/>
                <w:sz w:val="20"/>
                <w:szCs w:val="20"/>
                <w:lang w:val="en-US"/>
              </w:rPr>
              <w:t>Surveillance of vaccine-preventable infections (VPI)</w:t>
            </w:r>
          </w:p>
        </w:tc>
        <w:tc>
          <w:tcPr>
            <w:tcW w:w="3890" w:type="dxa"/>
            <w:shd w:val="clear" w:color="auto" w:fill="FFFFFF" w:themeFill="background1"/>
            <w:tcMar/>
          </w:tcPr>
          <w:p w:rsidRPr="00561CA2" w:rsidR="00561CA2" w:rsidP="00561CA2" w:rsidRDefault="00561CA2" w14:paraId="0651FC13" w14:textId="1B589682">
            <w:pPr>
              <w:spacing w:line="300" w:lineRule="exact"/>
              <w:rPr>
                <w:bCs/>
                <w:color w:val="808080" w:themeColor="background1" w:themeShade="80"/>
                <w:sz w:val="20"/>
                <w:szCs w:val="20"/>
                <w:lang w:val="en-GB"/>
              </w:rPr>
            </w:pPr>
            <w:r w:rsidRPr="00561CA2">
              <w:rPr>
                <w:bCs/>
                <w:sz w:val="20"/>
                <w:szCs w:val="20"/>
                <w:lang w:val="en-US"/>
              </w:rPr>
              <w:t>Support in strengthening the system of epidemiological surveillance of vaccine-preventable infections</w:t>
            </w:r>
            <w:r w:rsidRPr="00561CA2" w:rsidDel="008248C3">
              <w:rPr>
                <w:bCs/>
                <w:sz w:val="20"/>
                <w:szCs w:val="20"/>
                <w:lang w:val="en-US"/>
              </w:rPr>
              <w:t xml:space="preserve"> </w:t>
            </w:r>
          </w:p>
        </w:tc>
        <w:tc>
          <w:tcPr>
            <w:tcW w:w="1908" w:type="dxa"/>
            <w:shd w:val="clear" w:color="auto" w:fill="FFFFFF" w:themeFill="background1"/>
            <w:tcMar/>
          </w:tcPr>
          <w:p w:rsidRPr="00561CA2" w:rsidR="00561CA2" w:rsidP="00561CA2" w:rsidRDefault="001D5D72" w14:paraId="124025A5" w14:textId="36494DCF">
            <w:pPr>
              <w:spacing w:line="300" w:lineRule="exact"/>
              <w:jc w:val="right"/>
              <w:rPr>
                <w:bCs/>
                <w:color w:val="808080" w:themeColor="background1" w:themeShade="80"/>
                <w:sz w:val="20"/>
                <w:szCs w:val="20"/>
                <w:lang w:val="en-GB"/>
              </w:rPr>
            </w:pPr>
            <w:r>
              <w:rPr>
                <w:bCs/>
                <w:color w:val="808080" w:themeColor="background1" w:themeShade="80"/>
                <w:sz w:val="20"/>
                <w:szCs w:val="20"/>
                <w:lang w:val="ru-RU"/>
              </w:rPr>
              <w:t>60</w:t>
            </w:r>
            <w:r w:rsidRPr="00561CA2" w:rsidR="00561CA2">
              <w:rPr>
                <w:bCs/>
                <w:color w:val="808080" w:themeColor="background1" w:themeShade="80"/>
                <w:sz w:val="20"/>
                <w:szCs w:val="20"/>
                <w:lang w:val="en-US"/>
              </w:rPr>
              <w:t xml:space="preserve"> 000</w:t>
            </w:r>
          </w:p>
        </w:tc>
        <w:tc>
          <w:tcPr>
            <w:tcW w:w="1022" w:type="dxa"/>
            <w:shd w:val="clear" w:color="auto" w:fill="FFFFFF" w:themeFill="background1"/>
            <w:tcMar/>
          </w:tcPr>
          <w:p w:rsidR="00561CA2" w:rsidP="00561CA2" w:rsidRDefault="00561CA2" w14:paraId="41F0DC05" w14:textId="77777777">
            <w:pPr>
              <w:spacing w:line="300" w:lineRule="exact"/>
              <w:jc w:val="right"/>
              <w:rPr>
                <w:bCs/>
                <w:color w:val="808080" w:themeColor="background1" w:themeShade="80"/>
                <w:lang w:val="en-GB"/>
              </w:rPr>
            </w:pPr>
          </w:p>
        </w:tc>
      </w:tr>
      <w:tr w:rsidR="00561CA2" w:rsidTr="11FD19E7" w14:paraId="4204B6F3" w14:textId="77777777">
        <w:tc>
          <w:tcPr>
            <w:tcW w:w="2162" w:type="dxa"/>
            <w:shd w:val="clear" w:color="auto" w:fill="FFFFFF" w:themeFill="background1"/>
            <w:tcMar/>
          </w:tcPr>
          <w:p w:rsidRPr="00561CA2" w:rsidR="00561CA2" w:rsidP="00561CA2" w:rsidRDefault="00561CA2" w14:paraId="4954A59C" w14:textId="143A6F1E">
            <w:pPr>
              <w:spacing w:line="300" w:lineRule="exact"/>
              <w:rPr>
                <w:bCs/>
                <w:color w:val="808080" w:themeColor="background1" w:themeShade="80"/>
                <w:sz w:val="20"/>
                <w:szCs w:val="20"/>
                <w:lang w:val="en-GB"/>
              </w:rPr>
            </w:pPr>
            <w:r w:rsidRPr="00561CA2">
              <w:rPr>
                <w:bCs/>
                <w:sz w:val="20"/>
                <w:szCs w:val="20"/>
                <w:lang w:val="en-US"/>
              </w:rPr>
              <w:t xml:space="preserve">Forming demand and engagement with communities </w:t>
            </w:r>
          </w:p>
        </w:tc>
        <w:tc>
          <w:tcPr>
            <w:tcW w:w="3890" w:type="dxa"/>
            <w:shd w:val="clear" w:color="auto" w:fill="FFFFFF" w:themeFill="background1"/>
            <w:tcMar/>
          </w:tcPr>
          <w:p w:rsidRPr="003B64C9" w:rsidR="00561CA2" w:rsidP="003B64C9" w:rsidRDefault="00772E01" w14:paraId="4F6240DD" w14:textId="39B48788">
            <w:pPr>
              <w:rPr>
                <w:rFonts w:ascii="Calibri" w:hAnsi="Calibri" w:cs="Calibri" w:eastAsiaTheme="minorHAnsi"/>
                <w:sz w:val="20"/>
                <w:szCs w:val="20"/>
                <w:lang w:val="en-US" w:eastAsia="ru-RU"/>
              </w:rPr>
            </w:pPr>
            <w:r w:rsidRPr="00772E01">
              <w:rPr>
                <w:sz w:val="20"/>
                <w:szCs w:val="20"/>
                <w:lang w:val="en-US"/>
              </w:rPr>
              <w:t>Technical assistance for strategy development and demand generation on immunization in a gender-sensitive manner</w:t>
            </w:r>
          </w:p>
        </w:tc>
        <w:tc>
          <w:tcPr>
            <w:tcW w:w="1908" w:type="dxa"/>
            <w:shd w:val="clear" w:color="auto" w:fill="FFFFFF" w:themeFill="background1"/>
            <w:tcMar/>
          </w:tcPr>
          <w:p w:rsidRPr="001D5D72" w:rsidR="00561CA2" w:rsidP="00561CA2" w:rsidRDefault="001D5D72" w14:paraId="075F4D68" w14:textId="6B3DB215">
            <w:pPr>
              <w:spacing w:line="300" w:lineRule="exact"/>
              <w:jc w:val="right"/>
              <w:rPr>
                <w:bCs/>
                <w:color w:val="808080" w:themeColor="background1" w:themeShade="80"/>
                <w:sz w:val="20"/>
                <w:szCs w:val="20"/>
                <w:lang w:val="ru-RU"/>
              </w:rPr>
            </w:pPr>
            <w:r>
              <w:rPr>
                <w:bCs/>
                <w:color w:val="808080" w:themeColor="background1" w:themeShade="80"/>
                <w:sz w:val="20"/>
                <w:szCs w:val="20"/>
                <w:lang w:val="ru-RU"/>
              </w:rPr>
              <w:t>90 000</w:t>
            </w:r>
          </w:p>
        </w:tc>
        <w:tc>
          <w:tcPr>
            <w:tcW w:w="1022" w:type="dxa"/>
            <w:shd w:val="clear" w:color="auto" w:fill="FFFFFF" w:themeFill="background1"/>
            <w:tcMar/>
          </w:tcPr>
          <w:p w:rsidRPr="00476608" w:rsidR="00561CA2" w:rsidP="00561CA2" w:rsidRDefault="00561CA2" w14:paraId="6E295091" w14:textId="38E5AF50">
            <w:pPr>
              <w:spacing w:line="300" w:lineRule="exact"/>
              <w:jc w:val="right"/>
              <w:rPr>
                <w:bCs/>
                <w:color w:val="808080" w:themeColor="background1" w:themeShade="80"/>
                <w:lang w:val="ru-RU"/>
              </w:rPr>
            </w:pPr>
          </w:p>
        </w:tc>
      </w:tr>
      <w:tr w:rsidR="00561CA2" w:rsidTr="11FD19E7" w14:paraId="5316558F" w14:textId="77777777">
        <w:tc>
          <w:tcPr>
            <w:tcW w:w="2162" w:type="dxa"/>
            <w:shd w:val="clear" w:color="auto" w:fill="FFFFFF" w:themeFill="background1"/>
            <w:tcMar/>
          </w:tcPr>
          <w:p w:rsidRPr="00561CA2" w:rsidR="00561CA2" w:rsidP="00561CA2" w:rsidRDefault="00561CA2" w14:paraId="49EB4DE3" w14:textId="5774A4B2">
            <w:pPr>
              <w:spacing w:line="300" w:lineRule="exact"/>
              <w:rPr>
                <w:bCs/>
                <w:color w:val="808080" w:themeColor="background1" w:themeShade="80"/>
                <w:sz w:val="20"/>
                <w:szCs w:val="20"/>
                <w:lang w:val="en-GB"/>
              </w:rPr>
            </w:pPr>
            <w:r w:rsidRPr="00561CA2">
              <w:rPr>
                <w:bCs/>
                <w:sz w:val="20"/>
                <w:szCs w:val="20"/>
                <w:lang w:val="en-US"/>
              </w:rPr>
              <w:t>Management, policy, strategic planning and program management</w:t>
            </w:r>
          </w:p>
        </w:tc>
        <w:tc>
          <w:tcPr>
            <w:tcW w:w="3890" w:type="dxa"/>
            <w:shd w:val="clear" w:color="auto" w:fill="FFFFFF" w:themeFill="background1"/>
            <w:tcMar/>
          </w:tcPr>
          <w:p w:rsidRPr="003B64C9" w:rsidR="00561CA2" w:rsidP="003B64C9" w:rsidRDefault="00561CA2" w14:paraId="6317CD7D" w14:textId="4ADAE396">
            <w:pPr>
              <w:spacing w:line="300" w:lineRule="exact"/>
              <w:jc w:val="both"/>
              <w:rPr>
                <w:bCs/>
                <w:sz w:val="20"/>
                <w:szCs w:val="20"/>
                <w:lang w:val="en-US"/>
              </w:rPr>
            </w:pPr>
            <w:r w:rsidRPr="00561CA2">
              <w:rPr>
                <w:bCs/>
                <w:sz w:val="20"/>
                <w:szCs w:val="20"/>
                <w:lang w:val="en-US"/>
              </w:rPr>
              <w:t>Support for building the capacity to coordinate, plan and manage the National Immunization Program (NIP)</w:t>
            </w:r>
          </w:p>
        </w:tc>
        <w:tc>
          <w:tcPr>
            <w:tcW w:w="1908" w:type="dxa"/>
            <w:shd w:val="clear" w:color="auto" w:fill="FFFFFF" w:themeFill="background1"/>
            <w:tcMar/>
          </w:tcPr>
          <w:p w:rsidRPr="001D5D72" w:rsidR="00561CA2" w:rsidP="00561CA2" w:rsidRDefault="001D5D72" w14:paraId="23330DF4" w14:textId="0B2EE105">
            <w:pPr>
              <w:spacing w:line="300" w:lineRule="exact"/>
              <w:jc w:val="right"/>
              <w:rPr>
                <w:bCs/>
                <w:color w:val="808080" w:themeColor="background1" w:themeShade="80"/>
                <w:sz w:val="20"/>
                <w:szCs w:val="20"/>
                <w:lang w:val="ru-RU"/>
              </w:rPr>
            </w:pPr>
            <w:r>
              <w:rPr>
                <w:bCs/>
                <w:color w:val="808080" w:themeColor="background1" w:themeShade="80"/>
                <w:sz w:val="20"/>
                <w:szCs w:val="20"/>
                <w:lang w:val="ru-RU"/>
              </w:rPr>
              <w:t>222 000</w:t>
            </w:r>
          </w:p>
        </w:tc>
        <w:tc>
          <w:tcPr>
            <w:tcW w:w="1022" w:type="dxa"/>
            <w:shd w:val="clear" w:color="auto" w:fill="FFFFFF" w:themeFill="background1"/>
            <w:tcMar/>
          </w:tcPr>
          <w:p w:rsidRPr="00476608" w:rsidR="00561CA2" w:rsidP="00561CA2" w:rsidRDefault="00561CA2" w14:paraId="78AAFF70" w14:textId="207B3B9C">
            <w:pPr>
              <w:spacing w:line="300" w:lineRule="exact"/>
              <w:jc w:val="right"/>
              <w:rPr>
                <w:bCs/>
                <w:color w:val="808080" w:themeColor="background1" w:themeShade="80"/>
                <w:lang w:val="ru-RU"/>
              </w:rPr>
            </w:pPr>
          </w:p>
        </w:tc>
      </w:tr>
      <w:tr w:rsidR="00561CA2" w:rsidTr="11FD19E7" w14:paraId="38E83C55" w14:textId="77777777">
        <w:tc>
          <w:tcPr>
            <w:tcW w:w="2162" w:type="dxa"/>
            <w:shd w:val="clear" w:color="auto" w:fill="FFFFFF" w:themeFill="background1"/>
            <w:tcMar/>
          </w:tcPr>
          <w:p w:rsidRPr="00561CA2" w:rsidR="00561CA2" w:rsidP="00561CA2" w:rsidRDefault="00561CA2" w14:paraId="1ADD421E" w14:textId="7E1369F9">
            <w:pPr>
              <w:spacing w:line="300" w:lineRule="exact"/>
              <w:rPr>
                <w:bCs/>
                <w:color w:val="808080" w:themeColor="background1" w:themeShade="80"/>
                <w:sz w:val="20"/>
                <w:szCs w:val="20"/>
                <w:lang w:val="en-GB"/>
              </w:rPr>
            </w:pPr>
            <w:r w:rsidRPr="00561CA2">
              <w:rPr>
                <w:bCs/>
                <w:sz w:val="20"/>
                <w:szCs w:val="20"/>
                <w:lang w:val="en-US"/>
              </w:rPr>
              <w:t>Health financing</w:t>
            </w:r>
          </w:p>
        </w:tc>
        <w:tc>
          <w:tcPr>
            <w:tcW w:w="3890" w:type="dxa"/>
            <w:shd w:val="clear" w:color="auto" w:fill="FFFFFF" w:themeFill="background1"/>
            <w:tcMar/>
          </w:tcPr>
          <w:p w:rsidRPr="00561CA2" w:rsidR="00561CA2" w:rsidP="00561CA2" w:rsidRDefault="00561CA2" w14:paraId="353E3358" w14:textId="3EF68E63">
            <w:pPr>
              <w:spacing w:line="300" w:lineRule="exact"/>
              <w:rPr>
                <w:bCs/>
                <w:color w:val="808080" w:themeColor="background1" w:themeShade="80"/>
                <w:sz w:val="20"/>
                <w:szCs w:val="20"/>
                <w:lang w:val="en-GB"/>
              </w:rPr>
            </w:pPr>
            <w:r w:rsidRPr="00561CA2">
              <w:rPr>
                <w:bCs/>
                <w:sz w:val="20"/>
                <w:szCs w:val="20"/>
                <w:lang w:val="en-US"/>
              </w:rPr>
              <w:t>Support in advocating to mobilize the necessary financial resources for the NIP</w:t>
            </w:r>
          </w:p>
        </w:tc>
        <w:tc>
          <w:tcPr>
            <w:tcW w:w="1908" w:type="dxa"/>
            <w:shd w:val="clear" w:color="auto" w:fill="FFFFFF" w:themeFill="background1"/>
            <w:tcMar/>
          </w:tcPr>
          <w:p w:rsidRPr="00561CA2" w:rsidR="00561CA2" w:rsidP="11FD19E7" w:rsidRDefault="00561CA2" w14:paraId="2E448485" w14:textId="3AFD616F">
            <w:pPr>
              <w:spacing w:line="300" w:lineRule="exact"/>
              <w:jc w:val="right"/>
              <w:rPr>
                <w:color w:val="808080" w:themeColor="background1" w:themeShade="80"/>
                <w:sz w:val="20"/>
                <w:szCs w:val="20"/>
                <w:lang w:val="en-GB"/>
              </w:rPr>
            </w:pPr>
            <w:r w:rsidRPr="11FD19E7" w:rsidR="00561CA2">
              <w:rPr>
                <w:color w:val="808080" w:themeColor="background1" w:themeTint="FF" w:themeShade="80"/>
                <w:sz w:val="20"/>
                <w:szCs w:val="20"/>
                <w:lang w:val="en-US"/>
              </w:rPr>
              <w:t>10 000</w:t>
            </w:r>
          </w:p>
        </w:tc>
        <w:tc>
          <w:tcPr>
            <w:tcW w:w="1022" w:type="dxa"/>
            <w:shd w:val="clear" w:color="auto" w:fill="FFFFFF" w:themeFill="background1"/>
            <w:tcMar/>
          </w:tcPr>
          <w:p w:rsidR="00561CA2" w:rsidP="00561CA2" w:rsidRDefault="00561CA2" w14:paraId="159CBC15" w14:textId="77777777">
            <w:pPr>
              <w:spacing w:line="300" w:lineRule="exact"/>
              <w:jc w:val="right"/>
              <w:rPr>
                <w:bCs/>
                <w:color w:val="808080" w:themeColor="background1" w:themeShade="80"/>
                <w:lang w:val="en-GB"/>
              </w:rPr>
            </w:pPr>
          </w:p>
        </w:tc>
      </w:tr>
      <w:tr w:rsidR="00561CA2" w:rsidTr="11FD19E7" w14:paraId="795A975C" w14:textId="61E0C5F4">
        <w:tc>
          <w:tcPr>
            <w:tcW w:w="2162" w:type="dxa"/>
            <w:shd w:val="clear" w:color="auto" w:fill="FFFFFF" w:themeFill="background1"/>
            <w:tcMar/>
          </w:tcPr>
          <w:p w:rsidRPr="00561CA2" w:rsidR="00561CA2" w:rsidP="00561CA2" w:rsidRDefault="00561CA2" w14:paraId="02FE1568" w14:textId="1EE15131">
            <w:pPr>
              <w:spacing w:line="300" w:lineRule="exact"/>
              <w:rPr>
                <w:bCs/>
                <w:color w:val="808080" w:themeColor="background1" w:themeShade="80"/>
                <w:sz w:val="20"/>
                <w:szCs w:val="20"/>
                <w:lang w:val="en-GB"/>
              </w:rPr>
            </w:pPr>
            <w:r w:rsidRPr="00561CA2">
              <w:rPr>
                <w:bCs/>
                <w:sz w:val="20"/>
                <w:szCs w:val="20"/>
                <w:lang w:val="en-US"/>
              </w:rPr>
              <w:t>Grant management and indirect costs</w:t>
            </w:r>
          </w:p>
        </w:tc>
        <w:tc>
          <w:tcPr>
            <w:tcW w:w="3890" w:type="dxa"/>
            <w:shd w:val="clear" w:color="auto" w:fill="FFFFFF" w:themeFill="background1"/>
            <w:tcMar/>
          </w:tcPr>
          <w:p w:rsidRPr="00561CA2" w:rsidR="00561CA2" w:rsidP="00561CA2" w:rsidRDefault="00561CA2" w14:paraId="6887E0E4" w14:textId="52EA306E">
            <w:pPr>
              <w:spacing w:line="300" w:lineRule="exact"/>
              <w:rPr>
                <w:bCs/>
                <w:color w:val="808080" w:themeColor="background1" w:themeShade="80"/>
                <w:sz w:val="20"/>
                <w:szCs w:val="20"/>
                <w:lang w:val="en-GB"/>
              </w:rPr>
            </w:pPr>
            <w:r w:rsidRPr="00561CA2">
              <w:rPr>
                <w:sz w:val="20"/>
                <w:szCs w:val="20"/>
                <w:lang w:val="en-US"/>
              </w:rPr>
              <w:t>Support in implementing grants</w:t>
            </w:r>
          </w:p>
        </w:tc>
        <w:tc>
          <w:tcPr>
            <w:tcW w:w="1908" w:type="dxa"/>
            <w:shd w:val="clear" w:color="auto" w:fill="FFFFFF" w:themeFill="background1"/>
            <w:tcMar/>
          </w:tcPr>
          <w:p w:rsidRPr="001D5D72" w:rsidR="00561CA2" w:rsidP="00561CA2" w:rsidRDefault="001D5D72" w14:paraId="3FCB67D1" w14:textId="10C05737">
            <w:pPr>
              <w:spacing w:line="300" w:lineRule="exact"/>
              <w:jc w:val="right"/>
              <w:rPr>
                <w:bCs/>
                <w:color w:val="808080" w:themeColor="background1" w:themeShade="80"/>
                <w:sz w:val="20"/>
                <w:szCs w:val="20"/>
                <w:lang w:val="ru-RU"/>
              </w:rPr>
            </w:pPr>
            <w:r>
              <w:rPr>
                <w:bCs/>
                <w:color w:val="808080" w:themeColor="background1" w:themeShade="80"/>
                <w:sz w:val="20"/>
                <w:szCs w:val="20"/>
                <w:lang w:val="ru-RU"/>
              </w:rPr>
              <w:t>175 000</w:t>
            </w:r>
          </w:p>
        </w:tc>
        <w:tc>
          <w:tcPr>
            <w:tcW w:w="1022" w:type="dxa"/>
            <w:shd w:val="clear" w:color="auto" w:fill="FFFFFF" w:themeFill="background1"/>
            <w:tcMar/>
          </w:tcPr>
          <w:p w:rsidRPr="00476608" w:rsidR="00561CA2" w:rsidP="00561CA2" w:rsidRDefault="00561CA2" w14:paraId="07171017" w14:textId="3DDE8F9B">
            <w:pPr>
              <w:spacing w:line="300" w:lineRule="exact"/>
              <w:jc w:val="right"/>
              <w:rPr>
                <w:bCs/>
                <w:color w:val="808080" w:themeColor="background1" w:themeShade="80"/>
                <w:lang w:val="ru-RU"/>
              </w:rPr>
            </w:pPr>
          </w:p>
        </w:tc>
      </w:tr>
      <w:tr w:rsidR="00561CA2" w:rsidTr="11FD19E7" w14:paraId="698EA4E2" w14:textId="77777777">
        <w:tc>
          <w:tcPr>
            <w:tcW w:w="6052" w:type="dxa"/>
            <w:gridSpan w:val="2"/>
            <w:shd w:val="clear" w:color="auto" w:fill="auto"/>
            <w:tcMar/>
          </w:tcPr>
          <w:p w:rsidRPr="00561CA2" w:rsidR="00561CA2" w:rsidP="00561CA2" w:rsidRDefault="00561CA2" w14:paraId="7CD34588" w14:textId="4C550A61">
            <w:pPr>
              <w:spacing w:line="300" w:lineRule="exact"/>
              <w:jc w:val="right"/>
              <w:rPr>
                <w:b/>
                <w:sz w:val="20"/>
                <w:szCs w:val="20"/>
                <w:lang w:val="en-GB"/>
              </w:rPr>
            </w:pPr>
            <w:r w:rsidRPr="00561CA2">
              <w:rPr>
                <w:b/>
                <w:sz w:val="20"/>
                <w:szCs w:val="20"/>
                <w:lang w:val="en-US"/>
              </w:rPr>
              <w:t>Sub Total</w:t>
            </w:r>
          </w:p>
        </w:tc>
        <w:tc>
          <w:tcPr>
            <w:tcW w:w="1908" w:type="dxa"/>
            <w:shd w:val="clear" w:color="auto" w:fill="auto"/>
            <w:tcMar/>
          </w:tcPr>
          <w:p w:rsidRPr="00561CA2" w:rsidR="00561CA2" w:rsidP="003B64C9" w:rsidRDefault="00561CA2" w14:paraId="501F5B74" w14:textId="732A52B9">
            <w:pPr>
              <w:spacing w:line="300" w:lineRule="exact"/>
              <w:jc w:val="right"/>
              <w:rPr>
                <w:b/>
                <w:sz w:val="20"/>
                <w:szCs w:val="20"/>
                <w:lang w:val="en-GB"/>
              </w:rPr>
            </w:pPr>
            <w:r w:rsidRPr="00561CA2">
              <w:rPr>
                <w:b/>
                <w:sz w:val="20"/>
                <w:szCs w:val="20"/>
                <w:lang w:val="en-GB"/>
              </w:rPr>
              <w:t>$</w:t>
            </w:r>
            <w:r w:rsidRPr="00561CA2">
              <w:rPr>
                <w:b/>
                <w:sz w:val="20"/>
                <w:szCs w:val="20"/>
                <w:lang w:val="ru-RU"/>
              </w:rPr>
              <w:t>767</w:t>
            </w:r>
            <w:r w:rsidRPr="00561CA2">
              <w:rPr>
                <w:b/>
                <w:sz w:val="20"/>
                <w:szCs w:val="20"/>
                <w:lang w:val="en-GB"/>
              </w:rPr>
              <w:t>,</w:t>
            </w:r>
            <w:r w:rsidRPr="00561CA2">
              <w:rPr>
                <w:b/>
                <w:sz w:val="20"/>
                <w:szCs w:val="20"/>
                <w:lang w:val="ru-RU"/>
              </w:rPr>
              <w:t>000</w:t>
            </w:r>
          </w:p>
        </w:tc>
        <w:tc>
          <w:tcPr>
            <w:tcW w:w="1022" w:type="dxa"/>
            <w:shd w:val="clear" w:color="auto" w:fill="auto"/>
            <w:tcMar/>
          </w:tcPr>
          <w:p w:rsidRPr="00372D1F" w:rsidR="00561CA2" w:rsidP="00561CA2" w:rsidRDefault="00561CA2" w14:paraId="5E046474" w14:textId="77777777">
            <w:pPr>
              <w:spacing w:line="300" w:lineRule="exact"/>
              <w:jc w:val="right"/>
              <w:rPr>
                <w:b/>
                <w:lang w:val="en-GB"/>
              </w:rPr>
            </w:pPr>
          </w:p>
        </w:tc>
      </w:tr>
      <w:tr w:rsidR="00561CA2" w:rsidTr="11FD19E7" w14:paraId="722EF4AE" w14:textId="037364C4">
        <w:tc>
          <w:tcPr>
            <w:tcW w:w="6052" w:type="dxa"/>
            <w:gridSpan w:val="2"/>
            <w:shd w:val="clear" w:color="auto" w:fill="E2EFD9" w:themeFill="accent6" w:themeFillTint="33"/>
            <w:tcMar/>
          </w:tcPr>
          <w:p w:rsidRPr="00372D1F" w:rsidR="00561CA2" w:rsidP="00561CA2" w:rsidRDefault="00561CA2" w14:paraId="43F4301D" w14:textId="77777777">
            <w:pPr>
              <w:spacing w:line="300" w:lineRule="exact"/>
              <w:jc w:val="right"/>
              <w:rPr>
                <w:b/>
                <w:lang w:val="en-GB"/>
              </w:rPr>
            </w:pPr>
            <w:r w:rsidRPr="00372D1F">
              <w:rPr>
                <w:b/>
                <w:lang w:val="en-GB"/>
              </w:rPr>
              <w:t>2023</w:t>
            </w:r>
          </w:p>
        </w:tc>
        <w:tc>
          <w:tcPr>
            <w:tcW w:w="1908" w:type="dxa"/>
            <w:shd w:val="clear" w:color="auto" w:fill="E2EFD9" w:themeFill="accent6" w:themeFillTint="33"/>
            <w:tcMar/>
          </w:tcPr>
          <w:p w:rsidRPr="00372D1F" w:rsidR="00561CA2" w:rsidP="00561CA2" w:rsidRDefault="00561CA2" w14:paraId="09E6B15D" w14:textId="77777777">
            <w:pPr>
              <w:spacing w:line="300" w:lineRule="exact"/>
              <w:jc w:val="right"/>
              <w:rPr>
                <w:b/>
                <w:lang w:val="en-GB"/>
              </w:rPr>
            </w:pPr>
          </w:p>
        </w:tc>
        <w:tc>
          <w:tcPr>
            <w:tcW w:w="1022" w:type="dxa"/>
            <w:shd w:val="clear" w:color="auto" w:fill="E2EFD9" w:themeFill="accent6" w:themeFillTint="33"/>
            <w:tcMar/>
          </w:tcPr>
          <w:p w:rsidRPr="00372D1F" w:rsidR="00561CA2" w:rsidP="00561CA2" w:rsidRDefault="00561CA2" w14:paraId="7CED7596" w14:textId="77777777">
            <w:pPr>
              <w:spacing w:line="300" w:lineRule="exact"/>
              <w:jc w:val="right"/>
              <w:rPr>
                <w:b/>
                <w:lang w:val="en-GB"/>
              </w:rPr>
            </w:pPr>
          </w:p>
        </w:tc>
      </w:tr>
      <w:tr w:rsidR="00AB1589" w:rsidTr="11FD19E7" w14:paraId="22897710" w14:textId="2350D58E">
        <w:trPr>
          <w:trHeight w:val="404"/>
        </w:trPr>
        <w:tc>
          <w:tcPr>
            <w:tcW w:w="2162" w:type="dxa"/>
            <w:shd w:val="clear" w:color="auto" w:fill="FFFFFF" w:themeFill="background1"/>
            <w:tcMar/>
          </w:tcPr>
          <w:p w:rsidRPr="00460CBE" w:rsidR="00AB1589" w:rsidP="00AB1589" w:rsidRDefault="00AB1589" w14:paraId="0E6DA463" w14:textId="13600164">
            <w:pPr>
              <w:spacing w:line="300" w:lineRule="exact"/>
              <w:rPr>
                <w:bCs/>
                <w:color w:val="808080" w:themeColor="background1" w:themeShade="80"/>
                <w:sz w:val="20"/>
                <w:szCs w:val="20"/>
                <w:lang w:val="en-GB"/>
              </w:rPr>
            </w:pPr>
            <w:r w:rsidRPr="00460CBE">
              <w:rPr>
                <w:bCs/>
                <w:sz w:val="20"/>
                <w:szCs w:val="20"/>
                <w:lang w:val="en-US"/>
              </w:rPr>
              <w:t>Delivery of services</w:t>
            </w:r>
          </w:p>
        </w:tc>
        <w:tc>
          <w:tcPr>
            <w:tcW w:w="3890" w:type="dxa"/>
            <w:shd w:val="clear" w:color="auto" w:fill="FFFFFF" w:themeFill="background1"/>
            <w:tcMar/>
          </w:tcPr>
          <w:p w:rsidRPr="00460CBE" w:rsidR="00AB1589" w:rsidP="00E079CD" w:rsidRDefault="00E079CD" w14:paraId="1F48101B" w14:textId="191469A2">
            <w:pPr>
              <w:spacing w:line="300" w:lineRule="exact"/>
              <w:jc w:val="both"/>
              <w:rPr>
                <w:bCs/>
                <w:color w:val="808080" w:themeColor="background1" w:themeShade="80"/>
                <w:sz w:val="20"/>
                <w:szCs w:val="20"/>
                <w:lang w:val="en-US"/>
              </w:rPr>
            </w:pPr>
            <w:r w:rsidRPr="00460CBE">
              <w:rPr>
                <w:sz w:val="20"/>
                <w:szCs w:val="20"/>
              </w:rPr>
              <w:t xml:space="preserve">Improve and extend </w:t>
            </w:r>
            <w:proofErr w:type="spellStart"/>
            <w:r w:rsidRPr="00460CBE">
              <w:rPr>
                <w:sz w:val="20"/>
                <w:szCs w:val="20"/>
              </w:rPr>
              <w:t>immunisation</w:t>
            </w:r>
            <w:proofErr w:type="spellEnd"/>
            <w:r w:rsidRPr="00460CBE">
              <w:rPr>
                <w:sz w:val="20"/>
                <w:szCs w:val="20"/>
              </w:rPr>
              <w:t xml:space="preserve"> service delivery by</w:t>
            </w:r>
            <w:r w:rsidRPr="00460CBE">
              <w:rPr>
                <w:bCs/>
                <w:color w:val="000000" w:themeColor="text1"/>
                <w:sz w:val="20"/>
                <w:szCs w:val="20"/>
                <w:lang w:val="en-US"/>
              </w:rPr>
              <w:t xml:space="preserve"> support in identifying and covering zero-dose children and missed opportunities</w:t>
            </w:r>
          </w:p>
        </w:tc>
        <w:tc>
          <w:tcPr>
            <w:tcW w:w="1908" w:type="dxa"/>
            <w:shd w:val="clear" w:color="auto" w:fill="FFFFFF" w:themeFill="background1"/>
            <w:tcMar/>
          </w:tcPr>
          <w:p w:rsidRPr="00460CBE" w:rsidR="00AB1589" w:rsidP="00AB1589" w:rsidRDefault="00FF76CF" w14:paraId="2A9EA0BF" w14:textId="50F443CD">
            <w:pPr>
              <w:spacing w:line="300" w:lineRule="exact"/>
              <w:jc w:val="right"/>
              <w:rPr>
                <w:bCs/>
                <w:color w:val="808080" w:themeColor="background1" w:themeShade="80"/>
                <w:sz w:val="20"/>
                <w:szCs w:val="20"/>
                <w:lang w:val="ru-RU"/>
              </w:rPr>
            </w:pPr>
            <w:r w:rsidRPr="00460CBE">
              <w:rPr>
                <w:bCs/>
                <w:color w:val="808080" w:themeColor="background1" w:themeShade="80"/>
                <w:sz w:val="20"/>
                <w:szCs w:val="20"/>
                <w:lang w:val="ru-RU"/>
              </w:rPr>
              <w:t>64 000</w:t>
            </w:r>
          </w:p>
        </w:tc>
        <w:tc>
          <w:tcPr>
            <w:tcW w:w="1022" w:type="dxa"/>
            <w:shd w:val="clear" w:color="auto" w:fill="FFFFFF" w:themeFill="background1"/>
            <w:tcMar/>
          </w:tcPr>
          <w:p w:rsidRPr="00460CBE" w:rsidR="00AB1589" w:rsidP="00AB1589" w:rsidRDefault="00AB1589" w14:paraId="6F1D7982" w14:textId="77777777">
            <w:pPr>
              <w:spacing w:line="300" w:lineRule="exact"/>
              <w:jc w:val="right"/>
              <w:rPr>
                <w:bCs/>
                <w:color w:val="808080" w:themeColor="background1" w:themeShade="80"/>
                <w:sz w:val="20"/>
                <w:szCs w:val="20"/>
                <w:lang w:val="en-GB"/>
              </w:rPr>
            </w:pPr>
          </w:p>
        </w:tc>
      </w:tr>
      <w:tr w:rsidR="00AB1589" w:rsidTr="11FD19E7" w14:paraId="1A725980" w14:textId="77777777">
        <w:tc>
          <w:tcPr>
            <w:tcW w:w="2162" w:type="dxa"/>
            <w:shd w:val="clear" w:color="auto" w:fill="FFFFFF" w:themeFill="background1"/>
            <w:tcMar/>
          </w:tcPr>
          <w:p w:rsidRPr="00460CBE" w:rsidR="00AB1589" w:rsidP="00AB1589" w:rsidRDefault="00AB1589" w14:paraId="26D98BD9" w14:textId="65A2B465">
            <w:pPr>
              <w:spacing w:line="300" w:lineRule="exact"/>
              <w:rPr>
                <w:bCs/>
                <w:color w:val="808080" w:themeColor="background1" w:themeShade="80"/>
                <w:sz w:val="20"/>
                <w:szCs w:val="20"/>
                <w:lang w:val="en-GB"/>
              </w:rPr>
            </w:pPr>
            <w:r w:rsidRPr="00460CBE">
              <w:rPr>
                <w:bCs/>
                <w:sz w:val="20"/>
                <w:szCs w:val="20"/>
                <w:lang w:val="en-US"/>
              </w:rPr>
              <w:t xml:space="preserve">Health human resources </w:t>
            </w:r>
          </w:p>
        </w:tc>
        <w:tc>
          <w:tcPr>
            <w:tcW w:w="3890" w:type="dxa"/>
            <w:shd w:val="clear" w:color="auto" w:fill="FFFFFF" w:themeFill="background1"/>
            <w:tcMar/>
          </w:tcPr>
          <w:p w:rsidRPr="00460CBE" w:rsidR="00AB1589" w:rsidP="00AB1589" w:rsidRDefault="00AB1589" w14:paraId="02D6C10D" w14:textId="4ADDC280">
            <w:pPr>
              <w:spacing w:line="300" w:lineRule="exact"/>
              <w:rPr>
                <w:bCs/>
                <w:color w:val="808080" w:themeColor="background1" w:themeShade="80"/>
                <w:sz w:val="20"/>
                <w:szCs w:val="20"/>
                <w:lang w:val="en-GB"/>
              </w:rPr>
            </w:pPr>
            <w:r w:rsidRPr="00460CBE">
              <w:rPr>
                <w:bCs/>
                <w:sz w:val="20"/>
                <w:szCs w:val="20"/>
                <w:lang w:val="en-US"/>
              </w:rPr>
              <w:t>Support in strengthening the capacity of MoH KR’s specialists in issues related to the delivery of vaccination services</w:t>
            </w:r>
          </w:p>
        </w:tc>
        <w:tc>
          <w:tcPr>
            <w:tcW w:w="1908" w:type="dxa"/>
            <w:shd w:val="clear" w:color="auto" w:fill="FFFFFF" w:themeFill="background1"/>
            <w:tcMar/>
          </w:tcPr>
          <w:p w:rsidRPr="00460CBE" w:rsidR="00AB1589" w:rsidP="00AB1589" w:rsidRDefault="00AB1589" w14:paraId="03B8D290" w14:textId="387B845D">
            <w:pPr>
              <w:spacing w:line="300" w:lineRule="exact"/>
              <w:jc w:val="right"/>
              <w:rPr>
                <w:bCs/>
                <w:color w:val="808080" w:themeColor="background1" w:themeShade="80"/>
                <w:sz w:val="20"/>
                <w:szCs w:val="20"/>
                <w:lang w:val="en-GB"/>
              </w:rPr>
            </w:pPr>
            <w:r w:rsidRPr="00460CBE">
              <w:rPr>
                <w:bCs/>
                <w:color w:val="808080" w:themeColor="background1" w:themeShade="80"/>
                <w:sz w:val="20"/>
                <w:szCs w:val="20"/>
                <w:lang w:val="en-US"/>
              </w:rPr>
              <w:t>35 000</w:t>
            </w:r>
          </w:p>
        </w:tc>
        <w:tc>
          <w:tcPr>
            <w:tcW w:w="1022" w:type="dxa"/>
            <w:shd w:val="clear" w:color="auto" w:fill="FFFFFF" w:themeFill="background1"/>
            <w:tcMar/>
          </w:tcPr>
          <w:p w:rsidRPr="00460CBE" w:rsidR="00AB1589" w:rsidP="00AB1589" w:rsidRDefault="00AB1589" w14:paraId="647292B0" w14:textId="77777777">
            <w:pPr>
              <w:spacing w:line="300" w:lineRule="exact"/>
              <w:jc w:val="right"/>
              <w:rPr>
                <w:bCs/>
                <w:color w:val="808080" w:themeColor="background1" w:themeShade="80"/>
                <w:sz w:val="20"/>
                <w:szCs w:val="20"/>
                <w:lang w:val="en-GB"/>
              </w:rPr>
            </w:pPr>
          </w:p>
        </w:tc>
      </w:tr>
      <w:tr w:rsidR="00AB1589" w:rsidTr="11FD19E7" w14:paraId="1228E864" w14:textId="77777777">
        <w:tc>
          <w:tcPr>
            <w:tcW w:w="2162" w:type="dxa"/>
            <w:shd w:val="clear" w:color="auto" w:fill="FFFFFF" w:themeFill="background1"/>
            <w:tcMar/>
          </w:tcPr>
          <w:p w:rsidRPr="00460CBE" w:rsidR="00AB1589" w:rsidP="00AB1589" w:rsidRDefault="00AB1589" w14:paraId="4BA2EEFC" w14:textId="56734F41">
            <w:pPr>
              <w:spacing w:line="300" w:lineRule="exact"/>
              <w:rPr>
                <w:bCs/>
                <w:color w:val="808080" w:themeColor="background1" w:themeShade="80"/>
                <w:sz w:val="20"/>
                <w:szCs w:val="20"/>
                <w:lang w:val="en-GB"/>
              </w:rPr>
            </w:pPr>
            <w:r w:rsidRPr="00460CBE">
              <w:rPr>
                <w:bCs/>
                <w:sz w:val="20"/>
                <w:szCs w:val="20"/>
                <w:lang w:val="en-US"/>
              </w:rPr>
              <w:t>Supply chain</w:t>
            </w:r>
          </w:p>
        </w:tc>
        <w:tc>
          <w:tcPr>
            <w:tcW w:w="3890" w:type="dxa"/>
            <w:shd w:val="clear" w:color="auto" w:fill="FFFFFF" w:themeFill="background1"/>
            <w:tcMar/>
          </w:tcPr>
          <w:p w:rsidRPr="00460CBE" w:rsidR="00AB1589" w:rsidP="00AB1589" w:rsidRDefault="00AB1589" w14:paraId="44B714CF" w14:textId="58F69756">
            <w:pPr>
              <w:spacing w:line="300" w:lineRule="exact"/>
              <w:rPr>
                <w:bCs/>
                <w:color w:val="808080" w:themeColor="background1" w:themeShade="80"/>
                <w:sz w:val="20"/>
                <w:szCs w:val="20"/>
                <w:lang w:val="en-US"/>
              </w:rPr>
            </w:pPr>
            <w:r w:rsidRPr="00460CBE">
              <w:rPr>
                <w:bCs/>
                <w:color w:val="000000" w:themeColor="text1"/>
                <w:sz w:val="20"/>
                <w:szCs w:val="20"/>
                <w:lang w:val="en-US"/>
              </w:rPr>
              <w:t xml:space="preserve">Support in improving reporting on supplies, forecasting/budgeting, </w:t>
            </w:r>
            <w:proofErr w:type="gramStart"/>
            <w:r w:rsidRPr="00460CBE">
              <w:rPr>
                <w:bCs/>
                <w:color w:val="000000" w:themeColor="text1"/>
                <w:sz w:val="20"/>
                <w:szCs w:val="20"/>
                <w:lang w:val="en-US"/>
              </w:rPr>
              <w:t>the  Platform</w:t>
            </w:r>
            <w:proofErr w:type="gramEnd"/>
            <w:r w:rsidRPr="00460CBE">
              <w:rPr>
                <w:bCs/>
                <w:color w:val="000000" w:themeColor="text1"/>
                <w:sz w:val="20"/>
                <w:szCs w:val="20"/>
                <w:lang w:val="en-US"/>
              </w:rPr>
              <w:t xml:space="preserve"> for Cold Chain Optimization (PCCO), coordination of vaccine procurements and effective management of vaccines</w:t>
            </w:r>
            <w:r w:rsidRPr="00460CBE" w:rsidDel="00AB1589">
              <w:rPr>
                <w:bCs/>
                <w:sz w:val="20"/>
                <w:szCs w:val="20"/>
                <w:lang w:val="en-US"/>
              </w:rPr>
              <w:t xml:space="preserve"> </w:t>
            </w:r>
          </w:p>
        </w:tc>
        <w:tc>
          <w:tcPr>
            <w:tcW w:w="1908" w:type="dxa"/>
            <w:shd w:val="clear" w:color="auto" w:fill="FFFFFF" w:themeFill="background1"/>
            <w:tcMar/>
          </w:tcPr>
          <w:p w:rsidRPr="00460CBE" w:rsidR="00AB1589" w:rsidP="00AB1589" w:rsidRDefault="00AB1589" w14:paraId="3EA62C2E" w14:textId="492C34C6">
            <w:pPr>
              <w:spacing w:line="300" w:lineRule="exact"/>
              <w:jc w:val="right"/>
              <w:rPr>
                <w:bCs/>
                <w:color w:val="808080" w:themeColor="background1" w:themeShade="80"/>
                <w:sz w:val="20"/>
                <w:szCs w:val="20"/>
                <w:lang w:val="en-GB"/>
              </w:rPr>
            </w:pPr>
            <w:r w:rsidRPr="00460CBE">
              <w:rPr>
                <w:bCs/>
                <w:color w:val="808080" w:themeColor="background1" w:themeShade="80"/>
                <w:sz w:val="20"/>
                <w:szCs w:val="20"/>
                <w:lang w:val="en-US"/>
              </w:rPr>
              <w:t>113 000</w:t>
            </w:r>
          </w:p>
        </w:tc>
        <w:tc>
          <w:tcPr>
            <w:tcW w:w="1022" w:type="dxa"/>
            <w:shd w:val="clear" w:color="auto" w:fill="FFFFFF" w:themeFill="background1"/>
            <w:tcMar/>
          </w:tcPr>
          <w:p w:rsidRPr="00460CBE" w:rsidR="00AB1589" w:rsidP="00AB1589" w:rsidRDefault="00AB1589" w14:paraId="07F9B888" w14:textId="77777777">
            <w:pPr>
              <w:spacing w:line="300" w:lineRule="exact"/>
              <w:jc w:val="right"/>
              <w:rPr>
                <w:bCs/>
                <w:color w:val="808080" w:themeColor="background1" w:themeShade="80"/>
                <w:sz w:val="20"/>
                <w:szCs w:val="20"/>
                <w:lang w:val="en-GB"/>
              </w:rPr>
            </w:pPr>
          </w:p>
        </w:tc>
      </w:tr>
      <w:tr w:rsidR="00AB1589" w:rsidTr="11FD19E7" w14:paraId="288BDD8F" w14:textId="77777777">
        <w:tc>
          <w:tcPr>
            <w:tcW w:w="2162" w:type="dxa"/>
            <w:shd w:val="clear" w:color="auto" w:fill="FFFFFF" w:themeFill="background1"/>
            <w:tcMar/>
          </w:tcPr>
          <w:p w:rsidRPr="00AB1589" w:rsidR="00AB1589" w:rsidP="00AB1589" w:rsidRDefault="00AB1589" w14:paraId="624EC178" w14:textId="40EF266C">
            <w:pPr>
              <w:spacing w:line="300" w:lineRule="exact"/>
              <w:rPr>
                <w:bCs/>
                <w:color w:val="808080" w:themeColor="background1" w:themeShade="80"/>
                <w:sz w:val="20"/>
                <w:szCs w:val="20"/>
                <w:lang w:val="en-GB"/>
              </w:rPr>
            </w:pPr>
            <w:r w:rsidRPr="00AB1589">
              <w:rPr>
                <w:bCs/>
                <w:sz w:val="20"/>
                <w:szCs w:val="20"/>
                <w:lang w:val="en-US"/>
              </w:rPr>
              <w:t>Health information systems, monitoring and training</w:t>
            </w:r>
          </w:p>
        </w:tc>
        <w:tc>
          <w:tcPr>
            <w:tcW w:w="3890" w:type="dxa"/>
            <w:shd w:val="clear" w:color="auto" w:fill="FFFFFF" w:themeFill="background1"/>
            <w:tcMar/>
          </w:tcPr>
          <w:p w:rsidRPr="003B64C9" w:rsidR="00AB1589" w:rsidP="003B64C9" w:rsidRDefault="00AB1589" w14:paraId="02611282" w14:textId="4A59BC1F">
            <w:pPr>
              <w:rPr>
                <w:bCs/>
                <w:sz w:val="20"/>
                <w:szCs w:val="20"/>
                <w:lang w:val="en-US"/>
              </w:rPr>
            </w:pPr>
            <w:r w:rsidRPr="00AB1589">
              <w:rPr>
                <w:bCs/>
                <w:sz w:val="20"/>
                <w:szCs w:val="20"/>
                <w:lang w:val="en-US"/>
              </w:rPr>
              <w:t>Strengthening good leadership, management and coordination (LMC), incl. using data for decision-making</w:t>
            </w:r>
          </w:p>
        </w:tc>
        <w:tc>
          <w:tcPr>
            <w:tcW w:w="1908" w:type="dxa"/>
            <w:shd w:val="clear" w:color="auto" w:fill="FFFFFF" w:themeFill="background1"/>
            <w:tcMar/>
          </w:tcPr>
          <w:p w:rsidRPr="00AB1589" w:rsidR="00AB1589" w:rsidP="00AB1589" w:rsidRDefault="00AB1589" w14:paraId="610FA6A5" w14:textId="7E7320CD">
            <w:pPr>
              <w:spacing w:line="300" w:lineRule="exact"/>
              <w:jc w:val="right"/>
              <w:rPr>
                <w:bCs/>
                <w:color w:val="808080" w:themeColor="background1" w:themeShade="80"/>
                <w:sz w:val="20"/>
                <w:szCs w:val="20"/>
                <w:lang w:val="en-GB"/>
              </w:rPr>
            </w:pPr>
            <w:r w:rsidRPr="00AB1589">
              <w:rPr>
                <w:bCs/>
                <w:color w:val="808080" w:themeColor="background1" w:themeShade="80"/>
                <w:sz w:val="20"/>
                <w:szCs w:val="20"/>
                <w:lang w:val="en-US"/>
              </w:rPr>
              <w:t>70 000</w:t>
            </w:r>
          </w:p>
        </w:tc>
        <w:tc>
          <w:tcPr>
            <w:tcW w:w="1022" w:type="dxa"/>
            <w:shd w:val="clear" w:color="auto" w:fill="FFFFFF" w:themeFill="background1"/>
            <w:tcMar/>
          </w:tcPr>
          <w:p w:rsidR="00AB1589" w:rsidP="00AB1589" w:rsidRDefault="00AB1589" w14:paraId="3078E23C" w14:textId="77777777">
            <w:pPr>
              <w:spacing w:line="300" w:lineRule="exact"/>
              <w:jc w:val="right"/>
              <w:rPr>
                <w:bCs/>
                <w:color w:val="808080" w:themeColor="background1" w:themeShade="80"/>
                <w:lang w:val="en-GB"/>
              </w:rPr>
            </w:pPr>
          </w:p>
        </w:tc>
      </w:tr>
      <w:tr w:rsidR="00AB1589" w:rsidTr="11FD19E7" w14:paraId="011A68FD" w14:textId="77777777">
        <w:tc>
          <w:tcPr>
            <w:tcW w:w="2162" w:type="dxa"/>
            <w:shd w:val="clear" w:color="auto" w:fill="FFFFFF" w:themeFill="background1"/>
            <w:tcMar/>
          </w:tcPr>
          <w:p w:rsidRPr="00AB1589" w:rsidR="00AB1589" w:rsidP="00AB1589" w:rsidRDefault="00AB1589" w14:paraId="18BF6E8C" w14:textId="29F297FF">
            <w:pPr>
              <w:spacing w:line="300" w:lineRule="exact"/>
              <w:rPr>
                <w:bCs/>
                <w:color w:val="808080" w:themeColor="background1" w:themeShade="80"/>
                <w:sz w:val="20"/>
                <w:szCs w:val="20"/>
                <w:lang w:val="en-GB"/>
              </w:rPr>
            </w:pPr>
            <w:r w:rsidRPr="00AB1589">
              <w:rPr>
                <w:bCs/>
                <w:sz w:val="20"/>
                <w:szCs w:val="20"/>
                <w:lang w:val="en-US"/>
              </w:rPr>
              <w:lastRenderedPageBreak/>
              <w:t>Surveillance of vaccine-preventable infections (VPI)</w:t>
            </w:r>
          </w:p>
        </w:tc>
        <w:tc>
          <w:tcPr>
            <w:tcW w:w="3890" w:type="dxa"/>
            <w:shd w:val="clear" w:color="auto" w:fill="FFFFFF" w:themeFill="background1"/>
            <w:tcMar/>
          </w:tcPr>
          <w:p w:rsidRPr="00AB1589" w:rsidR="00AB1589" w:rsidP="00AB1589" w:rsidRDefault="00AB1589" w14:paraId="0300C229" w14:textId="1B5D390D">
            <w:pPr>
              <w:spacing w:line="300" w:lineRule="exact"/>
              <w:rPr>
                <w:bCs/>
                <w:color w:val="808080" w:themeColor="background1" w:themeShade="80"/>
                <w:sz w:val="20"/>
                <w:szCs w:val="20"/>
                <w:lang w:val="en-GB"/>
              </w:rPr>
            </w:pPr>
            <w:r w:rsidRPr="00AB1589">
              <w:rPr>
                <w:bCs/>
                <w:sz w:val="20"/>
                <w:szCs w:val="20"/>
                <w:lang w:val="en-US"/>
              </w:rPr>
              <w:t>Support in strengthening the system of epidemiological surveillance of vaccine-preventable infections</w:t>
            </w:r>
          </w:p>
        </w:tc>
        <w:tc>
          <w:tcPr>
            <w:tcW w:w="1908" w:type="dxa"/>
            <w:shd w:val="clear" w:color="auto" w:fill="FFFFFF" w:themeFill="background1"/>
            <w:tcMar/>
          </w:tcPr>
          <w:p w:rsidRPr="00AB1589" w:rsidR="00AB1589" w:rsidP="00AB1589" w:rsidRDefault="00AB1589" w14:paraId="4F255571" w14:textId="626274E6">
            <w:pPr>
              <w:spacing w:line="300" w:lineRule="exact"/>
              <w:jc w:val="right"/>
              <w:rPr>
                <w:bCs/>
                <w:color w:val="808080" w:themeColor="background1" w:themeShade="80"/>
                <w:sz w:val="20"/>
                <w:szCs w:val="20"/>
                <w:lang w:val="en-GB"/>
              </w:rPr>
            </w:pPr>
            <w:r w:rsidRPr="00AB1589">
              <w:rPr>
                <w:bCs/>
                <w:color w:val="808080" w:themeColor="background1" w:themeShade="80"/>
                <w:sz w:val="20"/>
                <w:szCs w:val="20"/>
                <w:lang w:val="en-US"/>
              </w:rPr>
              <w:t>50 000</w:t>
            </w:r>
          </w:p>
        </w:tc>
        <w:tc>
          <w:tcPr>
            <w:tcW w:w="1022" w:type="dxa"/>
            <w:shd w:val="clear" w:color="auto" w:fill="FFFFFF" w:themeFill="background1"/>
            <w:tcMar/>
          </w:tcPr>
          <w:p w:rsidR="00AB1589" w:rsidP="00AB1589" w:rsidRDefault="00AB1589" w14:paraId="664BB2E2" w14:textId="77777777">
            <w:pPr>
              <w:spacing w:line="300" w:lineRule="exact"/>
              <w:jc w:val="right"/>
              <w:rPr>
                <w:bCs/>
                <w:color w:val="808080" w:themeColor="background1" w:themeShade="80"/>
                <w:lang w:val="en-GB"/>
              </w:rPr>
            </w:pPr>
          </w:p>
        </w:tc>
      </w:tr>
      <w:tr w:rsidR="00AB1589" w:rsidTr="11FD19E7" w14:paraId="539D8379" w14:textId="77777777">
        <w:tc>
          <w:tcPr>
            <w:tcW w:w="2162" w:type="dxa"/>
            <w:shd w:val="clear" w:color="auto" w:fill="FFFFFF" w:themeFill="background1"/>
            <w:tcMar/>
          </w:tcPr>
          <w:p w:rsidRPr="00AB1589" w:rsidR="00AB1589" w:rsidP="00AB1589" w:rsidRDefault="00AB1589" w14:paraId="520CBB21" w14:textId="41532C43">
            <w:pPr>
              <w:spacing w:line="300" w:lineRule="exact"/>
              <w:rPr>
                <w:bCs/>
                <w:color w:val="808080" w:themeColor="background1" w:themeShade="80"/>
                <w:sz w:val="20"/>
                <w:szCs w:val="20"/>
                <w:lang w:val="en-GB"/>
              </w:rPr>
            </w:pPr>
            <w:r w:rsidRPr="00AB1589">
              <w:rPr>
                <w:bCs/>
                <w:sz w:val="20"/>
                <w:szCs w:val="20"/>
                <w:lang w:val="en-US"/>
              </w:rPr>
              <w:t>Forming demand and engagement with communities</w:t>
            </w:r>
          </w:p>
        </w:tc>
        <w:tc>
          <w:tcPr>
            <w:tcW w:w="3890" w:type="dxa"/>
            <w:shd w:val="clear" w:color="auto" w:fill="FFFFFF" w:themeFill="background1"/>
            <w:tcMar/>
          </w:tcPr>
          <w:p w:rsidRPr="001C0F39" w:rsidR="00772E01" w:rsidP="00772E01" w:rsidRDefault="00772E01" w14:paraId="2D7F49F1" w14:textId="77777777">
            <w:pPr>
              <w:rPr>
                <w:rFonts w:ascii="Calibri" w:hAnsi="Calibri" w:cs="Calibri" w:eastAsiaTheme="minorHAnsi"/>
                <w:sz w:val="20"/>
                <w:szCs w:val="20"/>
                <w:lang w:val="en-US" w:eastAsia="ru-RU"/>
              </w:rPr>
            </w:pPr>
            <w:bookmarkStart w:name="_Hlk103793577" w:id="0"/>
            <w:r w:rsidRPr="001C0F39">
              <w:rPr>
                <w:sz w:val="20"/>
                <w:szCs w:val="20"/>
                <w:lang w:val="en-US"/>
              </w:rPr>
              <w:t>Technical assistance for strategy development and demand generation on immunization in a gender-sensitive manner</w:t>
            </w:r>
          </w:p>
          <w:bookmarkEnd w:id="0"/>
          <w:p w:rsidRPr="001C0F39" w:rsidR="00AB1589" w:rsidP="00AB1589" w:rsidRDefault="00AB1589" w14:paraId="4D73C744" w14:textId="77777777">
            <w:pPr>
              <w:spacing w:line="300" w:lineRule="exact"/>
              <w:jc w:val="both"/>
              <w:rPr>
                <w:bCs/>
                <w:color w:val="808080" w:themeColor="background1" w:themeShade="80"/>
                <w:sz w:val="20"/>
                <w:szCs w:val="20"/>
                <w:lang w:val="en-US"/>
              </w:rPr>
            </w:pPr>
          </w:p>
        </w:tc>
        <w:tc>
          <w:tcPr>
            <w:tcW w:w="1908" w:type="dxa"/>
            <w:shd w:val="clear" w:color="auto" w:fill="FFFFFF" w:themeFill="background1"/>
            <w:tcMar/>
          </w:tcPr>
          <w:p w:rsidRPr="00AB1589" w:rsidR="00AB1589" w:rsidP="00AB1589" w:rsidRDefault="00FF76CF" w14:paraId="6DB05338" w14:textId="5C6DAE82">
            <w:pPr>
              <w:spacing w:line="300" w:lineRule="exact"/>
              <w:jc w:val="right"/>
              <w:rPr>
                <w:bCs/>
                <w:color w:val="808080" w:themeColor="background1" w:themeShade="80"/>
                <w:sz w:val="20"/>
                <w:szCs w:val="20"/>
                <w:lang w:val="en-GB"/>
              </w:rPr>
            </w:pPr>
            <w:r>
              <w:rPr>
                <w:bCs/>
                <w:color w:val="808080" w:themeColor="background1" w:themeShade="80"/>
                <w:sz w:val="20"/>
                <w:szCs w:val="20"/>
                <w:lang w:val="ru-RU"/>
              </w:rPr>
              <w:t>100</w:t>
            </w:r>
            <w:r w:rsidRPr="00AB1589" w:rsidR="00AB1589">
              <w:rPr>
                <w:bCs/>
                <w:color w:val="808080" w:themeColor="background1" w:themeShade="80"/>
                <w:sz w:val="20"/>
                <w:szCs w:val="20"/>
                <w:lang w:val="en-US"/>
              </w:rPr>
              <w:t xml:space="preserve"> 000</w:t>
            </w:r>
          </w:p>
        </w:tc>
        <w:tc>
          <w:tcPr>
            <w:tcW w:w="1022" w:type="dxa"/>
            <w:shd w:val="clear" w:color="auto" w:fill="FFFFFF" w:themeFill="background1"/>
            <w:tcMar/>
          </w:tcPr>
          <w:p w:rsidR="00AB1589" w:rsidP="00AB1589" w:rsidRDefault="00AB1589" w14:paraId="20756B2E" w14:textId="77777777">
            <w:pPr>
              <w:spacing w:line="300" w:lineRule="exact"/>
              <w:jc w:val="right"/>
              <w:rPr>
                <w:bCs/>
                <w:color w:val="808080" w:themeColor="background1" w:themeShade="80"/>
                <w:lang w:val="en-GB"/>
              </w:rPr>
            </w:pPr>
          </w:p>
        </w:tc>
      </w:tr>
      <w:tr w:rsidR="00AB1589" w:rsidTr="11FD19E7" w14:paraId="7DCD6918" w14:textId="77777777">
        <w:tc>
          <w:tcPr>
            <w:tcW w:w="2162" w:type="dxa"/>
            <w:shd w:val="clear" w:color="auto" w:fill="FFFFFF" w:themeFill="background1"/>
            <w:tcMar/>
          </w:tcPr>
          <w:p w:rsidRPr="00AB1589" w:rsidR="00AB1589" w:rsidP="00AB1589" w:rsidRDefault="00AB1589" w14:paraId="5CC9A8E6" w14:textId="5DFD76C5">
            <w:pPr>
              <w:spacing w:line="300" w:lineRule="exact"/>
              <w:rPr>
                <w:bCs/>
                <w:color w:val="808080" w:themeColor="background1" w:themeShade="80"/>
                <w:sz w:val="20"/>
                <w:szCs w:val="20"/>
                <w:lang w:val="en-GB"/>
              </w:rPr>
            </w:pPr>
            <w:r w:rsidRPr="00AB1589">
              <w:rPr>
                <w:bCs/>
                <w:sz w:val="20"/>
                <w:szCs w:val="20"/>
                <w:lang w:val="en-US"/>
              </w:rPr>
              <w:t>Management, policy, strategic planning and program management</w:t>
            </w:r>
          </w:p>
        </w:tc>
        <w:tc>
          <w:tcPr>
            <w:tcW w:w="3890" w:type="dxa"/>
            <w:shd w:val="clear" w:color="auto" w:fill="FFFFFF" w:themeFill="background1"/>
            <w:tcMar/>
          </w:tcPr>
          <w:p w:rsidRPr="00AB1589" w:rsidR="00AB1589" w:rsidP="00AB1589" w:rsidRDefault="00AB1589" w14:paraId="1FF3666B" w14:textId="77777777">
            <w:pPr>
              <w:spacing w:line="300" w:lineRule="exact"/>
              <w:jc w:val="both"/>
              <w:rPr>
                <w:bCs/>
                <w:sz w:val="20"/>
                <w:szCs w:val="20"/>
                <w:lang w:val="en-US"/>
              </w:rPr>
            </w:pPr>
            <w:r w:rsidRPr="00AB1589">
              <w:rPr>
                <w:bCs/>
                <w:sz w:val="20"/>
                <w:szCs w:val="20"/>
                <w:lang w:val="en-US"/>
              </w:rPr>
              <w:t>Support for building the capacity to coordinate, plan and manage the National Immunization Program (NIP)</w:t>
            </w:r>
          </w:p>
          <w:p w:rsidRPr="00AB1589" w:rsidR="00AB1589" w:rsidP="00AB1589" w:rsidRDefault="00AB1589" w14:paraId="3F6167A1" w14:textId="77777777">
            <w:pPr>
              <w:spacing w:line="300" w:lineRule="exact"/>
              <w:rPr>
                <w:bCs/>
                <w:color w:val="808080" w:themeColor="background1" w:themeShade="80"/>
                <w:sz w:val="20"/>
                <w:szCs w:val="20"/>
                <w:lang w:val="en-GB"/>
              </w:rPr>
            </w:pPr>
          </w:p>
        </w:tc>
        <w:tc>
          <w:tcPr>
            <w:tcW w:w="1908" w:type="dxa"/>
            <w:shd w:val="clear" w:color="auto" w:fill="FFFFFF" w:themeFill="background1"/>
            <w:tcMar/>
          </w:tcPr>
          <w:p w:rsidRPr="00FF76CF" w:rsidR="00AB1589" w:rsidP="00AB1589" w:rsidRDefault="00FF76CF" w14:paraId="16D170CB" w14:textId="7E5D0EE4">
            <w:pPr>
              <w:spacing w:line="300" w:lineRule="exact"/>
              <w:jc w:val="right"/>
              <w:rPr>
                <w:bCs/>
                <w:color w:val="808080" w:themeColor="background1" w:themeShade="80"/>
                <w:sz w:val="20"/>
                <w:szCs w:val="20"/>
                <w:lang w:val="ru-RU"/>
              </w:rPr>
            </w:pPr>
            <w:r>
              <w:rPr>
                <w:bCs/>
                <w:color w:val="808080" w:themeColor="background1" w:themeShade="80"/>
                <w:sz w:val="20"/>
                <w:szCs w:val="20"/>
                <w:lang w:val="ru-RU"/>
              </w:rPr>
              <w:t>268 000</w:t>
            </w:r>
          </w:p>
        </w:tc>
        <w:tc>
          <w:tcPr>
            <w:tcW w:w="1022" w:type="dxa"/>
            <w:shd w:val="clear" w:color="auto" w:fill="FFFFFF" w:themeFill="background1"/>
            <w:tcMar/>
          </w:tcPr>
          <w:p w:rsidR="00AB1589" w:rsidP="00AB1589" w:rsidRDefault="00AB1589" w14:paraId="7BE0E566" w14:textId="77777777">
            <w:pPr>
              <w:spacing w:line="300" w:lineRule="exact"/>
              <w:jc w:val="right"/>
              <w:rPr>
                <w:bCs/>
                <w:color w:val="808080" w:themeColor="background1" w:themeShade="80"/>
                <w:lang w:val="en-GB"/>
              </w:rPr>
            </w:pPr>
          </w:p>
        </w:tc>
      </w:tr>
      <w:tr w:rsidR="00AB1589" w:rsidTr="11FD19E7" w14:paraId="15111CCA" w14:textId="23068779">
        <w:tc>
          <w:tcPr>
            <w:tcW w:w="2162" w:type="dxa"/>
            <w:shd w:val="clear" w:color="auto" w:fill="FFFFFF" w:themeFill="background1"/>
            <w:tcMar/>
          </w:tcPr>
          <w:p w:rsidRPr="00AB1589" w:rsidR="00AB1589" w:rsidP="00AB1589" w:rsidRDefault="00AB1589" w14:paraId="0EA952B8" w14:textId="3B839BE4">
            <w:pPr>
              <w:spacing w:line="300" w:lineRule="exact"/>
              <w:rPr>
                <w:bCs/>
                <w:color w:val="808080" w:themeColor="background1" w:themeShade="80"/>
                <w:sz w:val="20"/>
                <w:szCs w:val="20"/>
                <w:lang w:val="en-GB"/>
              </w:rPr>
            </w:pPr>
            <w:r w:rsidRPr="00AB1589">
              <w:rPr>
                <w:bCs/>
                <w:sz w:val="20"/>
                <w:szCs w:val="20"/>
                <w:lang w:val="en-US"/>
              </w:rPr>
              <w:t>Health financing</w:t>
            </w:r>
          </w:p>
        </w:tc>
        <w:tc>
          <w:tcPr>
            <w:tcW w:w="3890" w:type="dxa"/>
            <w:shd w:val="clear" w:color="auto" w:fill="FFFFFF" w:themeFill="background1"/>
            <w:tcMar/>
          </w:tcPr>
          <w:p w:rsidRPr="00AB1589" w:rsidR="00AB1589" w:rsidP="00AB1589" w:rsidRDefault="00AB1589" w14:paraId="10D70F46" w14:textId="2FB51D04">
            <w:pPr>
              <w:spacing w:line="300" w:lineRule="exact"/>
              <w:rPr>
                <w:bCs/>
                <w:color w:val="808080" w:themeColor="background1" w:themeShade="80"/>
                <w:sz w:val="20"/>
                <w:szCs w:val="20"/>
                <w:lang w:val="en-GB"/>
              </w:rPr>
            </w:pPr>
            <w:r w:rsidRPr="00AB1589">
              <w:rPr>
                <w:bCs/>
                <w:sz w:val="20"/>
                <w:szCs w:val="20"/>
                <w:lang w:val="en-US"/>
              </w:rPr>
              <w:t>Support in advocating for the mobilization of necessary financial resources for the NIP</w:t>
            </w:r>
          </w:p>
        </w:tc>
        <w:tc>
          <w:tcPr>
            <w:tcW w:w="1908" w:type="dxa"/>
            <w:shd w:val="clear" w:color="auto" w:fill="FFFFFF" w:themeFill="background1"/>
            <w:tcMar/>
          </w:tcPr>
          <w:p w:rsidRPr="00AB1589" w:rsidR="00AB1589" w:rsidP="00AB1589" w:rsidRDefault="00AB1589" w14:paraId="2571AD46" w14:textId="5226FB78">
            <w:pPr>
              <w:spacing w:line="300" w:lineRule="exact"/>
              <w:jc w:val="right"/>
              <w:rPr>
                <w:bCs/>
                <w:color w:val="808080" w:themeColor="background1" w:themeShade="80"/>
                <w:sz w:val="20"/>
                <w:szCs w:val="20"/>
                <w:lang w:val="en-GB"/>
              </w:rPr>
            </w:pPr>
            <w:r w:rsidRPr="00AB1589">
              <w:rPr>
                <w:bCs/>
                <w:color w:val="808080" w:themeColor="background1" w:themeShade="80"/>
                <w:sz w:val="20"/>
                <w:szCs w:val="20"/>
                <w:lang w:val="en-US"/>
              </w:rPr>
              <w:t>10 000</w:t>
            </w:r>
          </w:p>
        </w:tc>
        <w:tc>
          <w:tcPr>
            <w:tcW w:w="1022" w:type="dxa"/>
            <w:shd w:val="clear" w:color="auto" w:fill="FFFFFF" w:themeFill="background1"/>
            <w:tcMar/>
          </w:tcPr>
          <w:p w:rsidR="00AB1589" w:rsidP="00AB1589" w:rsidRDefault="00AB1589" w14:paraId="4C87F1AA" w14:textId="77777777">
            <w:pPr>
              <w:spacing w:line="300" w:lineRule="exact"/>
              <w:jc w:val="right"/>
              <w:rPr>
                <w:bCs/>
                <w:color w:val="808080" w:themeColor="background1" w:themeShade="80"/>
                <w:lang w:val="en-GB"/>
              </w:rPr>
            </w:pPr>
          </w:p>
        </w:tc>
      </w:tr>
      <w:tr w:rsidR="00AB1589" w:rsidTr="11FD19E7" w14:paraId="5F0B9007" w14:textId="77777777">
        <w:tc>
          <w:tcPr>
            <w:tcW w:w="2162" w:type="dxa"/>
            <w:shd w:val="clear" w:color="auto" w:fill="FFFFFF" w:themeFill="background1"/>
            <w:tcMar/>
          </w:tcPr>
          <w:p w:rsidRPr="00AB1589" w:rsidR="00AB1589" w:rsidP="00AB1589" w:rsidRDefault="00AB1589" w14:paraId="66AA004E" w14:textId="7E0F7EDE">
            <w:pPr>
              <w:spacing w:line="300" w:lineRule="exact"/>
              <w:rPr>
                <w:bCs/>
                <w:color w:val="808080" w:themeColor="background1" w:themeShade="80"/>
                <w:sz w:val="20"/>
                <w:szCs w:val="20"/>
                <w:lang w:val="en-GB"/>
              </w:rPr>
            </w:pPr>
            <w:r w:rsidRPr="00AB1589">
              <w:rPr>
                <w:bCs/>
                <w:sz w:val="20"/>
                <w:szCs w:val="20"/>
                <w:lang w:val="en-US"/>
              </w:rPr>
              <w:t>Grant management and indirect costs</w:t>
            </w:r>
          </w:p>
        </w:tc>
        <w:tc>
          <w:tcPr>
            <w:tcW w:w="3890" w:type="dxa"/>
            <w:shd w:val="clear" w:color="auto" w:fill="FFFFFF" w:themeFill="background1"/>
            <w:tcMar/>
          </w:tcPr>
          <w:p w:rsidRPr="00AB1589" w:rsidR="00AB1589" w:rsidP="00AB1589" w:rsidRDefault="00AB1589" w14:paraId="22DA939E" w14:textId="14A275F7">
            <w:pPr>
              <w:spacing w:line="300" w:lineRule="exact"/>
              <w:rPr>
                <w:bCs/>
                <w:color w:val="808080" w:themeColor="background1" w:themeShade="80"/>
                <w:sz w:val="20"/>
                <w:szCs w:val="20"/>
                <w:lang w:val="en-GB"/>
              </w:rPr>
            </w:pPr>
            <w:r w:rsidRPr="00AB1589">
              <w:rPr>
                <w:sz w:val="20"/>
                <w:szCs w:val="20"/>
                <w:lang w:val="en-US"/>
              </w:rPr>
              <w:t>Support in implementing grants</w:t>
            </w:r>
          </w:p>
        </w:tc>
        <w:tc>
          <w:tcPr>
            <w:tcW w:w="1908" w:type="dxa"/>
            <w:shd w:val="clear" w:color="auto" w:fill="FFFFFF" w:themeFill="background1"/>
            <w:tcMar/>
          </w:tcPr>
          <w:p w:rsidRPr="00FF76CF" w:rsidR="00AB1589" w:rsidP="00AB1589" w:rsidRDefault="00FF76CF" w14:paraId="365DE1BA" w14:textId="16BD4481">
            <w:pPr>
              <w:spacing w:line="300" w:lineRule="exact"/>
              <w:jc w:val="right"/>
              <w:rPr>
                <w:bCs/>
                <w:color w:val="808080" w:themeColor="background1" w:themeShade="80"/>
                <w:sz w:val="20"/>
                <w:szCs w:val="20"/>
                <w:lang w:val="ru-RU"/>
              </w:rPr>
            </w:pPr>
            <w:r>
              <w:rPr>
                <w:bCs/>
                <w:color w:val="808080" w:themeColor="background1" w:themeShade="80"/>
                <w:sz w:val="20"/>
                <w:szCs w:val="20"/>
                <w:lang w:val="ru-RU"/>
              </w:rPr>
              <w:t>175 000</w:t>
            </w:r>
          </w:p>
        </w:tc>
        <w:tc>
          <w:tcPr>
            <w:tcW w:w="1022" w:type="dxa"/>
            <w:shd w:val="clear" w:color="auto" w:fill="FFFFFF" w:themeFill="background1"/>
            <w:tcMar/>
          </w:tcPr>
          <w:p w:rsidRPr="00887DDF" w:rsidR="00AB1589" w:rsidP="00AB1589" w:rsidRDefault="00AB1589" w14:paraId="4AA9616E" w14:textId="75F9C328">
            <w:pPr>
              <w:spacing w:line="300" w:lineRule="exact"/>
              <w:jc w:val="right"/>
              <w:rPr>
                <w:bCs/>
                <w:color w:val="808080" w:themeColor="background1" w:themeShade="80"/>
                <w:lang w:val="ru-RU"/>
              </w:rPr>
            </w:pPr>
          </w:p>
        </w:tc>
      </w:tr>
      <w:tr w:rsidR="00AB1589" w:rsidTr="11FD19E7" w14:paraId="2F005121" w14:textId="77777777">
        <w:tc>
          <w:tcPr>
            <w:tcW w:w="6052" w:type="dxa"/>
            <w:gridSpan w:val="2"/>
            <w:shd w:val="clear" w:color="auto" w:fill="auto"/>
            <w:tcMar/>
          </w:tcPr>
          <w:p w:rsidR="00AB1589" w:rsidP="00AB1589" w:rsidRDefault="00AB1589" w14:paraId="24524304" w14:textId="79860FC5">
            <w:pPr>
              <w:spacing w:line="300" w:lineRule="exact"/>
              <w:jc w:val="right"/>
              <w:rPr>
                <w:b/>
                <w:lang w:val="en-GB"/>
              </w:rPr>
            </w:pPr>
            <w:r>
              <w:rPr>
                <w:b/>
                <w:lang w:val="en-US"/>
              </w:rPr>
              <w:t>Sub Total</w:t>
            </w:r>
          </w:p>
        </w:tc>
        <w:tc>
          <w:tcPr>
            <w:tcW w:w="1908" w:type="dxa"/>
            <w:shd w:val="clear" w:color="auto" w:fill="auto"/>
            <w:tcMar/>
          </w:tcPr>
          <w:p w:rsidR="00AB1589" w:rsidP="00AB1589" w:rsidRDefault="00AB1589" w14:paraId="2717EEE1" w14:textId="77D4D31E">
            <w:pPr>
              <w:spacing w:line="300" w:lineRule="exact"/>
              <w:jc w:val="right"/>
              <w:rPr>
                <w:b/>
                <w:lang w:val="en-GB"/>
              </w:rPr>
            </w:pPr>
            <w:r w:rsidRPr="00365A49">
              <w:rPr>
                <w:b/>
                <w:lang w:val="en-GB"/>
              </w:rPr>
              <w:t>$</w:t>
            </w:r>
            <w:r>
              <w:rPr>
                <w:b/>
                <w:lang w:val="ru-RU"/>
              </w:rPr>
              <w:t>885</w:t>
            </w:r>
            <w:r w:rsidRPr="00365A49">
              <w:rPr>
                <w:b/>
                <w:lang w:val="en-GB"/>
              </w:rPr>
              <w:t>,</w:t>
            </w:r>
            <w:r>
              <w:rPr>
                <w:b/>
                <w:lang w:val="ru-RU"/>
              </w:rPr>
              <w:t>000</w:t>
            </w:r>
          </w:p>
          <w:p w:rsidRPr="00372D1F" w:rsidR="00AB1589" w:rsidP="00AB1589" w:rsidRDefault="00AB1589" w14:paraId="02E1B41E" w14:textId="77777777">
            <w:pPr>
              <w:spacing w:line="300" w:lineRule="exact"/>
              <w:jc w:val="right"/>
              <w:rPr>
                <w:b/>
                <w:lang w:val="en-GB"/>
              </w:rPr>
            </w:pPr>
          </w:p>
        </w:tc>
        <w:tc>
          <w:tcPr>
            <w:tcW w:w="1022" w:type="dxa"/>
            <w:shd w:val="clear" w:color="auto" w:fill="auto"/>
            <w:tcMar/>
          </w:tcPr>
          <w:p w:rsidRPr="00372D1F" w:rsidR="00AB1589" w:rsidP="00AB1589" w:rsidRDefault="00AB1589" w14:paraId="27C79733" w14:textId="77777777">
            <w:pPr>
              <w:spacing w:line="300" w:lineRule="exact"/>
              <w:jc w:val="right"/>
              <w:rPr>
                <w:b/>
                <w:lang w:val="en-GB"/>
              </w:rPr>
            </w:pPr>
          </w:p>
        </w:tc>
      </w:tr>
      <w:tr w:rsidR="00AB1589" w:rsidTr="11FD19E7" w14:paraId="55D2CE0F" w14:textId="22386468">
        <w:tc>
          <w:tcPr>
            <w:tcW w:w="6052" w:type="dxa"/>
            <w:gridSpan w:val="2"/>
            <w:shd w:val="clear" w:color="auto" w:fill="E2EFD9" w:themeFill="accent6" w:themeFillTint="33"/>
            <w:tcMar/>
          </w:tcPr>
          <w:p w:rsidRPr="00372D1F" w:rsidR="00AB1589" w:rsidP="00AB1589" w:rsidRDefault="00AB1589" w14:paraId="49C25D35" w14:textId="0271E5CE">
            <w:pPr>
              <w:spacing w:line="300" w:lineRule="exact"/>
              <w:jc w:val="right"/>
              <w:rPr>
                <w:b/>
                <w:lang w:val="en-GB"/>
              </w:rPr>
            </w:pPr>
            <w:r>
              <w:rPr>
                <w:b/>
                <w:lang w:val="en-GB"/>
              </w:rPr>
              <w:t>2</w:t>
            </w:r>
            <w:r w:rsidRPr="00372D1F">
              <w:rPr>
                <w:b/>
                <w:lang w:val="en-GB"/>
              </w:rPr>
              <w:t>024</w:t>
            </w:r>
          </w:p>
        </w:tc>
        <w:tc>
          <w:tcPr>
            <w:tcW w:w="1908" w:type="dxa"/>
            <w:shd w:val="clear" w:color="auto" w:fill="E2EFD9" w:themeFill="accent6" w:themeFillTint="33"/>
            <w:tcMar/>
          </w:tcPr>
          <w:p w:rsidRPr="00372D1F" w:rsidR="00AB1589" w:rsidP="00AB1589" w:rsidRDefault="00AB1589" w14:paraId="407EA6D3" w14:textId="77777777">
            <w:pPr>
              <w:spacing w:line="300" w:lineRule="exact"/>
              <w:jc w:val="right"/>
              <w:rPr>
                <w:b/>
                <w:lang w:val="en-GB"/>
              </w:rPr>
            </w:pPr>
          </w:p>
        </w:tc>
        <w:tc>
          <w:tcPr>
            <w:tcW w:w="1022" w:type="dxa"/>
            <w:shd w:val="clear" w:color="auto" w:fill="E2EFD9" w:themeFill="accent6" w:themeFillTint="33"/>
            <w:tcMar/>
          </w:tcPr>
          <w:p w:rsidRPr="00372D1F" w:rsidR="00AB1589" w:rsidP="00AB1589" w:rsidRDefault="00AB1589" w14:paraId="6870B156" w14:textId="77777777">
            <w:pPr>
              <w:spacing w:line="300" w:lineRule="exact"/>
              <w:jc w:val="right"/>
              <w:rPr>
                <w:b/>
                <w:lang w:val="en-GB"/>
              </w:rPr>
            </w:pPr>
          </w:p>
        </w:tc>
      </w:tr>
      <w:tr w:rsidR="00AE4155" w:rsidTr="11FD19E7" w14:paraId="7B7A05D5" w14:textId="0485D43C">
        <w:tc>
          <w:tcPr>
            <w:tcW w:w="2162" w:type="dxa"/>
            <w:shd w:val="clear" w:color="auto" w:fill="FFFFFF" w:themeFill="background1"/>
            <w:tcMar/>
          </w:tcPr>
          <w:p w:rsidRPr="00460CBE" w:rsidR="00AE4155" w:rsidP="00AE4155" w:rsidRDefault="00AE4155" w14:paraId="1337F463" w14:textId="439F6D97">
            <w:pPr>
              <w:spacing w:line="300" w:lineRule="exact"/>
              <w:rPr>
                <w:bCs/>
                <w:color w:val="808080" w:themeColor="background1" w:themeShade="80"/>
                <w:sz w:val="20"/>
                <w:szCs w:val="20"/>
                <w:lang w:val="en-GB"/>
              </w:rPr>
            </w:pPr>
            <w:r w:rsidRPr="00460CBE">
              <w:rPr>
                <w:bCs/>
                <w:sz w:val="20"/>
                <w:szCs w:val="20"/>
                <w:lang w:val="en-US"/>
              </w:rPr>
              <w:t>Delivery of services</w:t>
            </w:r>
          </w:p>
        </w:tc>
        <w:tc>
          <w:tcPr>
            <w:tcW w:w="3890" w:type="dxa"/>
            <w:shd w:val="clear" w:color="auto" w:fill="FFFFFF" w:themeFill="background1"/>
            <w:tcMar/>
          </w:tcPr>
          <w:p w:rsidRPr="00460CBE" w:rsidR="00AE4155" w:rsidP="00AE4155" w:rsidRDefault="009143EA" w14:paraId="64A732C2" w14:textId="05AE2AD3">
            <w:pPr>
              <w:spacing w:line="300" w:lineRule="exact"/>
              <w:rPr>
                <w:bCs/>
                <w:color w:val="808080" w:themeColor="background1" w:themeShade="80"/>
                <w:sz w:val="20"/>
                <w:szCs w:val="20"/>
                <w:lang w:val="en-GB"/>
              </w:rPr>
            </w:pPr>
            <w:r w:rsidRPr="00460CBE">
              <w:rPr>
                <w:sz w:val="20"/>
                <w:szCs w:val="20"/>
              </w:rPr>
              <w:t xml:space="preserve">Improve and extend </w:t>
            </w:r>
            <w:proofErr w:type="spellStart"/>
            <w:r w:rsidRPr="00460CBE">
              <w:rPr>
                <w:sz w:val="20"/>
                <w:szCs w:val="20"/>
              </w:rPr>
              <w:t>immunisation</w:t>
            </w:r>
            <w:proofErr w:type="spellEnd"/>
            <w:r w:rsidRPr="00460CBE">
              <w:rPr>
                <w:sz w:val="20"/>
                <w:szCs w:val="20"/>
              </w:rPr>
              <w:t xml:space="preserve"> service delivery by</w:t>
            </w:r>
            <w:r w:rsidRPr="00460CBE">
              <w:rPr>
                <w:bCs/>
                <w:color w:val="000000" w:themeColor="text1"/>
                <w:sz w:val="20"/>
                <w:szCs w:val="20"/>
                <w:lang w:val="en-US"/>
              </w:rPr>
              <w:t xml:space="preserve"> support in identifying and covering zero-dose children and missed opportunities</w:t>
            </w:r>
          </w:p>
        </w:tc>
        <w:tc>
          <w:tcPr>
            <w:tcW w:w="1908" w:type="dxa"/>
            <w:shd w:val="clear" w:color="auto" w:fill="FFFFFF" w:themeFill="background1"/>
            <w:tcMar/>
          </w:tcPr>
          <w:p w:rsidRPr="00460CBE" w:rsidR="00AE4155" w:rsidP="00D55A11" w:rsidRDefault="0015380B" w14:paraId="7D533089" w14:textId="06E00F70">
            <w:pPr>
              <w:spacing w:line="300" w:lineRule="exact"/>
              <w:jc w:val="right"/>
              <w:rPr>
                <w:bCs/>
                <w:color w:val="808080" w:themeColor="background1" w:themeShade="80"/>
                <w:sz w:val="20"/>
                <w:szCs w:val="20"/>
                <w:lang w:val="en-GB"/>
              </w:rPr>
            </w:pPr>
            <w:r w:rsidRPr="00460CBE">
              <w:rPr>
                <w:bCs/>
                <w:sz w:val="20"/>
                <w:szCs w:val="20"/>
                <w:lang w:val="ru-RU"/>
              </w:rPr>
              <w:t>5</w:t>
            </w:r>
            <w:r w:rsidRPr="00460CBE" w:rsidR="00AE4155">
              <w:rPr>
                <w:bCs/>
                <w:sz w:val="20"/>
                <w:szCs w:val="20"/>
                <w:lang w:val="en-US"/>
              </w:rPr>
              <w:t>0 000</w:t>
            </w:r>
          </w:p>
        </w:tc>
        <w:tc>
          <w:tcPr>
            <w:tcW w:w="1022" w:type="dxa"/>
            <w:shd w:val="clear" w:color="auto" w:fill="FFFFFF" w:themeFill="background1"/>
            <w:tcMar/>
          </w:tcPr>
          <w:p w:rsidR="00AE4155" w:rsidP="00AE4155" w:rsidRDefault="00AE4155" w14:paraId="1D2BB679" w14:textId="77777777">
            <w:pPr>
              <w:spacing w:line="300" w:lineRule="exact"/>
              <w:rPr>
                <w:bCs/>
                <w:color w:val="808080" w:themeColor="background1" w:themeShade="80"/>
                <w:lang w:val="en-GB"/>
              </w:rPr>
            </w:pPr>
          </w:p>
        </w:tc>
      </w:tr>
      <w:tr w:rsidR="00AE4155" w:rsidTr="11FD19E7" w14:paraId="28CEC220" w14:textId="77777777">
        <w:tc>
          <w:tcPr>
            <w:tcW w:w="2162" w:type="dxa"/>
            <w:shd w:val="clear" w:color="auto" w:fill="FFFFFF" w:themeFill="background1"/>
            <w:tcMar/>
          </w:tcPr>
          <w:p w:rsidRPr="00460CBE" w:rsidR="00AE4155" w:rsidP="00AE4155" w:rsidRDefault="00AE4155" w14:paraId="1219B815" w14:textId="57346336">
            <w:pPr>
              <w:spacing w:line="300" w:lineRule="exact"/>
              <w:rPr>
                <w:bCs/>
                <w:color w:val="808080" w:themeColor="background1" w:themeShade="80"/>
                <w:sz w:val="20"/>
                <w:szCs w:val="20"/>
                <w:lang w:val="en-GB"/>
              </w:rPr>
            </w:pPr>
            <w:r w:rsidRPr="00460CBE">
              <w:rPr>
                <w:bCs/>
                <w:sz w:val="20"/>
                <w:szCs w:val="20"/>
                <w:lang w:val="en-US"/>
              </w:rPr>
              <w:t>Health human resources</w:t>
            </w:r>
          </w:p>
        </w:tc>
        <w:tc>
          <w:tcPr>
            <w:tcW w:w="3890" w:type="dxa"/>
            <w:shd w:val="clear" w:color="auto" w:fill="FFFFFF" w:themeFill="background1"/>
            <w:tcMar/>
          </w:tcPr>
          <w:p w:rsidRPr="00460CBE" w:rsidR="00AE4155" w:rsidP="00AE4155" w:rsidRDefault="00AE4155" w14:paraId="7FB7B479" w14:textId="40FD9866">
            <w:pPr>
              <w:spacing w:line="300" w:lineRule="exact"/>
              <w:rPr>
                <w:bCs/>
                <w:color w:val="808080" w:themeColor="background1" w:themeShade="80"/>
                <w:sz w:val="20"/>
                <w:szCs w:val="20"/>
                <w:lang w:val="en-GB"/>
              </w:rPr>
            </w:pPr>
            <w:r w:rsidRPr="00460CBE">
              <w:rPr>
                <w:bCs/>
                <w:sz w:val="20"/>
                <w:szCs w:val="20"/>
                <w:lang w:val="en-US"/>
              </w:rPr>
              <w:t>Support in strengthening the capacity of MoH KR’s specialists in issues related to the delivery of vaccination services</w:t>
            </w:r>
          </w:p>
        </w:tc>
        <w:tc>
          <w:tcPr>
            <w:tcW w:w="1908" w:type="dxa"/>
            <w:shd w:val="clear" w:color="auto" w:fill="FFFFFF" w:themeFill="background1"/>
            <w:tcMar/>
          </w:tcPr>
          <w:p w:rsidRPr="00460CBE" w:rsidR="00AE4155" w:rsidP="00D55A11" w:rsidRDefault="00AE4155" w14:paraId="459384A9" w14:textId="5BCC4756">
            <w:pPr>
              <w:spacing w:line="300" w:lineRule="exact"/>
              <w:jc w:val="right"/>
              <w:rPr>
                <w:bCs/>
                <w:color w:val="808080" w:themeColor="background1" w:themeShade="80"/>
                <w:sz w:val="20"/>
                <w:szCs w:val="20"/>
                <w:lang w:val="en-GB"/>
              </w:rPr>
            </w:pPr>
            <w:r w:rsidRPr="00460CBE">
              <w:rPr>
                <w:bCs/>
                <w:sz w:val="20"/>
                <w:szCs w:val="20"/>
                <w:lang w:val="en-US"/>
              </w:rPr>
              <w:t>25 000</w:t>
            </w:r>
          </w:p>
        </w:tc>
        <w:tc>
          <w:tcPr>
            <w:tcW w:w="1022" w:type="dxa"/>
            <w:shd w:val="clear" w:color="auto" w:fill="FFFFFF" w:themeFill="background1"/>
            <w:tcMar/>
          </w:tcPr>
          <w:p w:rsidR="00AE4155" w:rsidP="00AE4155" w:rsidRDefault="00AE4155" w14:paraId="4755273A" w14:textId="77777777">
            <w:pPr>
              <w:spacing w:line="300" w:lineRule="exact"/>
              <w:rPr>
                <w:bCs/>
                <w:color w:val="808080" w:themeColor="background1" w:themeShade="80"/>
                <w:lang w:val="en-GB"/>
              </w:rPr>
            </w:pPr>
          </w:p>
        </w:tc>
      </w:tr>
      <w:tr w:rsidR="00AE4155" w:rsidTr="11FD19E7" w14:paraId="27CC2C16" w14:textId="77777777">
        <w:tc>
          <w:tcPr>
            <w:tcW w:w="2162" w:type="dxa"/>
            <w:shd w:val="clear" w:color="auto" w:fill="FFFFFF" w:themeFill="background1"/>
            <w:tcMar/>
          </w:tcPr>
          <w:p w:rsidRPr="00460CBE" w:rsidR="00AE4155" w:rsidP="00AE4155" w:rsidRDefault="00AE4155" w14:paraId="4284EB4B" w14:textId="0E964F3E">
            <w:pPr>
              <w:spacing w:line="300" w:lineRule="exact"/>
              <w:rPr>
                <w:bCs/>
                <w:color w:val="808080" w:themeColor="background1" w:themeShade="80"/>
                <w:sz w:val="20"/>
                <w:szCs w:val="20"/>
                <w:lang w:val="en-GB"/>
              </w:rPr>
            </w:pPr>
            <w:r w:rsidRPr="00460CBE">
              <w:rPr>
                <w:bCs/>
                <w:sz w:val="20"/>
                <w:szCs w:val="20"/>
                <w:lang w:val="en-US"/>
              </w:rPr>
              <w:t>Supply chain</w:t>
            </w:r>
          </w:p>
        </w:tc>
        <w:tc>
          <w:tcPr>
            <w:tcW w:w="3890" w:type="dxa"/>
            <w:shd w:val="clear" w:color="auto" w:fill="FFFFFF" w:themeFill="background1"/>
            <w:tcMar/>
          </w:tcPr>
          <w:p w:rsidRPr="00460CBE" w:rsidR="00AE4155" w:rsidP="00AE4155" w:rsidRDefault="00AE4155" w14:paraId="00437D5B" w14:textId="08D347C9">
            <w:pPr>
              <w:spacing w:line="300" w:lineRule="exact"/>
              <w:rPr>
                <w:bCs/>
                <w:color w:val="808080" w:themeColor="background1" w:themeShade="80"/>
                <w:sz w:val="20"/>
                <w:szCs w:val="20"/>
                <w:lang w:val="en-US"/>
              </w:rPr>
            </w:pPr>
            <w:r w:rsidRPr="00460CBE">
              <w:rPr>
                <w:bCs/>
                <w:color w:val="000000" w:themeColor="text1"/>
                <w:sz w:val="20"/>
                <w:szCs w:val="20"/>
                <w:lang w:val="en-US"/>
              </w:rPr>
              <w:t xml:space="preserve">Support in improving reporting on supplies, forecasting/budgeting, </w:t>
            </w:r>
            <w:proofErr w:type="gramStart"/>
            <w:r w:rsidRPr="00460CBE">
              <w:rPr>
                <w:bCs/>
                <w:color w:val="000000" w:themeColor="text1"/>
                <w:sz w:val="20"/>
                <w:szCs w:val="20"/>
                <w:lang w:val="en-US"/>
              </w:rPr>
              <w:t>the  Platform</w:t>
            </w:r>
            <w:proofErr w:type="gramEnd"/>
            <w:r w:rsidRPr="00460CBE">
              <w:rPr>
                <w:bCs/>
                <w:color w:val="000000" w:themeColor="text1"/>
                <w:sz w:val="20"/>
                <w:szCs w:val="20"/>
                <w:lang w:val="en-US"/>
              </w:rPr>
              <w:t xml:space="preserve"> for Cold Chain Optimization (PCCO), coordination of vaccine procurements and effective management of vaccines</w:t>
            </w:r>
            <w:r w:rsidRPr="00460CBE" w:rsidDel="00AB1589">
              <w:rPr>
                <w:bCs/>
                <w:sz w:val="20"/>
                <w:szCs w:val="20"/>
                <w:lang w:val="en-US"/>
              </w:rPr>
              <w:t xml:space="preserve"> </w:t>
            </w:r>
          </w:p>
        </w:tc>
        <w:tc>
          <w:tcPr>
            <w:tcW w:w="1908" w:type="dxa"/>
            <w:shd w:val="clear" w:color="auto" w:fill="FFFFFF" w:themeFill="background1"/>
            <w:tcMar/>
          </w:tcPr>
          <w:p w:rsidRPr="00460CBE" w:rsidR="00AE4155" w:rsidP="00D55A11" w:rsidRDefault="00AE4155" w14:paraId="382CCF1F" w14:textId="121F2527">
            <w:pPr>
              <w:spacing w:line="300" w:lineRule="exact"/>
              <w:jc w:val="right"/>
              <w:rPr>
                <w:bCs/>
                <w:color w:val="808080" w:themeColor="background1" w:themeShade="80"/>
                <w:sz w:val="20"/>
                <w:szCs w:val="20"/>
                <w:lang w:val="en-GB"/>
              </w:rPr>
            </w:pPr>
            <w:r w:rsidRPr="00460CBE">
              <w:rPr>
                <w:bCs/>
                <w:color w:val="808080" w:themeColor="background1" w:themeShade="80"/>
                <w:sz w:val="20"/>
                <w:szCs w:val="20"/>
                <w:lang w:val="en-US"/>
              </w:rPr>
              <w:t>73 000</w:t>
            </w:r>
          </w:p>
        </w:tc>
        <w:tc>
          <w:tcPr>
            <w:tcW w:w="1022" w:type="dxa"/>
            <w:shd w:val="clear" w:color="auto" w:fill="FFFFFF" w:themeFill="background1"/>
            <w:tcMar/>
          </w:tcPr>
          <w:p w:rsidR="00AE4155" w:rsidP="00AE4155" w:rsidRDefault="00AE4155" w14:paraId="2A12A18B" w14:textId="77777777">
            <w:pPr>
              <w:spacing w:line="300" w:lineRule="exact"/>
              <w:rPr>
                <w:bCs/>
                <w:color w:val="808080" w:themeColor="background1" w:themeShade="80"/>
                <w:lang w:val="en-GB"/>
              </w:rPr>
            </w:pPr>
          </w:p>
        </w:tc>
      </w:tr>
      <w:tr w:rsidR="00AE4155" w:rsidTr="11FD19E7" w14:paraId="152BF3D9" w14:textId="77777777">
        <w:tc>
          <w:tcPr>
            <w:tcW w:w="2162" w:type="dxa"/>
            <w:shd w:val="clear" w:color="auto" w:fill="FFFFFF" w:themeFill="background1"/>
            <w:tcMar/>
          </w:tcPr>
          <w:p w:rsidRPr="00460CBE" w:rsidR="00AE4155" w:rsidP="00AE4155" w:rsidRDefault="00AE4155" w14:paraId="58CEF355" w14:textId="12268969">
            <w:pPr>
              <w:spacing w:line="300" w:lineRule="exact"/>
              <w:rPr>
                <w:bCs/>
                <w:color w:val="808080" w:themeColor="background1" w:themeShade="80"/>
                <w:sz w:val="20"/>
                <w:szCs w:val="20"/>
                <w:lang w:val="en-GB"/>
              </w:rPr>
            </w:pPr>
            <w:r w:rsidRPr="00460CBE">
              <w:rPr>
                <w:bCs/>
                <w:sz w:val="20"/>
                <w:szCs w:val="20"/>
                <w:lang w:val="en-US"/>
              </w:rPr>
              <w:t>Health information systems, monitoring and training</w:t>
            </w:r>
          </w:p>
        </w:tc>
        <w:tc>
          <w:tcPr>
            <w:tcW w:w="3890" w:type="dxa"/>
            <w:shd w:val="clear" w:color="auto" w:fill="FFFFFF" w:themeFill="background1"/>
            <w:tcMar/>
          </w:tcPr>
          <w:p w:rsidRPr="00460CBE" w:rsidR="00AE4155" w:rsidDel="008248C3" w:rsidP="00AE4155" w:rsidRDefault="00AE4155" w14:paraId="08B0106E" w14:textId="77777777">
            <w:pPr>
              <w:pStyle w:val="HTMLPreformatted"/>
              <w:shd w:val="clear" w:color="auto" w:fill="F8F9FA"/>
              <w:rPr>
                <w:bCs/>
                <w:lang w:val="en-US"/>
              </w:rPr>
            </w:pPr>
            <w:r w:rsidRPr="00460CBE">
              <w:rPr>
                <w:rStyle w:val="y2iqfc"/>
                <w:rFonts w:ascii="Arial" w:hAnsi="Arial" w:cs="Arial"/>
                <w:color w:val="202124"/>
                <w:lang w:val="en-US"/>
              </w:rPr>
              <w:t>Strengthening good leadership, management and coordination (LMC), incl. using data for decision-making</w:t>
            </w:r>
          </w:p>
          <w:p w:rsidRPr="00460CBE" w:rsidR="00AE4155" w:rsidP="00AE4155" w:rsidRDefault="00AE4155" w14:paraId="1659DF12" w14:textId="77777777">
            <w:pPr>
              <w:spacing w:line="300" w:lineRule="exact"/>
              <w:rPr>
                <w:bCs/>
                <w:color w:val="808080" w:themeColor="background1" w:themeShade="80"/>
                <w:sz w:val="20"/>
                <w:szCs w:val="20"/>
                <w:lang w:val="en-GB"/>
              </w:rPr>
            </w:pPr>
          </w:p>
        </w:tc>
        <w:tc>
          <w:tcPr>
            <w:tcW w:w="1908" w:type="dxa"/>
            <w:shd w:val="clear" w:color="auto" w:fill="FFFFFF" w:themeFill="background1"/>
            <w:tcMar/>
          </w:tcPr>
          <w:p w:rsidRPr="00460CBE" w:rsidR="00AE4155" w:rsidP="00D55A11" w:rsidRDefault="00AE4155" w14:paraId="10CF6B31" w14:textId="6573104B">
            <w:pPr>
              <w:spacing w:line="300" w:lineRule="exact"/>
              <w:jc w:val="right"/>
              <w:rPr>
                <w:bCs/>
                <w:color w:val="808080" w:themeColor="background1" w:themeShade="80"/>
                <w:sz w:val="20"/>
                <w:szCs w:val="20"/>
                <w:lang w:val="en-GB"/>
              </w:rPr>
            </w:pPr>
            <w:r w:rsidRPr="00460CBE">
              <w:rPr>
                <w:bCs/>
                <w:sz w:val="20"/>
                <w:szCs w:val="20"/>
                <w:lang w:val="en-US"/>
              </w:rPr>
              <w:t>60 000</w:t>
            </w:r>
          </w:p>
        </w:tc>
        <w:tc>
          <w:tcPr>
            <w:tcW w:w="1022" w:type="dxa"/>
            <w:shd w:val="clear" w:color="auto" w:fill="FFFFFF" w:themeFill="background1"/>
            <w:tcMar/>
          </w:tcPr>
          <w:p w:rsidR="00AE4155" w:rsidP="00AE4155" w:rsidRDefault="00AE4155" w14:paraId="004FEC61" w14:textId="77777777">
            <w:pPr>
              <w:spacing w:line="300" w:lineRule="exact"/>
              <w:rPr>
                <w:bCs/>
                <w:color w:val="808080" w:themeColor="background1" w:themeShade="80"/>
                <w:lang w:val="en-GB"/>
              </w:rPr>
            </w:pPr>
          </w:p>
        </w:tc>
      </w:tr>
      <w:tr w:rsidR="00AE4155" w:rsidTr="11FD19E7" w14:paraId="4FEEB07A" w14:textId="77777777">
        <w:tc>
          <w:tcPr>
            <w:tcW w:w="2162" w:type="dxa"/>
            <w:shd w:val="clear" w:color="auto" w:fill="FFFFFF" w:themeFill="background1"/>
            <w:tcMar/>
          </w:tcPr>
          <w:p w:rsidRPr="00460CBE" w:rsidR="00AE4155" w:rsidP="00AE4155" w:rsidRDefault="00AE4155" w14:paraId="44B98219" w14:textId="16CCAFC6">
            <w:pPr>
              <w:spacing w:line="300" w:lineRule="exact"/>
              <w:rPr>
                <w:bCs/>
                <w:color w:val="808080" w:themeColor="background1" w:themeShade="80"/>
                <w:sz w:val="20"/>
                <w:szCs w:val="20"/>
                <w:lang w:val="en-GB"/>
              </w:rPr>
            </w:pPr>
            <w:r w:rsidRPr="00460CBE">
              <w:rPr>
                <w:bCs/>
                <w:sz w:val="20"/>
                <w:szCs w:val="20"/>
                <w:lang w:val="en-US"/>
              </w:rPr>
              <w:t>Surveillance of vaccine-preventable infections (VPI)</w:t>
            </w:r>
          </w:p>
        </w:tc>
        <w:tc>
          <w:tcPr>
            <w:tcW w:w="3890" w:type="dxa"/>
            <w:shd w:val="clear" w:color="auto" w:fill="FFFFFF" w:themeFill="background1"/>
            <w:tcMar/>
          </w:tcPr>
          <w:p w:rsidRPr="00460CBE" w:rsidR="00AE4155" w:rsidP="00AE4155" w:rsidRDefault="00AE4155" w14:paraId="1BC0CF54" w14:textId="1427DD37">
            <w:pPr>
              <w:spacing w:line="300" w:lineRule="exact"/>
              <w:rPr>
                <w:bCs/>
                <w:color w:val="808080" w:themeColor="background1" w:themeShade="80"/>
                <w:sz w:val="20"/>
                <w:szCs w:val="20"/>
                <w:lang w:val="en-GB"/>
              </w:rPr>
            </w:pPr>
            <w:r w:rsidRPr="00460CBE">
              <w:rPr>
                <w:bCs/>
                <w:sz w:val="20"/>
                <w:szCs w:val="20"/>
                <w:lang w:val="en-US"/>
              </w:rPr>
              <w:t>Support in strengthening the system of epidemiological surveillance of vaccine-preventable infections</w:t>
            </w:r>
          </w:p>
        </w:tc>
        <w:tc>
          <w:tcPr>
            <w:tcW w:w="1908" w:type="dxa"/>
            <w:shd w:val="clear" w:color="auto" w:fill="FFFFFF" w:themeFill="background1"/>
            <w:tcMar/>
          </w:tcPr>
          <w:p w:rsidRPr="00460CBE" w:rsidR="00AE4155" w:rsidP="00D55A11" w:rsidRDefault="00AE4155" w14:paraId="4EDE7F9D" w14:textId="585E3669">
            <w:pPr>
              <w:spacing w:line="300" w:lineRule="exact"/>
              <w:jc w:val="right"/>
              <w:rPr>
                <w:bCs/>
                <w:color w:val="808080" w:themeColor="background1" w:themeShade="80"/>
                <w:sz w:val="20"/>
                <w:szCs w:val="20"/>
                <w:lang w:val="en-GB"/>
              </w:rPr>
            </w:pPr>
            <w:r w:rsidRPr="00460CBE">
              <w:rPr>
                <w:bCs/>
                <w:color w:val="808080" w:themeColor="background1" w:themeShade="80"/>
                <w:sz w:val="20"/>
                <w:szCs w:val="20"/>
                <w:lang w:val="en-US"/>
              </w:rPr>
              <w:t>50 000</w:t>
            </w:r>
          </w:p>
        </w:tc>
        <w:tc>
          <w:tcPr>
            <w:tcW w:w="1022" w:type="dxa"/>
            <w:shd w:val="clear" w:color="auto" w:fill="FFFFFF" w:themeFill="background1"/>
            <w:tcMar/>
          </w:tcPr>
          <w:p w:rsidR="00AE4155" w:rsidP="00AE4155" w:rsidRDefault="00AE4155" w14:paraId="48D2896B" w14:textId="77777777">
            <w:pPr>
              <w:spacing w:line="300" w:lineRule="exact"/>
              <w:rPr>
                <w:bCs/>
                <w:color w:val="808080" w:themeColor="background1" w:themeShade="80"/>
                <w:lang w:val="en-GB"/>
              </w:rPr>
            </w:pPr>
          </w:p>
        </w:tc>
      </w:tr>
      <w:tr w:rsidR="00AE4155" w:rsidTr="11FD19E7" w14:paraId="6AE7748C" w14:textId="77777777">
        <w:tc>
          <w:tcPr>
            <w:tcW w:w="2162" w:type="dxa"/>
            <w:shd w:val="clear" w:color="auto" w:fill="FFFFFF" w:themeFill="background1"/>
            <w:tcMar/>
          </w:tcPr>
          <w:p w:rsidRPr="00460CBE" w:rsidR="00AE4155" w:rsidP="00AE4155" w:rsidRDefault="00AE4155" w14:paraId="12F513A9" w14:textId="59F900A4">
            <w:pPr>
              <w:spacing w:line="300" w:lineRule="exact"/>
              <w:rPr>
                <w:bCs/>
                <w:color w:val="808080" w:themeColor="background1" w:themeShade="80"/>
                <w:sz w:val="20"/>
                <w:szCs w:val="20"/>
                <w:lang w:val="en-GB"/>
              </w:rPr>
            </w:pPr>
            <w:r w:rsidRPr="00460CBE">
              <w:rPr>
                <w:bCs/>
                <w:sz w:val="20"/>
                <w:szCs w:val="20"/>
                <w:lang w:val="en-US"/>
              </w:rPr>
              <w:t>Forming demand and engagement with communities</w:t>
            </w:r>
          </w:p>
        </w:tc>
        <w:tc>
          <w:tcPr>
            <w:tcW w:w="3890" w:type="dxa"/>
            <w:shd w:val="clear" w:color="auto" w:fill="FFFFFF" w:themeFill="background1"/>
            <w:tcMar/>
          </w:tcPr>
          <w:p w:rsidRPr="003B64C9" w:rsidR="00AE4155" w:rsidP="003B64C9" w:rsidRDefault="00772E01" w14:paraId="5EFFFDFA" w14:textId="6F92C7CD">
            <w:pPr>
              <w:rPr>
                <w:rFonts w:ascii="Calibri" w:hAnsi="Calibri" w:cs="Calibri" w:eastAsiaTheme="minorHAnsi"/>
                <w:sz w:val="20"/>
                <w:szCs w:val="20"/>
                <w:lang w:val="en-US" w:eastAsia="ru-RU"/>
              </w:rPr>
            </w:pPr>
            <w:r w:rsidRPr="00460CBE">
              <w:rPr>
                <w:sz w:val="20"/>
                <w:szCs w:val="20"/>
                <w:lang w:val="en-US"/>
              </w:rPr>
              <w:t>Technical assistance for strategy development and demand generation on immunization in a gender-sensitive manner</w:t>
            </w:r>
          </w:p>
        </w:tc>
        <w:tc>
          <w:tcPr>
            <w:tcW w:w="1908" w:type="dxa"/>
            <w:shd w:val="clear" w:color="auto" w:fill="FFFFFF" w:themeFill="background1"/>
            <w:tcMar/>
          </w:tcPr>
          <w:p w:rsidRPr="00460CBE" w:rsidR="00AE4155" w:rsidP="00D55A11" w:rsidRDefault="00AE4155" w14:paraId="1DBF59E2" w14:textId="49F9AD71">
            <w:pPr>
              <w:spacing w:line="300" w:lineRule="exact"/>
              <w:jc w:val="right"/>
              <w:rPr>
                <w:bCs/>
                <w:color w:val="808080" w:themeColor="background1" w:themeShade="80"/>
                <w:sz w:val="20"/>
                <w:szCs w:val="20"/>
                <w:lang w:val="en-GB"/>
              </w:rPr>
            </w:pPr>
            <w:r w:rsidRPr="00460CBE">
              <w:rPr>
                <w:bCs/>
                <w:sz w:val="20"/>
                <w:szCs w:val="20"/>
                <w:lang w:val="en-US"/>
              </w:rPr>
              <w:t>108 000</w:t>
            </w:r>
          </w:p>
        </w:tc>
        <w:tc>
          <w:tcPr>
            <w:tcW w:w="1022" w:type="dxa"/>
            <w:shd w:val="clear" w:color="auto" w:fill="FFFFFF" w:themeFill="background1"/>
            <w:tcMar/>
          </w:tcPr>
          <w:p w:rsidR="00AE4155" w:rsidP="00AE4155" w:rsidRDefault="00AE4155" w14:paraId="50E7E275" w14:textId="77777777">
            <w:pPr>
              <w:spacing w:line="300" w:lineRule="exact"/>
              <w:rPr>
                <w:bCs/>
                <w:color w:val="808080" w:themeColor="background1" w:themeShade="80"/>
                <w:lang w:val="en-GB"/>
              </w:rPr>
            </w:pPr>
          </w:p>
        </w:tc>
      </w:tr>
      <w:tr w:rsidR="00AE4155" w:rsidTr="11FD19E7" w14:paraId="4DD8249C" w14:textId="77777777">
        <w:tc>
          <w:tcPr>
            <w:tcW w:w="2162" w:type="dxa"/>
            <w:shd w:val="clear" w:color="auto" w:fill="FFFFFF" w:themeFill="background1"/>
            <w:tcMar/>
          </w:tcPr>
          <w:p w:rsidRPr="00460CBE" w:rsidR="00AE4155" w:rsidP="00AE4155" w:rsidRDefault="00AE4155" w14:paraId="4C6F1B17" w14:textId="7F86F1FD">
            <w:pPr>
              <w:spacing w:line="300" w:lineRule="exact"/>
              <w:rPr>
                <w:bCs/>
                <w:color w:val="808080" w:themeColor="background1" w:themeShade="80"/>
                <w:sz w:val="20"/>
                <w:szCs w:val="20"/>
                <w:lang w:val="en-GB"/>
              </w:rPr>
            </w:pPr>
            <w:r w:rsidRPr="00460CBE">
              <w:rPr>
                <w:bCs/>
                <w:sz w:val="20"/>
                <w:szCs w:val="20"/>
                <w:lang w:val="en-US"/>
              </w:rPr>
              <w:lastRenderedPageBreak/>
              <w:t>Management, policy, strategic planning and program management</w:t>
            </w:r>
          </w:p>
        </w:tc>
        <w:tc>
          <w:tcPr>
            <w:tcW w:w="3890" w:type="dxa"/>
            <w:shd w:val="clear" w:color="auto" w:fill="FFFFFF" w:themeFill="background1"/>
            <w:tcMar/>
          </w:tcPr>
          <w:p w:rsidRPr="00460CBE" w:rsidR="00AE4155" w:rsidP="00AE4155" w:rsidRDefault="00AE4155" w14:paraId="5D7B191C" w14:textId="77777777">
            <w:pPr>
              <w:spacing w:line="300" w:lineRule="exact"/>
              <w:jc w:val="both"/>
              <w:rPr>
                <w:bCs/>
                <w:sz w:val="20"/>
                <w:szCs w:val="20"/>
                <w:lang w:val="en-US"/>
              </w:rPr>
            </w:pPr>
            <w:r w:rsidRPr="00460CBE">
              <w:rPr>
                <w:bCs/>
                <w:sz w:val="20"/>
                <w:szCs w:val="20"/>
                <w:lang w:val="en-US"/>
              </w:rPr>
              <w:t>Support for building the capacity to coordinate, plan and manage the National Immunization Program (NIP)</w:t>
            </w:r>
          </w:p>
          <w:p w:rsidRPr="00460CBE" w:rsidR="00AE4155" w:rsidP="00AE4155" w:rsidRDefault="00AE4155" w14:paraId="5D6F217D" w14:textId="77777777">
            <w:pPr>
              <w:spacing w:line="300" w:lineRule="exact"/>
              <w:rPr>
                <w:bCs/>
                <w:color w:val="808080" w:themeColor="background1" w:themeShade="80"/>
                <w:sz w:val="20"/>
                <w:szCs w:val="20"/>
                <w:lang w:val="en-GB"/>
              </w:rPr>
            </w:pPr>
          </w:p>
        </w:tc>
        <w:tc>
          <w:tcPr>
            <w:tcW w:w="1908" w:type="dxa"/>
            <w:shd w:val="clear" w:color="auto" w:fill="FFFFFF" w:themeFill="background1"/>
            <w:tcMar/>
          </w:tcPr>
          <w:p w:rsidRPr="00460CBE" w:rsidR="00AE4155" w:rsidP="00D55A11" w:rsidRDefault="0015380B" w14:paraId="0B6493FA" w14:textId="546F1E58">
            <w:pPr>
              <w:spacing w:line="300" w:lineRule="exact"/>
              <w:jc w:val="right"/>
              <w:rPr>
                <w:bCs/>
                <w:color w:val="808080" w:themeColor="background1" w:themeShade="80"/>
                <w:sz w:val="20"/>
                <w:szCs w:val="20"/>
                <w:lang w:val="ru-RU"/>
              </w:rPr>
            </w:pPr>
            <w:r w:rsidRPr="00460CBE">
              <w:rPr>
                <w:bCs/>
                <w:sz w:val="20"/>
                <w:szCs w:val="20"/>
                <w:lang w:val="ru-RU"/>
              </w:rPr>
              <w:t>197</w:t>
            </w:r>
            <w:r w:rsidRPr="00460CBE" w:rsidR="007C0650">
              <w:rPr>
                <w:bCs/>
                <w:sz w:val="20"/>
                <w:szCs w:val="20"/>
                <w:lang w:val="ru-RU"/>
              </w:rPr>
              <w:t xml:space="preserve"> 000</w:t>
            </w:r>
          </w:p>
        </w:tc>
        <w:tc>
          <w:tcPr>
            <w:tcW w:w="1022" w:type="dxa"/>
            <w:shd w:val="clear" w:color="auto" w:fill="FFFFFF" w:themeFill="background1"/>
            <w:tcMar/>
          </w:tcPr>
          <w:p w:rsidR="00AE4155" w:rsidP="00AE4155" w:rsidRDefault="00AE4155" w14:paraId="2C8D8FF3" w14:textId="77777777">
            <w:pPr>
              <w:spacing w:line="300" w:lineRule="exact"/>
              <w:rPr>
                <w:bCs/>
                <w:color w:val="808080" w:themeColor="background1" w:themeShade="80"/>
                <w:lang w:val="en-GB"/>
              </w:rPr>
            </w:pPr>
          </w:p>
        </w:tc>
      </w:tr>
      <w:tr w:rsidR="00AE4155" w:rsidTr="11FD19E7" w14:paraId="571D4ADB" w14:textId="77777777">
        <w:tc>
          <w:tcPr>
            <w:tcW w:w="2162" w:type="dxa"/>
            <w:shd w:val="clear" w:color="auto" w:fill="FFFFFF" w:themeFill="background1"/>
            <w:tcMar/>
          </w:tcPr>
          <w:p w:rsidRPr="00460CBE" w:rsidR="00AE4155" w:rsidP="00AE4155" w:rsidRDefault="00AE4155" w14:paraId="52367E8F" w14:textId="1971B933">
            <w:pPr>
              <w:spacing w:line="300" w:lineRule="exact"/>
              <w:rPr>
                <w:bCs/>
                <w:color w:val="808080" w:themeColor="background1" w:themeShade="80"/>
                <w:sz w:val="20"/>
                <w:szCs w:val="20"/>
                <w:lang w:val="en-GB"/>
              </w:rPr>
            </w:pPr>
            <w:r w:rsidRPr="00460CBE">
              <w:rPr>
                <w:bCs/>
                <w:sz w:val="20"/>
                <w:szCs w:val="20"/>
                <w:lang w:val="en-US"/>
              </w:rPr>
              <w:t>Health financing</w:t>
            </w:r>
          </w:p>
        </w:tc>
        <w:tc>
          <w:tcPr>
            <w:tcW w:w="3890" w:type="dxa"/>
            <w:shd w:val="clear" w:color="auto" w:fill="FFFFFF" w:themeFill="background1"/>
            <w:tcMar/>
          </w:tcPr>
          <w:p w:rsidRPr="00460CBE" w:rsidR="00AE4155" w:rsidP="00AE4155" w:rsidRDefault="00AE4155" w14:paraId="0FA21B09" w14:textId="2F0CBBF2">
            <w:pPr>
              <w:spacing w:line="300" w:lineRule="exact"/>
              <w:rPr>
                <w:bCs/>
                <w:color w:val="808080" w:themeColor="background1" w:themeShade="80"/>
                <w:sz w:val="20"/>
                <w:szCs w:val="20"/>
                <w:lang w:val="en-GB"/>
              </w:rPr>
            </w:pPr>
            <w:r w:rsidRPr="00460CBE">
              <w:rPr>
                <w:bCs/>
                <w:sz w:val="20"/>
                <w:szCs w:val="20"/>
                <w:lang w:val="en-US"/>
              </w:rPr>
              <w:t xml:space="preserve">Support in advocating to </w:t>
            </w:r>
            <w:proofErr w:type="gramStart"/>
            <w:r w:rsidRPr="00460CBE">
              <w:rPr>
                <w:bCs/>
                <w:sz w:val="20"/>
                <w:szCs w:val="20"/>
                <w:lang w:val="en-US"/>
              </w:rPr>
              <w:t>mobilize  the</w:t>
            </w:r>
            <w:proofErr w:type="gramEnd"/>
            <w:r w:rsidRPr="00460CBE">
              <w:rPr>
                <w:bCs/>
                <w:sz w:val="20"/>
                <w:szCs w:val="20"/>
                <w:lang w:val="en-US"/>
              </w:rPr>
              <w:t xml:space="preserve"> necessary financial resources for the NIP</w:t>
            </w:r>
          </w:p>
        </w:tc>
        <w:tc>
          <w:tcPr>
            <w:tcW w:w="1908" w:type="dxa"/>
            <w:shd w:val="clear" w:color="auto" w:fill="FFFFFF" w:themeFill="background1"/>
            <w:tcMar/>
          </w:tcPr>
          <w:p w:rsidRPr="00460CBE" w:rsidR="00AE4155" w:rsidP="00D55A11" w:rsidRDefault="00AE4155" w14:paraId="58F3E137" w14:textId="16930DCE">
            <w:pPr>
              <w:spacing w:line="300" w:lineRule="exact"/>
              <w:jc w:val="right"/>
              <w:rPr>
                <w:bCs/>
                <w:color w:val="808080" w:themeColor="background1" w:themeShade="80"/>
                <w:sz w:val="20"/>
                <w:szCs w:val="20"/>
                <w:lang w:val="en-GB"/>
              </w:rPr>
            </w:pPr>
            <w:r w:rsidRPr="00460CBE">
              <w:rPr>
                <w:bCs/>
                <w:sz w:val="20"/>
                <w:szCs w:val="20"/>
                <w:lang w:val="en-US"/>
              </w:rPr>
              <w:t>10 000</w:t>
            </w:r>
          </w:p>
        </w:tc>
        <w:tc>
          <w:tcPr>
            <w:tcW w:w="1022" w:type="dxa"/>
            <w:shd w:val="clear" w:color="auto" w:fill="FFFFFF" w:themeFill="background1"/>
            <w:tcMar/>
          </w:tcPr>
          <w:p w:rsidR="00AE4155" w:rsidP="00AE4155" w:rsidRDefault="00AE4155" w14:paraId="1F13D69F" w14:textId="77777777">
            <w:pPr>
              <w:spacing w:line="300" w:lineRule="exact"/>
              <w:rPr>
                <w:bCs/>
                <w:color w:val="808080" w:themeColor="background1" w:themeShade="80"/>
                <w:lang w:val="en-GB"/>
              </w:rPr>
            </w:pPr>
          </w:p>
        </w:tc>
      </w:tr>
      <w:tr w:rsidR="00AE4155" w:rsidTr="11FD19E7" w14:paraId="0DCEFD24" w14:textId="731D7935">
        <w:tc>
          <w:tcPr>
            <w:tcW w:w="2162" w:type="dxa"/>
            <w:shd w:val="clear" w:color="auto" w:fill="FFFFFF" w:themeFill="background1"/>
            <w:tcMar/>
          </w:tcPr>
          <w:p w:rsidRPr="00460CBE" w:rsidR="00AE4155" w:rsidP="00AE4155" w:rsidRDefault="00AE4155" w14:paraId="133EA535" w14:textId="717C41B3">
            <w:pPr>
              <w:spacing w:line="300" w:lineRule="exact"/>
              <w:rPr>
                <w:bCs/>
                <w:color w:val="808080" w:themeColor="background1" w:themeShade="80"/>
                <w:sz w:val="20"/>
                <w:szCs w:val="20"/>
                <w:lang w:val="en-GB"/>
              </w:rPr>
            </w:pPr>
            <w:r w:rsidRPr="00460CBE">
              <w:rPr>
                <w:bCs/>
                <w:sz w:val="20"/>
                <w:szCs w:val="20"/>
                <w:lang w:val="en-US"/>
              </w:rPr>
              <w:t>Grant management and indirect costs</w:t>
            </w:r>
          </w:p>
        </w:tc>
        <w:tc>
          <w:tcPr>
            <w:tcW w:w="3890" w:type="dxa"/>
            <w:shd w:val="clear" w:color="auto" w:fill="FFFFFF" w:themeFill="background1"/>
            <w:tcMar/>
          </w:tcPr>
          <w:p w:rsidRPr="00460CBE" w:rsidR="00AE4155" w:rsidP="00AE4155" w:rsidRDefault="00AE4155" w14:paraId="65549A39" w14:textId="708CD7E0">
            <w:pPr>
              <w:spacing w:line="240" w:lineRule="auto"/>
              <w:jc w:val="both"/>
              <w:rPr>
                <w:bCs/>
                <w:color w:val="808080" w:themeColor="background1" w:themeShade="80"/>
                <w:sz w:val="20"/>
                <w:szCs w:val="20"/>
                <w:lang w:val="en-GB"/>
              </w:rPr>
            </w:pPr>
            <w:r w:rsidRPr="00460CBE">
              <w:rPr>
                <w:sz w:val="20"/>
                <w:szCs w:val="20"/>
                <w:lang w:val="en-US"/>
              </w:rPr>
              <w:t>Support in implementing grants</w:t>
            </w:r>
          </w:p>
        </w:tc>
        <w:tc>
          <w:tcPr>
            <w:tcW w:w="1908" w:type="dxa"/>
            <w:shd w:val="clear" w:color="auto" w:fill="FFFFFF" w:themeFill="background1"/>
            <w:tcMar/>
          </w:tcPr>
          <w:p w:rsidRPr="00460CBE" w:rsidR="00AE4155" w:rsidP="00D55A11" w:rsidRDefault="007C0650" w14:paraId="79AD70D8" w14:textId="55279626">
            <w:pPr>
              <w:spacing w:line="300" w:lineRule="exact"/>
              <w:jc w:val="right"/>
              <w:rPr>
                <w:bCs/>
                <w:color w:val="808080" w:themeColor="background1" w:themeShade="80"/>
                <w:sz w:val="20"/>
                <w:szCs w:val="20"/>
                <w:lang w:val="en-GB"/>
              </w:rPr>
            </w:pPr>
            <w:r w:rsidRPr="00460CBE">
              <w:rPr>
                <w:bCs/>
                <w:color w:val="808080" w:themeColor="background1" w:themeShade="80"/>
                <w:sz w:val="20"/>
                <w:szCs w:val="20"/>
                <w:lang w:val="ru-RU"/>
              </w:rPr>
              <w:t>175</w:t>
            </w:r>
            <w:r w:rsidRPr="00460CBE" w:rsidR="00AE4155">
              <w:rPr>
                <w:bCs/>
                <w:color w:val="808080" w:themeColor="background1" w:themeShade="80"/>
                <w:sz w:val="20"/>
                <w:szCs w:val="20"/>
                <w:lang w:val="en-US"/>
              </w:rPr>
              <w:t xml:space="preserve"> 000</w:t>
            </w:r>
          </w:p>
        </w:tc>
        <w:tc>
          <w:tcPr>
            <w:tcW w:w="1022" w:type="dxa"/>
            <w:shd w:val="clear" w:color="auto" w:fill="FFFFFF" w:themeFill="background1"/>
            <w:tcMar/>
          </w:tcPr>
          <w:p w:rsidR="00AE4155" w:rsidP="00AE4155" w:rsidRDefault="00AE4155" w14:paraId="4CBFECC0" w14:textId="77777777">
            <w:pPr>
              <w:spacing w:line="300" w:lineRule="exact"/>
              <w:rPr>
                <w:bCs/>
                <w:color w:val="808080" w:themeColor="background1" w:themeShade="80"/>
                <w:lang w:val="en-GB"/>
              </w:rPr>
            </w:pPr>
          </w:p>
        </w:tc>
      </w:tr>
      <w:tr w:rsidR="00AE4155" w:rsidTr="11FD19E7" w14:paraId="388742E2" w14:textId="77777777">
        <w:tc>
          <w:tcPr>
            <w:tcW w:w="6052" w:type="dxa"/>
            <w:gridSpan w:val="2"/>
            <w:shd w:val="clear" w:color="auto" w:fill="auto"/>
            <w:tcMar/>
          </w:tcPr>
          <w:p w:rsidRPr="00AE4155" w:rsidR="00AE4155" w:rsidP="00971FF5" w:rsidRDefault="00AE4155" w14:paraId="69B4AF18" w14:textId="663B7774">
            <w:pPr>
              <w:spacing w:line="300" w:lineRule="exact"/>
              <w:jc w:val="right"/>
              <w:rPr>
                <w:b/>
                <w:sz w:val="20"/>
                <w:szCs w:val="20"/>
                <w:lang w:val="en-GB"/>
              </w:rPr>
            </w:pPr>
            <w:r w:rsidRPr="00AE4155">
              <w:rPr>
                <w:b/>
                <w:sz w:val="20"/>
                <w:szCs w:val="20"/>
                <w:lang w:val="en-US"/>
              </w:rPr>
              <w:t>Sub Total</w:t>
            </w:r>
          </w:p>
        </w:tc>
        <w:tc>
          <w:tcPr>
            <w:tcW w:w="1908" w:type="dxa"/>
            <w:shd w:val="clear" w:color="auto" w:fill="auto"/>
            <w:tcMar/>
          </w:tcPr>
          <w:p w:rsidRPr="003B64C9" w:rsidR="00AE4155" w:rsidP="003B64C9" w:rsidRDefault="00AE4155" w14:paraId="53AE1FC8" w14:textId="6D07FBCE">
            <w:pPr>
              <w:spacing w:line="300" w:lineRule="exact"/>
              <w:jc w:val="right"/>
              <w:rPr>
                <w:b/>
                <w:sz w:val="20"/>
                <w:szCs w:val="20"/>
                <w:lang w:val="en-GB"/>
              </w:rPr>
            </w:pPr>
            <w:r w:rsidRPr="00AE4155">
              <w:rPr>
                <w:b/>
                <w:sz w:val="20"/>
                <w:szCs w:val="20"/>
                <w:lang w:val="en-GB"/>
              </w:rPr>
              <w:t>$748,000</w:t>
            </w:r>
          </w:p>
        </w:tc>
        <w:tc>
          <w:tcPr>
            <w:tcW w:w="1022" w:type="dxa"/>
            <w:shd w:val="clear" w:color="auto" w:fill="auto"/>
            <w:tcMar/>
          </w:tcPr>
          <w:p w:rsidR="00AE4155" w:rsidP="00AE4155" w:rsidRDefault="00AE4155" w14:paraId="5A06235B" w14:textId="77777777">
            <w:pPr>
              <w:spacing w:line="300" w:lineRule="exact"/>
              <w:jc w:val="right"/>
              <w:rPr>
                <w:bCs/>
                <w:color w:val="808080" w:themeColor="background1" w:themeShade="80"/>
                <w:lang w:val="en-GB"/>
              </w:rPr>
            </w:pPr>
          </w:p>
        </w:tc>
      </w:tr>
      <w:tr w:rsidR="00AE4155" w:rsidTr="11FD19E7" w14:paraId="18AEA816" w14:textId="33B7DEF6">
        <w:tc>
          <w:tcPr>
            <w:tcW w:w="6052" w:type="dxa"/>
            <w:gridSpan w:val="2"/>
            <w:shd w:val="clear" w:color="auto" w:fill="E2EFD9" w:themeFill="accent6" w:themeFillTint="33"/>
            <w:tcMar/>
          </w:tcPr>
          <w:p w:rsidRPr="00372D1F" w:rsidR="00AE4155" w:rsidP="00AE4155" w:rsidRDefault="00AE4155" w14:paraId="2D549C3B" w14:textId="77777777">
            <w:pPr>
              <w:spacing w:line="300" w:lineRule="exact"/>
              <w:jc w:val="right"/>
              <w:rPr>
                <w:b/>
                <w:color w:val="808080" w:themeColor="background1" w:themeShade="80"/>
                <w:lang w:val="en-GB"/>
              </w:rPr>
            </w:pPr>
            <w:r w:rsidRPr="00372D1F">
              <w:rPr>
                <w:b/>
                <w:lang w:val="en-GB"/>
              </w:rPr>
              <w:t>2025</w:t>
            </w:r>
          </w:p>
        </w:tc>
        <w:tc>
          <w:tcPr>
            <w:tcW w:w="1908" w:type="dxa"/>
            <w:shd w:val="clear" w:color="auto" w:fill="E2EFD9" w:themeFill="accent6" w:themeFillTint="33"/>
            <w:tcMar/>
          </w:tcPr>
          <w:p w:rsidR="00AE4155" w:rsidP="00AE4155" w:rsidRDefault="00AE4155" w14:paraId="21FA417A" w14:textId="77777777">
            <w:pPr>
              <w:spacing w:line="300" w:lineRule="exact"/>
              <w:jc w:val="right"/>
              <w:rPr>
                <w:bCs/>
                <w:color w:val="808080" w:themeColor="background1" w:themeShade="80"/>
                <w:lang w:val="en-GB"/>
              </w:rPr>
            </w:pPr>
          </w:p>
        </w:tc>
        <w:tc>
          <w:tcPr>
            <w:tcW w:w="1022" w:type="dxa"/>
            <w:shd w:val="clear" w:color="auto" w:fill="E2EFD9" w:themeFill="accent6" w:themeFillTint="33"/>
            <w:tcMar/>
          </w:tcPr>
          <w:p w:rsidR="00AE4155" w:rsidP="00AE4155" w:rsidRDefault="00AE4155" w14:paraId="2FF14229" w14:textId="77777777">
            <w:pPr>
              <w:spacing w:line="300" w:lineRule="exact"/>
              <w:jc w:val="right"/>
              <w:rPr>
                <w:bCs/>
                <w:color w:val="808080" w:themeColor="background1" w:themeShade="80"/>
                <w:lang w:val="en-GB"/>
              </w:rPr>
            </w:pPr>
          </w:p>
        </w:tc>
      </w:tr>
      <w:tr w:rsidR="00D55A11" w:rsidTr="11FD19E7" w14:paraId="78B19186" w14:textId="77777777">
        <w:tc>
          <w:tcPr>
            <w:tcW w:w="2162" w:type="dxa"/>
            <w:shd w:val="clear" w:color="auto" w:fill="FFFFFF" w:themeFill="background1"/>
            <w:tcMar/>
          </w:tcPr>
          <w:p w:rsidRPr="00460CBE" w:rsidR="00D55A11" w:rsidP="00D55A11" w:rsidRDefault="00D55A11" w14:paraId="77B432B9" w14:textId="193668ED">
            <w:pPr>
              <w:spacing w:line="300" w:lineRule="exact"/>
              <w:rPr>
                <w:bCs/>
                <w:color w:val="808080" w:themeColor="background1" w:themeShade="80"/>
                <w:sz w:val="20"/>
                <w:szCs w:val="20"/>
                <w:lang w:val="en-GB"/>
              </w:rPr>
            </w:pPr>
            <w:r w:rsidRPr="00460CBE">
              <w:rPr>
                <w:bCs/>
                <w:sz w:val="20"/>
                <w:szCs w:val="20"/>
                <w:lang w:val="en-US"/>
              </w:rPr>
              <w:t>Supply chain</w:t>
            </w:r>
          </w:p>
        </w:tc>
        <w:tc>
          <w:tcPr>
            <w:tcW w:w="3890" w:type="dxa"/>
            <w:shd w:val="clear" w:color="auto" w:fill="FFFFFF" w:themeFill="background1"/>
            <w:tcMar/>
          </w:tcPr>
          <w:p w:rsidRPr="00460CBE" w:rsidR="00D55A11" w:rsidP="00D55A11" w:rsidRDefault="00D55A11" w14:paraId="570AD2C6" w14:textId="4BDA8361">
            <w:pPr>
              <w:spacing w:line="300" w:lineRule="exact"/>
              <w:rPr>
                <w:bCs/>
                <w:color w:val="808080" w:themeColor="background1" w:themeShade="80"/>
                <w:sz w:val="20"/>
                <w:szCs w:val="20"/>
                <w:lang w:val="en-US"/>
              </w:rPr>
            </w:pPr>
            <w:r w:rsidRPr="00460CBE">
              <w:rPr>
                <w:bCs/>
                <w:color w:val="000000" w:themeColor="text1"/>
                <w:sz w:val="20"/>
                <w:szCs w:val="20"/>
                <w:lang w:val="en-US"/>
              </w:rPr>
              <w:t xml:space="preserve">Support in improving reporting on supplies, forecasting/budgeting, </w:t>
            </w:r>
            <w:proofErr w:type="gramStart"/>
            <w:r w:rsidRPr="00460CBE">
              <w:rPr>
                <w:bCs/>
                <w:color w:val="000000" w:themeColor="text1"/>
                <w:sz w:val="20"/>
                <w:szCs w:val="20"/>
                <w:lang w:val="en-US"/>
              </w:rPr>
              <w:t>the  Platform</w:t>
            </w:r>
            <w:proofErr w:type="gramEnd"/>
            <w:r w:rsidRPr="00460CBE">
              <w:rPr>
                <w:bCs/>
                <w:color w:val="000000" w:themeColor="text1"/>
                <w:sz w:val="20"/>
                <w:szCs w:val="20"/>
                <w:lang w:val="en-US"/>
              </w:rPr>
              <w:t xml:space="preserve"> for Cold Chain Optimization (PCCO), coordination of vaccine procurements and effective management of vaccines</w:t>
            </w:r>
            <w:r w:rsidRPr="00460CBE" w:rsidDel="00AB1589">
              <w:rPr>
                <w:bCs/>
                <w:sz w:val="20"/>
                <w:szCs w:val="20"/>
                <w:lang w:val="en-US"/>
              </w:rPr>
              <w:t xml:space="preserve"> </w:t>
            </w:r>
          </w:p>
        </w:tc>
        <w:tc>
          <w:tcPr>
            <w:tcW w:w="1908" w:type="dxa"/>
            <w:shd w:val="clear" w:color="auto" w:fill="FFFFFF" w:themeFill="background1"/>
            <w:tcMar/>
          </w:tcPr>
          <w:p w:rsidRPr="00460CBE" w:rsidR="00D55A11" w:rsidP="00C738B4" w:rsidRDefault="00D55A11" w14:paraId="5544E19A" w14:textId="05177A8D">
            <w:pPr>
              <w:spacing w:line="300" w:lineRule="exact"/>
              <w:jc w:val="right"/>
              <w:rPr>
                <w:bCs/>
                <w:color w:val="808080" w:themeColor="background1" w:themeShade="80"/>
                <w:sz w:val="20"/>
                <w:szCs w:val="20"/>
                <w:lang w:val="en-GB"/>
              </w:rPr>
            </w:pPr>
            <w:r w:rsidRPr="00460CBE">
              <w:rPr>
                <w:bCs/>
                <w:color w:val="808080" w:themeColor="background1" w:themeShade="80"/>
                <w:sz w:val="20"/>
                <w:szCs w:val="20"/>
                <w:lang w:val="en-US"/>
              </w:rPr>
              <w:t>92 000</w:t>
            </w:r>
          </w:p>
        </w:tc>
        <w:tc>
          <w:tcPr>
            <w:tcW w:w="1022" w:type="dxa"/>
            <w:shd w:val="clear" w:color="auto" w:fill="FFFFFF" w:themeFill="background1"/>
            <w:tcMar/>
          </w:tcPr>
          <w:p w:rsidRPr="00460CBE" w:rsidR="00D55A11" w:rsidP="00D55A11" w:rsidRDefault="00D55A11" w14:paraId="4E8FAB75" w14:textId="77777777">
            <w:pPr>
              <w:spacing w:line="300" w:lineRule="exact"/>
              <w:rPr>
                <w:bCs/>
                <w:color w:val="808080" w:themeColor="background1" w:themeShade="80"/>
                <w:sz w:val="20"/>
                <w:szCs w:val="20"/>
                <w:lang w:val="en-GB"/>
              </w:rPr>
            </w:pPr>
          </w:p>
        </w:tc>
      </w:tr>
      <w:tr w:rsidR="00D55A11" w:rsidTr="11FD19E7" w14:paraId="05FBB14B" w14:textId="77777777">
        <w:tc>
          <w:tcPr>
            <w:tcW w:w="2162" w:type="dxa"/>
            <w:shd w:val="clear" w:color="auto" w:fill="FFFFFF" w:themeFill="background1"/>
            <w:tcMar/>
          </w:tcPr>
          <w:p w:rsidRPr="00460CBE" w:rsidR="00D55A11" w:rsidP="00D55A11" w:rsidRDefault="00D55A11" w14:paraId="4E0DCA5A" w14:textId="36278FD8">
            <w:pPr>
              <w:spacing w:line="300" w:lineRule="exact"/>
              <w:rPr>
                <w:bCs/>
                <w:color w:val="808080" w:themeColor="background1" w:themeShade="80"/>
                <w:sz w:val="20"/>
                <w:szCs w:val="20"/>
                <w:lang w:val="en-GB"/>
              </w:rPr>
            </w:pPr>
            <w:r w:rsidRPr="00460CBE">
              <w:rPr>
                <w:bCs/>
                <w:sz w:val="20"/>
                <w:szCs w:val="20"/>
                <w:lang w:val="en-US"/>
              </w:rPr>
              <w:t>Surveillance of vaccine-preventable infections (VPI)</w:t>
            </w:r>
          </w:p>
        </w:tc>
        <w:tc>
          <w:tcPr>
            <w:tcW w:w="3890" w:type="dxa"/>
            <w:shd w:val="clear" w:color="auto" w:fill="FFFFFF" w:themeFill="background1"/>
            <w:tcMar/>
          </w:tcPr>
          <w:p w:rsidRPr="00460CBE" w:rsidR="00D55A11" w:rsidP="00D55A11" w:rsidRDefault="00D55A11" w14:paraId="0218CEB8" w14:textId="54AA06E0">
            <w:pPr>
              <w:spacing w:line="300" w:lineRule="exact"/>
              <w:rPr>
                <w:bCs/>
                <w:color w:val="808080" w:themeColor="background1" w:themeShade="80"/>
                <w:sz w:val="20"/>
                <w:szCs w:val="20"/>
                <w:lang w:val="en-GB"/>
              </w:rPr>
            </w:pPr>
            <w:r w:rsidRPr="00460CBE">
              <w:rPr>
                <w:bCs/>
                <w:sz w:val="20"/>
                <w:szCs w:val="20"/>
                <w:lang w:val="en-US"/>
              </w:rPr>
              <w:t>Support in strengthening the system of epidemiological surveillance of vaccine-preventable infections</w:t>
            </w:r>
          </w:p>
        </w:tc>
        <w:tc>
          <w:tcPr>
            <w:tcW w:w="1908" w:type="dxa"/>
            <w:shd w:val="clear" w:color="auto" w:fill="FFFFFF" w:themeFill="background1"/>
            <w:tcMar/>
          </w:tcPr>
          <w:p w:rsidRPr="00460CBE" w:rsidR="00D55A11" w:rsidP="00C738B4" w:rsidRDefault="00D55A11" w14:paraId="0CBF0B2A" w14:textId="19D68FA0">
            <w:pPr>
              <w:spacing w:line="300" w:lineRule="exact"/>
              <w:jc w:val="right"/>
              <w:rPr>
                <w:bCs/>
                <w:color w:val="808080" w:themeColor="background1" w:themeShade="80"/>
                <w:sz w:val="20"/>
                <w:szCs w:val="20"/>
                <w:lang w:val="en-GB"/>
              </w:rPr>
            </w:pPr>
            <w:r w:rsidRPr="00460CBE">
              <w:rPr>
                <w:bCs/>
                <w:color w:val="808080" w:themeColor="background1" w:themeShade="80"/>
                <w:sz w:val="20"/>
                <w:szCs w:val="20"/>
                <w:lang w:val="en-US"/>
              </w:rPr>
              <w:t>30 000</w:t>
            </w:r>
          </w:p>
        </w:tc>
        <w:tc>
          <w:tcPr>
            <w:tcW w:w="1022" w:type="dxa"/>
            <w:shd w:val="clear" w:color="auto" w:fill="FFFFFF" w:themeFill="background1"/>
            <w:tcMar/>
          </w:tcPr>
          <w:p w:rsidRPr="00460CBE" w:rsidR="00D55A11" w:rsidP="00D55A11" w:rsidRDefault="00D55A11" w14:paraId="181C0515" w14:textId="77777777">
            <w:pPr>
              <w:spacing w:line="300" w:lineRule="exact"/>
              <w:rPr>
                <w:bCs/>
                <w:color w:val="808080" w:themeColor="background1" w:themeShade="80"/>
                <w:sz w:val="20"/>
                <w:szCs w:val="20"/>
                <w:lang w:val="en-GB"/>
              </w:rPr>
            </w:pPr>
          </w:p>
        </w:tc>
      </w:tr>
      <w:tr w:rsidR="00D55A11" w:rsidTr="11FD19E7" w14:paraId="76A661F6" w14:textId="77777777">
        <w:tc>
          <w:tcPr>
            <w:tcW w:w="2162" w:type="dxa"/>
            <w:shd w:val="clear" w:color="auto" w:fill="FFFFFF" w:themeFill="background1"/>
            <w:tcMar/>
          </w:tcPr>
          <w:p w:rsidRPr="00460CBE" w:rsidR="00D55A11" w:rsidP="00D55A11" w:rsidRDefault="00D55A11" w14:paraId="7FF0E85B" w14:textId="1CE836D2">
            <w:pPr>
              <w:spacing w:line="300" w:lineRule="exact"/>
              <w:rPr>
                <w:bCs/>
                <w:color w:val="808080" w:themeColor="background1" w:themeShade="80"/>
                <w:sz w:val="20"/>
                <w:szCs w:val="20"/>
                <w:lang w:val="en-GB"/>
              </w:rPr>
            </w:pPr>
            <w:r w:rsidRPr="00460CBE">
              <w:rPr>
                <w:bCs/>
                <w:sz w:val="20"/>
                <w:szCs w:val="20"/>
                <w:lang w:val="en-US"/>
              </w:rPr>
              <w:t>Forming demand and engagement with communities</w:t>
            </w:r>
          </w:p>
        </w:tc>
        <w:tc>
          <w:tcPr>
            <w:tcW w:w="3890" w:type="dxa"/>
            <w:shd w:val="clear" w:color="auto" w:fill="FFFFFF" w:themeFill="background1"/>
            <w:tcMar/>
          </w:tcPr>
          <w:p w:rsidRPr="00460CBE" w:rsidR="00772E01" w:rsidP="00772E01" w:rsidRDefault="00772E01" w14:paraId="28433CFE" w14:textId="0C0DF762">
            <w:pPr>
              <w:rPr>
                <w:rFonts w:ascii="Calibri" w:hAnsi="Calibri" w:cs="Calibri" w:eastAsiaTheme="minorHAnsi"/>
                <w:sz w:val="20"/>
                <w:szCs w:val="20"/>
                <w:lang w:val="en-US" w:eastAsia="ru-RU"/>
              </w:rPr>
            </w:pPr>
            <w:r w:rsidRPr="00460CBE">
              <w:rPr>
                <w:sz w:val="20"/>
                <w:szCs w:val="20"/>
                <w:lang w:val="en-US"/>
              </w:rPr>
              <w:t xml:space="preserve">Technical assistance for strategy development and demand generation on immunization </w:t>
            </w:r>
          </w:p>
          <w:p w:rsidRPr="00460CBE" w:rsidR="00D55A11" w:rsidP="00D941F6" w:rsidRDefault="00D55A11" w14:paraId="580EEFC1" w14:textId="67E56028">
            <w:pPr>
              <w:spacing w:line="300" w:lineRule="exact"/>
              <w:rPr>
                <w:bCs/>
                <w:color w:val="808080" w:themeColor="background1" w:themeShade="80"/>
                <w:sz w:val="20"/>
                <w:szCs w:val="20"/>
                <w:lang w:val="en-US"/>
              </w:rPr>
            </w:pPr>
          </w:p>
        </w:tc>
        <w:tc>
          <w:tcPr>
            <w:tcW w:w="1908" w:type="dxa"/>
            <w:shd w:val="clear" w:color="auto" w:fill="FFFFFF" w:themeFill="background1"/>
            <w:tcMar/>
          </w:tcPr>
          <w:p w:rsidRPr="00460CBE" w:rsidR="00D55A11" w:rsidP="00C738B4" w:rsidRDefault="00D55A11" w14:paraId="5010B354" w14:textId="2A20D65F">
            <w:pPr>
              <w:spacing w:line="300" w:lineRule="exact"/>
              <w:jc w:val="right"/>
              <w:rPr>
                <w:bCs/>
                <w:color w:val="808080" w:themeColor="background1" w:themeShade="80"/>
                <w:sz w:val="20"/>
                <w:szCs w:val="20"/>
                <w:lang w:val="en-GB"/>
              </w:rPr>
            </w:pPr>
            <w:r w:rsidRPr="00460CBE">
              <w:rPr>
                <w:bCs/>
                <w:sz w:val="20"/>
                <w:szCs w:val="20"/>
                <w:lang w:val="en-US"/>
              </w:rPr>
              <w:t>82 199</w:t>
            </w:r>
          </w:p>
        </w:tc>
        <w:tc>
          <w:tcPr>
            <w:tcW w:w="1022" w:type="dxa"/>
            <w:shd w:val="clear" w:color="auto" w:fill="FFFFFF" w:themeFill="background1"/>
            <w:tcMar/>
          </w:tcPr>
          <w:p w:rsidRPr="00460CBE" w:rsidR="00D55A11" w:rsidP="00D55A11" w:rsidRDefault="00D55A11" w14:paraId="2BBC6CCB" w14:textId="77777777">
            <w:pPr>
              <w:spacing w:line="300" w:lineRule="exact"/>
              <w:rPr>
                <w:bCs/>
                <w:color w:val="808080" w:themeColor="background1" w:themeShade="80"/>
                <w:sz w:val="20"/>
                <w:szCs w:val="20"/>
                <w:lang w:val="en-GB"/>
              </w:rPr>
            </w:pPr>
          </w:p>
        </w:tc>
      </w:tr>
      <w:tr w:rsidR="00D55A11" w:rsidTr="11FD19E7" w14:paraId="72F11A68" w14:textId="77777777">
        <w:tc>
          <w:tcPr>
            <w:tcW w:w="2162" w:type="dxa"/>
            <w:shd w:val="clear" w:color="auto" w:fill="FFFFFF" w:themeFill="background1"/>
            <w:tcMar/>
          </w:tcPr>
          <w:p w:rsidRPr="00460CBE" w:rsidR="00D55A11" w:rsidP="00D55A11" w:rsidRDefault="00D55A11" w14:paraId="06AB638C" w14:textId="7626E618">
            <w:pPr>
              <w:spacing w:line="300" w:lineRule="exact"/>
              <w:rPr>
                <w:bCs/>
                <w:color w:val="808080" w:themeColor="background1" w:themeShade="80"/>
                <w:sz w:val="20"/>
                <w:szCs w:val="20"/>
                <w:lang w:val="en-GB"/>
              </w:rPr>
            </w:pPr>
            <w:r w:rsidRPr="00460CBE">
              <w:rPr>
                <w:bCs/>
                <w:sz w:val="20"/>
                <w:szCs w:val="20"/>
                <w:lang w:val="en-US"/>
              </w:rPr>
              <w:t>Management, policy, strategic planning and program management</w:t>
            </w:r>
          </w:p>
        </w:tc>
        <w:tc>
          <w:tcPr>
            <w:tcW w:w="3890" w:type="dxa"/>
            <w:shd w:val="clear" w:color="auto" w:fill="FFFFFF" w:themeFill="background1"/>
            <w:tcMar/>
          </w:tcPr>
          <w:p w:rsidRPr="00460CBE" w:rsidR="00D55A11" w:rsidP="00D55A11" w:rsidRDefault="00D55A11" w14:paraId="71779AD8" w14:textId="77777777">
            <w:pPr>
              <w:spacing w:line="300" w:lineRule="exact"/>
              <w:jc w:val="both"/>
              <w:rPr>
                <w:bCs/>
                <w:sz w:val="20"/>
                <w:szCs w:val="20"/>
                <w:lang w:val="en-US"/>
              </w:rPr>
            </w:pPr>
            <w:r w:rsidRPr="00460CBE">
              <w:rPr>
                <w:bCs/>
                <w:sz w:val="20"/>
                <w:szCs w:val="20"/>
                <w:lang w:val="en-US"/>
              </w:rPr>
              <w:t>Support for building the capacity to coordinate, plan and manage NIP</w:t>
            </w:r>
          </w:p>
          <w:p w:rsidRPr="00460CBE" w:rsidR="00D55A11" w:rsidP="00D55A11" w:rsidRDefault="00D55A11" w14:paraId="7816A6E8" w14:textId="77777777">
            <w:pPr>
              <w:spacing w:line="300" w:lineRule="exact"/>
              <w:rPr>
                <w:bCs/>
                <w:color w:val="808080" w:themeColor="background1" w:themeShade="80"/>
                <w:sz w:val="20"/>
                <w:szCs w:val="20"/>
                <w:lang w:val="en-GB"/>
              </w:rPr>
            </w:pPr>
          </w:p>
        </w:tc>
        <w:tc>
          <w:tcPr>
            <w:tcW w:w="1908" w:type="dxa"/>
            <w:shd w:val="clear" w:color="auto" w:fill="FFFFFF" w:themeFill="background1"/>
            <w:tcMar/>
          </w:tcPr>
          <w:p w:rsidRPr="00460CBE" w:rsidR="00D55A11" w:rsidP="00C738B4" w:rsidRDefault="00BD1060" w14:paraId="180E0333" w14:textId="279E2C01">
            <w:pPr>
              <w:spacing w:line="300" w:lineRule="exact"/>
              <w:jc w:val="right"/>
              <w:rPr>
                <w:bCs/>
                <w:color w:val="808080" w:themeColor="background1" w:themeShade="80"/>
                <w:sz w:val="20"/>
                <w:szCs w:val="20"/>
                <w:lang w:val="ru-RU"/>
              </w:rPr>
            </w:pPr>
            <w:r w:rsidRPr="00460CBE">
              <w:rPr>
                <w:bCs/>
                <w:sz w:val="20"/>
                <w:szCs w:val="20"/>
                <w:lang w:val="ru-RU"/>
              </w:rPr>
              <w:t>197 000</w:t>
            </w:r>
          </w:p>
        </w:tc>
        <w:tc>
          <w:tcPr>
            <w:tcW w:w="1022" w:type="dxa"/>
            <w:shd w:val="clear" w:color="auto" w:fill="FFFFFF" w:themeFill="background1"/>
            <w:tcMar/>
          </w:tcPr>
          <w:p w:rsidRPr="00460CBE" w:rsidR="00D55A11" w:rsidP="00D55A11" w:rsidRDefault="00D55A11" w14:paraId="6C9D8B2C" w14:textId="77777777">
            <w:pPr>
              <w:spacing w:line="300" w:lineRule="exact"/>
              <w:rPr>
                <w:bCs/>
                <w:color w:val="808080" w:themeColor="background1" w:themeShade="80"/>
                <w:sz w:val="20"/>
                <w:szCs w:val="20"/>
                <w:lang w:val="en-GB"/>
              </w:rPr>
            </w:pPr>
          </w:p>
        </w:tc>
      </w:tr>
      <w:tr w:rsidR="00D55A11" w:rsidTr="11FD19E7" w14:paraId="4049AE20" w14:textId="77777777">
        <w:tc>
          <w:tcPr>
            <w:tcW w:w="2162" w:type="dxa"/>
            <w:shd w:val="clear" w:color="auto" w:fill="FFFFFF" w:themeFill="background1"/>
            <w:tcMar/>
          </w:tcPr>
          <w:p w:rsidRPr="00460CBE" w:rsidR="00D55A11" w:rsidP="00D55A11" w:rsidRDefault="00D55A11" w14:paraId="0FBEAD95" w14:textId="7C73853D">
            <w:pPr>
              <w:spacing w:line="300" w:lineRule="exact"/>
              <w:rPr>
                <w:bCs/>
                <w:color w:val="808080" w:themeColor="background1" w:themeShade="80"/>
                <w:sz w:val="20"/>
                <w:szCs w:val="20"/>
                <w:lang w:val="en-GB"/>
              </w:rPr>
            </w:pPr>
            <w:r w:rsidRPr="00460CBE">
              <w:rPr>
                <w:bCs/>
                <w:sz w:val="20"/>
                <w:szCs w:val="20"/>
                <w:lang w:val="en-US"/>
              </w:rPr>
              <w:t>Health financing</w:t>
            </w:r>
          </w:p>
        </w:tc>
        <w:tc>
          <w:tcPr>
            <w:tcW w:w="3890" w:type="dxa"/>
            <w:shd w:val="clear" w:color="auto" w:fill="FFFFFF" w:themeFill="background1"/>
            <w:tcMar/>
          </w:tcPr>
          <w:p w:rsidRPr="00460CBE" w:rsidR="00D55A11" w:rsidP="00D55A11" w:rsidRDefault="00D55A11" w14:paraId="2115EB0D" w14:textId="06968FAF">
            <w:pPr>
              <w:spacing w:line="300" w:lineRule="exact"/>
              <w:rPr>
                <w:bCs/>
                <w:color w:val="808080" w:themeColor="background1" w:themeShade="80"/>
                <w:sz w:val="20"/>
                <w:szCs w:val="20"/>
                <w:lang w:val="en-GB"/>
              </w:rPr>
            </w:pPr>
            <w:r w:rsidRPr="00460CBE">
              <w:rPr>
                <w:bCs/>
                <w:sz w:val="20"/>
                <w:szCs w:val="20"/>
                <w:lang w:val="en-US"/>
              </w:rPr>
              <w:t>Support in advocating for the mobilization of necessary financial resources for the NIP</w:t>
            </w:r>
          </w:p>
        </w:tc>
        <w:tc>
          <w:tcPr>
            <w:tcW w:w="1908" w:type="dxa"/>
            <w:shd w:val="clear" w:color="auto" w:fill="FFFFFF" w:themeFill="background1"/>
            <w:tcMar/>
          </w:tcPr>
          <w:p w:rsidRPr="00460CBE" w:rsidR="00D55A11" w:rsidP="00C738B4" w:rsidRDefault="00D55A11" w14:paraId="60E70DF7" w14:textId="5912D6C2">
            <w:pPr>
              <w:spacing w:line="300" w:lineRule="exact"/>
              <w:jc w:val="right"/>
              <w:rPr>
                <w:bCs/>
                <w:color w:val="808080" w:themeColor="background1" w:themeShade="80"/>
                <w:sz w:val="20"/>
                <w:szCs w:val="20"/>
                <w:lang w:val="en-GB"/>
              </w:rPr>
            </w:pPr>
            <w:r w:rsidRPr="00460CBE">
              <w:rPr>
                <w:bCs/>
                <w:sz w:val="20"/>
                <w:szCs w:val="20"/>
                <w:lang w:val="en-US"/>
              </w:rPr>
              <w:t>10 000</w:t>
            </w:r>
          </w:p>
        </w:tc>
        <w:tc>
          <w:tcPr>
            <w:tcW w:w="1022" w:type="dxa"/>
            <w:shd w:val="clear" w:color="auto" w:fill="FFFFFF" w:themeFill="background1"/>
            <w:tcMar/>
          </w:tcPr>
          <w:p w:rsidRPr="00460CBE" w:rsidR="00D55A11" w:rsidP="00D55A11" w:rsidRDefault="00D55A11" w14:paraId="1B0F9812" w14:textId="77777777">
            <w:pPr>
              <w:spacing w:line="300" w:lineRule="exact"/>
              <w:rPr>
                <w:bCs/>
                <w:color w:val="808080" w:themeColor="background1" w:themeShade="80"/>
                <w:sz w:val="20"/>
                <w:szCs w:val="20"/>
                <w:lang w:val="en-GB"/>
              </w:rPr>
            </w:pPr>
          </w:p>
        </w:tc>
      </w:tr>
      <w:tr w:rsidR="00D55A11" w:rsidTr="11FD19E7" w14:paraId="2A285F98" w14:textId="77777777">
        <w:tc>
          <w:tcPr>
            <w:tcW w:w="2162" w:type="dxa"/>
            <w:shd w:val="clear" w:color="auto" w:fill="FFFFFF" w:themeFill="background1"/>
            <w:tcMar/>
          </w:tcPr>
          <w:p w:rsidRPr="00C738B4" w:rsidR="00D55A11" w:rsidP="00D55A11" w:rsidRDefault="00D55A11" w14:paraId="65A9D551" w14:textId="742BFC15">
            <w:pPr>
              <w:spacing w:line="300" w:lineRule="exact"/>
              <w:rPr>
                <w:bCs/>
                <w:color w:val="808080" w:themeColor="background1" w:themeShade="80"/>
                <w:sz w:val="20"/>
                <w:szCs w:val="20"/>
                <w:lang w:val="en-GB"/>
              </w:rPr>
            </w:pPr>
            <w:r w:rsidRPr="00C738B4">
              <w:rPr>
                <w:bCs/>
                <w:sz w:val="20"/>
                <w:szCs w:val="20"/>
                <w:lang w:val="en-US"/>
              </w:rPr>
              <w:t>Grant management and indirect costs</w:t>
            </w:r>
          </w:p>
        </w:tc>
        <w:tc>
          <w:tcPr>
            <w:tcW w:w="3890" w:type="dxa"/>
            <w:shd w:val="clear" w:color="auto" w:fill="FFFFFF" w:themeFill="background1"/>
            <w:tcMar/>
          </w:tcPr>
          <w:p w:rsidRPr="00C738B4" w:rsidR="00D55A11" w:rsidP="00D55A11" w:rsidRDefault="00D55A11" w14:paraId="3F698082" w14:textId="35A7C5A4">
            <w:pPr>
              <w:spacing w:line="300" w:lineRule="exact"/>
              <w:rPr>
                <w:bCs/>
                <w:color w:val="808080" w:themeColor="background1" w:themeShade="80"/>
                <w:sz w:val="20"/>
                <w:szCs w:val="20"/>
                <w:lang w:val="en-GB"/>
              </w:rPr>
            </w:pPr>
            <w:r w:rsidRPr="00C738B4">
              <w:rPr>
                <w:sz w:val="20"/>
                <w:szCs w:val="20"/>
                <w:lang w:val="en-US"/>
              </w:rPr>
              <w:t>Support in implementing grants</w:t>
            </w:r>
          </w:p>
        </w:tc>
        <w:tc>
          <w:tcPr>
            <w:tcW w:w="1908" w:type="dxa"/>
            <w:shd w:val="clear" w:color="auto" w:fill="FFFFFF" w:themeFill="background1"/>
            <w:tcMar/>
          </w:tcPr>
          <w:p w:rsidRPr="00BD1060" w:rsidR="00D55A11" w:rsidP="00C738B4" w:rsidRDefault="00BD1060" w14:paraId="4D73CD46" w14:textId="02ECDE4A">
            <w:pPr>
              <w:spacing w:line="300" w:lineRule="exact"/>
              <w:jc w:val="right"/>
              <w:rPr>
                <w:bCs/>
                <w:color w:val="808080" w:themeColor="background1" w:themeShade="80"/>
                <w:sz w:val="20"/>
                <w:szCs w:val="20"/>
                <w:lang w:val="ru-RU"/>
              </w:rPr>
            </w:pPr>
            <w:r>
              <w:rPr>
                <w:bCs/>
                <w:color w:val="808080" w:themeColor="background1" w:themeShade="80"/>
                <w:sz w:val="20"/>
                <w:szCs w:val="20"/>
                <w:lang w:val="ru-RU"/>
              </w:rPr>
              <w:t>175 000</w:t>
            </w:r>
          </w:p>
        </w:tc>
        <w:tc>
          <w:tcPr>
            <w:tcW w:w="1022" w:type="dxa"/>
            <w:shd w:val="clear" w:color="auto" w:fill="FFFFFF" w:themeFill="background1"/>
            <w:tcMar/>
          </w:tcPr>
          <w:p w:rsidRPr="00C738B4" w:rsidR="00D55A11" w:rsidP="00D55A11" w:rsidRDefault="00D55A11" w14:paraId="6E96CC4C" w14:textId="77777777">
            <w:pPr>
              <w:spacing w:line="300" w:lineRule="exact"/>
              <w:rPr>
                <w:bCs/>
                <w:color w:val="808080" w:themeColor="background1" w:themeShade="80"/>
                <w:sz w:val="20"/>
                <w:szCs w:val="20"/>
                <w:lang w:val="en-GB"/>
              </w:rPr>
            </w:pPr>
          </w:p>
        </w:tc>
      </w:tr>
      <w:tr w:rsidR="00D55A11" w:rsidTr="11FD19E7" w14:paraId="2672391E" w14:textId="77777777">
        <w:tc>
          <w:tcPr>
            <w:tcW w:w="2162" w:type="dxa"/>
            <w:shd w:val="clear" w:color="auto" w:fill="FFFFFF" w:themeFill="background1"/>
            <w:tcMar/>
          </w:tcPr>
          <w:p w:rsidR="00D55A11" w:rsidP="00D55A11" w:rsidRDefault="00D55A11" w14:paraId="4AA023EB" w14:textId="77777777">
            <w:pPr>
              <w:pStyle w:val="Default"/>
              <w:rPr>
                <w:sz w:val="20"/>
                <w:szCs w:val="20"/>
              </w:rPr>
            </w:pPr>
          </w:p>
        </w:tc>
        <w:tc>
          <w:tcPr>
            <w:tcW w:w="3890" w:type="dxa"/>
            <w:shd w:val="clear" w:color="auto" w:fill="FFFFFF" w:themeFill="background1"/>
            <w:tcMar/>
          </w:tcPr>
          <w:p w:rsidRPr="002258A1" w:rsidR="00D55A11" w:rsidP="00C738B4" w:rsidRDefault="00D55A11" w14:paraId="7C8EC9DB" w14:textId="35707C4F">
            <w:pPr>
              <w:spacing w:line="300" w:lineRule="exact"/>
              <w:jc w:val="right"/>
              <w:rPr>
                <w:bCs/>
                <w:sz w:val="20"/>
                <w:szCs w:val="20"/>
                <w:lang w:val="en-US"/>
              </w:rPr>
            </w:pPr>
            <w:r w:rsidRPr="002258A1">
              <w:rPr>
                <w:b/>
                <w:sz w:val="20"/>
                <w:szCs w:val="20"/>
                <w:lang w:val="en-US"/>
              </w:rPr>
              <w:t>Sub Total</w:t>
            </w:r>
          </w:p>
        </w:tc>
        <w:tc>
          <w:tcPr>
            <w:tcW w:w="1908" w:type="dxa"/>
            <w:shd w:val="clear" w:color="auto" w:fill="FFFFFF" w:themeFill="background1"/>
            <w:tcMar/>
          </w:tcPr>
          <w:p w:rsidRPr="003B64C9" w:rsidR="00D55A11" w:rsidP="003B64C9" w:rsidRDefault="00C738B4" w14:paraId="0CE2CE73" w14:textId="6654033F">
            <w:pPr>
              <w:spacing w:line="300" w:lineRule="exact"/>
              <w:jc w:val="right"/>
              <w:rPr>
                <w:b/>
                <w:sz w:val="20"/>
                <w:szCs w:val="20"/>
                <w:highlight w:val="cyan"/>
                <w:lang w:val="en-US"/>
              </w:rPr>
            </w:pPr>
            <w:r w:rsidRPr="002258A1">
              <w:rPr>
                <w:b/>
                <w:sz w:val="20"/>
                <w:szCs w:val="20"/>
                <w:lang w:val="en-US"/>
              </w:rPr>
              <w:t>$586 199</w:t>
            </w:r>
          </w:p>
        </w:tc>
        <w:tc>
          <w:tcPr>
            <w:tcW w:w="1022" w:type="dxa"/>
            <w:shd w:val="clear" w:color="auto" w:fill="FFFFFF" w:themeFill="background1"/>
            <w:tcMar/>
          </w:tcPr>
          <w:p w:rsidRPr="002258A1" w:rsidR="00D55A11" w:rsidP="00D55A11" w:rsidRDefault="00D55A11" w14:paraId="7416B6DD" w14:textId="77777777">
            <w:pPr>
              <w:spacing w:line="300" w:lineRule="exact"/>
              <w:rPr>
                <w:bCs/>
                <w:color w:val="808080" w:themeColor="background1" w:themeShade="80"/>
                <w:sz w:val="20"/>
                <w:szCs w:val="20"/>
                <w:lang w:val="en-GB"/>
              </w:rPr>
            </w:pPr>
          </w:p>
        </w:tc>
      </w:tr>
      <w:tr w:rsidR="00D55A11" w:rsidTr="11FD19E7" w14:paraId="6D3BE5EA" w14:textId="77777777">
        <w:tc>
          <w:tcPr>
            <w:tcW w:w="2162" w:type="dxa"/>
            <w:shd w:val="clear" w:color="auto" w:fill="FFFFFF" w:themeFill="background1"/>
            <w:tcMar/>
          </w:tcPr>
          <w:p w:rsidR="00D55A11" w:rsidP="00D55A11" w:rsidRDefault="00D55A11" w14:paraId="714FF72B" w14:textId="77777777">
            <w:pPr>
              <w:pStyle w:val="Default"/>
              <w:rPr>
                <w:sz w:val="20"/>
                <w:szCs w:val="20"/>
              </w:rPr>
            </w:pPr>
          </w:p>
        </w:tc>
        <w:tc>
          <w:tcPr>
            <w:tcW w:w="3890" w:type="dxa"/>
            <w:shd w:val="clear" w:color="auto" w:fill="FFFFFF" w:themeFill="background1"/>
            <w:tcMar/>
          </w:tcPr>
          <w:p w:rsidRPr="002258A1" w:rsidR="00D55A11" w:rsidP="00C738B4" w:rsidRDefault="00D55A11" w14:paraId="23CA21D0" w14:textId="1E4E1764">
            <w:pPr>
              <w:spacing w:line="300" w:lineRule="exact"/>
              <w:jc w:val="right"/>
              <w:rPr>
                <w:bCs/>
                <w:sz w:val="20"/>
                <w:szCs w:val="20"/>
                <w:lang w:val="en-US"/>
              </w:rPr>
            </w:pPr>
            <w:r w:rsidRPr="002258A1">
              <w:rPr>
                <w:b/>
                <w:sz w:val="20"/>
                <w:szCs w:val="20"/>
                <w:lang w:val="ru-RU"/>
              </w:rPr>
              <w:t>TOTAL COST</w:t>
            </w:r>
          </w:p>
        </w:tc>
        <w:tc>
          <w:tcPr>
            <w:tcW w:w="1908" w:type="dxa"/>
            <w:shd w:val="clear" w:color="auto" w:fill="FFFFFF" w:themeFill="background1"/>
            <w:tcMar/>
          </w:tcPr>
          <w:p w:rsidRPr="002258A1" w:rsidR="00D55A11" w:rsidP="00C738B4" w:rsidRDefault="00D55A11" w14:paraId="1C7FDF56" w14:textId="34E41213">
            <w:pPr>
              <w:spacing w:line="300" w:lineRule="exact"/>
              <w:jc w:val="right"/>
              <w:rPr>
                <w:bCs/>
                <w:color w:val="808080" w:themeColor="background1" w:themeShade="80"/>
                <w:sz w:val="20"/>
                <w:szCs w:val="20"/>
                <w:lang w:val="en-GB"/>
              </w:rPr>
            </w:pPr>
            <w:r w:rsidRPr="002258A1">
              <w:rPr>
                <w:b/>
                <w:sz w:val="20"/>
                <w:szCs w:val="20"/>
                <w:lang w:val="en-GB"/>
              </w:rPr>
              <w:t>$2</w:t>
            </w:r>
            <w:r w:rsidRPr="002258A1">
              <w:rPr>
                <w:b/>
                <w:sz w:val="20"/>
                <w:szCs w:val="20"/>
                <w:lang w:val="ru-RU"/>
              </w:rPr>
              <w:t>,</w:t>
            </w:r>
            <w:r w:rsidRPr="002258A1">
              <w:rPr>
                <w:b/>
                <w:sz w:val="20"/>
                <w:szCs w:val="20"/>
                <w:lang w:val="en-GB"/>
              </w:rPr>
              <w:t>986</w:t>
            </w:r>
            <w:r w:rsidRPr="002258A1">
              <w:rPr>
                <w:b/>
                <w:sz w:val="20"/>
                <w:szCs w:val="20"/>
                <w:lang w:val="ru-RU"/>
              </w:rPr>
              <w:t>,</w:t>
            </w:r>
            <w:r w:rsidRPr="002258A1">
              <w:rPr>
                <w:b/>
                <w:sz w:val="20"/>
                <w:szCs w:val="20"/>
                <w:lang w:val="en-GB"/>
              </w:rPr>
              <w:t>199</w:t>
            </w:r>
          </w:p>
        </w:tc>
        <w:tc>
          <w:tcPr>
            <w:tcW w:w="1022" w:type="dxa"/>
            <w:shd w:val="clear" w:color="auto" w:fill="FFFFFF" w:themeFill="background1"/>
            <w:tcMar/>
          </w:tcPr>
          <w:p w:rsidRPr="002258A1" w:rsidR="00D55A11" w:rsidP="00D55A11" w:rsidRDefault="00D55A11" w14:paraId="70A7B79D" w14:textId="77777777">
            <w:pPr>
              <w:spacing w:line="300" w:lineRule="exact"/>
              <w:rPr>
                <w:bCs/>
                <w:color w:val="808080" w:themeColor="background1" w:themeShade="80"/>
                <w:sz w:val="20"/>
                <w:szCs w:val="20"/>
                <w:lang w:val="en-GB"/>
              </w:rPr>
            </w:pPr>
          </w:p>
        </w:tc>
      </w:tr>
    </w:tbl>
    <w:p w:rsidR="00372D1F" w:rsidRDefault="00372D1F" w14:paraId="62A44A29" w14:textId="77777777"/>
    <w:tbl>
      <w:tblPr>
        <w:tblStyle w:val="TableGrid"/>
        <w:tblW w:w="919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192"/>
      </w:tblGrid>
      <w:tr w:rsidR="00372D1F" w:rsidTr="00EF03AD" w14:paraId="42B6E5C8" w14:textId="77777777">
        <w:tc>
          <w:tcPr>
            <w:tcW w:w="9192" w:type="dxa"/>
            <w:tcBorders>
              <w:bottom w:val="single" w:color="auto" w:sz="4" w:space="0"/>
            </w:tcBorders>
            <w:shd w:val="clear" w:color="auto" w:fill="F2F2F2" w:themeFill="background1" w:themeFillShade="F2"/>
          </w:tcPr>
          <w:p w:rsidRPr="00B614D7" w:rsidR="00372D1F" w:rsidP="00372D1F" w:rsidRDefault="00372D1F" w14:paraId="5594A626" w14:textId="06689130">
            <w:pPr>
              <w:spacing w:line="300" w:lineRule="exact"/>
              <w:rPr>
                <w:b/>
                <w:bCs/>
                <w:i/>
                <w:iCs/>
                <w:sz w:val="20"/>
                <w:szCs w:val="20"/>
              </w:rPr>
            </w:pPr>
            <w:r>
              <w:rPr>
                <w:b/>
                <w:bCs/>
                <w:i/>
                <w:iCs/>
                <w:sz w:val="20"/>
                <w:szCs w:val="20"/>
              </w:rPr>
              <w:t xml:space="preserve">2.1 </w:t>
            </w:r>
            <w:r w:rsidRPr="00B614D7">
              <w:rPr>
                <w:b/>
                <w:bCs/>
                <w:i/>
                <w:iCs/>
                <w:sz w:val="20"/>
                <w:szCs w:val="20"/>
              </w:rPr>
              <w:t xml:space="preserve">Please reflect and describe your </w:t>
            </w:r>
            <w:proofErr w:type="spellStart"/>
            <w:r w:rsidRPr="00B614D7">
              <w:rPr>
                <w:b/>
                <w:bCs/>
                <w:i/>
                <w:iCs/>
                <w:sz w:val="20"/>
                <w:szCs w:val="20"/>
              </w:rPr>
              <w:t>immunisation</w:t>
            </w:r>
            <w:proofErr w:type="spellEnd"/>
            <w:r w:rsidRPr="00B614D7">
              <w:rPr>
                <w:b/>
                <w:bCs/>
                <w:i/>
                <w:iCs/>
                <w:sz w:val="20"/>
                <w:szCs w:val="20"/>
              </w:rPr>
              <w:t xml:space="preserve"> system</w:t>
            </w:r>
            <w:r w:rsidR="008447E6">
              <w:rPr>
                <w:b/>
                <w:bCs/>
                <w:i/>
                <w:iCs/>
                <w:sz w:val="20"/>
                <w:szCs w:val="20"/>
              </w:rPr>
              <w:t>'</w:t>
            </w:r>
            <w:r w:rsidRPr="00B614D7">
              <w:rPr>
                <w:b/>
                <w:bCs/>
                <w:i/>
                <w:iCs/>
                <w:sz w:val="20"/>
                <w:szCs w:val="20"/>
              </w:rPr>
              <w:t>s current TA needs</w:t>
            </w:r>
            <w:r>
              <w:rPr>
                <w:b/>
                <w:bCs/>
                <w:i/>
                <w:iCs/>
                <w:sz w:val="20"/>
                <w:szCs w:val="20"/>
              </w:rPr>
              <w:t xml:space="preserve"> as they are</w:t>
            </w:r>
            <w:r w:rsidRPr="00B614D7">
              <w:rPr>
                <w:b/>
                <w:bCs/>
                <w:i/>
                <w:iCs/>
                <w:sz w:val="20"/>
                <w:szCs w:val="20"/>
              </w:rPr>
              <w:t xml:space="preserve"> aligned with investments made by Government, Gavi and bilateral/multilateral donors. Your answers shall provide the context of and rationale for </w:t>
            </w:r>
            <w:r w:rsidR="0076309A">
              <w:rPr>
                <w:b/>
                <w:bCs/>
                <w:i/>
                <w:iCs/>
                <w:sz w:val="20"/>
                <w:szCs w:val="20"/>
              </w:rPr>
              <w:t>the requeste</w:t>
            </w:r>
            <w:r w:rsidR="007203BA">
              <w:rPr>
                <w:b/>
                <w:bCs/>
                <w:i/>
                <w:iCs/>
                <w:sz w:val="20"/>
                <w:szCs w:val="20"/>
              </w:rPr>
              <w:t>d TCA support from Gavi.</w:t>
            </w:r>
            <w:r w:rsidRPr="00B614D7">
              <w:rPr>
                <w:b/>
                <w:bCs/>
                <w:sz w:val="20"/>
                <w:szCs w:val="20"/>
              </w:rPr>
              <w:t xml:space="preserve"> </w:t>
            </w:r>
            <w:r w:rsidRPr="00B614D7">
              <w:rPr>
                <w:b/>
                <w:bCs/>
                <w:i/>
                <w:iCs/>
                <w:sz w:val="20"/>
                <w:szCs w:val="20"/>
              </w:rPr>
              <w:t xml:space="preserve">Please explicitly note the duration of </w:t>
            </w:r>
            <w:r w:rsidR="007203BA">
              <w:rPr>
                <w:b/>
                <w:bCs/>
                <w:i/>
                <w:iCs/>
                <w:sz w:val="20"/>
                <w:szCs w:val="20"/>
              </w:rPr>
              <w:t>the requested support</w:t>
            </w:r>
            <w:r w:rsidRPr="00B614D7">
              <w:rPr>
                <w:b/>
                <w:bCs/>
                <w:i/>
                <w:iCs/>
                <w:sz w:val="20"/>
                <w:szCs w:val="20"/>
              </w:rPr>
              <w:t>.</w:t>
            </w:r>
          </w:p>
        </w:tc>
      </w:tr>
      <w:tr w:rsidR="00372D1F" w:rsidTr="00EF03AD" w14:paraId="19BE42B7" w14:textId="77777777">
        <w:tc>
          <w:tcPr>
            <w:tcW w:w="9192" w:type="dxa"/>
            <w:tcBorders>
              <w:top w:val="single" w:color="auto" w:sz="4" w:space="0"/>
              <w:left w:val="single" w:color="auto" w:sz="4" w:space="0"/>
              <w:bottom w:val="single" w:color="auto" w:sz="4" w:space="0"/>
              <w:right w:val="single" w:color="auto" w:sz="4" w:space="0"/>
            </w:tcBorders>
          </w:tcPr>
          <w:p w:rsidRPr="00460CBE" w:rsidR="002875CC" w:rsidP="002875CC" w:rsidRDefault="002875CC" w14:paraId="3BB48BEA" w14:textId="77777777">
            <w:pPr>
              <w:spacing w:line="240" w:lineRule="auto"/>
              <w:jc w:val="both"/>
              <w:textAlignment w:val="baseline"/>
              <w:rPr>
                <w:sz w:val="20"/>
                <w:szCs w:val="20"/>
                <w:lang w:val="en-US"/>
              </w:rPr>
            </w:pPr>
            <w:r w:rsidRPr="00460CBE">
              <w:rPr>
                <w:sz w:val="20"/>
                <w:szCs w:val="20"/>
                <w:lang w:val="en-US"/>
              </w:rPr>
              <w:t>Significant efforts have been made by the Government of Kyrgyzstan, with financial support from Gavi and partners, to improve the effectiveness of the Immunization Program at all levels, including improving efficiency at the level of service delivery. Through collaborative efforts, many components of the immunization system have been significantly improved, such as service delivery, staff training, cold chain system, demand generation, access to vaccines, and Information Systems. At the same time, a number of problems remain that need to be addressed.</w:t>
            </w:r>
          </w:p>
          <w:p w:rsidRPr="00460CBE" w:rsidR="002875CC" w:rsidP="002875CC" w:rsidRDefault="002875CC" w14:paraId="18685E29" w14:textId="77777777">
            <w:pPr>
              <w:spacing w:line="240" w:lineRule="auto"/>
              <w:jc w:val="both"/>
              <w:textAlignment w:val="baseline"/>
              <w:rPr>
                <w:sz w:val="20"/>
                <w:szCs w:val="20"/>
                <w:lang w:val="en-US"/>
              </w:rPr>
            </w:pPr>
          </w:p>
          <w:p w:rsidRPr="00460CBE" w:rsidR="002875CC" w:rsidP="002875CC" w:rsidRDefault="002875CC" w14:paraId="76F10FAD" w14:textId="6FB5D9BE">
            <w:pPr>
              <w:spacing w:line="240" w:lineRule="auto"/>
              <w:jc w:val="both"/>
              <w:textAlignment w:val="baseline"/>
              <w:rPr>
                <w:sz w:val="20"/>
                <w:szCs w:val="20"/>
                <w:lang w:val="en-US"/>
              </w:rPr>
            </w:pPr>
            <w:r w:rsidRPr="00460CBE">
              <w:rPr>
                <w:sz w:val="20"/>
                <w:szCs w:val="20"/>
                <w:lang w:val="en-US"/>
              </w:rPr>
              <w:t xml:space="preserve">One of the EPI key </w:t>
            </w:r>
            <w:proofErr w:type="gramStart"/>
            <w:r w:rsidRPr="00460CBE">
              <w:rPr>
                <w:sz w:val="20"/>
                <w:szCs w:val="20"/>
                <w:lang w:val="en-US"/>
              </w:rPr>
              <w:t>objectives  is</w:t>
            </w:r>
            <w:proofErr w:type="gramEnd"/>
            <w:r w:rsidRPr="00460CBE">
              <w:rPr>
                <w:sz w:val="20"/>
                <w:szCs w:val="20"/>
                <w:lang w:val="en-US"/>
              </w:rPr>
              <w:t xml:space="preserve"> to identify and register children who have not received a single dose of vaccine (zero dose children) and not fully vaccinated children, and complete their vaccination course with all routine vaccinations according to the National Immunization Calendar. According to 2018 MICS, the proportion of children with a zero dose was 9,8% (children who did not receive DPT dose), and the proportion of children who were not fully vaccinated was 12,3% (children who did not get DPT3).</w:t>
            </w:r>
          </w:p>
          <w:p w:rsidR="004E5566" w:rsidP="004E5566" w:rsidRDefault="004E5566" w14:paraId="7BE59DBF" w14:textId="6E581D72">
            <w:pPr>
              <w:spacing w:line="240" w:lineRule="auto"/>
              <w:jc w:val="both"/>
              <w:textAlignment w:val="baseline"/>
              <w:rPr>
                <w:sz w:val="20"/>
                <w:szCs w:val="20"/>
                <w:lang w:val="en-US"/>
              </w:rPr>
            </w:pPr>
            <w:r w:rsidRPr="00460CBE">
              <w:rPr>
                <w:sz w:val="20"/>
                <w:szCs w:val="20"/>
                <w:lang w:val="en-US"/>
              </w:rPr>
              <w:t>HSS-3 grant</w:t>
            </w:r>
            <w:r w:rsidR="005A1F00">
              <w:rPr>
                <w:sz w:val="20"/>
                <w:szCs w:val="20"/>
                <w:lang w:val="en-US"/>
              </w:rPr>
              <w:t>.</w:t>
            </w:r>
          </w:p>
          <w:p w:rsidRPr="00460CBE" w:rsidR="005A1F00" w:rsidP="004E5566" w:rsidRDefault="005A1F00" w14:paraId="456E94E0" w14:textId="77777777">
            <w:pPr>
              <w:spacing w:line="240" w:lineRule="auto"/>
              <w:jc w:val="both"/>
              <w:textAlignment w:val="baseline"/>
              <w:rPr>
                <w:sz w:val="20"/>
                <w:szCs w:val="20"/>
                <w:lang w:val="en-US"/>
              </w:rPr>
            </w:pPr>
          </w:p>
          <w:p w:rsidRPr="00460CBE" w:rsidR="004E5566" w:rsidP="004E5566" w:rsidRDefault="004E5566" w14:paraId="32E1A751" w14:textId="77777777">
            <w:pPr>
              <w:spacing w:line="240" w:lineRule="auto"/>
              <w:jc w:val="both"/>
              <w:textAlignment w:val="baseline"/>
              <w:rPr>
                <w:sz w:val="20"/>
                <w:szCs w:val="20"/>
                <w:lang w:val="en-US"/>
              </w:rPr>
            </w:pPr>
            <w:r w:rsidRPr="00460CBE">
              <w:rPr>
                <w:sz w:val="20"/>
                <w:szCs w:val="20"/>
                <w:lang w:val="en-US"/>
              </w:rPr>
              <w:t xml:space="preserve">Kyrgyzstan has started implementation of the GAVI HSS-3 grant since April 2022, the main focus of which </w:t>
            </w:r>
            <w:proofErr w:type="gramStart"/>
            <w:r w:rsidRPr="00460CBE">
              <w:rPr>
                <w:sz w:val="20"/>
                <w:szCs w:val="20"/>
                <w:lang w:val="en-US"/>
              </w:rPr>
              <w:t>is  reaching</w:t>
            </w:r>
            <w:proofErr w:type="gramEnd"/>
            <w:r w:rsidRPr="00460CBE">
              <w:rPr>
                <w:sz w:val="20"/>
                <w:szCs w:val="20"/>
                <w:lang w:val="en-US"/>
              </w:rPr>
              <w:t xml:space="preserve"> the missed communities, that are unprotected and also often deprived communities and they suffer from entrenched gender inequality. Within the HSS-3 it is planned to implement several activities such development of a National Plan to improve vaccination coverage, focusing on priority groups and territories with missed opportunities on immunization in a </w:t>
            </w:r>
            <w:r w:rsidRPr="00460CBE">
              <w:rPr>
                <w:b/>
                <w:bCs/>
                <w:sz w:val="20"/>
                <w:szCs w:val="20"/>
                <w:lang w:val="en-US"/>
              </w:rPr>
              <w:t>gender-sensitive manner.</w:t>
            </w:r>
            <w:r w:rsidRPr="00460CBE">
              <w:rPr>
                <w:sz w:val="20"/>
                <w:szCs w:val="20"/>
                <w:lang w:val="en-US"/>
              </w:rPr>
              <w:t xml:space="preserve"> </w:t>
            </w:r>
          </w:p>
          <w:p w:rsidRPr="00460CBE" w:rsidR="004E5566" w:rsidP="004E5566" w:rsidRDefault="004E5566" w14:paraId="15DC9CE1" w14:textId="77777777">
            <w:pPr>
              <w:spacing w:line="240" w:lineRule="auto"/>
              <w:jc w:val="both"/>
              <w:textAlignment w:val="baseline"/>
              <w:rPr>
                <w:sz w:val="20"/>
                <w:szCs w:val="20"/>
                <w:lang w:val="en-US"/>
              </w:rPr>
            </w:pPr>
          </w:p>
          <w:p w:rsidRPr="00460CBE" w:rsidR="004E5566" w:rsidP="004E5566" w:rsidRDefault="004E5566" w14:paraId="2E6F38DF" w14:textId="4B7B1E08">
            <w:pPr>
              <w:spacing w:line="240" w:lineRule="auto"/>
              <w:jc w:val="both"/>
              <w:textAlignment w:val="baseline"/>
              <w:rPr>
                <w:sz w:val="20"/>
                <w:szCs w:val="20"/>
                <w:lang w:val="en-US"/>
              </w:rPr>
            </w:pPr>
            <w:r w:rsidRPr="00460CBE">
              <w:rPr>
                <w:sz w:val="20"/>
                <w:szCs w:val="20"/>
                <w:lang w:val="en-US"/>
              </w:rPr>
              <w:t xml:space="preserve">There are several activities such as repair vaccine warehouses at the regional level, increase the capacity of personnel at the PHC level, vaccination safety, improvement of vaccination coverage, supervision visits, </w:t>
            </w:r>
            <w:proofErr w:type="spellStart"/>
            <w:r w:rsidRPr="00460CBE">
              <w:rPr>
                <w:sz w:val="20"/>
                <w:szCs w:val="20"/>
                <w:lang w:val="en-US"/>
              </w:rPr>
              <w:t>etc</w:t>
            </w:r>
            <w:proofErr w:type="spellEnd"/>
            <w:r w:rsidRPr="00460CBE">
              <w:rPr>
                <w:sz w:val="20"/>
                <w:szCs w:val="20"/>
                <w:lang w:val="en-US"/>
              </w:rPr>
              <w:t xml:space="preserve"> are planned in HSS-3 grant. However, the human resources for managing and implementing the HSS-3 grant is partly covered, so it is very important to include human </w:t>
            </w:r>
            <w:proofErr w:type="spellStart"/>
            <w:r w:rsidRPr="00460CBE">
              <w:rPr>
                <w:sz w:val="20"/>
                <w:szCs w:val="20"/>
                <w:lang w:val="en-US"/>
              </w:rPr>
              <w:t>recources</w:t>
            </w:r>
            <w:proofErr w:type="spellEnd"/>
            <w:r w:rsidRPr="00460CBE">
              <w:rPr>
                <w:sz w:val="20"/>
                <w:szCs w:val="20"/>
                <w:lang w:val="en-US"/>
              </w:rPr>
              <w:t xml:space="preserve"> in the TCA to successfully implement HSS-3 and other GAVI grants</w:t>
            </w:r>
          </w:p>
          <w:p w:rsidRPr="00460CBE" w:rsidR="002875CC" w:rsidP="002875CC" w:rsidRDefault="002875CC" w14:paraId="18F35650" w14:textId="77777777">
            <w:pPr>
              <w:spacing w:line="240" w:lineRule="auto"/>
              <w:jc w:val="both"/>
              <w:textAlignment w:val="baseline"/>
              <w:rPr>
                <w:sz w:val="20"/>
                <w:szCs w:val="20"/>
                <w:lang w:val="en-US"/>
              </w:rPr>
            </w:pPr>
          </w:p>
          <w:p w:rsidRPr="00460CBE" w:rsidR="002875CC" w:rsidP="002875CC" w:rsidRDefault="002875CC" w14:paraId="4A42F548" w14:textId="77777777">
            <w:pPr>
              <w:spacing w:line="240" w:lineRule="auto"/>
              <w:jc w:val="both"/>
              <w:textAlignment w:val="baseline"/>
              <w:rPr>
                <w:b/>
                <w:sz w:val="20"/>
                <w:szCs w:val="20"/>
                <w:lang w:val="en-US"/>
              </w:rPr>
            </w:pPr>
            <w:r w:rsidRPr="00460CBE">
              <w:rPr>
                <w:b/>
                <w:sz w:val="20"/>
                <w:szCs w:val="20"/>
                <w:lang w:val="en-US"/>
              </w:rPr>
              <w:t>Section on digitalization</w:t>
            </w:r>
          </w:p>
          <w:p w:rsidRPr="00460CBE" w:rsidR="002875CC" w:rsidP="002875CC" w:rsidRDefault="002875CC" w14:paraId="05C8AA2B" w14:textId="77777777">
            <w:pPr>
              <w:spacing w:line="240" w:lineRule="auto"/>
              <w:jc w:val="both"/>
              <w:textAlignment w:val="baseline"/>
              <w:rPr>
                <w:sz w:val="20"/>
                <w:szCs w:val="20"/>
                <w:lang w:val="en-US"/>
              </w:rPr>
            </w:pPr>
            <w:r w:rsidRPr="00460CBE">
              <w:rPr>
                <w:sz w:val="20"/>
                <w:szCs w:val="20"/>
                <w:lang w:val="en-US"/>
              </w:rPr>
              <w:t>Digitization in immunization is about data quality.</w:t>
            </w:r>
          </w:p>
          <w:p w:rsidR="002875CC" w:rsidP="002875CC" w:rsidRDefault="002875CC" w14:paraId="7E34F362" w14:textId="3E5235F5">
            <w:pPr>
              <w:spacing w:line="240" w:lineRule="auto"/>
              <w:jc w:val="both"/>
              <w:textAlignment w:val="baseline"/>
              <w:rPr>
                <w:sz w:val="20"/>
                <w:szCs w:val="20"/>
                <w:lang w:val="en-US"/>
              </w:rPr>
            </w:pPr>
            <w:r w:rsidRPr="00460CBE">
              <w:rPr>
                <w:sz w:val="20"/>
                <w:szCs w:val="20"/>
                <w:lang w:val="en-US"/>
              </w:rPr>
              <w:t>The main problem for the Immunization Program is tracking the vaccination status of children, migrating from one area to another. Especially in the COVID-19 context, according to 2021 statistics, 17 830 children did not complete the Penta-3 primary vaccination course.</w:t>
            </w:r>
          </w:p>
          <w:p w:rsidRPr="00460CBE" w:rsidR="005A1F00" w:rsidP="002875CC" w:rsidRDefault="005A1F00" w14:paraId="72ECD703" w14:textId="77777777">
            <w:pPr>
              <w:spacing w:line="240" w:lineRule="auto"/>
              <w:jc w:val="both"/>
              <w:textAlignment w:val="baseline"/>
              <w:rPr>
                <w:sz w:val="20"/>
                <w:szCs w:val="20"/>
                <w:lang w:val="en-US"/>
              </w:rPr>
            </w:pPr>
          </w:p>
          <w:p w:rsidRPr="00460CBE" w:rsidR="002875CC" w:rsidP="002875CC" w:rsidRDefault="002875CC" w14:paraId="5069E68B" w14:textId="77777777">
            <w:pPr>
              <w:spacing w:line="240" w:lineRule="auto"/>
              <w:jc w:val="both"/>
              <w:textAlignment w:val="baseline"/>
              <w:rPr>
                <w:sz w:val="20"/>
                <w:szCs w:val="20"/>
                <w:lang w:val="en-US"/>
              </w:rPr>
            </w:pPr>
            <w:r w:rsidRPr="00460CBE">
              <w:rPr>
                <w:sz w:val="20"/>
                <w:szCs w:val="20"/>
                <w:lang w:val="en-US"/>
              </w:rPr>
              <w:t>Internal migration makes determining of a patient's vaccination status and history nearly impossible.</w:t>
            </w:r>
          </w:p>
          <w:p w:rsidR="002875CC" w:rsidP="002875CC" w:rsidRDefault="002875CC" w14:paraId="09BE4ABA" w14:textId="03017439">
            <w:pPr>
              <w:spacing w:line="240" w:lineRule="auto"/>
              <w:jc w:val="both"/>
              <w:textAlignment w:val="baseline"/>
              <w:rPr>
                <w:sz w:val="20"/>
                <w:szCs w:val="20"/>
                <w:lang w:val="en-US"/>
              </w:rPr>
            </w:pPr>
            <w:r w:rsidRPr="00460CBE">
              <w:rPr>
                <w:sz w:val="20"/>
                <w:szCs w:val="20"/>
                <w:lang w:val="en-US"/>
              </w:rPr>
              <w:t>Given the existing capacities and resources in Kyrgyzstan, it has been proposed that the Ministry of Health uses the DHIS-2 online immunization reporting system (which should be considered as an option of the Immunization Information System) as a starting point to replace the current manual reporting formats and their summary in Excel. For the data analysis and aggregation, this process will be necessary at the stage of DHIS-2 software operation down to the district level (HSS-2 Gavi, WHO). With the support of UNICEF, feasibility study of the system was carried out to explore possible integration with DHIS2.</w:t>
            </w:r>
          </w:p>
          <w:p w:rsidRPr="00460CBE" w:rsidR="005A1F00" w:rsidP="002875CC" w:rsidRDefault="005A1F00" w14:paraId="69D451FF" w14:textId="77777777">
            <w:pPr>
              <w:spacing w:line="240" w:lineRule="auto"/>
              <w:jc w:val="both"/>
              <w:textAlignment w:val="baseline"/>
              <w:rPr>
                <w:sz w:val="20"/>
                <w:szCs w:val="20"/>
                <w:lang w:val="en-US"/>
              </w:rPr>
            </w:pPr>
          </w:p>
          <w:p w:rsidRPr="00460CBE" w:rsidR="002875CC" w:rsidP="002875CC" w:rsidRDefault="002875CC" w14:paraId="64456815" w14:textId="77777777">
            <w:pPr>
              <w:spacing w:line="240" w:lineRule="auto"/>
              <w:jc w:val="both"/>
              <w:textAlignment w:val="baseline"/>
              <w:rPr>
                <w:sz w:val="20"/>
                <w:szCs w:val="20"/>
                <w:lang w:val="en-US"/>
              </w:rPr>
            </w:pPr>
            <w:r w:rsidRPr="00460CBE">
              <w:rPr>
                <w:sz w:val="20"/>
                <w:szCs w:val="20"/>
                <w:lang w:val="en-US"/>
              </w:rPr>
              <w:t>The developed and functioning online data reporting system is seen as a step towards the development of a comprehensive CSI in Kyrgyzstan with provision of an electronic individual immunization registry and other relevant software components. At this stage, together with the CEH and RCI, such system -IEMDOO -has been developed and is at the piloting stage.</w:t>
            </w:r>
          </w:p>
          <w:p w:rsidRPr="00460CBE" w:rsidR="002875CC" w:rsidP="002875CC" w:rsidRDefault="002875CC" w14:paraId="55B6D567" w14:textId="77777777">
            <w:pPr>
              <w:spacing w:line="240" w:lineRule="auto"/>
              <w:jc w:val="both"/>
              <w:textAlignment w:val="baseline"/>
              <w:rPr>
                <w:sz w:val="20"/>
                <w:szCs w:val="20"/>
                <w:lang w:val="en-US"/>
              </w:rPr>
            </w:pPr>
          </w:p>
          <w:p w:rsidRPr="00460CBE" w:rsidR="002875CC" w:rsidP="002875CC" w:rsidRDefault="002875CC" w14:paraId="6225C036" w14:textId="77777777">
            <w:pPr>
              <w:spacing w:line="240" w:lineRule="auto"/>
              <w:jc w:val="both"/>
              <w:textAlignment w:val="baseline"/>
              <w:rPr>
                <w:sz w:val="20"/>
                <w:szCs w:val="20"/>
                <w:lang w:val="en-US"/>
              </w:rPr>
            </w:pPr>
            <w:r w:rsidRPr="00460CBE">
              <w:rPr>
                <w:sz w:val="20"/>
                <w:szCs w:val="20"/>
                <w:lang w:val="en-US"/>
              </w:rPr>
              <w:t xml:space="preserve">With the WHO support and funded by Gavi, the process of digitizing the </w:t>
            </w:r>
            <w:proofErr w:type="gramStart"/>
            <w:r w:rsidRPr="00460CBE">
              <w:rPr>
                <w:sz w:val="20"/>
                <w:szCs w:val="20"/>
                <w:lang w:val="en-US"/>
              </w:rPr>
              <w:t>063 vaccination</w:t>
            </w:r>
            <w:proofErr w:type="gramEnd"/>
            <w:r w:rsidRPr="00460CBE">
              <w:rPr>
                <w:sz w:val="20"/>
                <w:szCs w:val="20"/>
                <w:lang w:val="en-US"/>
              </w:rPr>
              <w:t xml:space="preserve"> card has begun. The e-immunization system should enable patients to be mobile among various health care organizations providing vaccination services, since the information is generated based on the patient's PIN, which means that the vaccination history follows the patient.</w:t>
            </w:r>
          </w:p>
          <w:p w:rsidRPr="00460CBE" w:rsidR="002875CC" w:rsidP="002875CC" w:rsidRDefault="002875CC" w14:paraId="5D4BB1C1" w14:textId="77777777">
            <w:pPr>
              <w:spacing w:line="240" w:lineRule="auto"/>
              <w:jc w:val="both"/>
              <w:textAlignment w:val="baseline"/>
              <w:rPr>
                <w:sz w:val="20"/>
                <w:szCs w:val="20"/>
                <w:lang w:val="en-US"/>
              </w:rPr>
            </w:pPr>
          </w:p>
          <w:p w:rsidRPr="00460CBE" w:rsidR="002875CC" w:rsidP="002875CC" w:rsidRDefault="002875CC" w14:paraId="3BEF26A9" w14:textId="77777777">
            <w:pPr>
              <w:spacing w:line="240" w:lineRule="auto"/>
              <w:jc w:val="both"/>
              <w:textAlignment w:val="baseline"/>
              <w:rPr>
                <w:sz w:val="20"/>
                <w:szCs w:val="20"/>
                <w:lang w:val="en-US"/>
              </w:rPr>
            </w:pPr>
            <w:r w:rsidRPr="00460CBE">
              <w:rPr>
                <w:sz w:val="20"/>
                <w:szCs w:val="20"/>
                <w:lang w:val="en-US"/>
              </w:rPr>
              <w:t>With introduction of newer and more expensive vaccines, there is a need to better control the distribution and use of vaccines. Therefore, development and implementation of an E-Immunization System is critical to provide this management information and automate much of the administrative work of health care organization, minimize stock levels to contain costs and prevent stock depletion.</w:t>
            </w:r>
          </w:p>
          <w:p w:rsidRPr="00460CBE" w:rsidR="002875CC" w:rsidP="002875CC" w:rsidRDefault="002875CC" w14:paraId="60AAEA4C" w14:textId="77777777">
            <w:pPr>
              <w:spacing w:line="240" w:lineRule="auto"/>
              <w:jc w:val="both"/>
              <w:textAlignment w:val="baseline"/>
              <w:rPr>
                <w:sz w:val="20"/>
                <w:szCs w:val="20"/>
                <w:lang w:val="en-US"/>
              </w:rPr>
            </w:pPr>
          </w:p>
          <w:p w:rsidRPr="00460CBE" w:rsidR="002875CC" w:rsidP="002875CC" w:rsidRDefault="002875CC" w14:paraId="17EB5BB3" w14:textId="77777777">
            <w:pPr>
              <w:spacing w:line="240" w:lineRule="auto"/>
              <w:jc w:val="both"/>
              <w:textAlignment w:val="baseline"/>
              <w:rPr>
                <w:sz w:val="20"/>
                <w:szCs w:val="20"/>
                <w:lang w:val="en-US"/>
              </w:rPr>
            </w:pPr>
            <w:r w:rsidRPr="00460CBE">
              <w:rPr>
                <w:sz w:val="20"/>
                <w:szCs w:val="20"/>
                <w:lang w:val="en-US"/>
              </w:rPr>
              <w:t xml:space="preserve">With the support of the </w:t>
            </w:r>
            <w:proofErr w:type="spellStart"/>
            <w:r w:rsidRPr="00460CBE">
              <w:rPr>
                <w:sz w:val="20"/>
                <w:szCs w:val="20"/>
                <w:lang w:val="en-US"/>
              </w:rPr>
              <w:t>Abt</w:t>
            </w:r>
            <w:proofErr w:type="spellEnd"/>
            <w:r w:rsidRPr="00460CBE">
              <w:rPr>
                <w:sz w:val="20"/>
                <w:szCs w:val="20"/>
                <w:lang w:val="en-US"/>
              </w:rPr>
              <w:t xml:space="preserve"> Ass under the USAID project, the process of digitization of warehouse accounting and refrigeration equipment has begun.</w:t>
            </w:r>
          </w:p>
          <w:p w:rsidRPr="00460CBE" w:rsidR="002875CC" w:rsidP="002875CC" w:rsidRDefault="002875CC" w14:paraId="3B299FB2" w14:textId="77777777">
            <w:pPr>
              <w:spacing w:line="240" w:lineRule="auto"/>
              <w:jc w:val="both"/>
              <w:textAlignment w:val="baseline"/>
              <w:rPr>
                <w:sz w:val="20"/>
                <w:szCs w:val="20"/>
                <w:lang w:val="en-US"/>
              </w:rPr>
            </w:pPr>
          </w:p>
          <w:p w:rsidRPr="00460CBE" w:rsidR="002875CC" w:rsidP="002875CC" w:rsidRDefault="002875CC" w14:paraId="22826D4B" w14:textId="29D194E0">
            <w:pPr>
              <w:jc w:val="both"/>
              <w:rPr>
                <w:sz w:val="20"/>
                <w:szCs w:val="20"/>
                <w:lang w:val="en-US"/>
              </w:rPr>
            </w:pPr>
            <w:r w:rsidRPr="00460CBE">
              <w:rPr>
                <w:sz w:val="20"/>
                <w:szCs w:val="20"/>
                <w:lang w:val="en-US"/>
              </w:rPr>
              <w:t>The process of digitalization in immunization is proceeding in stages, it is planned to conduct 1) Analytical review of the data quality and established digital systems in immunization, 2) Mapping activities, 3) Development of a roadmap for further digitalization in immunization.</w:t>
            </w:r>
          </w:p>
          <w:p w:rsidRPr="00460CBE" w:rsidR="002875CC" w:rsidP="002875CC" w:rsidRDefault="002875CC" w14:paraId="00A78AB3" w14:textId="77777777">
            <w:pPr>
              <w:jc w:val="both"/>
              <w:rPr>
                <w:sz w:val="20"/>
                <w:szCs w:val="20"/>
                <w:lang w:val="en-US"/>
              </w:rPr>
            </w:pPr>
            <w:r w:rsidRPr="00460CBE">
              <w:rPr>
                <w:sz w:val="20"/>
                <w:szCs w:val="20"/>
                <w:lang w:val="en-US"/>
              </w:rPr>
              <w:lastRenderedPageBreak/>
              <w:t>As part of the requested assistance, technical assistance is expected in developing the roadmap for further digitalization in immunization, as well as in expanding the use of DHIS2 mobile application (WHO).</w:t>
            </w:r>
          </w:p>
          <w:p w:rsidRPr="00460CBE" w:rsidR="002875CC" w:rsidP="002875CC" w:rsidRDefault="002875CC" w14:paraId="3680AE33" w14:textId="77777777">
            <w:pPr>
              <w:jc w:val="both"/>
              <w:rPr>
                <w:sz w:val="20"/>
                <w:szCs w:val="20"/>
                <w:lang w:val="en-US"/>
              </w:rPr>
            </w:pPr>
            <w:r w:rsidRPr="00460CBE">
              <w:rPr>
                <w:sz w:val="20"/>
                <w:szCs w:val="20"/>
                <w:lang w:val="en-US"/>
              </w:rPr>
              <w:t xml:space="preserve"> </w:t>
            </w:r>
          </w:p>
          <w:p w:rsidRPr="00460CBE" w:rsidR="002875CC" w:rsidP="002875CC" w:rsidRDefault="002875CC" w14:paraId="01A7A4B6" w14:textId="77777777">
            <w:pPr>
              <w:jc w:val="both"/>
              <w:rPr>
                <w:b/>
                <w:sz w:val="20"/>
                <w:szCs w:val="20"/>
                <w:lang w:val="en-US"/>
              </w:rPr>
            </w:pPr>
            <w:r w:rsidRPr="00460CBE">
              <w:rPr>
                <w:b/>
                <w:sz w:val="20"/>
                <w:szCs w:val="20"/>
                <w:lang w:val="en-US"/>
              </w:rPr>
              <w:t>Cold Chain</w:t>
            </w:r>
          </w:p>
          <w:p w:rsidR="002875CC" w:rsidP="002875CC" w:rsidRDefault="002875CC" w14:paraId="17669251" w14:textId="68491CDB">
            <w:pPr>
              <w:jc w:val="both"/>
              <w:rPr>
                <w:sz w:val="20"/>
                <w:szCs w:val="20"/>
                <w:lang w:val="en-US"/>
              </w:rPr>
            </w:pPr>
            <w:r w:rsidRPr="00460CBE">
              <w:rPr>
                <w:sz w:val="20"/>
                <w:szCs w:val="20"/>
                <w:lang w:val="en-US"/>
              </w:rPr>
              <w:t>In order to justify future major investments in modernization and expansion of the NIP cold chain in the country, in 2016, in addition to the EWM assessment, an inventory of cold chain equipment and a needs assessment were carried out.</w:t>
            </w:r>
          </w:p>
          <w:p w:rsidRPr="00460CBE" w:rsidR="00A4175E" w:rsidP="002875CC" w:rsidRDefault="00A4175E" w14:paraId="57E4E256" w14:textId="77777777">
            <w:pPr>
              <w:jc w:val="both"/>
              <w:rPr>
                <w:sz w:val="20"/>
                <w:szCs w:val="20"/>
                <w:lang w:val="en-US"/>
              </w:rPr>
            </w:pPr>
          </w:p>
          <w:p w:rsidR="002875CC" w:rsidP="002875CC" w:rsidRDefault="002875CC" w14:paraId="5507E9BE" w14:textId="02CBE2D9">
            <w:pPr>
              <w:jc w:val="both"/>
              <w:rPr>
                <w:sz w:val="20"/>
                <w:szCs w:val="20"/>
                <w:lang w:val="en-US"/>
              </w:rPr>
            </w:pPr>
            <w:r w:rsidRPr="00460CBE">
              <w:rPr>
                <w:sz w:val="20"/>
                <w:szCs w:val="20"/>
                <w:lang w:val="en-US"/>
              </w:rPr>
              <w:t>The results of the assessment and inventory indicated that the existing cold storage and transportation capacity at the national, regional and district vaccine warehouse levels was insufficient to meet future vaccine storage requirements. Lack of storage capacity prevented the country from implementing a proper vaccine distribution and stock management system, such as maintaining a reserve stock of vaccines and consumables.</w:t>
            </w:r>
          </w:p>
          <w:p w:rsidRPr="00460CBE" w:rsidR="00A4175E" w:rsidP="002875CC" w:rsidRDefault="00A4175E" w14:paraId="62CA5DFF" w14:textId="77777777">
            <w:pPr>
              <w:jc w:val="both"/>
              <w:rPr>
                <w:sz w:val="20"/>
                <w:szCs w:val="20"/>
                <w:lang w:val="en-US"/>
              </w:rPr>
            </w:pPr>
          </w:p>
          <w:p w:rsidRPr="00460CBE" w:rsidR="002875CC" w:rsidP="002875CC" w:rsidRDefault="002875CC" w14:paraId="2B9F0BD5" w14:textId="77777777">
            <w:pPr>
              <w:jc w:val="both"/>
              <w:rPr>
                <w:sz w:val="20"/>
                <w:szCs w:val="20"/>
                <w:lang w:val="en-US"/>
              </w:rPr>
            </w:pPr>
            <w:r w:rsidRPr="00460CBE">
              <w:rPr>
                <w:sz w:val="20"/>
                <w:szCs w:val="20"/>
                <w:lang w:val="en-US"/>
              </w:rPr>
              <w:t>Based on the results of the study, a Comprehensive plan for rehabilitation of the EPI cold chain for 2016-2026 was developed. The Plan was designed to meet future program needs over a 10-year horizon.</w:t>
            </w:r>
          </w:p>
          <w:p w:rsidRPr="00460CBE" w:rsidR="002875CC" w:rsidP="002875CC" w:rsidRDefault="002875CC" w14:paraId="0F95B875" w14:textId="77777777">
            <w:pPr>
              <w:jc w:val="both"/>
              <w:rPr>
                <w:sz w:val="20"/>
                <w:szCs w:val="20"/>
                <w:lang w:val="en-US"/>
              </w:rPr>
            </w:pPr>
          </w:p>
          <w:p w:rsidR="002875CC" w:rsidP="002875CC" w:rsidRDefault="002875CC" w14:paraId="7DD21E51" w14:textId="0884DE34">
            <w:pPr>
              <w:jc w:val="both"/>
              <w:rPr>
                <w:sz w:val="20"/>
                <w:szCs w:val="20"/>
                <w:lang w:val="en-US"/>
              </w:rPr>
            </w:pPr>
            <w:r w:rsidRPr="00460CBE">
              <w:rPr>
                <w:sz w:val="20"/>
                <w:szCs w:val="20"/>
                <w:lang w:val="en-US"/>
              </w:rPr>
              <w:t>Given the high cost of investing in cold chain, implementation of the Plan was made possible by the combined use of support from Gavi Health System Strengthening Grants (HSS-2) and two phases of the Cold Chain Equipment Optimization Platform (CCEOP). CCEOP-qualified equipment was provided to address the needs of cold chain at district and immunization service provider levels, while HSS-2 funding (40% of the total budget) was directed towards improving vaccine storage and transport systems at the national, regional and district levels.</w:t>
            </w:r>
          </w:p>
          <w:p w:rsidRPr="00460CBE" w:rsidR="00A4175E" w:rsidP="002875CC" w:rsidRDefault="00A4175E" w14:paraId="6C4D1DD8" w14:textId="77777777">
            <w:pPr>
              <w:jc w:val="both"/>
              <w:rPr>
                <w:sz w:val="20"/>
                <w:szCs w:val="20"/>
                <w:lang w:val="en-US"/>
              </w:rPr>
            </w:pPr>
          </w:p>
          <w:p w:rsidRPr="00460CBE" w:rsidR="002875CC" w:rsidP="002875CC" w:rsidRDefault="002875CC" w14:paraId="00E20403" w14:textId="77777777">
            <w:pPr>
              <w:jc w:val="both"/>
              <w:rPr>
                <w:sz w:val="20"/>
                <w:szCs w:val="20"/>
                <w:lang w:val="en-US"/>
              </w:rPr>
            </w:pPr>
            <w:r w:rsidRPr="00460CBE">
              <w:rPr>
                <w:sz w:val="20"/>
                <w:szCs w:val="20"/>
                <w:lang w:val="en-US"/>
              </w:rPr>
              <w:t>However, an assessment of the cold chain capacity at t-mode + 2 + 8°C showed that all levels of cold chain despite the provision of refrigeration equipment during the two stages of the Cold Chain Equipment Optimization Platform (CCEOP) and Gavi HSS-2 require additional storage volumes for the increased volumes of COVID-19 vaccines requiring t-mode + 2 + 8°C.</w:t>
            </w:r>
          </w:p>
          <w:p w:rsidRPr="00460CBE" w:rsidR="002875CC" w:rsidP="002875CC" w:rsidRDefault="002875CC" w14:paraId="79C0A0DB" w14:textId="77777777">
            <w:pPr>
              <w:jc w:val="both"/>
              <w:rPr>
                <w:sz w:val="20"/>
                <w:szCs w:val="20"/>
                <w:lang w:val="en-US"/>
              </w:rPr>
            </w:pPr>
          </w:p>
          <w:p w:rsidRPr="00460CBE" w:rsidR="002875CC" w:rsidP="002875CC" w:rsidRDefault="002875CC" w14:paraId="6DE7F37C" w14:textId="77777777">
            <w:pPr>
              <w:jc w:val="both"/>
              <w:rPr>
                <w:sz w:val="20"/>
                <w:szCs w:val="20"/>
                <w:lang w:val="en-US"/>
              </w:rPr>
            </w:pPr>
            <w:r w:rsidRPr="00460CBE">
              <w:rPr>
                <w:sz w:val="20"/>
                <w:szCs w:val="20"/>
                <w:lang w:val="en-US"/>
              </w:rPr>
              <w:t>Considering all the risks that the required equipment of the Cold Chain Modernization Plan from likely sources will be delivered in the distant period from 2022 to 2024 and considering the increasing demand for cold chain equipment due to COVID-19 immunization and implementation of related service strategies related to such immunization needs - the country has accepted CCE support, provided by COVAX Facility (on July 8, 2021, the budget was approved by Gavi Decision letter for the total of 211 426,00 USD). In parallel, the issue of financing equipment and operational processes from other sources of financing (World Bank, Issyk-Kul Development Fund, WHO, HAC/UNICEF, USAID, ADB, CDS Gavi) is being considered.</w:t>
            </w:r>
          </w:p>
          <w:p w:rsidRPr="00460CBE" w:rsidR="002875CC" w:rsidP="002875CC" w:rsidRDefault="002875CC" w14:paraId="7674C013" w14:textId="77777777">
            <w:pPr>
              <w:jc w:val="both"/>
              <w:rPr>
                <w:sz w:val="20"/>
                <w:szCs w:val="20"/>
                <w:lang w:val="en-US"/>
              </w:rPr>
            </w:pPr>
          </w:p>
          <w:p w:rsidRPr="00460CBE" w:rsidR="002875CC" w:rsidP="002875CC" w:rsidRDefault="002875CC" w14:paraId="77F9859F" w14:textId="77777777">
            <w:pPr>
              <w:jc w:val="both"/>
              <w:rPr>
                <w:sz w:val="20"/>
                <w:szCs w:val="20"/>
                <w:lang w:val="en-US"/>
              </w:rPr>
            </w:pPr>
            <w:r w:rsidRPr="00460CBE">
              <w:rPr>
                <w:sz w:val="20"/>
                <w:szCs w:val="20"/>
                <w:lang w:val="en-US"/>
              </w:rPr>
              <w:t>The requested assistance is needed for technical support in the following areas:</w:t>
            </w:r>
          </w:p>
          <w:p w:rsidRPr="00460CBE" w:rsidR="002875CC" w:rsidP="002875CC" w:rsidRDefault="002875CC" w14:paraId="3A88142E" w14:textId="77777777">
            <w:pPr>
              <w:jc w:val="both"/>
              <w:rPr>
                <w:sz w:val="20"/>
                <w:szCs w:val="20"/>
                <w:lang w:val="en-US"/>
              </w:rPr>
            </w:pPr>
            <w:r w:rsidRPr="00460CBE">
              <w:rPr>
                <w:sz w:val="20"/>
                <w:szCs w:val="20"/>
                <w:lang w:val="en-US"/>
              </w:rPr>
              <w:t>-inventory of cold chain equipment, taking into account all the supplied equipment;</w:t>
            </w:r>
          </w:p>
          <w:p w:rsidRPr="00460CBE" w:rsidR="002875CC" w:rsidP="002875CC" w:rsidRDefault="002875CC" w14:paraId="117B0673" w14:textId="77777777">
            <w:pPr>
              <w:jc w:val="both"/>
              <w:rPr>
                <w:sz w:val="20"/>
                <w:szCs w:val="20"/>
                <w:lang w:val="en-US"/>
              </w:rPr>
            </w:pPr>
            <w:r w:rsidRPr="00460CBE">
              <w:rPr>
                <w:sz w:val="20"/>
                <w:szCs w:val="20"/>
                <w:lang w:val="en-US"/>
              </w:rPr>
              <w:t>-adaptation of the Cold Chain Modernization Plan;</w:t>
            </w:r>
          </w:p>
          <w:p w:rsidRPr="00460CBE" w:rsidR="002875CC" w:rsidP="002875CC" w:rsidRDefault="002875CC" w14:paraId="37B3262C" w14:textId="77777777">
            <w:pPr>
              <w:jc w:val="both"/>
              <w:rPr>
                <w:sz w:val="20"/>
                <w:szCs w:val="20"/>
                <w:lang w:val="en-US"/>
              </w:rPr>
            </w:pPr>
            <w:r w:rsidRPr="00460CBE">
              <w:rPr>
                <w:sz w:val="20"/>
                <w:szCs w:val="20"/>
                <w:lang w:val="en-US"/>
              </w:rPr>
              <w:t>- construction of the National Vaccine Warehouse;</w:t>
            </w:r>
          </w:p>
          <w:p w:rsidRPr="00460CBE" w:rsidR="002875CC" w:rsidP="002875CC" w:rsidRDefault="002875CC" w14:paraId="6ECC28E5" w14:textId="77777777">
            <w:pPr>
              <w:jc w:val="both"/>
              <w:rPr>
                <w:sz w:val="20"/>
                <w:szCs w:val="20"/>
                <w:lang w:val="en-US"/>
              </w:rPr>
            </w:pPr>
            <w:r w:rsidRPr="00460CBE">
              <w:rPr>
                <w:sz w:val="20"/>
                <w:szCs w:val="20"/>
                <w:lang w:val="en-US"/>
              </w:rPr>
              <w:t>- logistics of vaccines and equipment.</w:t>
            </w:r>
          </w:p>
          <w:p w:rsidRPr="00460CBE" w:rsidR="002875CC" w:rsidP="002875CC" w:rsidRDefault="002875CC" w14:paraId="2949BAE6" w14:textId="77777777">
            <w:pPr>
              <w:jc w:val="both"/>
              <w:rPr>
                <w:sz w:val="20"/>
                <w:szCs w:val="20"/>
                <w:lang w:val="en-US"/>
              </w:rPr>
            </w:pPr>
          </w:p>
          <w:p w:rsidRPr="00460CBE" w:rsidR="002875CC" w:rsidP="002875CC" w:rsidRDefault="002875CC" w14:paraId="0C93DE01" w14:textId="77777777">
            <w:pPr>
              <w:jc w:val="both"/>
              <w:rPr>
                <w:b/>
                <w:sz w:val="20"/>
                <w:szCs w:val="20"/>
                <w:lang w:val="en-US"/>
              </w:rPr>
            </w:pPr>
            <w:r w:rsidRPr="00460CBE">
              <w:rPr>
                <w:b/>
                <w:sz w:val="20"/>
                <w:szCs w:val="20"/>
                <w:lang w:val="en-US"/>
              </w:rPr>
              <w:t>Preventable disease surveillance</w:t>
            </w:r>
          </w:p>
          <w:p w:rsidR="002875CC" w:rsidP="002875CC" w:rsidRDefault="002875CC" w14:paraId="1FB874AD" w14:textId="657EE712">
            <w:pPr>
              <w:jc w:val="both"/>
              <w:rPr>
                <w:sz w:val="20"/>
                <w:szCs w:val="20"/>
                <w:lang w:val="en-US"/>
              </w:rPr>
            </w:pPr>
            <w:r w:rsidRPr="00460CBE">
              <w:rPr>
                <w:sz w:val="20"/>
                <w:szCs w:val="20"/>
                <w:lang w:val="en-US"/>
              </w:rPr>
              <w:t xml:space="preserve">The Kyrgyz Republic, along with other WHO/Europe member states, is implementing the activities of the WHO Global Strategic Plan to Eliminate Measles and Rubella, as well as the End-Plan Polio Eradication Plan. </w:t>
            </w:r>
            <w:r w:rsidRPr="00460CBE" w:rsidR="008024BE">
              <w:rPr>
                <w:sz w:val="20"/>
                <w:szCs w:val="20"/>
                <w:lang w:val="en-US"/>
              </w:rPr>
              <w:t xml:space="preserve">During last five </w:t>
            </w:r>
            <w:proofErr w:type="spellStart"/>
            <w:r w:rsidRPr="00460CBE" w:rsidR="008A5419">
              <w:rPr>
                <w:sz w:val="20"/>
                <w:szCs w:val="20"/>
                <w:lang w:val="en-US"/>
              </w:rPr>
              <w:t>Measleas</w:t>
            </w:r>
            <w:proofErr w:type="spellEnd"/>
            <w:r w:rsidRPr="00460CBE" w:rsidR="008A5419">
              <w:rPr>
                <w:sz w:val="20"/>
                <w:szCs w:val="20"/>
                <w:lang w:val="en-US"/>
              </w:rPr>
              <w:t xml:space="preserve">-Rubella and Polio vaccines coverage among target </w:t>
            </w:r>
            <w:r w:rsidRPr="00460CBE" w:rsidR="008A5419">
              <w:rPr>
                <w:sz w:val="20"/>
                <w:szCs w:val="20"/>
                <w:lang w:val="en-US"/>
              </w:rPr>
              <w:lastRenderedPageBreak/>
              <w:t>population remains at level not less th</w:t>
            </w:r>
            <w:r w:rsidRPr="00460CBE" w:rsidR="000521BD">
              <w:rPr>
                <w:sz w:val="20"/>
                <w:szCs w:val="20"/>
                <w:lang w:val="en-US"/>
              </w:rPr>
              <w:t>a</w:t>
            </w:r>
            <w:r w:rsidRPr="00460CBE" w:rsidR="008A5419">
              <w:rPr>
                <w:sz w:val="20"/>
                <w:szCs w:val="20"/>
                <w:lang w:val="en-US"/>
              </w:rPr>
              <w:t>n 95%</w:t>
            </w:r>
            <w:r w:rsidRPr="00460CBE">
              <w:rPr>
                <w:sz w:val="20"/>
                <w:szCs w:val="20"/>
                <w:lang w:val="en-US"/>
              </w:rPr>
              <w:t>, the country has established an integrated surveillance system for all cases of suspected Measles/Rubella and Polio with mandatory laboratory testing. However, due to many challenges, including the COVID-19 pandemic, there are still significant challenges in achieving the set goals.</w:t>
            </w:r>
          </w:p>
          <w:p w:rsidRPr="00460CBE" w:rsidR="00A4175E" w:rsidP="002875CC" w:rsidRDefault="00A4175E" w14:paraId="50738444" w14:textId="77777777">
            <w:pPr>
              <w:jc w:val="both"/>
              <w:rPr>
                <w:sz w:val="20"/>
                <w:szCs w:val="20"/>
                <w:lang w:val="en-US"/>
              </w:rPr>
            </w:pPr>
          </w:p>
          <w:p w:rsidR="002875CC" w:rsidP="002875CC" w:rsidRDefault="002875CC" w14:paraId="0260E00D" w14:textId="7AA5FFAA">
            <w:pPr>
              <w:jc w:val="both"/>
              <w:rPr>
                <w:sz w:val="20"/>
                <w:szCs w:val="20"/>
                <w:lang w:val="en-US"/>
              </w:rPr>
            </w:pPr>
            <w:r w:rsidRPr="00460CBE">
              <w:rPr>
                <w:sz w:val="20"/>
                <w:szCs w:val="20"/>
                <w:lang w:val="en-US"/>
              </w:rPr>
              <w:t xml:space="preserve">Significant investments have been made in strengthening human resources to improve the effectiveness of the various components of the Immunization </w:t>
            </w:r>
            <w:proofErr w:type="spellStart"/>
            <w:r w:rsidRPr="00460CBE">
              <w:rPr>
                <w:sz w:val="20"/>
                <w:szCs w:val="20"/>
                <w:lang w:val="en-US"/>
              </w:rPr>
              <w:t>Programme</w:t>
            </w:r>
            <w:proofErr w:type="spellEnd"/>
            <w:r w:rsidRPr="00460CBE">
              <w:rPr>
                <w:sz w:val="20"/>
                <w:szCs w:val="20"/>
                <w:lang w:val="en-US"/>
              </w:rPr>
              <w:t>.</w:t>
            </w:r>
          </w:p>
          <w:p w:rsidRPr="00460CBE" w:rsidR="00A4175E" w:rsidP="002875CC" w:rsidRDefault="00A4175E" w14:paraId="4D4E0A3A" w14:textId="77777777">
            <w:pPr>
              <w:jc w:val="both"/>
              <w:rPr>
                <w:sz w:val="20"/>
                <w:szCs w:val="20"/>
                <w:lang w:val="en-US"/>
              </w:rPr>
            </w:pPr>
          </w:p>
          <w:p w:rsidRPr="00460CBE" w:rsidR="002875CC" w:rsidP="002875CC" w:rsidRDefault="002875CC" w14:paraId="598005F9" w14:textId="77777777">
            <w:pPr>
              <w:jc w:val="both"/>
              <w:rPr>
                <w:sz w:val="20"/>
                <w:szCs w:val="20"/>
                <w:lang w:val="en-US"/>
              </w:rPr>
            </w:pPr>
            <w:r w:rsidRPr="00460CBE">
              <w:rPr>
                <w:sz w:val="20"/>
                <w:szCs w:val="20"/>
                <w:lang w:val="en-US"/>
              </w:rPr>
              <w:t>However, due to high staff turnover, a certain number of health workers do not have sufficient knowledge about vaccines and their composition, AEFIs and true/false contraindications to vaccination. This leads to a large number of unjustified medical contraindications to vaccination at the PHC level.</w:t>
            </w:r>
          </w:p>
          <w:p w:rsidRPr="00460CBE" w:rsidR="002875CC" w:rsidP="002875CC" w:rsidRDefault="002875CC" w14:paraId="1F720498" w14:textId="77777777">
            <w:pPr>
              <w:jc w:val="both"/>
              <w:rPr>
                <w:sz w:val="20"/>
                <w:szCs w:val="20"/>
                <w:lang w:val="en-US"/>
              </w:rPr>
            </w:pPr>
          </w:p>
          <w:p w:rsidRPr="00460CBE" w:rsidR="002875CC" w:rsidP="002875CC" w:rsidRDefault="002875CC" w14:paraId="7426EB3F" w14:textId="77777777">
            <w:pPr>
              <w:jc w:val="both"/>
              <w:rPr>
                <w:sz w:val="20"/>
                <w:szCs w:val="20"/>
                <w:lang w:val="en-US"/>
              </w:rPr>
            </w:pPr>
            <w:r w:rsidRPr="00460CBE">
              <w:rPr>
                <w:sz w:val="20"/>
                <w:szCs w:val="20"/>
                <w:lang w:val="en-US"/>
              </w:rPr>
              <w:t>Increasing and maintaining high demand for immunization among caregivers has always been one of the most important objectives of the Ministry of Health and EPI. Based on the results of the KAP survey (2018), the Immunization Communication Strategy for 2018-2020 was developed and implemented. Despite the importance of increasing demand and communication, these activities often remain without public funding and are carried out by different donors, which threatens the continuation and sustainability of ongoing long-term communication initiatives, which can lead to loss of results, gained and even regression. Taking into account these factors, it should be noted that the impact of the implemented activities under the Immunization Communication Strategy for 2018-2020, unfortunately, did not attain the goal. The country needs additional support to ensure that immunization demand generation activities are adequately reflected in programs and budgets. In addition, activities aimed at strengthening the capacity of primary health care workers should be implemented.</w:t>
            </w:r>
          </w:p>
          <w:p w:rsidRPr="00460CBE" w:rsidR="002875CC" w:rsidP="002875CC" w:rsidRDefault="002875CC" w14:paraId="141BBA4A" w14:textId="77777777">
            <w:pPr>
              <w:jc w:val="both"/>
              <w:rPr>
                <w:sz w:val="20"/>
                <w:szCs w:val="20"/>
                <w:lang w:val="en-US"/>
              </w:rPr>
            </w:pPr>
          </w:p>
          <w:p w:rsidRPr="00460CBE" w:rsidR="00372D1F" w:rsidP="002875CC" w:rsidRDefault="002875CC" w14:paraId="72B03ED3" w14:textId="77777777">
            <w:pPr>
              <w:spacing w:line="300" w:lineRule="exact"/>
              <w:rPr>
                <w:sz w:val="20"/>
                <w:szCs w:val="20"/>
                <w:lang w:val="en-US"/>
              </w:rPr>
            </w:pPr>
            <w:r w:rsidRPr="00460CBE">
              <w:rPr>
                <w:sz w:val="20"/>
                <w:szCs w:val="20"/>
                <w:lang w:val="en-US"/>
              </w:rPr>
              <w:t>The duration of the requested assistance is 4 years (2022-2025).</w:t>
            </w:r>
          </w:p>
          <w:p w:rsidRPr="00460CBE" w:rsidR="003A1B10" w:rsidP="003A1B10" w:rsidRDefault="003A1B10" w14:paraId="2CB56760" w14:textId="60BA8CBB">
            <w:pPr>
              <w:spacing w:line="240" w:lineRule="auto"/>
              <w:jc w:val="both"/>
              <w:textAlignment w:val="baseline"/>
              <w:rPr>
                <w:sz w:val="20"/>
                <w:szCs w:val="20"/>
                <w:lang w:val="en-US"/>
              </w:rPr>
            </w:pPr>
            <w:r w:rsidRPr="00460CBE">
              <w:rPr>
                <w:sz w:val="20"/>
                <w:szCs w:val="20"/>
                <w:lang w:val="en-US"/>
              </w:rPr>
              <w:t xml:space="preserve"> </w:t>
            </w:r>
          </w:p>
          <w:p w:rsidRPr="00460CBE" w:rsidR="003A1B10" w:rsidP="002875CC" w:rsidRDefault="003A1B10" w14:paraId="7D9A0BA9" w14:textId="2A895C8C">
            <w:pPr>
              <w:spacing w:line="300" w:lineRule="exact"/>
              <w:rPr>
                <w:color w:val="92D050"/>
                <w:sz w:val="20"/>
                <w:szCs w:val="20"/>
                <w:lang w:val="en-US"/>
              </w:rPr>
            </w:pPr>
          </w:p>
        </w:tc>
      </w:tr>
      <w:tr w:rsidR="0071439C" w:rsidTr="007B53D1" w14:paraId="0D9AF231" w14:textId="77777777">
        <w:tc>
          <w:tcPr>
            <w:tcW w:w="9192" w:type="dxa"/>
            <w:tcBorders>
              <w:top w:val="single" w:color="auto" w:sz="4" w:space="0"/>
              <w:bottom w:val="single" w:color="auto" w:sz="4" w:space="0"/>
            </w:tcBorders>
            <w:shd w:val="clear" w:color="auto" w:fill="F2F2F2" w:themeFill="background1" w:themeFillShade="F2"/>
          </w:tcPr>
          <w:p w:rsidR="00E165B4" w:rsidP="00CE1F57" w:rsidRDefault="0071439C" w14:paraId="14533925" w14:textId="50C71BD7">
            <w:pPr>
              <w:pStyle w:val="ListParagraph"/>
              <w:numPr>
                <w:ilvl w:val="1"/>
                <w:numId w:val="4"/>
              </w:numPr>
              <w:spacing w:line="300" w:lineRule="exact"/>
              <w:ind w:left="316" w:hanging="316"/>
              <w:rPr>
                <w:b/>
                <w:bCs/>
                <w:i/>
                <w:iCs/>
                <w:sz w:val="20"/>
                <w:szCs w:val="20"/>
              </w:rPr>
            </w:pPr>
            <w:r w:rsidRPr="00CF3BC4">
              <w:rPr>
                <w:b/>
                <w:bCs/>
                <w:i/>
                <w:iCs/>
                <w:sz w:val="20"/>
                <w:szCs w:val="20"/>
              </w:rPr>
              <w:lastRenderedPageBreak/>
              <w:t xml:space="preserve">How </w:t>
            </w:r>
            <w:r w:rsidR="00BE4270">
              <w:rPr>
                <w:b/>
                <w:bCs/>
                <w:i/>
                <w:iCs/>
                <w:sz w:val="20"/>
                <w:szCs w:val="20"/>
              </w:rPr>
              <w:t xml:space="preserve">will </w:t>
            </w:r>
            <w:r w:rsidR="00120AAE">
              <w:rPr>
                <w:b/>
                <w:bCs/>
                <w:i/>
                <w:iCs/>
                <w:sz w:val="20"/>
                <w:szCs w:val="20"/>
              </w:rPr>
              <w:t>the requested TCA support advance</w:t>
            </w:r>
            <w:r w:rsidR="00257A1B">
              <w:rPr>
                <w:b/>
                <w:bCs/>
                <w:i/>
                <w:iCs/>
                <w:sz w:val="20"/>
                <w:szCs w:val="20"/>
              </w:rPr>
              <w:t xml:space="preserve"> </w:t>
            </w:r>
            <w:r w:rsidRPr="00393D45" w:rsidR="00393D45">
              <w:rPr>
                <w:b/>
                <w:bCs/>
                <w:i/>
                <w:iCs/>
                <w:sz w:val="20"/>
                <w:szCs w:val="20"/>
              </w:rPr>
              <w:t xml:space="preserve">Gavi's 5.0 mission </w:t>
            </w:r>
            <w:r w:rsidR="00A95F01">
              <w:rPr>
                <w:b/>
                <w:bCs/>
                <w:i/>
                <w:iCs/>
                <w:sz w:val="20"/>
                <w:szCs w:val="20"/>
              </w:rPr>
              <w:t>per the</w:t>
            </w:r>
            <w:r w:rsidRPr="00393D45" w:rsidR="00A95F01">
              <w:rPr>
                <w:b/>
                <w:bCs/>
                <w:i/>
                <w:iCs/>
                <w:sz w:val="20"/>
                <w:szCs w:val="20"/>
              </w:rPr>
              <w:t xml:space="preserve"> country</w:t>
            </w:r>
            <w:r w:rsidR="008447E6">
              <w:rPr>
                <w:b/>
                <w:bCs/>
                <w:i/>
                <w:iCs/>
                <w:sz w:val="20"/>
                <w:szCs w:val="20"/>
              </w:rPr>
              <w:t>'</w:t>
            </w:r>
            <w:r w:rsidRPr="00393D45" w:rsidR="00A95F01">
              <w:rPr>
                <w:b/>
                <w:bCs/>
                <w:i/>
                <w:iCs/>
                <w:sz w:val="20"/>
                <w:szCs w:val="20"/>
              </w:rPr>
              <w:t xml:space="preserve">s context </w:t>
            </w:r>
            <w:r w:rsidR="00296E78">
              <w:rPr>
                <w:b/>
                <w:bCs/>
                <w:i/>
                <w:iCs/>
                <w:sz w:val="20"/>
                <w:szCs w:val="20"/>
              </w:rPr>
              <w:t>with focus</w:t>
            </w:r>
            <w:r w:rsidR="004435AF">
              <w:rPr>
                <w:b/>
                <w:bCs/>
                <w:i/>
                <w:iCs/>
                <w:sz w:val="20"/>
                <w:szCs w:val="20"/>
              </w:rPr>
              <w:t xml:space="preserve"> on</w:t>
            </w:r>
            <w:r w:rsidR="00E165B4">
              <w:rPr>
                <w:b/>
                <w:bCs/>
                <w:i/>
                <w:iCs/>
                <w:sz w:val="20"/>
                <w:szCs w:val="20"/>
              </w:rPr>
              <w:t>:</w:t>
            </w:r>
          </w:p>
          <w:p w:rsidRPr="00544D9B" w:rsidR="00544D9B" w:rsidP="00CE1F57" w:rsidRDefault="00544D9B" w14:paraId="2112DA8C" w14:textId="427D12AB">
            <w:pPr>
              <w:pStyle w:val="ListParagraph"/>
              <w:numPr>
                <w:ilvl w:val="0"/>
                <w:numId w:val="5"/>
              </w:numPr>
              <w:spacing w:line="300" w:lineRule="exact"/>
              <w:ind w:left="741"/>
              <w:rPr>
                <w:b/>
                <w:bCs/>
                <w:i/>
                <w:iCs/>
                <w:sz w:val="20"/>
                <w:szCs w:val="20"/>
              </w:rPr>
            </w:pPr>
            <w:r w:rsidRPr="00544D9B">
              <w:rPr>
                <w:b/>
                <w:bCs/>
                <w:i/>
                <w:iCs/>
                <w:sz w:val="20"/>
                <w:szCs w:val="20"/>
              </w:rPr>
              <w:t xml:space="preserve">identifying </w:t>
            </w:r>
            <w:r w:rsidRPr="00393D45" w:rsidR="00393D45">
              <w:rPr>
                <w:b/>
                <w:bCs/>
                <w:i/>
                <w:iCs/>
                <w:sz w:val="20"/>
                <w:szCs w:val="20"/>
              </w:rPr>
              <w:t xml:space="preserve">and reaching zero-dose </w:t>
            </w:r>
            <w:r w:rsidRPr="00CF3BC4" w:rsidR="00A95F01">
              <w:rPr>
                <w:b/>
                <w:bCs/>
                <w:i/>
                <w:iCs/>
                <w:sz w:val="20"/>
                <w:szCs w:val="20"/>
              </w:rPr>
              <w:t xml:space="preserve">and </w:t>
            </w:r>
            <w:r w:rsidRPr="00544D9B">
              <w:rPr>
                <w:b/>
                <w:bCs/>
                <w:i/>
                <w:iCs/>
                <w:sz w:val="20"/>
                <w:szCs w:val="20"/>
              </w:rPr>
              <w:t xml:space="preserve">consistently </w:t>
            </w:r>
            <w:r w:rsidRPr="00CF3BC4" w:rsidR="00A95F01">
              <w:rPr>
                <w:b/>
                <w:bCs/>
                <w:i/>
                <w:iCs/>
                <w:sz w:val="20"/>
                <w:szCs w:val="20"/>
              </w:rPr>
              <w:t xml:space="preserve">missed </w:t>
            </w:r>
            <w:r w:rsidRPr="00544D9B">
              <w:rPr>
                <w:b/>
                <w:bCs/>
                <w:i/>
                <w:iCs/>
                <w:sz w:val="20"/>
                <w:szCs w:val="20"/>
              </w:rPr>
              <w:t xml:space="preserve">children </w:t>
            </w:r>
            <w:r w:rsidR="002C0185">
              <w:rPr>
                <w:b/>
                <w:bCs/>
                <w:i/>
                <w:iCs/>
                <w:sz w:val="20"/>
                <w:szCs w:val="20"/>
              </w:rPr>
              <w:t>and communities</w:t>
            </w:r>
            <w:r w:rsidRPr="00544D9B">
              <w:rPr>
                <w:b/>
                <w:bCs/>
                <w:i/>
                <w:iCs/>
                <w:sz w:val="20"/>
                <w:szCs w:val="20"/>
              </w:rPr>
              <w:t>;</w:t>
            </w:r>
          </w:p>
          <w:p w:rsidRPr="00544D9B" w:rsidR="00544D9B" w:rsidP="00CE1F57" w:rsidRDefault="00544D9B" w14:paraId="6B56EB6C" w14:textId="77777777">
            <w:pPr>
              <w:pStyle w:val="ListParagraph"/>
              <w:numPr>
                <w:ilvl w:val="0"/>
                <w:numId w:val="5"/>
              </w:numPr>
              <w:spacing w:line="300" w:lineRule="exact"/>
              <w:ind w:left="741"/>
              <w:rPr>
                <w:b/>
                <w:bCs/>
                <w:i/>
                <w:iCs/>
                <w:sz w:val="20"/>
                <w:szCs w:val="20"/>
              </w:rPr>
            </w:pPr>
            <w:r w:rsidRPr="00544D9B">
              <w:rPr>
                <w:b/>
                <w:bCs/>
                <w:i/>
                <w:iCs/>
                <w:sz w:val="20"/>
                <w:szCs w:val="20"/>
              </w:rPr>
              <w:t>improving</w:t>
            </w:r>
            <w:r w:rsidR="001B19F2">
              <w:rPr>
                <w:b/>
                <w:bCs/>
                <w:i/>
                <w:iCs/>
                <w:sz w:val="20"/>
                <w:szCs w:val="20"/>
              </w:rPr>
              <w:t xml:space="preserve"> </w:t>
            </w:r>
            <w:r w:rsidR="00316DE0">
              <w:rPr>
                <w:b/>
                <w:bCs/>
                <w:i/>
                <w:iCs/>
                <w:sz w:val="20"/>
                <w:szCs w:val="20"/>
              </w:rPr>
              <w:t>stock reporting and vaccine management at sub-national level</w:t>
            </w:r>
            <w:r w:rsidRPr="00544D9B">
              <w:rPr>
                <w:b/>
                <w:bCs/>
                <w:i/>
                <w:iCs/>
                <w:sz w:val="20"/>
                <w:szCs w:val="20"/>
              </w:rPr>
              <w:t>;</w:t>
            </w:r>
          </w:p>
          <w:p w:rsidRPr="00544D9B" w:rsidR="00544D9B" w:rsidP="00CE1F57" w:rsidRDefault="00544D9B" w14:paraId="009281C7" w14:textId="77777777">
            <w:pPr>
              <w:pStyle w:val="ListParagraph"/>
              <w:numPr>
                <w:ilvl w:val="0"/>
                <w:numId w:val="5"/>
              </w:numPr>
              <w:spacing w:line="300" w:lineRule="exact"/>
              <w:ind w:left="741"/>
              <w:rPr>
                <w:b/>
                <w:bCs/>
                <w:i/>
                <w:iCs/>
                <w:sz w:val="20"/>
                <w:szCs w:val="20"/>
              </w:rPr>
            </w:pPr>
            <w:r w:rsidRPr="00544D9B">
              <w:rPr>
                <w:b/>
                <w:bCs/>
                <w:i/>
                <w:iCs/>
                <w:sz w:val="20"/>
                <w:szCs w:val="20"/>
              </w:rPr>
              <w:t>enhancing</w:t>
            </w:r>
            <w:r w:rsidR="00316DE0">
              <w:rPr>
                <w:b/>
                <w:bCs/>
                <w:i/>
                <w:iCs/>
                <w:sz w:val="20"/>
                <w:szCs w:val="20"/>
              </w:rPr>
              <w:t xml:space="preserve"> stron</w:t>
            </w:r>
            <w:r w:rsidR="00F45522">
              <w:rPr>
                <w:b/>
                <w:bCs/>
                <w:i/>
                <w:iCs/>
                <w:sz w:val="20"/>
                <w:szCs w:val="20"/>
              </w:rPr>
              <w:t>g leadership, management and coordination</w:t>
            </w:r>
            <w:r w:rsidRPr="00544D9B">
              <w:rPr>
                <w:b/>
                <w:bCs/>
                <w:i/>
                <w:iCs/>
                <w:sz w:val="20"/>
                <w:szCs w:val="20"/>
              </w:rPr>
              <w:t>, including use of data for decision-making;</w:t>
            </w:r>
          </w:p>
          <w:p w:rsidRPr="00532C23" w:rsidR="00532C23" w:rsidP="00CE1F57" w:rsidRDefault="009912B7" w14:paraId="35EE3F38" w14:textId="2426627E">
            <w:pPr>
              <w:pStyle w:val="ListParagraph"/>
              <w:numPr>
                <w:ilvl w:val="0"/>
                <w:numId w:val="5"/>
              </w:numPr>
              <w:spacing w:line="300" w:lineRule="exact"/>
              <w:ind w:left="741"/>
              <w:rPr>
                <w:b/>
                <w:i/>
                <w:sz w:val="20"/>
                <w:szCs w:val="20"/>
              </w:rPr>
            </w:pPr>
            <w:r>
              <w:rPr>
                <w:b/>
                <w:bCs/>
                <w:i/>
                <w:iCs/>
                <w:sz w:val="20"/>
                <w:szCs w:val="20"/>
              </w:rPr>
              <w:t>introduction and scale up of</w:t>
            </w:r>
            <w:r w:rsidRPr="00544D9B">
              <w:rPr>
                <w:b/>
                <w:bCs/>
                <w:i/>
                <w:iCs/>
                <w:sz w:val="20"/>
                <w:szCs w:val="20"/>
              </w:rPr>
              <w:t xml:space="preserve"> </w:t>
            </w:r>
            <w:proofErr w:type="spellStart"/>
            <w:r w:rsidRPr="00544D9B" w:rsidR="00544D9B">
              <w:rPr>
                <w:b/>
                <w:bCs/>
                <w:i/>
                <w:iCs/>
                <w:sz w:val="20"/>
                <w:szCs w:val="20"/>
              </w:rPr>
              <w:t>vaccine</w:t>
            </w:r>
            <w:r>
              <w:rPr>
                <w:b/>
                <w:bCs/>
                <w:i/>
                <w:iCs/>
                <w:sz w:val="20"/>
                <w:szCs w:val="20"/>
              </w:rPr>
              <w:t>s</w:t>
            </w:r>
            <w:r w:rsidRPr="00544D9B" w:rsidR="00544D9B">
              <w:rPr>
                <w:b/>
                <w:bCs/>
                <w:i/>
                <w:iCs/>
                <w:sz w:val="20"/>
                <w:szCs w:val="20"/>
              </w:rPr>
              <w:t>s</w:t>
            </w:r>
            <w:proofErr w:type="spellEnd"/>
            <w:r w:rsidR="001708D2">
              <w:rPr>
                <w:b/>
                <w:bCs/>
                <w:i/>
                <w:iCs/>
                <w:sz w:val="20"/>
                <w:szCs w:val="20"/>
              </w:rPr>
              <w:t>;</w:t>
            </w:r>
          </w:p>
          <w:p w:rsidRPr="00544D9B" w:rsidR="0071439C" w:rsidP="00CE1F57" w:rsidRDefault="00532C23" w14:paraId="1DC79B3B" w14:textId="2E55360D">
            <w:pPr>
              <w:pStyle w:val="ListParagraph"/>
              <w:numPr>
                <w:ilvl w:val="0"/>
                <w:numId w:val="5"/>
              </w:numPr>
              <w:spacing w:line="300" w:lineRule="exact"/>
              <w:ind w:left="741"/>
              <w:rPr>
                <w:b/>
                <w:i/>
                <w:sz w:val="20"/>
                <w:szCs w:val="20"/>
              </w:rPr>
            </w:pPr>
            <w:r>
              <w:rPr>
                <w:b/>
                <w:bCs/>
                <w:i/>
                <w:iCs/>
                <w:sz w:val="20"/>
                <w:szCs w:val="20"/>
              </w:rPr>
              <w:t>programm</w:t>
            </w:r>
            <w:r w:rsidR="00D740FF">
              <w:rPr>
                <w:b/>
                <w:bCs/>
                <w:i/>
                <w:iCs/>
                <w:sz w:val="20"/>
                <w:szCs w:val="20"/>
              </w:rPr>
              <w:t>a</w:t>
            </w:r>
            <w:r w:rsidR="0034188F">
              <w:rPr>
                <w:b/>
                <w:bCs/>
                <w:i/>
                <w:iCs/>
                <w:sz w:val="20"/>
                <w:szCs w:val="20"/>
              </w:rPr>
              <w:t>tic sustainability</w:t>
            </w:r>
            <w:r w:rsidRPr="00544D9B" w:rsidR="00544D9B">
              <w:rPr>
                <w:b/>
                <w:bCs/>
                <w:i/>
                <w:iCs/>
                <w:sz w:val="20"/>
                <w:szCs w:val="20"/>
              </w:rPr>
              <w:t>.</w:t>
            </w:r>
          </w:p>
        </w:tc>
      </w:tr>
      <w:tr w:rsidRPr="00D312CE" w:rsidR="0071439C" w:rsidTr="007B53D1" w14:paraId="0A3FAE65" w14:textId="77777777">
        <w:tc>
          <w:tcPr>
            <w:tcW w:w="9192" w:type="dxa"/>
            <w:tcBorders>
              <w:top w:val="single" w:color="auto" w:sz="4" w:space="0"/>
              <w:left w:val="single" w:color="auto" w:sz="4" w:space="0"/>
              <w:bottom w:val="single" w:color="auto" w:sz="4" w:space="0"/>
              <w:right w:val="single" w:color="auto" w:sz="4" w:space="0"/>
            </w:tcBorders>
          </w:tcPr>
          <w:p w:rsidRPr="00881730" w:rsidR="00635E08" w:rsidP="00635E08" w:rsidRDefault="00A4175E" w14:paraId="3D4DB30A" w14:textId="4DF05A79">
            <w:pPr>
              <w:spacing w:line="300" w:lineRule="exact"/>
              <w:jc w:val="both"/>
              <w:rPr>
                <w:sz w:val="20"/>
                <w:szCs w:val="20"/>
                <w:lang w:val="en-US"/>
              </w:rPr>
            </w:pPr>
            <w:r>
              <w:rPr>
                <w:sz w:val="20"/>
                <w:szCs w:val="20"/>
                <w:lang w:val="en-US"/>
              </w:rPr>
              <w:t>For the i</w:t>
            </w:r>
            <w:r w:rsidRPr="00881730" w:rsidR="00881730">
              <w:rPr>
                <w:sz w:val="20"/>
                <w:szCs w:val="20"/>
                <w:lang w:val="en-US"/>
              </w:rPr>
              <w:t xml:space="preserve">dentification and coverage of zero-dose children and missed communities, </w:t>
            </w:r>
            <w:r>
              <w:rPr>
                <w:sz w:val="20"/>
                <w:szCs w:val="20"/>
                <w:lang w:val="en-US"/>
              </w:rPr>
              <w:t>t</w:t>
            </w:r>
            <w:r w:rsidRPr="00881730" w:rsidR="00635E08">
              <w:rPr>
                <w:sz w:val="20"/>
                <w:szCs w:val="20"/>
                <w:lang w:val="en-US"/>
              </w:rPr>
              <w:t>he requested TCA funds will be used for the following activities:</w:t>
            </w:r>
          </w:p>
          <w:p w:rsidRPr="00881730" w:rsidR="00297F04" w:rsidP="00635E08" w:rsidRDefault="00297F04" w14:paraId="08D99A2D" w14:textId="64619103">
            <w:pPr>
              <w:spacing w:line="300" w:lineRule="exact"/>
              <w:jc w:val="both"/>
              <w:rPr>
                <w:bCs/>
                <w:sz w:val="20"/>
                <w:szCs w:val="20"/>
                <w:lang w:val="en-US"/>
              </w:rPr>
            </w:pPr>
            <w:r w:rsidRPr="00881730">
              <w:rPr>
                <w:sz w:val="20"/>
                <w:szCs w:val="20"/>
                <w:lang w:val="en-US"/>
              </w:rPr>
              <w:t>-</w:t>
            </w:r>
            <w:r w:rsidRPr="00881730">
              <w:rPr>
                <w:bCs/>
                <w:sz w:val="20"/>
                <w:szCs w:val="20"/>
                <w:lang w:val="en-US"/>
              </w:rPr>
              <w:t xml:space="preserve"> Delivery of services</w:t>
            </w:r>
            <w:r w:rsidRPr="00881730" w:rsidR="00FE4224">
              <w:rPr>
                <w:bCs/>
                <w:sz w:val="20"/>
                <w:szCs w:val="20"/>
                <w:lang w:val="en-US"/>
              </w:rPr>
              <w:t>;</w:t>
            </w:r>
          </w:p>
          <w:p w:rsidRPr="00881730" w:rsidR="00FE4224" w:rsidP="00635E08" w:rsidRDefault="00FE4224" w14:paraId="0E04FA9B" w14:textId="3DB9DE96">
            <w:pPr>
              <w:spacing w:line="300" w:lineRule="exact"/>
              <w:jc w:val="both"/>
              <w:rPr>
                <w:bCs/>
                <w:sz w:val="20"/>
                <w:szCs w:val="20"/>
                <w:lang w:val="en-US"/>
              </w:rPr>
            </w:pPr>
            <w:r w:rsidRPr="00881730">
              <w:rPr>
                <w:sz w:val="20"/>
                <w:szCs w:val="20"/>
                <w:lang w:val="en-US"/>
              </w:rPr>
              <w:t xml:space="preserve">- </w:t>
            </w:r>
            <w:r w:rsidRPr="00881730">
              <w:rPr>
                <w:bCs/>
                <w:sz w:val="20"/>
                <w:szCs w:val="20"/>
                <w:lang w:val="en-US"/>
              </w:rPr>
              <w:t>Health human resources;</w:t>
            </w:r>
          </w:p>
          <w:p w:rsidRPr="00881730" w:rsidR="00FE4224" w:rsidP="00635E08" w:rsidRDefault="00FE4224" w14:paraId="1E9CE80D" w14:textId="698E70F2">
            <w:pPr>
              <w:spacing w:line="300" w:lineRule="exact"/>
              <w:jc w:val="both"/>
              <w:rPr>
                <w:bCs/>
                <w:sz w:val="20"/>
                <w:szCs w:val="20"/>
                <w:lang w:val="en-US"/>
              </w:rPr>
            </w:pPr>
            <w:r w:rsidRPr="00881730">
              <w:rPr>
                <w:sz w:val="20"/>
                <w:szCs w:val="20"/>
                <w:lang w:val="en-US"/>
              </w:rPr>
              <w:t>-</w:t>
            </w:r>
            <w:r w:rsidRPr="00881730">
              <w:rPr>
                <w:bCs/>
                <w:sz w:val="20"/>
                <w:szCs w:val="20"/>
                <w:lang w:val="en-US"/>
              </w:rPr>
              <w:t xml:space="preserve"> Supply chain;</w:t>
            </w:r>
          </w:p>
          <w:p w:rsidRPr="00881730" w:rsidR="00FE4224" w:rsidP="00635E08" w:rsidRDefault="00FE4224" w14:paraId="188FF505" w14:textId="61910073">
            <w:pPr>
              <w:spacing w:line="300" w:lineRule="exact"/>
              <w:jc w:val="both"/>
              <w:rPr>
                <w:bCs/>
                <w:sz w:val="20"/>
                <w:szCs w:val="20"/>
                <w:lang w:val="en-US"/>
              </w:rPr>
            </w:pPr>
            <w:r w:rsidRPr="00881730">
              <w:rPr>
                <w:sz w:val="20"/>
                <w:szCs w:val="20"/>
                <w:lang w:val="en-US"/>
              </w:rPr>
              <w:t>-</w:t>
            </w:r>
            <w:r w:rsidRPr="00881730">
              <w:rPr>
                <w:bCs/>
                <w:sz w:val="20"/>
                <w:szCs w:val="20"/>
                <w:lang w:val="en-US"/>
              </w:rPr>
              <w:t xml:space="preserve"> Surveillance of vaccine-preventable infections (VPI);</w:t>
            </w:r>
          </w:p>
          <w:p w:rsidRPr="00881730" w:rsidR="00FE4224" w:rsidP="00635E08" w:rsidRDefault="00FE4224" w14:paraId="12CB2B59" w14:textId="769FB8DA">
            <w:pPr>
              <w:spacing w:line="300" w:lineRule="exact"/>
              <w:jc w:val="both"/>
              <w:rPr>
                <w:bCs/>
                <w:sz w:val="20"/>
                <w:szCs w:val="20"/>
                <w:lang w:val="en-US"/>
              </w:rPr>
            </w:pPr>
            <w:r w:rsidRPr="00881730">
              <w:rPr>
                <w:sz w:val="20"/>
                <w:szCs w:val="20"/>
                <w:lang w:val="en-US"/>
              </w:rPr>
              <w:t xml:space="preserve">- </w:t>
            </w:r>
            <w:r w:rsidRPr="00881730">
              <w:rPr>
                <w:bCs/>
                <w:sz w:val="20"/>
                <w:szCs w:val="20"/>
                <w:lang w:val="en-US"/>
              </w:rPr>
              <w:t>Forming demand and engagement with communities</w:t>
            </w:r>
          </w:p>
          <w:p w:rsidRPr="00881730" w:rsidR="00FE4224" w:rsidP="00635E08" w:rsidRDefault="00FE4224" w14:paraId="68837B01" w14:textId="46B2B721">
            <w:pPr>
              <w:spacing w:line="300" w:lineRule="exact"/>
              <w:jc w:val="both"/>
              <w:rPr>
                <w:bCs/>
                <w:sz w:val="20"/>
                <w:szCs w:val="20"/>
                <w:lang w:val="en-US"/>
              </w:rPr>
            </w:pPr>
            <w:r w:rsidRPr="00881730">
              <w:rPr>
                <w:sz w:val="20"/>
                <w:szCs w:val="20"/>
                <w:lang w:val="en-US"/>
              </w:rPr>
              <w:t>-</w:t>
            </w:r>
            <w:r w:rsidRPr="00881730">
              <w:rPr>
                <w:bCs/>
                <w:sz w:val="20"/>
                <w:szCs w:val="20"/>
                <w:lang w:val="en-US"/>
              </w:rPr>
              <w:t xml:space="preserve"> Management, policy, strategic planning and program management;</w:t>
            </w:r>
          </w:p>
          <w:p w:rsidRPr="00881730" w:rsidR="00FE4224" w:rsidP="00635E08" w:rsidRDefault="00FE4224" w14:paraId="512849E6" w14:textId="6752A72A">
            <w:pPr>
              <w:spacing w:line="300" w:lineRule="exact"/>
              <w:jc w:val="both"/>
              <w:rPr>
                <w:bCs/>
                <w:sz w:val="20"/>
                <w:szCs w:val="20"/>
                <w:lang w:val="en-US"/>
              </w:rPr>
            </w:pPr>
            <w:r w:rsidRPr="00881730">
              <w:rPr>
                <w:sz w:val="20"/>
                <w:szCs w:val="20"/>
                <w:lang w:val="en-US"/>
              </w:rPr>
              <w:t xml:space="preserve">- </w:t>
            </w:r>
            <w:r w:rsidRPr="00881730">
              <w:rPr>
                <w:bCs/>
                <w:sz w:val="20"/>
                <w:szCs w:val="20"/>
                <w:lang w:val="en-US"/>
              </w:rPr>
              <w:t>Health financing;</w:t>
            </w:r>
          </w:p>
          <w:p w:rsidRPr="00A4175E" w:rsidR="002258A1" w:rsidP="00A4175E" w:rsidRDefault="00FE4224" w14:paraId="130A66B6" w14:textId="18CBC3AE">
            <w:pPr>
              <w:spacing w:line="300" w:lineRule="exact"/>
              <w:jc w:val="both"/>
              <w:rPr>
                <w:bCs/>
                <w:sz w:val="20"/>
                <w:szCs w:val="20"/>
                <w:lang w:val="en-US"/>
              </w:rPr>
            </w:pPr>
            <w:r w:rsidRPr="00881730">
              <w:rPr>
                <w:sz w:val="20"/>
                <w:szCs w:val="20"/>
                <w:lang w:val="en-US"/>
              </w:rPr>
              <w:t>-</w:t>
            </w:r>
            <w:r w:rsidRPr="00881730">
              <w:rPr>
                <w:bCs/>
                <w:sz w:val="20"/>
                <w:szCs w:val="20"/>
                <w:lang w:val="en-US"/>
              </w:rPr>
              <w:t xml:space="preserve"> Grant management and indirect costs.</w:t>
            </w:r>
          </w:p>
          <w:p w:rsidRPr="00A4175E" w:rsidR="00460CBE" w:rsidP="00460CBE" w:rsidRDefault="00483122" w14:paraId="0C49E76B" w14:textId="5C1E9704">
            <w:pPr>
              <w:spacing w:line="240" w:lineRule="auto"/>
              <w:rPr>
                <w:rFonts w:eastAsia="Calibri"/>
                <w:sz w:val="20"/>
                <w:szCs w:val="20"/>
                <w:lang w:val="en-US" w:eastAsia="ru-RU"/>
              </w:rPr>
            </w:pPr>
            <w:r w:rsidRPr="00881730">
              <w:rPr>
                <w:rFonts w:eastAsia="Calibri"/>
                <w:sz w:val="20"/>
                <w:szCs w:val="20"/>
                <w:lang w:val="en-US" w:eastAsia="ru-RU"/>
              </w:rPr>
              <w:lastRenderedPageBreak/>
              <w:t xml:space="preserve">Part of TCA grant will be used to </w:t>
            </w:r>
            <w:r w:rsidRPr="00881730" w:rsidR="00246930">
              <w:rPr>
                <w:rFonts w:eastAsia="Calibri"/>
                <w:sz w:val="20"/>
                <w:szCs w:val="20"/>
                <w:lang w:val="en-US" w:eastAsia="ru-RU"/>
              </w:rPr>
              <w:t xml:space="preserve">cover costs of staff that will be involved in HSS3 grant implementation. </w:t>
            </w:r>
          </w:p>
        </w:tc>
      </w:tr>
      <w:tr w:rsidR="002E0882" w:rsidTr="007B53D1" w14:paraId="733DCE72" w14:textId="77777777">
        <w:tc>
          <w:tcPr>
            <w:tcW w:w="9192" w:type="dxa"/>
            <w:tcBorders>
              <w:top w:val="single" w:color="auto" w:sz="4" w:space="0"/>
              <w:bottom w:val="single" w:color="auto" w:sz="4" w:space="0"/>
            </w:tcBorders>
            <w:shd w:val="clear" w:color="auto" w:fill="F2F2F2" w:themeFill="background1" w:themeFillShade="F2"/>
          </w:tcPr>
          <w:p w:rsidRPr="00CF3BC4" w:rsidR="002E0882" w:rsidP="007B53D1" w:rsidRDefault="002E0882" w14:paraId="39970F96" w14:textId="5B7ADA76">
            <w:pPr>
              <w:pStyle w:val="ListParagraph"/>
              <w:spacing w:line="300" w:lineRule="exact"/>
              <w:ind w:left="0"/>
              <w:rPr>
                <w:b/>
                <w:bCs/>
                <w:i/>
                <w:iCs/>
                <w:color w:val="000000" w:themeColor="text1"/>
                <w:sz w:val="20"/>
                <w:szCs w:val="20"/>
              </w:rPr>
            </w:pPr>
            <w:r>
              <w:rPr>
                <w:b/>
                <w:bCs/>
                <w:i/>
                <w:iCs/>
                <w:sz w:val="20"/>
                <w:szCs w:val="20"/>
              </w:rPr>
              <w:lastRenderedPageBreak/>
              <w:t xml:space="preserve">2.3 </w:t>
            </w:r>
            <w:r w:rsidRPr="00CF3BC4">
              <w:rPr>
                <w:b/>
                <w:bCs/>
                <w:i/>
                <w:iCs/>
                <w:sz w:val="20"/>
                <w:szCs w:val="20"/>
              </w:rPr>
              <w:t xml:space="preserve">How will you use new vaccine introductions and campaigns planned during this period to further </w:t>
            </w:r>
            <w:r w:rsidR="00BE66F8">
              <w:rPr>
                <w:b/>
                <w:bCs/>
                <w:i/>
                <w:iCs/>
                <w:sz w:val="20"/>
                <w:szCs w:val="20"/>
              </w:rPr>
              <w:t>stre</w:t>
            </w:r>
            <w:r w:rsidR="00AF4BE7">
              <w:rPr>
                <w:b/>
                <w:bCs/>
                <w:i/>
                <w:iCs/>
                <w:sz w:val="20"/>
                <w:szCs w:val="20"/>
              </w:rPr>
              <w:t>ngthen the areas indicated under question 2.2?</w:t>
            </w:r>
            <w:r w:rsidR="00BE66F8">
              <w:rPr>
                <w:b/>
                <w:bCs/>
                <w:i/>
                <w:iCs/>
                <w:sz w:val="20"/>
                <w:szCs w:val="20"/>
              </w:rPr>
              <w:t xml:space="preserve"> </w:t>
            </w:r>
          </w:p>
        </w:tc>
      </w:tr>
      <w:tr w:rsidRPr="006A272B" w:rsidR="002E0882" w:rsidTr="007B53D1" w14:paraId="3B0C1B4D" w14:textId="77777777">
        <w:tc>
          <w:tcPr>
            <w:tcW w:w="9192" w:type="dxa"/>
            <w:tcBorders>
              <w:top w:val="single" w:color="auto" w:sz="4" w:space="0"/>
              <w:left w:val="single" w:color="auto" w:sz="4" w:space="0"/>
              <w:bottom w:val="single" w:color="auto" w:sz="4" w:space="0"/>
              <w:right w:val="single" w:color="auto" w:sz="4" w:space="0"/>
            </w:tcBorders>
          </w:tcPr>
          <w:p w:rsidRPr="00A27BDD" w:rsidR="00E747F5" w:rsidP="00A4175E" w:rsidRDefault="00E747F5" w14:paraId="26E46E97" w14:textId="77777777">
            <w:pPr>
              <w:spacing w:line="300" w:lineRule="exact"/>
              <w:jc w:val="both"/>
              <w:rPr>
                <w:sz w:val="20"/>
                <w:szCs w:val="20"/>
                <w:lang w:val="en-US"/>
              </w:rPr>
            </w:pPr>
            <w:r w:rsidRPr="00A27BDD">
              <w:rPr>
                <w:sz w:val="20"/>
                <w:szCs w:val="20"/>
                <w:lang w:val="en-US"/>
              </w:rPr>
              <w:t>Introduction of HPV vaccine in 2022;</w:t>
            </w:r>
          </w:p>
          <w:p w:rsidRPr="00A27BDD" w:rsidR="00E747F5" w:rsidP="00A4175E" w:rsidRDefault="00E747F5" w14:paraId="2473671B" w14:textId="77777777">
            <w:pPr>
              <w:spacing w:line="300" w:lineRule="exact"/>
              <w:jc w:val="both"/>
              <w:rPr>
                <w:sz w:val="20"/>
                <w:szCs w:val="20"/>
                <w:lang w:val="en-US"/>
              </w:rPr>
            </w:pPr>
            <w:r w:rsidRPr="00A27BDD">
              <w:rPr>
                <w:sz w:val="20"/>
                <w:szCs w:val="20"/>
                <w:lang w:val="en-US"/>
              </w:rPr>
              <w:t>For 2023, a post-introduction assessment is planned;</w:t>
            </w:r>
          </w:p>
          <w:p w:rsidRPr="00A27BDD" w:rsidR="00E747F5" w:rsidP="00A4175E" w:rsidRDefault="00E747F5" w14:paraId="7A473EE3" w14:textId="77777777">
            <w:pPr>
              <w:spacing w:line="300" w:lineRule="exact"/>
              <w:jc w:val="both"/>
              <w:rPr>
                <w:sz w:val="20"/>
                <w:szCs w:val="20"/>
                <w:lang w:val="en-US"/>
              </w:rPr>
            </w:pPr>
            <w:r w:rsidRPr="00A27BDD">
              <w:rPr>
                <w:sz w:val="20"/>
                <w:szCs w:val="20"/>
                <w:lang w:val="en-US"/>
              </w:rPr>
              <w:t>Taking into account the deteriorating Measles epidemiological situation in Tajikistan, it is necessary to conduct MR vaccination campaign among children of the appropriate ages, paying special attention to the border regions.</w:t>
            </w:r>
          </w:p>
          <w:p w:rsidRPr="00CC7CD3" w:rsidR="002E0882" w:rsidP="00A4175E" w:rsidRDefault="002E0882" w14:paraId="2525ED44" w14:textId="77777777">
            <w:pPr>
              <w:spacing w:line="300" w:lineRule="exact"/>
              <w:jc w:val="both"/>
              <w:rPr>
                <w:lang w:val="en-US"/>
              </w:rPr>
            </w:pPr>
          </w:p>
        </w:tc>
      </w:tr>
      <w:tr w:rsidR="00D353AF" w:rsidTr="007B53D1" w14:paraId="124CC764" w14:textId="77777777">
        <w:tc>
          <w:tcPr>
            <w:tcW w:w="9192" w:type="dxa"/>
            <w:tcBorders>
              <w:top w:val="single" w:color="auto" w:sz="4" w:space="0"/>
              <w:bottom w:val="single" w:color="auto" w:sz="4" w:space="0"/>
            </w:tcBorders>
            <w:shd w:val="clear" w:color="auto" w:fill="F2F2F2" w:themeFill="background1" w:themeFillShade="F2"/>
          </w:tcPr>
          <w:p w:rsidR="00D353AF" w:rsidP="007B53D1" w:rsidRDefault="00D353AF" w14:paraId="374B434F" w14:textId="56886AD9">
            <w:pPr>
              <w:spacing w:line="300" w:lineRule="exact"/>
              <w:rPr>
                <w:b/>
                <w:i/>
                <w:iCs/>
                <w:color w:val="000000" w:themeColor="text1"/>
                <w:sz w:val="20"/>
                <w:szCs w:val="20"/>
                <w:lang w:val="en-GB"/>
              </w:rPr>
            </w:pPr>
            <w:r>
              <w:rPr>
                <w:b/>
                <w:i/>
                <w:iCs/>
                <w:color w:val="000000" w:themeColor="text1"/>
                <w:sz w:val="20"/>
                <w:szCs w:val="20"/>
                <w:lang w:val="en-GB"/>
              </w:rPr>
              <w:t xml:space="preserve">2.4 </w:t>
            </w:r>
            <w:r w:rsidRPr="00EC7215">
              <w:rPr>
                <w:b/>
                <w:i/>
                <w:iCs/>
                <w:color w:val="000000" w:themeColor="text1"/>
                <w:sz w:val="20"/>
                <w:szCs w:val="20"/>
                <w:lang w:val="en-GB"/>
              </w:rPr>
              <w:t>Describe how the T</w:t>
            </w:r>
            <w:r>
              <w:rPr>
                <w:b/>
                <w:i/>
                <w:iCs/>
                <w:color w:val="000000" w:themeColor="text1"/>
                <w:sz w:val="20"/>
                <w:szCs w:val="20"/>
                <w:lang w:val="en-GB"/>
              </w:rPr>
              <w:t>C</w:t>
            </w:r>
            <w:r w:rsidRPr="00EC7215">
              <w:rPr>
                <w:b/>
                <w:i/>
                <w:iCs/>
                <w:color w:val="000000" w:themeColor="text1"/>
                <w:sz w:val="20"/>
                <w:szCs w:val="20"/>
                <w:lang w:val="en-GB"/>
              </w:rPr>
              <w:t xml:space="preserve">A </w:t>
            </w:r>
            <w:r w:rsidR="00C21E0A">
              <w:rPr>
                <w:b/>
                <w:i/>
                <w:iCs/>
                <w:color w:val="000000" w:themeColor="text1"/>
                <w:sz w:val="20"/>
                <w:szCs w:val="20"/>
                <w:lang w:val="en-GB"/>
              </w:rPr>
              <w:t>support</w:t>
            </w:r>
            <w:r w:rsidRPr="00EC7215">
              <w:rPr>
                <w:b/>
                <w:i/>
                <w:iCs/>
                <w:color w:val="000000" w:themeColor="text1"/>
                <w:sz w:val="20"/>
                <w:szCs w:val="20"/>
                <w:lang w:val="en-GB"/>
              </w:rPr>
              <w:t xml:space="preserve"> will help re-establish routine immunisation services and any other COVID-19 related recovery activities. </w:t>
            </w:r>
          </w:p>
          <w:p w:rsidRPr="0041751A" w:rsidR="00D353AF" w:rsidP="007B53D1" w:rsidRDefault="00D353AF" w14:paraId="5D61F6FA" w14:textId="77777777">
            <w:pPr>
              <w:spacing w:line="300" w:lineRule="exact"/>
              <w:rPr>
                <w:b/>
                <w:bCs/>
                <w:i/>
                <w:iCs/>
                <w:color w:val="70AD47" w:themeColor="accent6"/>
                <w:sz w:val="20"/>
                <w:szCs w:val="20"/>
                <w:lang w:val="en-GB"/>
              </w:rPr>
            </w:pPr>
            <w:r w:rsidRPr="006C01EA">
              <w:rPr>
                <w:bCs/>
                <w:i/>
                <w:iCs/>
                <w:color w:val="000000" w:themeColor="text1"/>
                <w:sz w:val="20"/>
                <w:szCs w:val="20"/>
                <w:lang w:val="en-GB"/>
              </w:rPr>
              <w:t>P</w:t>
            </w:r>
            <w:r w:rsidRPr="006C01EA">
              <w:rPr>
                <w:bCs/>
                <w:i/>
                <w:iCs/>
                <w:sz w:val="20"/>
                <w:szCs w:val="20"/>
                <w:lang w:val="en-GB"/>
              </w:rPr>
              <w:t>lease indicate any COVID-19 related reallocation that may have occurred for previous TCA funds (if applicable); does this reallocation remain relevant for this proposal.</w:t>
            </w:r>
          </w:p>
        </w:tc>
      </w:tr>
      <w:tr w:rsidR="00396905" w:rsidTr="007B53D1" w14:paraId="14D7F47D" w14:textId="77777777">
        <w:tc>
          <w:tcPr>
            <w:tcW w:w="9192" w:type="dxa"/>
            <w:tcBorders>
              <w:top w:val="single" w:color="auto" w:sz="4" w:space="0"/>
              <w:left w:val="single" w:color="auto" w:sz="4" w:space="0"/>
              <w:bottom w:val="single" w:color="auto" w:sz="4" w:space="0"/>
              <w:right w:val="single" w:color="auto" w:sz="4" w:space="0"/>
            </w:tcBorders>
          </w:tcPr>
          <w:p w:rsidRPr="00A27BDD" w:rsidR="00396905" w:rsidP="00396905" w:rsidRDefault="00396905" w14:paraId="2CDCE74E" w14:textId="77777777">
            <w:pPr>
              <w:spacing w:line="300" w:lineRule="exact"/>
              <w:jc w:val="both"/>
              <w:rPr>
                <w:sz w:val="20"/>
                <w:szCs w:val="20"/>
                <w:lang w:val="en-US"/>
              </w:rPr>
            </w:pPr>
            <w:r w:rsidRPr="00A27BDD">
              <w:rPr>
                <w:sz w:val="20"/>
                <w:szCs w:val="20"/>
                <w:lang w:val="en-US"/>
              </w:rPr>
              <w:t>Implementation of the new TCA program cycle (2022-2025) will help restoring the routine immunization service through:</w:t>
            </w:r>
          </w:p>
          <w:p w:rsidRPr="00A27BDD" w:rsidR="00396905" w:rsidP="00396905" w:rsidRDefault="00396905" w14:paraId="31A2539C" w14:textId="77777777">
            <w:pPr>
              <w:spacing w:line="300" w:lineRule="exact"/>
              <w:jc w:val="both"/>
              <w:rPr>
                <w:sz w:val="20"/>
                <w:szCs w:val="20"/>
                <w:lang w:val="en-US"/>
              </w:rPr>
            </w:pPr>
            <w:r w:rsidRPr="00A27BDD">
              <w:rPr>
                <w:sz w:val="20"/>
                <w:szCs w:val="20"/>
                <w:lang w:val="en-US"/>
              </w:rPr>
              <w:t>- implementation of digital technologies in the immunization program will help in the process of identifying children who have not received even one vaccine dose (zero dose children) and not fully vaccinated children;</w:t>
            </w:r>
          </w:p>
          <w:p w:rsidRPr="00A27BDD" w:rsidR="00396905" w:rsidP="00396905" w:rsidRDefault="00396905" w14:paraId="3B6E61F6" w14:textId="77777777">
            <w:pPr>
              <w:spacing w:line="300" w:lineRule="exact"/>
              <w:jc w:val="both"/>
              <w:rPr>
                <w:sz w:val="20"/>
                <w:szCs w:val="20"/>
                <w:lang w:val="en-US"/>
              </w:rPr>
            </w:pPr>
            <w:r w:rsidRPr="00A27BDD">
              <w:rPr>
                <w:sz w:val="20"/>
                <w:szCs w:val="20"/>
                <w:lang w:val="en-US"/>
              </w:rPr>
              <w:t>- implementation of the package of measures to improve vaccine management (EVM) will improve the process of monitoring of vaccine stocks and management of vaccines at the national and sub-national levels, including COVID-19 vaccines;</w:t>
            </w:r>
          </w:p>
          <w:p w:rsidRPr="00A27BDD" w:rsidR="00396905" w:rsidP="00396905" w:rsidRDefault="00396905" w14:paraId="14B0EF7D" w14:textId="77777777">
            <w:pPr>
              <w:spacing w:line="300" w:lineRule="exact"/>
              <w:jc w:val="both"/>
              <w:rPr>
                <w:sz w:val="20"/>
                <w:szCs w:val="20"/>
                <w:lang w:val="en-US"/>
              </w:rPr>
            </w:pPr>
            <w:r w:rsidRPr="00A27BDD">
              <w:rPr>
                <w:sz w:val="20"/>
                <w:szCs w:val="20"/>
                <w:lang w:val="en-US"/>
              </w:rPr>
              <w:t>- activities aimed at strengthening the capacity of the country's national immunization program will increase the capacity to manage and coordinate the program operation;</w:t>
            </w:r>
          </w:p>
          <w:p w:rsidRPr="00A27BDD" w:rsidR="00396905" w:rsidP="00396905" w:rsidRDefault="00396905" w14:paraId="2689F064" w14:textId="62E04F12">
            <w:pPr>
              <w:spacing w:line="300" w:lineRule="exact"/>
              <w:rPr>
                <w:color w:val="92D050"/>
                <w:sz w:val="20"/>
                <w:szCs w:val="20"/>
                <w:lang w:val="en-GB"/>
              </w:rPr>
            </w:pPr>
            <w:r w:rsidRPr="00A27BDD">
              <w:rPr>
                <w:sz w:val="20"/>
                <w:szCs w:val="20"/>
                <w:lang w:val="en-US"/>
              </w:rPr>
              <w:t xml:space="preserve">- ensuring sustainability of the immunization program (conducting an EPI review, development of the </w:t>
            </w:r>
            <w:proofErr w:type="spellStart"/>
            <w:r w:rsidRPr="00A27BDD">
              <w:rPr>
                <w:sz w:val="20"/>
                <w:szCs w:val="20"/>
                <w:lang w:val="en-US"/>
              </w:rPr>
              <w:t>cMYP</w:t>
            </w:r>
            <w:proofErr w:type="spellEnd"/>
            <w:r w:rsidRPr="00A27BDD">
              <w:rPr>
                <w:sz w:val="20"/>
                <w:szCs w:val="20"/>
                <w:lang w:val="en-US"/>
              </w:rPr>
              <w:t>, including costing of vaccines (estimates of vaccine costs and expenditures), and advocating for mobilization of the necessary financial resources for the NIP).</w:t>
            </w:r>
          </w:p>
        </w:tc>
      </w:tr>
      <w:tr w:rsidR="00396905" w:rsidTr="007B53D1" w14:paraId="7CB90E66" w14:textId="77777777">
        <w:tc>
          <w:tcPr>
            <w:tcW w:w="9192" w:type="dxa"/>
            <w:tcBorders>
              <w:top w:val="single" w:color="auto" w:sz="4" w:space="0"/>
              <w:bottom w:val="single" w:color="auto" w:sz="4" w:space="0"/>
            </w:tcBorders>
            <w:shd w:val="clear" w:color="auto" w:fill="F2F2F2" w:themeFill="background1" w:themeFillShade="F2"/>
          </w:tcPr>
          <w:p w:rsidRPr="00777960" w:rsidR="00396905" w:rsidP="00396905" w:rsidRDefault="00396905" w14:paraId="341DF7D2" w14:textId="20697518">
            <w:pPr>
              <w:spacing w:line="300" w:lineRule="exact"/>
              <w:rPr>
                <w:bCs/>
                <w:i/>
                <w:iCs/>
                <w:sz w:val="20"/>
                <w:szCs w:val="20"/>
                <w:lang w:val="en-GB"/>
              </w:rPr>
            </w:pPr>
            <w:r>
              <w:rPr>
                <w:b/>
                <w:i/>
                <w:iCs/>
                <w:color w:val="000000" w:themeColor="text1"/>
                <w:sz w:val="20"/>
                <w:szCs w:val="20"/>
                <w:lang w:val="en-GB"/>
              </w:rPr>
              <w:t xml:space="preserve">2.5 </w:t>
            </w:r>
            <w:r w:rsidRPr="00777960">
              <w:rPr>
                <w:b/>
                <w:i/>
                <w:iCs/>
                <w:color w:val="000000" w:themeColor="text1"/>
                <w:sz w:val="20"/>
                <w:szCs w:val="20"/>
                <w:lang w:val="en-GB"/>
              </w:rPr>
              <w:t xml:space="preserve">Describe how the </w:t>
            </w:r>
            <w:r>
              <w:rPr>
                <w:b/>
                <w:i/>
                <w:iCs/>
                <w:color w:val="000000" w:themeColor="text1"/>
                <w:sz w:val="20"/>
                <w:szCs w:val="20"/>
                <w:lang w:val="en-GB"/>
              </w:rPr>
              <w:t>TCA</w:t>
            </w:r>
            <w:r w:rsidRPr="00777960">
              <w:rPr>
                <w:b/>
                <w:i/>
                <w:iCs/>
                <w:color w:val="000000" w:themeColor="text1"/>
                <w:sz w:val="20"/>
                <w:szCs w:val="20"/>
                <w:lang w:val="en-GB"/>
              </w:rPr>
              <w:t xml:space="preserve"> </w:t>
            </w:r>
            <w:r>
              <w:rPr>
                <w:b/>
                <w:i/>
                <w:iCs/>
                <w:color w:val="000000" w:themeColor="text1"/>
                <w:sz w:val="20"/>
                <w:szCs w:val="20"/>
                <w:lang w:val="en-GB"/>
              </w:rPr>
              <w:t>support will</w:t>
            </w:r>
            <w:r w:rsidRPr="00777960">
              <w:rPr>
                <w:b/>
                <w:i/>
                <w:iCs/>
                <w:color w:val="000000" w:themeColor="text1"/>
                <w:sz w:val="20"/>
                <w:szCs w:val="20"/>
                <w:lang w:val="en-GB"/>
              </w:rPr>
              <w:t xml:space="preserve"> identif</w:t>
            </w:r>
            <w:r>
              <w:rPr>
                <w:b/>
                <w:i/>
                <w:iCs/>
                <w:color w:val="000000" w:themeColor="text1"/>
                <w:sz w:val="20"/>
                <w:szCs w:val="20"/>
                <w:lang w:val="en-GB"/>
              </w:rPr>
              <w:t>y</w:t>
            </w:r>
            <w:r w:rsidRPr="00777960">
              <w:rPr>
                <w:b/>
                <w:i/>
                <w:iCs/>
                <w:color w:val="000000" w:themeColor="text1"/>
                <w:sz w:val="20"/>
                <w:szCs w:val="20"/>
                <w:lang w:val="en-GB"/>
              </w:rPr>
              <w:t xml:space="preserve"> and/or overcome already known gender-related </w:t>
            </w:r>
            <w:r>
              <w:rPr>
                <w:b/>
                <w:i/>
                <w:iCs/>
                <w:color w:val="000000" w:themeColor="text1"/>
                <w:sz w:val="20"/>
                <w:szCs w:val="20"/>
                <w:lang w:val="en-GB"/>
              </w:rPr>
              <w:t xml:space="preserve">or other </w:t>
            </w:r>
            <w:r w:rsidRPr="00777960">
              <w:rPr>
                <w:b/>
                <w:i/>
                <w:iCs/>
                <w:color w:val="000000" w:themeColor="text1"/>
                <w:sz w:val="20"/>
                <w:szCs w:val="20"/>
                <w:lang w:val="en-GB"/>
              </w:rPr>
              <w:t xml:space="preserve">barriers to immunisation activities. Please respond </w:t>
            </w:r>
            <w:r>
              <w:rPr>
                <w:b/>
                <w:i/>
                <w:iCs/>
                <w:color w:val="000000" w:themeColor="text1"/>
                <w:sz w:val="20"/>
                <w:szCs w:val="20"/>
                <w:lang w:val="en-GB"/>
              </w:rPr>
              <w:t xml:space="preserve">to </w:t>
            </w:r>
            <w:r w:rsidRPr="00777960">
              <w:rPr>
                <w:b/>
                <w:i/>
                <w:iCs/>
                <w:color w:val="000000" w:themeColor="text1"/>
                <w:sz w:val="20"/>
                <w:szCs w:val="20"/>
                <w:lang w:val="en-GB"/>
              </w:rPr>
              <w:t>how each partner can help address this.</w:t>
            </w:r>
          </w:p>
        </w:tc>
      </w:tr>
      <w:tr w:rsidR="00396905" w:rsidTr="007B53D1" w14:paraId="251D4101" w14:textId="77777777">
        <w:trPr>
          <w:trHeight w:val="103"/>
        </w:trPr>
        <w:tc>
          <w:tcPr>
            <w:tcW w:w="9192" w:type="dxa"/>
            <w:tcBorders>
              <w:top w:val="single" w:color="auto" w:sz="4" w:space="0"/>
              <w:left w:val="single" w:color="auto" w:sz="4" w:space="0"/>
              <w:bottom w:val="single" w:color="auto" w:sz="4" w:space="0"/>
              <w:right w:val="single" w:color="auto" w:sz="4" w:space="0"/>
            </w:tcBorders>
            <w:shd w:val="clear" w:color="auto" w:fill="auto"/>
          </w:tcPr>
          <w:p w:rsidRPr="00A27BDD" w:rsidR="005B136A" w:rsidP="005B136A" w:rsidRDefault="005B136A" w14:paraId="68122CD0" w14:textId="77777777">
            <w:pPr>
              <w:spacing w:line="300" w:lineRule="exact"/>
              <w:jc w:val="both"/>
              <w:rPr>
                <w:sz w:val="20"/>
                <w:szCs w:val="20"/>
                <w:lang w:val="en-US"/>
              </w:rPr>
            </w:pPr>
            <w:r w:rsidRPr="00A27BDD">
              <w:rPr>
                <w:sz w:val="20"/>
                <w:szCs w:val="20"/>
                <w:lang w:val="en-US"/>
              </w:rPr>
              <w:t>The KAP survey conducted in Kyrgyzstan in 2018 with UNICEF support did not reveal significant differences in knowledge, attitudes and vaccination practices between “mothers” and “fathers” of children under 5. However, the knowledge of "mothers" and "fathers" about the national vaccination schedule differed significantly. Only 10% of fathers confirmed that they had heard of the national vaccination schedule, which is four times less than the percentage of "mothers". The results of the survey confirmed that the main caregivers are mothers, including responsibility for childcare and immunization. However, men have a significant influence on mothers regarding the vaccination of children. 64% of mothers seek advice from other people when making decisions about vaccination. The results of the survey indicated that the husband is the most influential person in making this decision. More than half of women in the registered (official) marriage (52%), and about one third of women in an unregistered marriage or divorced, are interested in the opinion of their husband when deciding whether to vaccinate their children.</w:t>
            </w:r>
          </w:p>
          <w:p w:rsidRPr="00A27BDD" w:rsidR="005B136A" w:rsidP="005B136A" w:rsidRDefault="005B136A" w14:paraId="1C4E0F7E" w14:textId="77777777">
            <w:pPr>
              <w:spacing w:line="300" w:lineRule="exact"/>
              <w:jc w:val="both"/>
              <w:rPr>
                <w:sz w:val="20"/>
                <w:szCs w:val="20"/>
                <w:lang w:val="en-US"/>
              </w:rPr>
            </w:pPr>
          </w:p>
          <w:p w:rsidRPr="00A27BDD" w:rsidR="005B136A" w:rsidP="005B136A" w:rsidRDefault="005B136A" w14:paraId="79B505C6" w14:textId="0EE0152B">
            <w:pPr>
              <w:spacing w:line="300" w:lineRule="exact"/>
              <w:jc w:val="both"/>
              <w:rPr>
                <w:sz w:val="20"/>
                <w:szCs w:val="20"/>
                <w:highlight w:val="yellow"/>
                <w:lang w:val="en-US"/>
              </w:rPr>
            </w:pPr>
            <w:r w:rsidRPr="00A27BDD">
              <w:rPr>
                <w:sz w:val="20"/>
                <w:szCs w:val="20"/>
                <w:lang w:val="en-US"/>
              </w:rPr>
              <w:lastRenderedPageBreak/>
              <w:t xml:space="preserve">Implementation of the 2022-2025 TCA activities will help </w:t>
            </w:r>
            <w:r w:rsidRPr="00A27BDD" w:rsidR="00F1704F">
              <w:rPr>
                <w:sz w:val="20"/>
                <w:szCs w:val="20"/>
                <w:lang w:val="en-US"/>
              </w:rPr>
              <w:t xml:space="preserve">to </w:t>
            </w:r>
            <w:r w:rsidRPr="00A27BDD">
              <w:rPr>
                <w:sz w:val="20"/>
                <w:szCs w:val="20"/>
                <w:lang w:val="en-US"/>
              </w:rPr>
              <w:t>overcome the identified gender differences and ensure the reduced number of zero-dose/missed children.</w:t>
            </w:r>
          </w:p>
          <w:p w:rsidRPr="00A27BDD" w:rsidR="00396905" w:rsidP="00396905" w:rsidRDefault="00396905" w14:paraId="626A5A76" w14:textId="77777777">
            <w:pPr>
              <w:spacing w:line="300" w:lineRule="exact"/>
              <w:rPr>
                <w:b/>
                <w:bCs/>
                <w:i/>
                <w:iCs/>
                <w:sz w:val="20"/>
                <w:szCs w:val="20"/>
                <w:lang w:val="en-US"/>
              </w:rPr>
            </w:pPr>
          </w:p>
        </w:tc>
      </w:tr>
      <w:tr w:rsidR="00396905" w:rsidTr="007B53D1" w14:paraId="2605CFC3" w14:textId="77777777">
        <w:tc>
          <w:tcPr>
            <w:tcW w:w="9192" w:type="dxa"/>
            <w:tcBorders>
              <w:top w:val="single" w:color="auto" w:sz="4" w:space="0"/>
              <w:bottom w:val="single" w:color="auto" w:sz="4" w:space="0"/>
            </w:tcBorders>
            <w:shd w:val="clear" w:color="auto" w:fill="F2F2F2" w:themeFill="background1" w:themeFillShade="F2"/>
          </w:tcPr>
          <w:p w:rsidRPr="00A27BDD" w:rsidR="00396905" w:rsidP="00396905" w:rsidRDefault="00396905" w14:paraId="71D225EC" w14:textId="23CD8FD6">
            <w:pPr>
              <w:spacing w:line="300" w:lineRule="exact"/>
              <w:rPr>
                <w:b/>
                <w:bCs/>
                <w:color w:val="92D050"/>
                <w:sz w:val="20"/>
                <w:szCs w:val="20"/>
                <w:lang w:val="en-GB"/>
              </w:rPr>
            </w:pPr>
            <w:r w:rsidRPr="00A27BDD">
              <w:rPr>
                <w:b/>
                <w:bCs/>
                <w:i/>
                <w:iCs/>
                <w:sz w:val="20"/>
                <w:szCs w:val="20"/>
              </w:rPr>
              <w:lastRenderedPageBreak/>
              <w:t xml:space="preserve">2.6 Describe how you </w:t>
            </w:r>
            <w:proofErr w:type="spellStart"/>
            <w:r w:rsidRPr="00A27BDD">
              <w:rPr>
                <w:b/>
                <w:bCs/>
                <w:i/>
                <w:iCs/>
                <w:sz w:val="20"/>
                <w:szCs w:val="20"/>
              </w:rPr>
              <w:t>prioritised</w:t>
            </w:r>
            <w:proofErr w:type="spellEnd"/>
            <w:r w:rsidRPr="00A27BDD">
              <w:rPr>
                <w:b/>
                <w:bCs/>
                <w:i/>
                <w:iCs/>
                <w:sz w:val="20"/>
                <w:szCs w:val="20"/>
              </w:rPr>
              <w:t xml:space="preserve"> the interventions to be supported by Gavi under requested TCA support.</w:t>
            </w:r>
          </w:p>
        </w:tc>
      </w:tr>
      <w:tr w:rsidR="00396905" w:rsidTr="007B53D1" w14:paraId="4C4783D9" w14:textId="77777777">
        <w:tc>
          <w:tcPr>
            <w:tcW w:w="9192" w:type="dxa"/>
            <w:tcBorders>
              <w:top w:val="single" w:color="auto" w:sz="4" w:space="0"/>
              <w:left w:val="single" w:color="auto" w:sz="4" w:space="0"/>
              <w:bottom w:val="single" w:color="auto" w:sz="4" w:space="0"/>
              <w:right w:val="single" w:color="auto" w:sz="4" w:space="0"/>
            </w:tcBorders>
          </w:tcPr>
          <w:p w:rsidRPr="00A27BDD" w:rsidR="00396905" w:rsidP="00CC7CD3" w:rsidRDefault="000B6145" w14:paraId="48003D96" w14:textId="099C0F29">
            <w:pPr>
              <w:spacing w:line="300" w:lineRule="exact"/>
              <w:jc w:val="both"/>
              <w:rPr>
                <w:color w:val="92D050"/>
                <w:sz w:val="20"/>
                <w:szCs w:val="20"/>
                <w:lang w:val="en-US"/>
              </w:rPr>
            </w:pPr>
            <w:r w:rsidRPr="00A27BDD">
              <w:rPr>
                <w:sz w:val="20"/>
                <w:szCs w:val="20"/>
                <w:lang w:val="en-US"/>
              </w:rPr>
              <w:t>The core priorities are formulated by the National Immunization Program based on consultations with key partners in the country (WHO, UNICEF), taking into account the Gavi 5.0 Strategy and agreed with the Ministry of Health.</w:t>
            </w:r>
          </w:p>
        </w:tc>
      </w:tr>
    </w:tbl>
    <w:p w:rsidR="007172E8" w:rsidRDefault="007172E8" w14:paraId="4DAF51E8" w14:textId="0B86255A"/>
    <w:p w:rsidRPr="00264FC1" w:rsidR="007172E8" w:rsidP="00CE1F57" w:rsidRDefault="007172E8" w14:paraId="058C1B7B" w14:textId="4CE56EFB">
      <w:pPr>
        <w:pStyle w:val="ListParagraph"/>
        <w:numPr>
          <w:ilvl w:val="0"/>
          <w:numId w:val="4"/>
        </w:numPr>
        <w:spacing w:line="300" w:lineRule="exact"/>
        <w:ind w:left="426"/>
        <w:rPr>
          <w:b/>
          <w:bCs/>
          <w:color w:val="70AD47" w:themeColor="accent6"/>
          <w:sz w:val="26"/>
          <w:szCs w:val="26"/>
          <w:lang w:val="en-GB"/>
        </w:rPr>
      </w:pPr>
      <w:r w:rsidRPr="00264FC1">
        <w:rPr>
          <w:b/>
          <w:bCs/>
          <w:color w:val="70AD47" w:themeColor="accent6"/>
          <w:sz w:val="26"/>
          <w:szCs w:val="26"/>
          <w:lang w:val="en-GB"/>
        </w:rPr>
        <w:t>Partner di</w:t>
      </w:r>
      <w:r w:rsidRPr="00264FC1" w:rsidR="00067D86">
        <w:rPr>
          <w:b/>
          <w:bCs/>
          <w:color w:val="70AD47" w:themeColor="accent6"/>
          <w:sz w:val="26"/>
          <w:szCs w:val="26"/>
          <w:lang w:val="en-GB"/>
        </w:rPr>
        <w:t>versification</w:t>
      </w:r>
      <w:r w:rsidR="0033192A">
        <w:rPr>
          <w:b/>
          <w:bCs/>
          <w:color w:val="70AD47" w:themeColor="accent6"/>
          <w:sz w:val="26"/>
          <w:szCs w:val="26"/>
          <w:lang w:val="en-GB"/>
        </w:rPr>
        <w:t xml:space="preserve"> (0.5 page)</w:t>
      </w:r>
    </w:p>
    <w:tbl>
      <w:tblPr>
        <w:tblStyle w:val="TableGrid"/>
        <w:tblW w:w="919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170"/>
        <w:gridCol w:w="22"/>
      </w:tblGrid>
      <w:tr w:rsidR="00E80A44" w:rsidTr="00553C62" w14:paraId="3D086D68" w14:textId="77777777">
        <w:trPr>
          <w:gridAfter w:val="1"/>
          <w:wAfter w:w="22" w:type="dxa"/>
          <w:trHeight w:val="846"/>
        </w:trPr>
        <w:tc>
          <w:tcPr>
            <w:tcW w:w="9170" w:type="dxa"/>
            <w:shd w:val="clear" w:color="auto" w:fill="F2F2F2" w:themeFill="background1" w:themeFillShade="F2"/>
          </w:tcPr>
          <w:p w:rsidR="00E80A44" w:rsidP="00E80A44" w:rsidRDefault="006D3657" w14:paraId="642D6855" w14:textId="0FF94EC7">
            <w:pPr>
              <w:spacing w:line="300" w:lineRule="exact"/>
              <w:rPr>
                <w:color w:val="92D050"/>
                <w:lang w:val="en-GB"/>
              </w:rPr>
            </w:pPr>
            <w:r>
              <w:rPr>
                <w:b/>
                <w:i/>
                <w:iCs/>
                <w:color w:val="000000" w:themeColor="text1"/>
                <w:sz w:val="20"/>
                <w:szCs w:val="20"/>
                <w:lang w:val="en-GB"/>
              </w:rPr>
              <w:t>3.1</w:t>
            </w:r>
            <w:r w:rsidR="00E80A44">
              <w:rPr>
                <w:b/>
                <w:i/>
                <w:iCs/>
                <w:color w:val="000000" w:themeColor="text1"/>
                <w:sz w:val="20"/>
                <w:szCs w:val="20"/>
                <w:lang w:val="en-GB"/>
              </w:rPr>
              <w:t xml:space="preserve"> </w:t>
            </w:r>
            <w:r w:rsidRPr="0067359C" w:rsidR="00E80A44">
              <w:rPr>
                <w:b/>
                <w:i/>
                <w:iCs/>
                <w:color w:val="000000" w:themeColor="text1"/>
                <w:sz w:val="20"/>
                <w:szCs w:val="20"/>
                <w:lang w:val="en-GB"/>
              </w:rPr>
              <w:t xml:space="preserve">Describe which partners you have already </w:t>
            </w:r>
            <w:r w:rsidR="005E728F">
              <w:rPr>
                <w:b/>
                <w:i/>
                <w:iCs/>
                <w:color w:val="000000" w:themeColor="text1"/>
                <w:sz w:val="20"/>
                <w:szCs w:val="20"/>
                <w:lang w:val="en-GB"/>
              </w:rPr>
              <w:t>mapped</w:t>
            </w:r>
            <w:r w:rsidRPr="0067359C" w:rsidR="00E80A44">
              <w:rPr>
                <w:b/>
                <w:i/>
                <w:iCs/>
                <w:color w:val="000000" w:themeColor="text1"/>
                <w:sz w:val="20"/>
                <w:szCs w:val="20"/>
                <w:lang w:val="en-GB"/>
              </w:rPr>
              <w:t xml:space="preserve">, including Alliance and </w:t>
            </w:r>
            <w:r w:rsidRPr="57C08CD4" w:rsidR="00E80A44">
              <w:rPr>
                <w:b/>
                <w:bCs/>
                <w:i/>
                <w:iCs/>
                <w:color w:val="000000" w:themeColor="text1"/>
                <w:sz w:val="20"/>
                <w:szCs w:val="20"/>
                <w:lang w:val="en-GB"/>
              </w:rPr>
              <w:t>Expanded</w:t>
            </w:r>
            <w:r w:rsidRPr="0067359C" w:rsidR="00E80A44">
              <w:rPr>
                <w:b/>
                <w:i/>
                <w:iCs/>
                <w:color w:val="000000" w:themeColor="text1"/>
                <w:sz w:val="20"/>
                <w:szCs w:val="20"/>
                <w:lang w:val="en-GB"/>
              </w:rPr>
              <w:t xml:space="preserve"> partners </w:t>
            </w:r>
            <w:r w:rsidR="00FD6F4C">
              <w:rPr>
                <w:b/>
                <w:bCs/>
                <w:i/>
                <w:iCs/>
                <w:color w:val="000000" w:themeColor="text1"/>
                <w:sz w:val="20"/>
                <w:szCs w:val="20"/>
                <w:lang w:val="en-GB"/>
              </w:rPr>
              <w:t xml:space="preserve">(including </w:t>
            </w:r>
            <w:r w:rsidR="009A2D50">
              <w:rPr>
                <w:b/>
                <w:bCs/>
                <w:i/>
                <w:iCs/>
                <w:color w:val="000000" w:themeColor="text1"/>
                <w:sz w:val="20"/>
                <w:szCs w:val="20"/>
                <w:lang w:val="en-GB"/>
              </w:rPr>
              <w:t>Global Partners,</w:t>
            </w:r>
            <w:r w:rsidR="00FD6F4C">
              <w:rPr>
                <w:b/>
                <w:bCs/>
                <w:i/>
                <w:iCs/>
                <w:color w:val="000000" w:themeColor="text1"/>
                <w:sz w:val="20"/>
                <w:szCs w:val="20"/>
                <w:lang w:val="en-GB"/>
              </w:rPr>
              <w:t xml:space="preserve"> </w:t>
            </w:r>
            <w:r w:rsidRPr="57C08CD4" w:rsidR="00E80A44">
              <w:rPr>
                <w:b/>
                <w:bCs/>
                <w:i/>
                <w:iCs/>
                <w:color w:val="000000" w:themeColor="text1"/>
                <w:sz w:val="20"/>
                <w:szCs w:val="20"/>
                <w:lang w:val="en-GB"/>
              </w:rPr>
              <w:t>Local Partners</w:t>
            </w:r>
            <w:r w:rsidR="00FD6F4C">
              <w:rPr>
                <w:b/>
                <w:bCs/>
                <w:i/>
                <w:iCs/>
                <w:color w:val="000000" w:themeColor="text1"/>
                <w:sz w:val="20"/>
                <w:szCs w:val="20"/>
                <w:lang w:val="en-GB"/>
              </w:rPr>
              <w:t xml:space="preserve"> and</w:t>
            </w:r>
            <w:r w:rsidRPr="0067359C" w:rsidR="00E80A44">
              <w:rPr>
                <w:b/>
                <w:i/>
                <w:iCs/>
                <w:color w:val="000000" w:themeColor="text1"/>
                <w:sz w:val="20"/>
                <w:szCs w:val="20"/>
                <w:lang w:val="en-GB"/>
              </w:rPr>
              <w:t xml:space="preserve"> CSOs</w:t>
            </w:r>
            <w:r w:rsidR="00FD6F4C">
              <w:rPr>
                <w:b/>
                <w:i/>
                <w:iCs/>
                <w:color w:val="000000" w:themeColor="text1"/>
                <w:sz w:val="20"/>
                <w:szCs w:val="20"/>
                <w:lang w:val="en-GB"/>
              </w:rPr>
              <w:t>)</w:t>
            </w:r>
            <w:r w:rsidRPr="0067359C" w:rsidR="00E80A44">
              <w:rPr>
                <w:b/>
                <w:i/>
                <w:iCs/>
                <w:color w:val="000000" w:themeColor="text1"/>
                <w:sz w:val="20"/>
                <w:szCs w:val="20"/>
                <w:lang w:val="en-GB"/>
              </w:rPr>
              <w:t xml:space="preserve"> to support the activit</w:t>
            </w:r>
            <w:r w:rsidR="00EB769C">
              <w:rPr>
                <w:b/>
                <w:i/>
                <w:iCs/>
                <w:color w:val="000000" w:themeColor="text1"/>
                <w:sz w:val="20"/>
                <w:szCs w:val="20"/>
                <w:lang w:val="en-GB"/>
              </w:rPr>
              <w:t>ies</w:t>
            </w:r>
            <w:r w:rsidRPr="0067359C" w:rsidR="00E80A44">
              <w:rPr>
                <w:b/>
                <w:i/>
                <w:iCs/>
                <w:color w:val="000000" w:themeColor="text1"/>
                <w:sz w:val="20"/>
                <w:szCs w:val="20"/>
                <w:lang w:val="en-GB"/>
              </w:rPr>
              <w:t xml:space="preserve"> implementation?</w:t>
            </w:r>
            <w:r w:rsidR="005D0F9E">
              <w:rPr>
                <w:b/>
                <w:bCs/>
                <w:i/>
                <w:iCs/>
                <w:sz w:val="20"/>
                <w:szCs w:val="20"/>
                <w:lang w:val="en-GB"/>
              </w:rPr>
              <w:t xml:space="preserve"> (Refer to the</w:t>
            </w:r>
            <w:r w:rsidR="007F2F8B">
              <w:rPr>
                <w:b/>
                <w:bCs/>
                <w:i/>
                <w:iCs/>
                <w:sz w:val="20"/>
                <w:szCs w:val="20"/>
                <w:lang w:val="en-GB"/>
              </w:rPr>
              <w:t xml:space="preserve"> </w:t>
            </w:r>
            <w:hyperlink w:history="1" r:id="rId17">
              <w:r w:rsidRPr="007F2F8B" w:rsidR="007F2F8B">
                <w:rPr>
                  <w:rStyle w:val="Hyperlink"/>
                  <w:b/>
                  <w:bCs/>
                  <w:i/>
                  <w:iCs/>
                  <w:sz w:val="20"/>
                  <w:szCs w:val="20"/>
                  <w:lang w:val="en-GB"/>
                </w:rPr>
                <w:t>PEF Targeted Country Assistance (TCA) Guidance for 2022-2025 Multi-Year Planning</w:t>
              </w:r>
            </w:hyperlink>
            <w:r w:rsidR="005D0F9E">
              <w:rPr>
                <w:b/>
                <w:bCs/>
                <w:i/>
                <w:iCs/>
                <w:sz w:val="20"/>
                <w:szCs w:val="20"/>
                <w:lang w:val="en-GB"/>
              </w:rPr>
              <w:t xml:space="preserve"> for the type of institutions considered global versus local partners and CSOs.)</w:t>
            </w:r>
          </w:p>
        </w:tc>
      </w:tr>
      <w:tr w:rsidR="00520598" w:rsidTr="004B632A" w14:paraId="62BDF2A5" w14:textId="77777777">
        <w:tc>
          <w:tcPr>
            <w:tcW w:w="9170" w:type="dxa"/>
            <w:gridSpan w:val="2"/>
            <w:tcBorders>
              <w:top w:val="single" w:color="auto" w:sz="4" w:space="0"/>
              <w:left w:val="single" w:color="auto" w:sz="4" w:space="0"/>
              <w:bottom w:val="single" w:color="auto" w:sz="4" w:space="0"/>
              <w:right w:val="single" w:color="auto" w:sz="4" w:space="0"/>
            </w:tcBorders>
          </w:tcPr>
          <w:p w:rsidRPr="00A27BDD" w:rsidR="00F03799" w:rsidP="00F03799" w:rsidRDefault="00F03799" w14:paraId="354CEB6F" w14:textId="77777777">
            <w:pPr>
              <w:spacing w:line="300" w:lineRule="exact"/>
              <w:jc w:val="both"/>
              <w:rPr>
                <w:sz w:val="20"/>
                <w:szCs w:val="20"/>
                <w:lang w:val="en-US"/>
              </w:rPr>
            </w:pPr>
            <w:r w:rsidRPr="00A27BDD">
              <w:rPr>
                <w:sz w:val="20"/>
                <w:szCs w:val="20"/>
                <w:lang w:val="en-US"/>
              </w:rPr>
              <w:t>The core partners of the National Immunization Program are:</w:t>
            </w:r>
          </w:p>
          <w:p w:rsidRPr="00A27BDD" w:rsidR="00F03799" w:rsidP="00F03799" w:rsidRDefault="00F03799" w14:paraId="62F0D5B1" w14:textId="77777777">
            <w:pPr>
              <w:spacing w:line="300" w:lineRule="exact"/>
              <w:jc w:val="both"/>
              <w:rPr>
                <w:sz w:val="20"/>
                <w:szCs w:val="20"/>
                <w:lang w:val="en-US"/>
              </w:rPr>
            </w:pPr>
            <w:r w:rsidRPr="00A27BDD">
              <w:rPr>
                <w:sz w:val="20"/>
                <w:szCs w:val="20"/>
                <w:lang w:val="en-US"/>
              </w:rPr>
              <w:t>- WHO;</w:t>
            </w:r>
          </w:p>
          <w:p w:rsidRPr="00A4175E" w:rsidR="00520598" w:rsidP="00A4175E" w:rsidRDefault="00F03799" w14:paraId="18AA925F" w14:textId="1C94661F">
            <w:pPr>
              <w:spacing w:line="300" w:lineRule="exact"/>
              <w:jc w:val="both"/>
              <w:rPr>
                <w:sz w:val="20"/>
                <w:szCs w:val="20"/>
                <w:lang w:val="en-US"/>
              </w:rPr>
            </w:pPr>
            <w:r w:rsidRPr="00A27BDD">
              <w:rPr>
                <w:sz w:val="20"/>
                <w:szCs w:val="20"/>
                <w:lang w:val="en-US"/>
              </w:rPr>
              <w:t>- UNICEF</w:t>
            </w:r>
          </w:p>
        </w:tc>
      </w:tr>
      <w:tr w:rsidR="00520598" w:rsidTr="005B0EDC" w14:paraId="72481A8B" w14:textId="77777777">
        <w:trPr>
          <w:trHeight w:val="305"/>
        </w:trPr>
        <w:tc>
          <w:tcPr>
            <w:tcW w:w="9170" w:type="dxa"/>
            <w:gridSpan w:val="2"/>
            <w:shd w:val="clear" w:color="auto" w:fill="F2F2F2" w:themeFill="background1" w:themeFillShade="F2"/>
          </w:tcPr>
          <w:p w:rsidRPr="00520598" w:rsidR="00520598" w:rsidP="57C08CD4" w:rsidRDefault="00520598" w14:paraId="29991F07" w14:textId="166C3567">
            <w:pPr>
              <w:spacing w:line="300" w:lineRule="exact"/>
              <w:rPr>
                <w:b/>
                <w:bCs/>
                <w:i/>
                <w:iCs/>
                <w:color w:val="000000" w:themeColor="text1"/>
                <w:sz w:val="20"/>
                <w:szCs w:val="20"/>
                <w:lang w:val="en-GB"/>
              </w:rPr>
            </w:pPr>
            <w:r w:rsidRPr="007B693C">
              <w:rPr>
                <w:b/>
                <w:bCs/>
                <w:i/>
                <w:iCs/>
                <w:sz w:val="20"/>
                <w:szCs w:val="20"/>
                <w:lang w:val="en-GB"/>
              </w:rPr>
              <w:t>3.2 Please indicate how exactly you plan to collaborate with Local Partners</w:t>
            </w:r>
            <w:r w:rsidR="00826755">
              <w:rPr>
                <w:b/>
                <w:bCs/>
                <w:i/>
                <w:iCs/>
                <w:sz w:val="20"/>
                <w:szCs w:val="20"/>
                <w:lang w:val="en-GB"/>
              </w:rPr>
              <w:t>.</w:t>
            </w:r>
          </w:p>
        </w:tc>
      </w:tr>
      <w:tr w:rsidR="00E80A44" w:rsidTr="00D353AF" w14:paraId="5B4D7083" w14:textId="77777777">
        <w:trPr>
          <w:gridAfter w:val="1"/>
          <w:wAfter w:w="22" w:type="dxa"/>
        </w:trPr>
        <w:tc>
          <w:tcPr>
            <w:tcW w:w="9170" w:type="dxa"/>
            <w:tcBorders>
              <w:top w:val="single" w:color="auto" w:sz="4" w:space="0"/>
              <w:left w:val="single" w:color="auto" w:sz="4" w:space="0"/>
              <w:bottom w:val="single" w:color="auto" w:sz="4" w:space="0"/>
              <w:right w:val="single" w:color="auto" w:sz="4" w:space="0"/>
            </w:tcBorders>
          </w:tcPr>
          <w:p w:rsidR="00E80A44" w:rsidP="00E80A44" w:rsidRDefault="001F4E88" w14:paraId="6420D9B9" w14:textId="37C4870C">
            <w:pPr>
              <w:spacing w:line="300" w:lineRule="exact"/>
              <w:rPr>
                <w:color w:val="92D050"/>
                <w:lang w:val="en-GB"/>
              </w:rPr>
            </w:pPr>
            <w:r w:rsidRPr="00A27BDD">
              <w:rPr>
                <w:sz w:val="20"/>
                <w:szCs w:val="20"/>
                <w:lang w:val="en-US"/>
              </w:rPr>
              <w:t>Currently, there are no local partners in the country with the required level of technical competence in the field of immunization to provide technical support for the TCA activities at the required technical level. In this regard, WHO and UNICEF will remain to be the core partners in implementation of the 2022-2025 TCA in Kyrgyzstan</w:t>
            </w:r>
            <w:r w:rsidRPr="001F6B71">
              <w:rPr>
                <w:lang w:val="en-US"/>
              </w:rPr>
              <w:t>.</w:t>
            </w:r>
          </w:p>
        </w:tc>
      </w:tr>
      <w:tr w:rsidR="38F5364C" w:rsidTr="00D353AF" w14:paraId="5D1DCA18" w14:textId="77777777">
        <w:tc>
          <w:tcPr>
            <w:tcW w:w="9192" w:type="dxa"/>
            <w:gridSpan w:val="2"/>
            <w:tcBorders>
              <w:top w:val="single" w:color="FFFFFF" w:themeColor="background1" w:sz="4" w:space="0"/>
              <w:left w:val="none" w:color="FFFFFF" w:themeColor="background1" w:sz="4" w:space="0"/>
              <w:bottom w:val="single" w:color="auto" w:sz="4" w:space="0"/>
              <w:right w:val="none" w:color="FFFFFF" w:themeColor="background1" w:sz="4" w:space="0"/>
            </w:tcBorders>
            <w:shd w:val="clear" w:color="auto" w:fill="F2F2F2" w:themeFill="background1" w:themeFillShade="F2"/>
          </w:tcPr>
          <w:p w:rsidR="2F92698C" w:rsidP="704B32F1" w:rsidRDefault="3D5C2947" w14:paraId="59D43D0B" w14:textId="2AE6E4DA">
            <w:pPr>
              <w:spacing w:line="300" w:lineRule="exact"/>
              <w:rPr>
                <w:b/>
                <w:bCs/>
                <w:i/>
                <w:iCs/>
                <w:color w:val="000000" w:themeColor="text1"/>
                <w:sz w:val="20"/>
                <w:szCs w:val="20"/>
              </w:rPr>
            </w:pPr>
            <w:r w:rsidRPr="704B32F1">
              <w:rPr>
                <w:b/>
                <w:bCs/>
                <w:i/>
                <w:iCs/>
                <w:color w:val="000000" w:themeColor="text1"/>
                <w:sz w:val="20"/>
                <w:szCs w:val="20"/>
              </w:rPr>
              <w:t>3.</w:t>
            </w:r>
            <w:r w:rsidR="00520598">
              <w:rPr>
                <w:b/>
                <w:bCs/>
                <w:i/>
                <w:iCs/>
                <w:color w:val="000000" w:themeColor="text1"/>
                <w:sz w:val="20"/>
                <w:szCs w:val="20"/>
              </w:rPr>
              <w:t>3</w:t>
            </w:r>
            <w:r w:rsidRPr="704B32F1">
              <w:rPr>
                <w:b/>
                <w:bCs/>
                <w:i/>
                <w:iCs/>
                <w:color w:val="000000" w:themeColor="text1"/>
                <w:sz w:val="20"/>
                <w:szCs w:val="20"/>
              </w:rPr>
              <w:t xml:space="preserve"> </w:t>
            </w:r>
            <w:r w:rsidRPr="704B32F1" w:rsidR="64431148">
              <w:rPr>
                <w:b/>
                <w:bCs/>
                <w:i/>
                <w:iCs/>
                <w:color w:val="000000" w:themeColor="text1"/>
                <w:sz w:val="20"/>
                <w:szCs w:val="20"/>
              </w:rPr>
              <w:t xml:space="preserve">Please note the allocation of TCA to </w:t>
            </w:r>
            <w:r w:rsidR="009F19F8">
              <w:rPr>
                <w:b/>
                <w:bCs/>
                <w:i/>
                <w:iCs/>
                <w:color w:val="000000" w:themeColor="text1"/>
                <w:sz w:val="20"/>
                <w:szCs w:val="20"/>
              </w:rPr>
              <w:t>Local Partners</w:t>
            </w:r>
            <w:r w:rsidR="00B664EF">
              <w:rPr>
                <w:b/>
                <w:bCs/>
                <w:i/>
                <w:iCs/>
                <w:color w:val="000000" w:themeColor="text1"/>
                <w:sz w:val="20"/>
                <w:szCs w:val="20"/>
              </w:rPr>
              <w:t xml:space="preserve"> (only)</w:t>
            </w:r>
            <w:r w:rsidRPr="704B32F1" w:rsidR="64431148">
              <w:rPr>
                <w:b/>
                <w:bCs/>
                <w:i/>
                <w:iCs/>
                <w:color w:val="000000" w:themeColor="text1"/>
                <w:sz w:val="20"/>
                <w:szCs w:val="20"/>
              </w:rPr>
              <w:t xml:space="preserve"> and describe the approach you will use to comply with the </w:t>
            </w:r>
            <w:r w:rsidR="004E2955">
              <w:rPr>
                <w:b/>
                <w:bCs/>
                <w:i/>
                <w:iCs/>
                <w:color w:val="000000" w:themeColor="text1"/>
                <w:sz w:val="20"/>
                <w:szCs w:val="20"/>
              </w:rPr>
              <w:t>recommendation</w:t>
            </w:r>
            <w:r w:rsidRPr="704B32F1" w:rsidR="64431148">
              <w:rPr>
                <w:b/>
                <w:bCs/>
                <w:i/>
                <w:iCs/>
                <w:color w:val="000000" w:themeColor="text1"/>
                <w:sz w:val="20"/>
                <w:szCs w:val="20"/>
              </w:rPr>
              <w:t xml:space="preserve"> of allocating </w:t>
            </w:r>
            <w:r w:rsidR="004E2955">
              <w:rPr>
                <w:b/>
                <w:bCs/>
                <w:i/>
                <w:iCs/>
                <w:color w:val="000000" w:themeColor="text1"/>
                <w:sz w:val="20"/>
                <w:szCs w:val="20"/>
              </w:rPr>
              <w:t>30</w:t>
            </w:r>
            <w:r w:rsidRPr="704B32F1" w:rsidR="64431148">
              <w:rPr>
                <w:b/>
                <w:bCs/>
                <w:i/>
                <w:iCs/>
                <w:color w:val="000000" w:themeColor="text1"/>
                <w:sz w:val="20"/>
                <w:szCs w:val="20"/>
              </w:rPr>
              <w:t xml:space="preserve">% of TCA </w:t>
            </w:r>
            <w:r w:rsidR="004E2955">
              <w:rPr>
                <w:b/>
                <w:bCs/>
                <w:i/>
                <w:iCs/>
                <w:color w:val="000000" w:themeColor="text1"/>
                <w:sz w:val="20"/>
                <w:szCs w:val="20"/>
              </w:rPr>
              <w:t>to Local Partners</w:t>
            </w:r>
            <w:r w:rsidR="00D603BC">
              <w:rPr>
                <w:b/>
                <w:bCs/>
                <w:i/>
                <w:iCs/>
                <w:color w:val="000000" w:themeColor="text1"/>
                <w:sz w:val="20"/>
                <w:szCs w:val="20"/>
              </w:rPr>
              <w:t xml:space="preserve"> over the course of 2022-25</w:t>
            </w:r>
            <w:r w:rsidR="00704813">
              <w:rPr>
                <w:b/>
                <w:bCs/>
                <w:i/>
                <w:iCs/>
                <w:color w:val="000000" w:themeColor="text1"/>
                <w:sz w:val="20"/>
                <w:szCs w:val="20"/>
              </w:rPr>
              <w:t>.</w:t>
            </w:r>
            <w:r w:rsidR="00025BBE">
              <w:rPr>
                <w:b/>
                <w:bCs/>
                <w:i/>
                <w:iCs/>
                <w:color w:val="000000" w:themeColor="text1"/>
                <w:sz w:val="20"/>
                <w:szCs w:val="20"/>
              </w:rPr>
              <w:t xml:space="preserve"> </w:t>
            </w:r>
            <w:r w:rsidRPr="002C42E8" w:rsidR="00025BBE">
              <w:rPr>
                <w:i/>
                <w:sz w:val="20"/>
                <w:szCs w:val="20"/>
                <w:lang w:val="en-GB"/>
              </w:rPr>
              <w:t>Please refer to section 2.3 (3. Partner Mapping) of the PEF TCA Planning Guidelines for more information.</w:t>
            </w:r>
          </w:p>
        </w:tc>
      </w:tr>
      <w:tr w:rsidR="38F5364C" w:rsidTr="00D353AF" w14:paraId="094E7639" w14:textId="77777777">
        <w:tc>
          <w:tcPr>
            <w:tcW w:w="9192" w:type="dxa"/>
            <w:gridSpan w:val="2"/>
            <w:tcBorders>
              <w:top w:val="single" w:color="auto" w:sz="4" w:space="0"/>
              <w:left w:val="single" w:color="auto" w:sz="4" w:space="0"/>
              <w:bottom w:val="single" w:color="auto" w:sz="4" w:space="0"/>
              <w:right w:val="single" w:color="auto" w:sz="4" w:space="0"/>
            </w:tcBorders>
          </w:tcPr>
          <w:p w:rsidRPr="00A4175E" w:rsidR="38F5364C" w:rsidP="00A4175E" w:rsidRDefault="001972C1" w14:paraId="64958F87" w14:textId="041E7BCC">
            <w:pPr>
              <w:spacing w:line="300" w:lineRule="exact"/>
              <w:jc w:val="both"/>
              <w:rPr>
                <w:sz w:val="20"/>
                <w:szCs w:val="20"/>
                <w:lang w:val="en-US"/>
              </w:rPr>
            </w:pPr>
            <w:r w:rsidRPr="00A27BDD">
              <w:rPr>
                <w:sz w:val="20"/>
                <w:szCs w:val="20"/>
                <w:lang w:val="en-US"/>
              </w:rPr>
              <w:t>Currently, there are no local partners in the country with the required level of technical competence in the field of immunization to provide technical support for the TCA activities at the required technical level. In this regard, WHO and UNICEF will remain to be the core partners in implementation of the 2022-2025 TCA in Kyrgyzstan.</w:t>
            </w:r>
          </w:p>
        </w:tc>
      </w:tr>
      <w:tr w:rsidR="009F19F8" w:rsidTr="00D353AF" w14:paraId="3821C077" w14:textId="77777777">
        <w:tc>
          <w:tcPr>
            <w:tcW w:w="9192" w:type="dxa"/>
            <w:gridSpan w:val="2"/>
            <w:tcBorders>
              <w:top w:val="single" w:color="FFFFFF" w:themeColor="background1" w:sz="4" w:space="0"/>
              <w:left w:val="none" w:color="FFFFFF" w:themeColor="background1" w:sz="4" w:space="0"/>
              <w:bottom w:val="single" w:color="auto" w:sz="4" w:space="0"/>
              <w:right w:val="none" w:color="FFFFFF" w:themeColor="background1" w:sz="4" w:space="0"/>
            </w:tcBorders>
            <w:shd w:val="clear" w:color="auto" w:fill="F2F2F2" w:themeFill="background1" w:themeFillShade="F2"/>
          </w:tcPr>
          <w:p w:rsidR="009F19F8" w:rsidP="00752CEA" w:rsidRDefault="009F19F8" w14:paraId="7F609ADB" w14:textId="799CFD5C">
            <w:pPr>
              <w:spacing w:line="300" w:lineRule="exact"/>
              <w:rPr>
                <w:b/>
                <w:bCs/>
                <w:i/>
                <w:iCs/>
                <w:color w:val="000000" w:themeColor="text1"/>
                <w:sz w:val="20"/>
                <w:szCs w:val="20"/>
              </w:rPr>
            </w:pPr>
            <w:r w:rsidRPr="704B32F1">
              <w:rPr>
                <w:b/>
                <w:bCs/>
                <w:i/>
                <w:iCs/>
                <w:color w:val="000000" w:themeColor="text1"/>
                <w:sz w:val="20"/>
                <w:szCs w:val="20"/>
              </w:rPr>
              <w:t>3.</w:t>
            </w:r>
            <w:r w:rsidR="00520598">
              <w:rPr>
                <w:b/>
                <w:bCs/>
                <w:i/>
                <w:iCs/>
                <w:color w:val="000000" w:themeColor="text1"/>
                <w:sz w:val="20"/>
                <w:szCs w:val="20"/>
              </w:rPr>
              <w:t>4</w:t>
            </w:r>
            <w:r w:rsidRPr="704B32F1">
              <w:rPr>
                <w:b/>
                <w:bCs/>
                <w:i/>
                <w:iCs/>
                <w:color w:val="000000" w:themeColor="text1"/>
                <w:sz w:val="20"/>
                <w:szCs w:val="20"/>
              </w:rPr>
              <w:t xml:space="preserve"> Please note the allocation of TCA to CSOs</w:t>
            </w:r>
            <w:r w:rsidR="008F50F8">
              <w:rPr>
                <w:b/>
                <w:bCs/>
                <w:i/>
                <w:iCs/>
                <w:color w:val="000000" w:themeColor="text1"/>
                <w:sz w:val="20"/>
                <w:szCs w:val="20"/>
              </w:rPr>
              <w:t xml:space="preserve"> only</w:t>
            </w:r>
            <w:r w:rsidRPr="704B32F1">
              <w:rPr>
                <w:b/>
                <w:bCs/>
                <w:i/>
                <w:iCs/>
                <w:color w:val="000000" w:themeColor="text1"/>
                <w:sz w:val="20"/>
                <w:szCs w:val="20"/>
              </w:rPr>
              <w:t xml:space="preserve"> (either Global or Local Expanded Partners) and describe the approach you will use to comply with the requirement of allocating 10% of combined TCA, EAF and HSS ceilings for CSO implementation (e.g</w:t>
            </w:r>
            <w:r w:rsidR="00A733BF">
              <w:rPr>
                <w:b/>
                <w:bCs/>
                <w:i/>
                <w:iCs/>
                <w:color w:val="000000" w:themeColor="text1"/>
                <w:sz w:val="20"/>
                <w:szCs w:val="20"/>
              </w:rPr>
              <w:t>.</w:t>
            </w:r>
            <w:r w:rsidRPr="704B32F1">
              <w:rPr>
                <w:b/>
                <w:bCs/>
                <w:i/>
                <w:iCs/>
                <w:color w:val="000000" w:themeColor="text1"/>
                <w:sz w:val="20"/>
                <w:szCs w:val="20"/>
              </w:rPr>
              <w:t xml:space="preserve"> if less than 10% of TCA funding is allocated to CSOs, please indicate how this will be compensated through </w:t>
            </w:r>
            <w:r w:rsidR="00A733BF">
              <w:rPr>
                <w:b/>
                <w:bCs/>
                <w:i/>
                <w:iCs/>
                <w:color w:val="000000" w:themeColor="text1"/>
                <w:sz w:val="20"/>
                <w:szCs w:val="20"/>
              </w:rPr>
              <w:t xml:space="preserve">the </w:t>
            </w:r>
            <w:r w:rsidRPr="704B32F1">
              <w:rPr>
                <w:b/>
                <w:bCs/>
                <w:i/>
                <w:iCs/>
                <w:color w:val="000000" w:themeColor="text1"/>
                <w:sz w:val="20"/>
                <w:szCs w:val="20"/>
              </w:rPr>
              <w:t>allocation of HSS and EAF funding to CSOs).</w:t>
            </w:r>
            <w:r w:rsidR="00025BBE">
              <w:rPr>
                <w:b/>
                <w:bCs/>
                <w:i/>
                <w:iCs/>
                <w:color w:val="000000" w:themeColor="text1"/>
                <w:sz w:val="20"/>
                <w:szCs w:val="20"/>
              </w:rPr>
              <w:t xml:space="preserve"> </w:t>
            </w:r>
            <w:r w:rsidRPr="002C42E8" w:rsidR="00025BBE">
              <w:rPr>
                <w:i/>
                <w:sz w:val="20"/>
                <w:szCs w:val="20"/>
                <w:lang w:val="en-GB"/>
              </w:rPr>
              <w:t>Please refer to section 2.3 (3. Partner Mapping) of the PEF TCA Planning Guidelines for more information.</w:t>
            </w:r>
          </w:p>
        </w:tc>
      </w:tr>
      <w:tr w:rsidR="009F19F8" w:rsidTr="00D353AF" w14:paraId="3F43E4A9" w14:textId="77777777">
        <w:tc>
          <w:tcPr>
            <w:tcW w:w="9192" w:type="dxa"/>
            <w:gridSpan w:val="2"/>
            <w:tcBorders>
              <w:top w:val="single" w:color="auto" w:sz="4" w:space="0"/>
              <w:left w:val="single" w:color="auto" w:sz="4" w:space="0"/>
              <w:bottom w:val="single" w:color="auto" w:sz="4" w:space="0"/>
              <w:right w:val="single" w:color="auto" w:sz="4" w:space="0"/>
            </w:tcBorders>
          </w:tcPr>
          <w:p w:rsidRPr="00A4175E" w:rsidR="009F19F8" w:rsidP="00A4175E" w:rsidRDefault="00112EF9" w14:paraId="01E16748" w14:textId="207FEDFE">
            <w:pPr>
              <w:spacing w:line="300" w:lineRule="exact"/>
              <w:jc w:val="both"/>
              <w:rPr>
                <w:sz w:val="20"/>
                <w:szCs w:val="20"/>
                <w:lang w:val="en-US"/>
              </w:rPr>
            </w:pPr>
            <w:r w:rsidRPr="00A27BDD">
              <w:rPr>
                <w:sz w:val="20"/>
                <w:szCs w:val="20"/>
                <w:lang w:val="en-US"/>
              </w:rPr>
              <w:t xml:space="preserve">Currently, there are no civil society organizations in the country with the necessary level of technical competence in the field of </w:t>
            </w:r>
            <w:proofErr w:type="spellStart"/>
            <w:r w:rsidRPr="00A27BDD">
              <w:rPr>
                <w:sz w:val="20"/>
                <w:szCs w:val="20"/>
                <w:lang w:val="en-US"/>
              </w:rPr>
              <w:t>Immunoprophylaxis</w:t>
            </w:r>
            <w:proofErr w:type="spellEnd"/>
            <w:r w:rsidRPr="00A27BDD">
              <w:rPr>
                <w:sz w:val="20"/>
                <w:szCs w:val="20"/>
                <w:lang w:val="en-US"/>
              </w:rPr>
              <w:t xml:space="preserve"> to provide technical support for the TCA activities at the required technical level. In this regard, WHO and UNICEF will remain as the core partners in implementation of the 2022-2025 TCA in Kyrgyzstan.</w:t>
            </w:r>
          </w:p>
        </w:tc>
      </w:tr>
    </w:tbl>
    <w:p w:rsidR="00372D1F" w:rsidP="00372D1F" w:rsidRDefault="00372D1F" w14:paraId="0FF1AB89" w14:textId="66D9FB8B">
      <w:pPr>
        <w:pStyle w:val="ListParagraph"/>
        <w:spacing w:line="300" w:lineRule="exact"/>
        <w:ind w:left="0"/>
        <w:jc w:val="right"/>
        <w:rPr>
          <w:b/>
          <w:color w:val="70AD47" w:themeColor="accent6"/>
          <w:sz w:val="26"/>
          <w:szCs w:val="26"/>
        </w:rPr>
      </w:pPr>
    </w:p>
    <w:p w:rsidRPr="009F19F8" w:rsidR="00A4175E" w:rsidP="00372D1F" w:rsidRDefault="00A4175E" w14:paraId="5393EE45" w14:textId="77777777">
      <w:pPr>
        <w:pStyle w:val="ListParagraph"/>
        <w:spacing w:line="300" w:lineRule="exact"/>
        <w:ind w:left="0"/>
        <w:jc w:val="right"/>
        <w:rPr>
          <w:b/>
          <w:color w:val="70AD47" w:themeColor="accent6"/>
          <w:sz w:val="26"/>
          <w:szCs w:val="26"/>
        </w:rPr>
      </w:pPr>
    </w:p>
    <w:p w:rsidRPr="0033192A" w:rsidR="009F0292" w:rsidP="00CE1F57" w:rsidRDefault="009F0292" w14:paraId="79848434" w14:textId="5CA61DE4">
      <w:pPr>
        <w:pStyle w:val="ListParagraph"/>
        <w:numPr>
          <w:ilvl w:val="0"/>
          <w:numId w:val="4"/>
        </w:numPr>
        <w:spacing w:line="300" w:lineRule="exact"/>
        <w:rPr>
          <w:b/>
          <w:color w:val="84C650"/>
          <w:sz w:val="26"/>
          <w:szCs w:val="26"/>
          <w:lang w:val="en-GB"/>
        </w:rPr>
      </w:pPr>
      <w:r w:rsidRPr="0033192A">
        <w:rPr>
          <w:b/>
          <w:color w:val="70AD47" w:themeColor="accent6"/>
          <w:sz w:val="26"/>
          <w:szCs w:val="26"/>
          <w:lang w:val="en-GB"/>
        </w:rPr>
        <w:lastRenderedPageBreak/>
        <w:t>Lessons learnt from past TA experience (0.5 page)</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192"/>
      </w:tblGrid>
      <w:tr w:rsidR="009F0292" w:rsidTr="00DD391A" w14:paraId="3F8B0CB5" w14:textId="77777777">
        <w:tc>
          <w:tcPr>
            <w:tcW w:w="9192" w:type="dxa"/>
            <w:tcBorders>
              <w:bottom w:val="single" w:color="auto" w:sz="4" w:space="0"/>
            </w:tcBorders>
            <w:shd w:val="clear" w:color="auto" w:fill="F2F2F2" w:themeFill="background1" w:themeFillShade="F2"/>
          </w:tcPr>
          <w:p w:rsidRPr="00B614D7" w:rsidR="009F0292" w:rsidP="00871FCF" w:rsidRDefault="0033192A" w14:paraId="6BD0AD08" w14:textId="376F045C">
            <w:pPr>
              <w:spacing w:line="300" w:lineRule="exact"/>
              <w:rPr>
                <w:b/>
                <w:bCs/>
                <w:color w:val="92D050"/>
                <w:lang w:val="en-GB"/>
              </w:rPr>
            </w:pPr>
            <w:r>
              <w:rPr>
                <w:b/>
                <w:bCs/>
                <w:i/>
                <w:iCs/>
                <w:color w:val="000000" w:themeColor="text1"/>
                <w:sz w:val="20"/>
                <w:szCs w:val="20"/>
                <w:lang w:val="en-GB"/>
              </w:rPr>
              <w:t>4.</w:t>
            </w:r>
            <w:r w:rsidR="009F0292">
              <w:rPr>
                <w:b/>
                <w:bCs/>
                <w:i/>
                <w:iCs/>
                <w:color w:val="000000" w:themeColor="text1"/>
                <w:sz w:val="20"/>
                <w:szCs w:val="20"/>
                <w:lang w:val="en-GB"/>
              </w:rPr>
              <w:t xml:space="preserve">1 </w:t>
            </w:r>
            <w:r w:rsidRPr="00B614D7" w:rsidR="009F0292">
              <w:rPr>
                <w:b/>
                <w:bCs/>
                <w:i/>
                <w:iCs/>
                <w:color w:val="000000" w:themeColor="text1"/>
                <w:sz w:val="20"/>
                <w:szCs w:val="20"/>
                <w:lang w:val="en-GB"/>
              </w:rPr>
              <w:t xml:space="preserve">Please explain how the </w:t>
            </w:r>
            <w:r w:rsidR="009F0292">
              <w:rPr>
                <w:b/>
                <w:bCs/>
                <w:i/>
                <w:iCs/>
                <w:color w:val="000000" w:themeColor="text1"/>
                <w:sz w:val="20"/>
                <w:szCs w:val="20"/>
                <w:lang w:val="en-GB"/>
              </w:rPr>
              <w:t>TCA</w:t>
            </w:r>
            <w:r w:rsidRPr="00B614D7" w:rsidR="009F0292">
              <w:rPr>
                <w:b/>
                <w:bCs/>
                <w:i/>
                <w:iCs/>
                <w:color w:val="000000" w:themeColor="text1"/>
                <w:sz w:val="20"/>
                <w:szCs w:val="20"/>
                <w:lang w:val="en-GB"/>
              </w:rPr>
              <w:t xml:space="preserve"> plan will build on previous performance, lessons learned, and best practices of TCA activities from your previous </w:t>
            </w:r>
            <w:r w:rsidR="009F0292">
              <w:rPr>
                <w:b/>
                <w:bCs/>
                <w:i/>
                <w:iCs/>
                <w:color w:val="000000" w:themeColor="text1"/>
                <w:sz w:val="20"/>
                <w:szCs w:val="20"/>
                <w:lang w:val="en-GB"/>
              </w:rPr>
              <w:t>T</w:t>
            </w:r>
            <w:r w:rsidRPr="00B614D7" w:rsidR="009F0292">
              <w:rPr>
                <w:b/>
                <w:bCs/>
                <w:i/>
                <w:iCs/>
                <w:color w:val="000000" w:themeColor="text1"/>
                <w:sz w:val="20"/>
                <w:szCs w:val="20"/>
                <w:lang w:val="en-GB"/>
              </w:rPr>
              <w:t>CA plan</w:t>
            </w:r>
            <w:r w:rsidR="0048676E">
              <w:rPr>
                <w:b/>
                <w:bCs/>
                <w:i/>
                <w:iCs/>
                <w:color w:val="000000" w:themeColor="text1"/>
                <w:sz w:val="20"/>
                <w:szCs w:val="20"/>
                <w:lang w:val="en-GB"/>
              </w:rPr>
              <w:t>, including</w:t>
            </w:r>
            <w:r w:rsidR="009D07BA">
              <w:rPr>
                <w:b/>
                <w:bCs/>
                <w:i/>
                <w:iCs/>
                <w:color w:val="000000" w:themeColor="text1"/>
                <w:sz w:val="20"/>
                <w:szCs w:val="20"/>
                <w:lang w:val="en-GB"/>
              </w:rPr>
              <w:t xml:space="preserve"> </w:t>
            </w:r>
            <w:r w:rsidR="006E0314">
              <w:rPr>
                <w:b/>
                <w:bCs/>
                <w:i/>
                <w:iCs/>
                <w:color w:val="000000" w:themeColor="text1"/>
                <w:sz w:val="20"/>
                <w:szCs w:val="20"/>
                <w:lang w:val="en-GB"/>
              </w:rPr>
              <w:t xml:space="preserve">contributions to the national programme and </w:t>
            </w:r>
            <w:r w:rsidR="00C9453B">
              <w:rPr>
                <w:b/>
                <w:bCs/>
                <w:i/>
                <w:iCs/>
                <w:color w:val="000000" w:themeColor="text1"/>
                <w:sz w:val="20"/>
                <w:szCs w:val="20"/>
                <w:lang w:val="en-GB"/>
              </w:rPr>
              <w:t xml:space="preserve">knowledge/skill </w:t>
            </w:r>
            <w:r w:rsidR="009C20B6">
              <w:rPr>
                <w:b/>
                <w:bCs/>
                <w:i/>
                <w:iCs/>
                <w:color w:val="000000" w:themeColor="text1"/>
                <w:sz w:val="20"/>
                <w:szCs w:val="20"/>
                <w:lang w:val="en-GB"/>
              </w:rPr>
              <w:t>building,</w:t>
            </w:r>
            <w:r w:rsidR="00652E87">
              <w:rPr>
                <w:b/>
                <w:bCs/>
                <w:i/>
                <w:iCs/>
                <w:color w:val="000000" w:themeColor="text1"/>
                <w:sz w:val="20"/>
                <w:szCs w:val="20"/>
                <w:lang w:val="en-GB"/>
              </w:rPr>
              <w:t xml:space="preserve"> and how this has been taken into account in </w:t>
            </w:r>
            <w:r w:rsidR="00FA04B1">
              <w:rPr>
                <w:b/>
                <w:bCs/>
                <w:i/>
                <w:iCs/>
                <w:color w:val="000000" w:themeColor="text1"/>
                <w:sz w:val="20"/>
                <w:szCs w:val="20"/>
                <w:lang w:val="en-GB"/>
              </w:rPr>
              <w:t>this TCA planning and prioritisation</w:t>
            </w:r>
            <w:r w:rsidRPr="00B614D7" w:rsidR="009F0292">
              <w:rPr>
                <w:b/>
                <w:bCs/>
                <w:i/>
                <w:iCs/>
                <w:color w:val="000000" w:themeColor="text1"/>
                <w:sz w:val="20"/>
                <w:szCs w:val="20"/>
                <w:lang w:val="en-GB"/>
              </w:rPr>
              <w:t xml:space="preserve">. </w:t>
            </w:r>
            <w:r w:rsidRPr="00B614D7" w:rsidR="009F0292">
              <w:rPr>
                <w:b/>
                <w:bCs/>
                <w:i/>
                <w:iCs/>
                <w:sz w:val="20"/>
                <w:szCs w:val="20"/>
              </w:rPr>
              <w:t xml:space="preserve"> </w:t>
            </w:r>
          </w:p>
        </w:tc>
      </w:tr>
      <w:tr w:rsidR="009F0292" w:rsidTr="00DD391A" w14:paraId="690BE9DA" w14:textId="77777777">
        <w:tc>
          <w:tcPr>
            <w:tcW w:w="9192" w:type="dxa"/>
            <w:tcBorders>
              <w:top w:val="single" w:color="auto" w:sz="4" w:space="0"/>
              <w:left w:val="single" w:color="auto" w:sz="4" w:space="0"/>
              <w:bottom w:val="single" w:color="auto" w:sz="4" w:space="0"/>
              <w:right w:val="single" w:color="auto" w:sz="4" w:space="0"/>
            </w:tcBorders>
          </w:tcPr>
          <w:p w:rsidRPr="00A27BDD" w:rsidR="00D3747D" w:rsidP="00D3747D" w:rsidRDefault="001C6814" w14:paraId="65238E87" w14:textId="60767819">
            <w:pPr>
              <w:spacing w:line="300" w:lineRule="exact"/>
              <w:jc w:val="both"/>
              <w:rPr>
                <w:sz w:val="20"/>
                <w:szCs w:val="20"/>
                <w:lang w:val="en-US"/>
              </w:rPr>
            </w:pPr>
            <w:r w:rsidRPr="00A27BDD">
              <w:rPr>
                <w:sz w:val="20"/>
                <w:szCs w:val="20"/>
                <w:lang w:val="en-US"/>
              </w:rPr>
              <w:t>Co</w:t>
            </w:r>
            <w:r w:rsidRPr="00A27BDD" w:rsidR="001720C3">
              <w:rPr>
                <w:sz w:val="20"/>
                <w:szCs w:val="20"/>
                <w:lang w:val="en-US"/>
              </w:rPr>
              <w:t>n</w:t>
            </w:r>
            <w:r w:rsidRPr="00A27BDD">
              <w:rPr>
                <w:sz w:val="20"/>
                <w:szCs w:val="20"/>
                <w:lang w:val="en-US"/>
              </w:rPr>
              <w:t xml:space="preserve">tribution of previous TCAs to the national </w:t>
            </w:r>
            <w:proofErr w:type="spellStart"/>
            <w:r w:rsidRPr="00A27BDD">
              <w:rPr>
                <w:sz w:val="20"/>
                <w:szCs w:val="20"/>
                <w:lang w:val="en-US"/>
              </w:rPr>
              <w:t>programme</w:t>
            </w:r>
            <w:proofErr w:type="spellEnd"/>
            <w:r w:rsidRPr="00A27BDD">
              <w:rPr>
                <w:sz w:val="20"/>
                <w:szCs w:val="20"/>
                <w:lang w:val="en-US"/>
              </w:rPr>
              <w:t xml:space="preserve"> and knowledge/</w:t>
            </w:r>
            <w:r w:rsidR="007A62BC">
              <w:rPr>
                <w:sz w:val="20"/>
                <w:szCs w:val="20"/>
                <w:lang w:val="en-US"/>
              </w:rPr>
              <w:t>skill-building</w:t>
            </w:r>
            <w:r w:rsidRPr="00A27BDD" w:rsidR="00D3747D">
              <w:rPr>
                <w:sz w:val="20"/>
                <w:szCs w:val="20"/>
                <w:lang w:val="en-US"/>
              </w:rPr>
              <w:t>:</w:t>
            </w:r>
          </w:p>
          <w:p w:rsidRPr="00A27BDD" w:rsidR="008E1FBE" w:rsidP="006941DC" w:rsidRDefault="00B2066D" w14:paraId="2908F9F6" w14:textId="77777777">
            <w:pPr>
              <w:spacing w:line="300" w:lineRule="exact"/>
              <w:jc w:val="both"/>
              <w:rPr>
                <w:sz w:val="20"/>
                <w:szCs w:val="20"/>
                <w:lang w:val="en-US"/>
              </w:rPr>
            </w:pPr>
            <w:r w:rsidRPr="00A27BDD">
              <w:rPr>
                <w:sz w:val="20"/>
                <w:szCs w:val="20"/>
                <w:lang w:val="en-US"/>
              </w:rPr>
              <w:t xml:space="preserve">- </w:t>
            </w:r>
            <w:r w:rsidRPr="00A27BDD" w:rsidR="00533802">
              <w:rPr>
                <w:sz w:val="20"/>
                <w:szCs w:val="20"/>
                <w:lang w:val="en-US"/>
              </w:rPr>
              <w:t xml:space="preserve">country developed HPV introduction plan; </w:t>
            </w:r>
          </w:p>
          <w:p w:rsidRPr="00A27BDD" w:rsidR="006941DC" w:rsidP="006941DC" w:rsidRDefault="008E1FBE" w14:paraId="515E7573" w14:textId="7A79D294">
            <w:pPr>
              <w:spacing w:line="300" w:lineRule="exact"/>
              <w:jc w:val="both"/>
              <w:rPr>
                <w:sz w:val="20"/>
                <w:szCs w:val="20"/>
                <w:lang w:val="en-US"/>
              </w:rPr>
            </w:pPr>
            <w:r w:rsidRPr="00A27BDD">
              <w:rPr>
                <w:sz w:val="20"/>
                <w:szCs w:val="20"/>
                <w:lang w:val="en-US"/>
              </w:rPr>
              <w:t xml:space="preserve">- </w:t>
            </w:r>
            <w:r w:rsidRPr="00A27BDD" w:rsidR="006941DC">
              <w:rPr>
                <w:sz w:val="20"/>
                <w:szCs w:val="20"/>
                <w:lang w:val="en-US"/>
              </w:rPr>
              <w:t>country introduced targeted communications activities to increase demand for immunization</w:t>
            </w:r>
            <w:r w:rsidRPr="00A27BDD" w:rsidR="001720C3">
              <w:rPr>
                <w:sz w:val="20"/>
                <w:szCs w:val="20"/>
                <w:lang w:val="en-US"/>
              </w:rPr>
              <w:t xml:space="preserve"> services</w:t>
            </w:r>
            <w:r w:rsidRPr="00A27BDD" w:rsidR="006941DC">
              <w:rPr>
                <w:sz w:val="20"/>
                <w:szCs w:val="20"/>
                <w:lang w:val="en-US"/>
              </w:rPr>
              <w:t>;</w:t>
            </w:r>
          </w:p>
          <w:p w:rsidRPr="00A27BDD" w:rsidR="006941DC" w:rsidP="006941DC" w:rsidRDefault="006941DC" w14:paraId="5553AD3C" w14:textId="45C57683">
            <w:pPr>
              <w:spacing w:line="300" w:lineRule="exact"/>
              <w:jc w:val="both"/>
              <w:rPr>
                <w:sz w:val="20"/>
                <w:szCs w:val="20"/>
                <w:lang w:val="en-US"/>
              </w:rPr>
            </w:pPr>
            <w:r w:rsidRPr="00A27BDD">
              <w:rPr>
                <w:sz w:val="20"/>
                <w:szCs w:val="20"/>
                <w:lang w:val="en-US"/>
              </w:rPr>
              <w:t>-</w:t>
            </w:r>
            <w:r w:rsidRPr="00A27BDD" w:rsidR="001720C3">
              <w:rPr>
                <w:sz w:val="20"/>
                <w:szCs w:val="20"/>
                <w:lang w:val="en-US"/>
              </w:rPr>
              <w:t xml:space="preserve"> </w:t>
            </w:r>
            <w:r w:rsidRPr="00A27BDD" w:rsidR="002D5681">
              <w:rPr>
                <w:sz w:val="20"/>
                <w:szCs w:val="20"/>
                <w:lang w:val="en-US"/>
              </w:rPr>
              <w:t xml:space="preserve">country </w:t>
            </w:r>
            <w:r w:rsidRPr="00A27BDD" w:rsidR="00F03565">
              <w:rPr>
                <w:sz w:val="20"/>
                <w:szCs w:val="20"/>
                <w:lang w:val="en-US"/>
              </w:rPr>
              <w:t xml:space="preserve">strengthened capacity of </w:t>
            </w:r>
            <w:r w:rsidR="007A62BC">
              <w:rPr>
                <w:sz w:val="20"/>
                <w:szCs w:val="20"/>
                <w:lang w:val="en-US"/>
              </w:rPr>
              <w:t xml:space="preserve">the </w:t>
            </w:r>
            <w:r w:rsidRPr="00A27BDD" w:rsidR="00F03565">
              <w:rPr>
                <w:sz w:val="20"/>
                <w:szCs w:val="20"/>
                <w:lang w:val="en-US"/>
              </w:rPr>
              <w:t>Interagency Coordination Committee (ICC)</w:t>
            </w:r>
            <w:r w:rsidRPr="00A27BDD">
              <w:rPr>
                <w:sz w:val="20"/>
                <w:szCs w:val="20"/>
                <w:lang w:val="en-US"/>
              </w:rPr>
              <w:t xml:space="preserve"> as well as </w:t>
            </w:r>
            <w:r w:rsidRPr="00A27BDD" w:rsidR="00F03565">
              <w:rPr>
                <w:sz w:val="20"/>
                <w:szCs w:val="20"/>
                <w:lang w:val="en-US"/>
              </w:rPr>
              <w:t xml:space="preserve">of </w:t>
            </w:r>
            <w:r w:rsidRPr="00A27BDD">
              <w:rPr>
                <w:sz w:val="20"/>
                <w:szCs w:val="20"/>
                <w:lang w:val="en-US"/>
              </w:rPr>
              <w:t>the country NITAG</w:t>
            </w:r>
            <w:r w:rsidRPr="00A27BDD" w:rsidR="00854DD8">
              <w:rPr>
                <w:sz w:val="20"/>
                <w:szCs w:val="20"/>
                <w:lang w:val="en-US"/>
              </w:rPr>
              <w:t xml:space="preserve"> (use </w:t>
            </w:r>
            <w:proofErr w:type="gramStart"/>
            <w:r w:rsidRPr="00A27BDD" w:rsidR="00854DD8">
              <w:rPr>
                <w:sz w:val="20"/>
                <w:szCs w:val="20"/>
                <w:lang w:val="en-US"/>
              </w:rPr>
              <w:t xml:space="preserve">of </w:t>
            </w:r>
            <w:r w:rsidRPr="00A27BDD">
              <w:rPr>
                <w:sz w:val="20"/>
                <w:szCs w:val="20"/>
                <w:lang w:val="en-US"/>
              </w:rPr>
              <w:t xml:space="preserve"> evidence</w:t>
            </w:r>
            <w:proofErr w:type="gramEnd"/>
            <w:r w:rsidRPr="00A27BDD">
              <w:rPr>
                <w:sz w:val="20"/>
                <w:szCs w:val="20"/>
                <w:lang w:val="en-US"/>
              </w:rPr>
              <w:t xml:space="preserve">-based </w:t>
            </w:r>
            <w:r w:rsidRPr="00A27BDD" w:rsidR="00854DD8">
              <w:rPr>
                <w:sz w:val="20"/>
                <w:szCs w:val="20"/>
                <w:lang w:val="en-US"/>
              </w:rPr>
              <w:t xml:space="preserve">data </w:t>
            </w:r>
            <w:r w:rsidRPr="00A27BDD">
              <w:rPr>
                <w:sz w:val="20"/>
                <w:szCs w:val="20"/>
                <w:lang w:val="en-US"/>
              </w:rPr>
              <w:t xml:space="preserve"> for the introduction of new </w:t>
            </w:r>
            <w:r w:rsidRPr="00A27BDD" w:rsidR="00565861">
              <w:rPr>
                <w:sz w:val="20"/>
                <w:szCs w:val="20"/>
                <w:lang w:val="en-US"/>
              </w:rPr>
              <w:t>vaccines, including COVID-19 vaccines)</w:t>
            </w:r>
            <w:r w:rsidRPr="00A27BDD">
              <w:rPr>
                <w:sz w:val="20"/>
                <w:szCs w:val="20"/>
                <w:lang w:val="en-US"/>
              </w:rPr>
              <w:t>;</w:t>
            </w:r>
          </w:p>
          <w:p w:rsidRPr="00A27BDD" w:rsidR="00D2077C" w:rsidP="006941DC" w:rsidRDefault="006941DC" w14:paraId="78F04E54" w14:textId="4C040C24">
            <w:pPr>
              <w:spacing w:line="300" w:lineRule="exact"/>
              <w:jc w:val="both"/>
              <w:rPr>
                <w:sz w:val="20"/>
                <w:szCs w:val="20"/>
                <w:lang w:val="en-US"/>
              </w:rPr>
            </w:pPr>
            <w:r w:rsidRPr="00A27BDD">
              <w:rPr>
                <w:sz w:val="20"/>
                <w:szCs w:val="20"/>
                <w:lang w:val="en-US"/>
              </w:rPr>
              <w:t xml:space="preserve">- </w:t>
            </w:r>
            <w:r w:rsidRPr="00A27BDD" w:rsidR="002D5681">
              <w:rPr>
                <w:sz w:val="20"/>
                <w:szCs w:val="20"/>
                <w:lang w:val="en-US"/>
              </w:rPr>
              <w:t xml:space="preserve">country </w:t>
            </w:r>
            <w:r w:rsidR="007A62BC">
              <w:rPr>
                <w:sz w:val="20"/>
                <w:szCs w:val="20"/>
                <w:lang w:val="en-US"/>
              </w:rPr>
              <w:t>strengthened</w:t>
            </w:r>
            <w:r w:rsidRPr="00A27BDD" w:rsidR="002555B8">
              <w:rPr>
                <w:sz w:val="20"/>
                <w:szCs w:val="20"/>
                <w:lang w:val="en-US"/>
              </w:rPr>
              <w:t xml:space="preserve"> </w:t>
            </w:r>
            <w:r w:rsidR="007A62BC">
              <w:rPr>
                <w:sz w:val="20"/>
                <w:szCs w:val="20"/>
                <w:lang w:val="en-US"/>
              </w:rPr>
              <w:t xml:space="preserve">the </w:t>
            </w:r>
            <w:r w:rsidRPr="00A27BDD" w:rsidR="002555B8">
              <w:rPr>
                <w:sz w:val="20"/>
                <w:szCs w:val="20"/>
                <w:lang w:val="en-US"/>
              </w:rPr>
              <w:t>potential of local specialists related to causality assessment of Adverse Events Following Immunization (AEFI)</w:t>
            </w:r>
            <w:r w:rsidRPr="00A27BDD">
              <w:rPr>
                <w:sz w:val="20"/>
                <w:szCs w:val="20"/>
                <w:lang w:val="en-US"/>
              </w:rPr>
              <w:t>,</w:t>
            </w:r>
          </w:p>
          <w:p w:rsidRPr="00A27BDD" w:rsidR="006941DC" w:rsidP="006941DC" w:rsidRDefault="00AB641D" w14:paraId="0629C099" w14:textId="4AA94EB0">
            <w:pPr>
              <w:spacing w:line="300" w:lineRule="exact"/>
              <w:jc w:val="both"/>
              <w:rPr>
                <w:sz w:val="20"/>
                <w:szCs w:val="20"/>
                <w:lang w:val="en-US"/>
              </w:rPr>
            </w:pPr>
            <w:r w:rsidRPr="00A27BDD">
              <w:rPr>
                <w:sz w:val="20"/>
                <w:szCs w:val="20"/>
                <w:lang w:val="en-US"/>
              </w:rPr>
              <w:t>- c</w:t>
            </w:r>
            <w:r w:rsidRPr="00A27BDD" w:rsidR="00D2077C">
              <w:rPr>
                <w:sz w:val="20"/>
                <w:szCs w:val="20"/>
                <w:lang w:val="en-US"/>
              </w:rPr>
              <w:t>ountry</w:t>
            </w:r>
            <w:r w:rsidRPr="00A27BDD">
              <w:rPr>
                <w:sz w:val="20"/>
                <w:szCs w:val="20"/>
                <w:lang w:val="en-US"/>
              </w:rPr>
              <w:t xml:space="preserve"> received technical support </w:t>
            </w:r>
            <w:r w:rsidRPr="00A27BDD" w:rsidR="00D76620">
              <w:rPr>
                <w:sz w:val="20"/>
                <w:szCs w:val="20"/>
                <w:lang w:val="en-US"/>
              </w:rPr>
              <w:t xml:space="preserve">related to Effective Vaccine Store Management (EVM); </w:t>
            </w:r>
            <w:r w:rsidRPr="00A27BDD" w:rsidR="006941DC">
              <w:rPr>
                <w:sz w:val="20"/>
                <w:szCs w:val="20"/>
                <w:lang w:val="en-US"/>
              </w:rPr>
              <w:t>forecasting and budgeting, logistics of vaccines and consumables, cold chain inventory;</w:t>
            </w:r>
          </w:p>
          <w:p w:rsidRPr="00A27BDD" w:rsidR="006941DC" w:rsidP="006941DC" w:rsidRDefault="006941DC" w14:paraId="7FD4C1F8" w14:textId="440FABEF">
            <w:pPr>
              <w:spacing w:line="300" w:lineRule="exact"/>
              <w:jc w:val="both"/>
              <w:rPr>
                <w:sz w:val="20"/>
                <w:szCs w:val="20"/>
                <w:lang w:val="en-US"/>
              </w:rPr>
            </w:pPr>
            <w:r w:rsidRPr="00A27BDD">
              <w:rPr>
                <w:sz w:val="20"/>
                <w:szCs w:val="20"/>
                <w:lang w:val="en-US"/>
              </w:rPr>
              <w:t xml:space="preserve">- </w:t>
            </w:r>
            <w:r w:rsidRPr="00A27BDD" w:rsidR="002D5681">
              <w:rPr>
                <w:sz w:val="20"/>
                <w:szCs w:val="20"/>
                <w:lang w:val="en-US"/>
              </w:rPr>
              <w:t xml:space="preserve">country completed </w:t>
            </w:r>
            <w:r w:rsidR="007A62BC">
              <w:rPr>
                <w:sz w:val="20"/>
                <w:szCs w:val="20"/>
                <w:lang w:val="en-US"/>
              </w:rPr>
              <w:t xml:space="preserve">the </w:t>
            </w:r>
            <w:r w:rsidRPr="00A27BDD">
              <w:rPr>
                <w:sz w:val="20"/>
                <w:szCs w:val="20"/>
                <w:lang w:val="en-US"/>
              </w:rPr>
              <w:t xml:space="preserve">adaptation of clinical protocols </w:t>
            </w:r>
            <w:r w:rsidR="007A62BC">
              <w:rPr>
                <w:sz w:val="20"/>
                <w:szCs w:val="20"/>
                <w:lang w:val="en-US"/>
              </w:rPr>
              <w:t xml:space="preserve">and </w:t>
            </w:r>
            <w:r w:rsidRPr="00A27BDD">
              <w:rPr>
                <w:sz w:val="20"/>
                <w:szCs w:val="20"/>
                <w:lang w:val="en-US"/>
              </w:rPr>
              <w:t>standard operating procedures</w:t>
            </w:r>
            <w:r w:rsidRPr="00A27BDD" w:rsidR="00C2474E">
              <w:rPr>
                <w:sz w:val="20"/>
                <w:szCs w:val="20"/>
                <w:lang w:val="en-US"/>
              </w:rPr>
              <w:t>.</w:t>
            </w:r>
          </w:p>
          <w:p w:rsidRPr="00A27BDD" w:rsidR="00D3747D" w:rsidP="00D3747D" w:rsidRDefault="00D3747D" w14:paraId="7F9FB013" w14:textId="77777777">
            <w:pPr>
              <w:spacing w:line="300" w:lineRule="exact"/>
              <w:jc w:val="both"/>
              <w:rPr>
                <w:sz w:val="20"/>
                <w:szCs w:val="20"/>
                <w:lang w:val="en-US"/>
              </w:rPr>
            </w:pPr>
            <w:r w:rsidRPr="00A27BDD">
              <w:rPr>
                <w:sz w:val="20"/>
                <w:szCs w:val="20"/>
                <w:lang w:val="en-US"/>
              </w:rPr>
              <w:t>The new TCA builds on the best practices and objectives of previous TCAs.</w:t>
            </w:r>
          </w:p>
          <w:p w:rsidRPr="00CC7CD3" w:rsidR="009F0292" w:rsidP="00871FCF" w:rsidRDefault="009F0292" w14:paraId="54735EE2" w14:textId="77777777">
            <w:pPr>
              <w:spacing w:line="300" w:lineRule="exact"/>
              <w:rPr>
                <w:color w:val="92D050"/>
                <w:lang w:val="en-US"/>
              </w:rPr>
            </w:pPr>
          </w:p>
        </w:tc>
      </w:tr>
    </w:tbl>
    <w:p w:rsidR="009F0292" w:rsidP="00372D1F" w:rsidRDefault="009F0292" w14:paraId="4B96F6BD" w14:textId="77777777">
      <w:pPr>
        <w:pStyle w:val="ListParagraph"/>
        <w:spacing w:line="300" w:lineRule="exact"/>
        <w:ind w:left="0"/>
        <w:jc w:val="right"/>
        <w:rPr>
          <w:b/>
          <w:color w:val="70AD47" w:themeColor="accent6"/>
          <w:sz w:val="26"/>
          <w:szCs w:val="26"/>
          <w:lang w:val="en-GB"/>
        </w:rPr>
      </w:pPr>
    </w:p>
    <w:p w:rsidRPr="00A957C9" w:rsidR="00610D71" w:rsidP="00CE1F57" w:rsidRDefault="003F0221" w14:paraId="11BFC6A9" w14:textId="753345FA">
      <w:pPr>
        <w:pStyle w:val="ListParagraph"/>
        <w:numPr>
          <w:ilvl w:val="0"/>
          <w:numId w:val="4"/>
        </w:numPr>
        <w:spacing w:line="300" w:lineRule="exact"/>
        <w:rPr>
          <w:b/>
          <w:bCs/>
          <w:color w:val="84C650"/>
          <w:sz w:val="26"/>
          <w:szCs w:val="26"/>
          <w:lang w:val="en-GB"/>
        </w:rPr>
      </w:pPr>
      <w:r w:rsidRPr="08473C56">
        <w:rPr>
          <w:b/>
          <w:bCs/>
          <w:color w:val="70AD47" w:themeColor="accent6"/>
          <w:sz w:val="26"/>
          <w:szCs w:val="26"/>
          <w:lang w:val="en-GB"/>
        </w:rPr>
        <w:t>Align</w:t>
      </w:r>
      <w:r w:rsidRPr="08473C56" w:rsidR="000A3F37">
        <w:rPr>
          <w:b/>
          <w:bCs/>
          <w:color w:val="70AD47" w:themeColor="accent6"/>
          <w:sz w:val="26"/>
          <w:szCs w:val="26"/>
          <w:lang w:val="en-GB"/>
        </w:rPr>
        <w:t xml:space="preserve">ment of </w:t>
      </w:r>
      <w:r w:rsidRPr="08473C56" w:rsidR="000A6AC3">
        <w:rPr>
          <w:b/>
          <w:bCs/>
          <w:color w:val="70AD47" w:themeColor="accent6"/>
          <w:sz w:val="26"/>
          <w:szCs w:val="26"/>
          <w:lang w:val="en-GB"/>
        </w:rPr>
        <w:t>the</w:t>
      </w:r>
      <w:r w:rsidRPr="08473C56" w:rsidR="000A3F37">
        <w:rPr>
          <w:b/>
          <w:bCs/>
          <w:color w:val="70AD47" w:themeColor="accent6"/>
          <w:sz w:val="26"/>
          <w:szCs w:val="26"/>
          <w:lang w:val="en-GB"/>
        </w:rPr>
        <w:t xml:space="preserve"> One T</w:t>
      </w:r>
      <w:r w:rsidRPr="08473C56" w:rsidR="002510AA">
        <w:rPr>
          <w:b/>
          <w:bCs/>
          <w:color w:val="70AD47" w:themeColor="accent6"/>
          <w:sz w:val="26"/>
          <w:szCs w:val="26"/>
          <w:lang w:val="en-GB"/>
        </w:rPr>
        <w:t>C</w:t>
      </w:r>
      <w:r w:rsidRPr="08473C56" w:rsidR="000A3F37">
        <w:rPr>
          <w:b/>
          <w:bCs/>
          <w:color w:val="70AD47" w:themeColor="accent6"/>
          <w:sz w:val="26"/>
          <w:szCs w:val="26"/>
          <w:lang w:val="en-GB"/>
        </w:rPr>
        <w:t xml:space="preserve">A plan with </w:t>
      </w:r>
      <w:r w:rsidRPr="08473C56" w:rsidR="00106608">
        <w:rPr>
          <w:b/>
          <w:bCs/>
          <w:color w:val="70AD47" w:themeColor="accent6"/>
          <w:sz w:val="26"/>
          <w:szCs w:val="26"/>
          <w:lang w:val="en-GB"/>
        </w:rPr>
        <w:t xml:space="preserve">future </w:t>
      </w:r>
      <w:r w:rsidR="00600378">
        <w:rPr>
          <w:b/>
          <w:bCs/>
          <w:color w:val="70AD47" w:themeColor="accent6"/>
          <w:sz w:val="26"/>
          <w:szCs w:val="26"/>
          <w:lang w:val="en-GB"/>
        </w:rPr>
        <w:t xml:space="preserve">Gavi </w:t>
      </w:r>
      <w:r w:rsidRPr="08473C56" w:rsidR="00106608">
        <w:rPr>
          <w:b/>
          <w:bCs/>
          <w:color w:val="70AD47" w:themeColor="accent6"/>
          <w:sz w:val="26"/>
          <w:szCs w:val="26"/>
          <w:lang w:val="en-GB"/>
        </w:rPr>
        <w:t>planned investments</w:t>
      </w:r>
      <w:r w:rsidRPr="08473C56" w:rsidR="005747F6">
        <w:rPr>
          <w:b/>
          <w:bCs/>
          <w:color w:val="70AD47" w:themeColor="accent6"/>
          <w:sz w:val="26"/>
          <w:szCs w:val="26"/>
          <w:lang w:val="en-GB"/>
        </w:rPr>
        <w:t xml:space="preserve"> (0.5 page)</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192"/>
      </w:tblGrid>
      <w:tr w:rsidR="00A957C9" w:rsidTr="005F26FC" w14:paraId="3F6BA8B3" w14:textId="77777777">
        <w:tc>
          <w:tcPr>
            <w:tcW w:w="9192" w:type="dxa"/>
            <w:tcBorders>
              <w:bottom w:val="single" w:color="auto" w:sz="4" w:space="0"/>
            </w:tcBorders>
            <w:shd w:val="clear" w:color="auto" w:fill="F2F2F2" w:themeFill="background1" w:themeFillShade="F2"/>
          </w:tcPr>
          <w:p w:rsidRPr="00CF3BC4" w:rsidR="00A957C9" w:rsidP="00FC4A11" w:rsidRDefault="007476F9" w14:paraId="518A3DA4" w14:textId="2C18AF85">
            <w:pPr>
              <w:pStyle w:val="ListParagraph"/>
              <w:spacing w:line="300" w:lineRule="exact"/>
              <w:ind w:left="0"/>
              <w:rPr>
                <w:b/>
                <w:bCs/>
                <w:i/>
                <w:iCs/>
                <w:color w:val="84C650"/>
                <w:sz w:val="26"/>
                <w:szCs w:val="26"/>
                <w:lang w:val="en-GB"/>
              </w:rPr>
            </w:pPr>
            <w:r>
              <w:rPr>
                <w:b/>
                <w:bCs/>
                <w:i/>
                <w:iCs/>
                <w:sz w:val="20"/>
                <w:szCs w:val="20"/>
              </w:rPr>
              <w:t>5</w:t>
            </w:r>
            <w:r w:rsidR="00B80406">
              <w:rPr>
                <w:b/>
                <w:bCs/>
                <w:i/>
                <w:iCs/>
                <w:sz w:val="20"/>
                <w:szCs w:val="20"/>
              </w:rPr>
              <w:t xml:space="preserve">.1 </w:t>
            </w:r>
            <w:r w:rsidRPr="00CF3BC4" w:rsidR="00A957C9">
              <w:rPr>
                <w:b/>
                <w:bCs/>
                <w:i/>
                <w:iCs/>
                <w:sz w:val="20"/>
                <w:szCs w:val="20"/>
              </w:rPr>
              <w:t xml:space="preserve">Please list all planned upcoming Gavi investments (e.g.  </w:t>
            </w:r>
            <w:r w:rsidR="00016A9B">
              <w:rPr>
                <w:b/>
                <w:bCs/>
                <w:i/>
                <w:iCs/>
                <w:sz w:val="20"/>
                <w:szCs w:val="20"/>
              </w:rPr>
              <w:t>new vaccine support</w:t>
            </w:r>
            <w:r w:rsidRPr="00CF3BC4" w:rsidR="00A957C9">
              <w:rPr>
                <w:b/>
                <w:bCs/>
                <w:i/>
                <w:iCs/>
                <w:sz w:val="20"/>
                <w:szCs w:val="20"/>
              </w:rPr>
              <w:t xml:space="preserve">, CCEOP) that would require TA support within the planned period, including Full Portfolio Planning process and describe how the </w:t>
            </w:r>
            <w:r w:rsidR="00372D1F">
              <w:rPr>
                <w:b/>
                <w:bCs/>
                <w:i/>
                <w:iCs/>
                <w:sz w:val="20"/>
                <w:szCs w:val="20"/>
              </w:rPr>
              <w:t>TCA</w:t>
            </w:r>
            <w:r w:rsidRPr="00CF3BC4" w:rsidR="00A957C9">
              <w:rPr>
                <w:b/>
                <w:bCs/>
                <w:i/>
                <w:iCs/>
                <w:sz w:val="20"/>
                <w:szCs w:val="20"/>
              </w:rPr>
              <w:t xml:space="preserve"> plan will be aligned with the ongoing and/or planned investments made by Gavi</w:t>
            </w:r>
            <w:r w:rsidR="005F6AD5">
              <w:rPr>
                <w:b/>
                <w:bCs/>
                <w:i/>
                <w:iCs/>
                <w:sz w:val="20"/>
                <w:szCs w:val="20"/>
              </w:rPr>
              <w:t>.</w:t>
            </w:r>
          </w:p>
        </w:tc>
      </w:tr>
      <w:tr w:rsidRPr="006A272B" w:rsidR="00A957C9" w:rsidTr="005F26FC" w14:paraId="7B4C9334" w14:textId="77777777">
        <w:trPr>
          <w:trHeight w:val="50"/>
        </w:trPr>
        <w:tc>
          <w:tcPr>
            <w:tcW w:w="9192" w:type="dxa"/>
            <w:tcBorders>
              <w:top w:val="single" w:color="auto" w:sz="4" w:space="0"/>
              <w:left w:val="single" w:color="auto" w:sz="4" w:space="0"/>
              <w:bottom w:val="single" w:color="auto" w:sz="4" w:space="0"/>
              <w:right w:val="single" w:color="auto" w:sz="4" w:space="0"/>
            </w:tcBorders>
          </w:tcPr>
          <w:p w:rsidRPr="00A27BDD" w:rsidR="004F7299" w:rsidP="004F7299" w:rsidRDefault="004F7299" w14:paraId="30DFA13E" w14:textId="77777777">
            <w:pPr>
              <w:spacing w:line="300" w:lineRule="exact"/>
              <w:jc w:val="both"/>
              <w:rPr>
                <w:sz w:val="20"/>
                <w:szCs w:val="20"/>
                <w:lang w:val="en-US"/>
              </w:rPr>
            </w:pPr>
            <w:r w:rsidRPr="00A27BDD">
              <w:rPr>
                <w:sz w:val="20"/>
                <w:szCs w:val="20"/>
                <w:lang w:val="en-US"/>
              </w:rPr>
              <w:t>Gavi investments requiring technical support for 2022-2025:</w:t>
            </w:r>
          </w:p>
          <w:p w:rsidRPr="00A27BDD" w:rsidR="004F7299" w:rsidP="004F7299" w:rsidRDefault="004F7299" w14:paraId="0E399873" w14:textId="77777777">
            <w:pPr>
              <w:spacing w:line="300" w:lineRule="exact"/>
              <w:ind w:left="360"/>
              <w:jc w:val="both"/>
              <w:rPr>
                <w:sz w:val="20"/>
                <w:szCs w:val="20"/>
                <w:lang w:val="en-US"/>
              </w:rPr>
            </w:pPr>
            <w:r w:rsidRPr="00A27BDD">
              <w:rPr>
                <w:sz w:val="20"/>
                <w:szCs w:val="20"/>
                <w:lang w:val="en-US"/>
              </w:rPr>
              <w:t>• Updated vaccine cost estimates for the planned program and vaccine cost projections for in-country immunization program support activities to mobilize the necessary financial resources;</w:t>
            </w:r>
          </w:p>
          <w:p w:rsidRPr="00A27BDD" w:rsidR="004F7299" w:rsidP="004F7299" w:rsidRDefault="004F7299" w14:paraId="529A2DD9" w14:textId="77777777">
            <w:pPr>
              <w:spacing w:line="300" w:lineRule="exact"/>
              <w:ind w:left="360"/>
              <w:jc w:val="both"/>
              <w:rPr>
                <w:sz w:val="20"/>
                <w:szCs w:val="20"/>
                <w:lang w:val="en-US"/>
              </w:rPr>
            </w:pPr>
            <w:r w:rsidRPr="00A27BDD">
              <w:rPr>
                <w:sz w:val="20"/>
                <w:szCs w:val="20"/>
                <w:lang w:val="en-US"/>
              </w:rPr>
              <w:t>• Implementation of the recommendations of the EWM improvement plan;</w:t>
            </w:r>
          </w:p>
          <w:p w:rsidRPr="00A27BDD" w:rsidR="004F7299" w:rsidP="004F7299" w:rsidRDefault="004F7299" w14:paraId="7FDDAEE7" w14:textId="77777777">
            <w:pPr>
              <w:spacing w:line="300" w:lineRule="exact"/>
              <w:ind w:left="360"/>
              <w:jc w:val="both"/>
              <w:rPr>
                <w:sz w:val="20"/>
                <w:szCs w:val="20"/>
                <w:lang w:val="en-US"/>
              </w:rPr>
            </w:pPr>
            <w:r w:rsidRPr="00A27BDD">
              <w:rPr>
                <w:sz w:val="20"/>
                <w:szCs w:val="20"/>
                <w:lang w:val="en-US"/>
              </w:rPr>
              <w:t>• Full cold chain inventory and country needs assessment;</w:t>
            </w:r>
          </w:p>
          <w:p w:rsidRPr="00A27BDD" w:rsidR="004F7299" w:rsidP="004F7299" w:rsidRDefault="004F7299" w14:paraId="768BC249" w14:textId="77777777">
            <w:pPr>
              <w:spacing w:line="300" w:lineRule="exact"/>
              <w:ind w:left="360"/>
              <w:jc w:val="both"/>
              <w:rPr>
                <w:sz w:val="20"/>
                <w:szCs w:val="20"/>
                <w:lang w:val="en-US"/>
              </w:rPr>
            </w:pPr>
            <w:r w:rsidRPr="00A27BDD">
              <w:rPr>
                <w:sz w:val="20"/>
                <w:szCs w:val="20"/>
                <w:lang w:val="en-US"/>
              </w:rPr>
              <w:t>• Work on the legal framework to ensure sustainability and quality of the vaccine storage and distribution system;</w:t>
            </w:r>
          </w:p>
          <w:p w:rsidRPr="00A27BDD" w:rsidR="004F7299" w:rsidP="004F7299" w:rsidRDefault="004F7299" w14:paraId="6AA959C9" w14:textId="77777777">
            <w:pPr>
              <w:spacing w:line="300" w:lineRule="exact"/>
              <w:ind w:left="360"/>
              <w:jc w:val="both"/>
              <w:rPr>
                <w:sz w:val="20"/>
                <w:szCs w:val="20"/>
                <w:lang w:val="en-US"/>
              </w:rPr>
            </w:pPr>
            <w:r w:rsidRPr="00A27BDD">
              <w:rPr>
                <w:sz w:val="20"/>
                <w:szCs w:val="20"/>
                <w:lang w:val="en-US"/>
              </w:rPr>
              <w:t>• Supervisory visits using the EVM tool;</w:t>
            </w:r>
          </w:p>
          <w:p w:rsidRPr="00A27BDD" w:rsidR="004F7299" w:rsidP="004F7299" w:rsidRDefault="004F7299" w14:paraId="7DE66A2E" w14:textId="77777777">
            <w:pPr>
              <w:spacing w:line="300" w:lineRule="exact"/>
              <w:ind w:left="360"/>
              <w:jc w:val="both"/>
              <w:rPr>
                <w:sz w:val="20"/>
                <w:szCs w:val="20"/>
                <w:lang w:val="en-US"/>
              </w:rPr>
            </w:pPr>
            <w:r w:rsidRPr="00A27BDD">
              <w:rPr>
                <w:sz w:val="20"/>
                <w:szCs w:val="20"/>
                <w:lang w:val="en-US"/>
              </w:rPr>
              <w:t>• Conducting an EVM assessment;</w:t>
            </w:r>
          </w:p>
          <w:p w:rsidRPr="00A27BDD" w:rsidR="004F7299" w:rsidP="004F7299" w:rsidRDefault="004F7299" w14:paraId="0B8451B6" w14:textId="77777777">
            <w:pPr>
              <w:spacing w:line="300" w:lineRule="exact"/>
              <w:ind w:left="360"/>
              <w:jc w:val="both"/>
              <w:rPr>
                <w:sz w:val="20"/>
                <w:szCs w:val="20"/>
                <w:lang w:val="en-US"/>
              </w:rPr>
            </w:pPr>
            <w:r w:rsidRPr="00A27BDD">
              <w:rPr>
                <w:sz w:val="20"/>
                <w:szCs w:val="20"/>
                <w:lang w:val="en-US"/>
              </w:rPr>
              <w:t xml:space="preserve">• Strengthening the capacity of the RCI to conduct AEFI causality assessments, using </w:t>
            </w:r>
            <w:proofErr w:type="spellStart"/>
            <w:r w:rsidRPr="00A27BDD">
              <w:rPr>
                <w:sz w:val="20"/>
                <w:szCs w:val="20"/>
                <w:lang w:val="en-US"/>
              </w:rPr>
              <w:t>VigiBase</w:t>
            </w:r>
            <w:proofErr w:type="spellEnd"/>
            <w:r w:rsidRPr="00A27BDD">
              <w:rPr>
                <w:sz w:val="20"/>
                <w:szCs w:val="20"/>
                <w:lang w:val="en-US"/>
              </w:rPr>
              <w:t xml:space="preserve"> and </w:t>
            </w:r>
            <w:proofErr w:type="spellStart"/>
            <w:r w:rsidRPr="00A27BDD">
              <w:rPr>
                <w:sz w:val="20"/>
                <w:szCs w:val="20"/>
                <w:lang w:val="en-US"/>
              </w:rPr>
              <w:t>VigiFlow</w:t>
            </w:r>
            <w:proofErr w:type="spellEnd"/>
            <w:r w:rsidRPr="00A27BDD">
              <w:rPr>
                <w:sz w:val="20"/>
                <w:szCs w:val="20"/>
                <w:lang w:val="en-US"/>
              </w:rPr>
              <w:t xml:space="preserve">, building the national AEFI database; </w:t>
            </w:r>
          </w:p>
          <w:p w:rsidRPr="00A27BDD" w:rsidR="004F7299" w:rsidP="004F7299" w:rsidRDefault="004F7299" w14:paraId="6E3F7547" w14:textId="77777777">
            <w:pPr>
              <w:spacing w:line="300" w:lineRule="exact"/>
              <w:ind w:left="360"/>
              <w:jc w:val="both"/>
              <w:rPr>
                <w:sz w:val="20"/>
                <w:szCs w:val="20"/>
                <w:lang w:val="en-US"/>
              </w:rPr>
            </w:pPr>
            <w:r w:rsidRPr="00A27BDD">
              <w:rPr>
                <w:sz w:val="20"/>
                <w:szCs w:val="20"/>
                <w:lang w:val="en-US"/>
              </w:rPr>
              <w:t>• Capacity Building;</w:t>
            </w:r>
          </w:p>
          <w:p w:rsidRPr="00A27BDD" w:rsidR="004F7299" w:rsidP="004F7299" w:rsidRDefault="004F7299" w14:paraId="13830D8C" w14:textId="77777777">
            <w:pPr>
              <w:spacing w:line="300" w:lineRule="exact"/>
              <w:ind w:left="360"/>
              <w:jc w:val="both"/>
              <w:rPr>
                <w:sz w:val="20"/>
                <w:szCs w:val="20"/>
                <w:lang w:val="en-US"/>
              </w:rPr>
            </w:pPr>
            <w:r w:rsidRPr="00A27BDD">
              <w:rPr>
                <w:sz w:val="20"/>
                <w:szCs w:val="20"/>
                <w:lang w:val="en-US"/>
              </w:rPr>
              <w:t xml:space="preserve">• HPV vaccine Post-introduction evaluation; </w:t>
            </w:r>
          </w:p>
          <w:p w:rsidRPr="00A27BDD" w:rsidR="004F7299" w:rsidP="004F7299" w:rsidRDefault="004F7299" w14:paraId="25AB64F0" w14:textId="77777777">
            <w:pPr>
              <w:spacing w:line="300" w:lineRule="exact"/>
              <w:ind w:left="360"/>
              <w:jc w:val="both"/>
              <w:rPr>
                <w:sz w:val="20"/>
                <w:szCs w:val="20"/>
                <w:lang w:val="en-US"/>
              </w:rPr>
            </w:pPr>
            <w:r w:rsidRPr="00A27BDD">
              <w:rPr>
                <w:sz w:val="20"/>
                <w:szCs w:val="20"/>
                <w:lang w:val="en-US"/>
              </w:rPr>
              <w:t>• Expanding the use of the DHIS2 platform for working with immunization program data;</w:t>
            </w:r>
          </w:p>
          <w:p w:rsidRPr="00A27BDD" w:rsidR="004F7299" w:rsidP="004F7299" w:rsidRDefault="004F7299" w14:paraId="3B4C240E" w14:textId="77777777">
            <w:pPr>
              <w:spacing w:line="300" w:lineRule="exact"/>
              <w:ind w:left="360"/>
              <w:jc w:val="both"/>
              <w:rPr>
                <w:sz w:val="20"/>
                <w:szCs w:val="20"/>
                <w:lang w:val="en-US"/>
              </w:rPr>
            </w:pPr>
            <w:r w:rsidRPr="00A27BDD">
              <w:rPr>
                <w:sz w:val="20"/>
                <w:szCs w:val="20"/>
                <w:lang w:val="en-US"/>
              </w:rPr>
              <w:t>• Improvement of the data management (following recommendations from previous assessments) and the ability to use data for follow-up actions;</w:t>
            </w:r>
          </w:p>
          <w:p w:rsidRPr="00A27BDD" w:rsidR="004F7299" w:rsidP="004F7299" w:rsidRDefault="004F7299" w14:paraId="730FF0E5" w14:textId="77777777">
            <w:pPr>
              <w:spacing w:line="300" w:lineRule="exact"/>
              <w:ind w:left="360"/>
              <w:jc w:val="both"/>
              <w:rPr>
                <w:sz w:val="20"/>
                <w:szCs w:val="20"/>
                <w:lang w:val="en-US"/>
              </w:rPr>
            </w:pPr>
            <w:r w:rsidRPr="00A27BDD">
              <w:rPr>
                <w:sz w:val="20"/>
                <w:szCs w:val="20"/>
                <w:lang w:val="en-US"/>
              </w:rPr>
              <w:t>• Support for digitalization of Immunization Information System;</w:t>
            </w:r>
          </w:p>
          <w:p w:rsidRPr="00A27BDD" w:rsidR="004F7299" w:rsidP="004F7299" w:rsidRDefault="004F7299" w14:paraId="459969CB" w14:textId="77777777">
            <w:pPr>
              <w:spacing w:line="300" w:lineRule="exact"/>
              <w:ind w:left="360"/>
              <w:jc w:val="both"/>
              <w:rPr>
                <w:sz w:val="20"/>
                <w:szCs w:val="20"/>
                <w:lang w:val="en-US"/>
              </w:rPr>
            </w:pPr>
            <w:r w:rsidRPr="00A27BDD">
              <w:rPr>
                <w:sz w:val="20"/>
                <w:szCs w:val="20"/>
                <w:lang w:val="en-US"/>
              </w:rPr>
              <w:t xml:space="preserve">• Subnational coverage estimates in the areas with high levels of migration and </w:t>
            </w:r>
            <w:proofErr w:type="gramStart"/>
            <w:r w:rsidRPr="00A27BDD">
              <w:rPr>
                <w:sz w:val="20"/>
                <w:szCs w:val="20"/>
                <w:lang w:val="en-US"/>
              </w:rPr>
              <w:t>poor quality</w:t>
            </w:r>
            <w:proofErr w:type="gramEnd"/>
            <w:r w:rsidRPr="00A27BDD">
              <w:rPr>
                <w:sz w:val="20"/>
                <w:szCs w:val="20"/>
                <w:lang w:val="en-US"/>
              </w:rPr>
              <w:t xml:space="preserve"> immunization coverage data;</w:t>
            </w:r>
          </w:p>
          <w:p w:rsidRPr="00A27BDD" w:rsidR="004F7299" w:rsidP="004F7299" w:rsidRDefault="004F7299" w14:paraId="297C5A1A" w14:textId="77777777">
            <w:pPr>
              <w:spacing w:line="300" w:lineRule="exact"/>
              <w:ind w:left="360"/>
              <w:jc w:val="both"/>
              <w:rPr>
                <w:sz w:val="20"/>
                <w:szCs w:val="20"/>
                <w:lang w:val="en-US"/>
              </w:rPr>
            </w:pPr>
            <w:r w:rsidRPr="00A27BDD">
              <w:rPr>
                <w:sz w:val="20"/>
                <w:szCs w:val="20"/>
                <w:lang w:val="en-US"/>
              </w:rPr>
              <w:lastRenderedPageBreak/>
              <w:t>• Strengthening VPD surveillance;</w:t>
            </w:r>
          </w:p>
          <w:p w:rsidRPr="00A27BDD" w:rsidR="004F7299" w:rsidP="004F7299" w:rsidRDefault="004F7299" w14:paraId="22996A9E" w14:textId="77777777">
            <w:pPr>
              <w:spacing w:line="300" w:lineRule="exact"/>
              <w:ind w:left="360"/>
              <w:jc w:val="both"/>
              <w:rPr>
                <w:sz w:val="20"/>
                <w:szCs w:val="20"/>
                <w:lang w:val="en-US"/>
              </w:rPr>
            </w:pPr>
            <w:r w:rsidRPr="00A27BDD">
              <w:rPr>
                <w:sz w:val="20"/>
                <w:szCs w:val="20"/>
                <w:lang w:val="en-US"/>
              </w:rPr>
              <w:t>• Provision of TA to conduct and implement qualitative research to support tailored interventions, including collection and analysis of data based on already developed management tools. Focus on the underserved populations;</w:t>
            </w:r>
          </w:p>
          <w:p w:rsidRPr="00A27BDD" w:rsidR="004F7299" w:rsidP="004F7299" w:rsidRDefault="004F7299" w14:paraId="729BFAB3" w14:textId="77777777">
            <w:pPr>
              <w:spacing w:line="300" w:lineRule="exact"/>
              <w:ind w:left="360"/>
              <w:jc w:val="both"/>
              <w:rPr>
                <w:sz w:val="20"/>
                <w:szCs w:val="20"/>
                <w:lang w:val="en-US"/>
              </w:rPr>
            </w:pPr>
            <w:r w:rsidRPr="00A27BDD">
              <w:rPr>
                <w:sz w:val="20"/>
                <w:szCs w:val="20"/>
                <w:lang w:val="en-US"/>
              </w:rPr>
              <w:t>• Provision of technical support for implementation and testing of the digital game-based educational module “Immune Patrol” in the school curriculum;</w:t>
            </w:r>
          </w:p>
          <w:p w:rsidRPr="00A27BDD" w:rsidR="004F7299" w:rsidP="004F7299" w:rsidRDefault="004F7299" w14:paraId="64ED93EB" w14:textId="77777777">
            <w:pPr>
              <w:spacing w:line="300" w:lineRule="exact"/>
              <w:ind w:left="360"/>
              <w:jc w:val="both"/>
              <w:rPr>
                <w:sz w:val="20"/>
                <w:szCs w:val="20"/>
                <w:lang w:val="en-US"/>
              </w:rPr>
            </w:pPr>
            <w:r w:rsidRPr="00A27BDD">
              <w:rPr>
                <w:sz w:val="20"/>
                <w:szCs w:val="20"/>
                <w:lang w:val="en-US"/>
              </w:rPr>
              <w:t>• Piloting and evaluating the immunization and vaccination training program that could be incorporated into training programs for health workers in specific countries;</w:t>
            </w:r>
          </w:p>
          <w:p w:rsidRPr="00A27BDD" w:rsidR="004F7299" w:rsidP="004F7299" w:rsidRDefault="004F7299" w14:paraId="095097FC" w14:textId="77777777">
            <w:pPr>
              <w:spacing w:line="300" w:lineRule="exact"/>
              <w:ind w:left="360"/>
              <w:jc w:val="both"/>
              <w:rPr>
                <w:sz w:val="20"/>
                <w:szCs w:val="20"/>
                <w:lang w:val="en-US"/>
              </w:rPr>
            </w:pPr>
            <w:r w:rsidRPr="00A27BDD">
              <w:rPr>
                <w:sz w:val="20"/>
                <w:szCs w:val="20"/>
                <w:lang w:val="en-US"/>
              </w:rPr>
              <w:t>• Strengthening surveillance of vaccine-preventable diseases;</w:t>
            </w:r>
          </w:p>
          <w:p w:rsidRPr="00A27BDD" w:rsidR="004F7299" w:rsidP="004F7299" w:rsidRDefault="004F7299" w14:paraId="73E34A74" w14:textId="77777777">
            <w:pPr>
              <w:spacing w:line="300" w:lineRule="exact"/>
              <w:ind w:left="360"/>
              <w:jc w:val="both"/>
              <w:rPr>
                <w:sz w:val="20"/>
                <w:szCs w:val="20"/>
                <w:highlight w:val="yellow"/>
                <w:lang w:val="en-US"/>
              </w:rPr>
            </w:pPr>
            <w:r w:rsidRPr="00A27BDD">
              <w:rPr>
                <w:sz w:val="20"/>
                <w:szCs w:val="20"/>
                <w:lang w:val="en-US"/>
              </w:rPr>
              <w:t>• Carry out full portfolio planning activities for the next TCA cycle (after 2025).</w:t>
            </w:r>
          </w:p>
          <w:p w:rsidRPr="00CC7CD3" w:rsidR="00A957C9" w:rsidP="00FC4A11" w:rsidRDefault="00A957C9" w14:paraId="2033B8FD" w14:textId="77777777">
            <w:pPr>
              <w:spacing w:line="300" w:lineRule="exact"/>
              <w:rPr>
                <w:lang w:val="en-US"/>
              </w:rPr>
            </w:pPr>
          </w:p>
        </w:tc>
      </w:tr>
    </w:tbl>
    <w:p w:rsidR="0090123D" w:rsidP="00FC4A11" w:rsidRDefault="0090123D" w14:paraId="658606AB" w14:textId="77777777">
      <w:pPr>
        <w:spacing w:line="300" w:lineRule="exact"/>
        <w:rPr>
          <w:b/>
          <w:color w:val="70AD47" w:themeColor="accent6"/>
          <w:sz w:val="26"/>
          <w:szCs w:val="26"/>
          <w:lang w:val="en-GB"/>
        </w:rPr>
      </w:pPr>
    </w:p>
    <w:p w:rsidRPr="0090123D" w:rsidR="00603CB9" w:rsidP="00CE1F57" w:rsidRDefault="00672E21" w14:paraId="1A7FCC98" w14:textId="47F91448">
      <w:pPr>
        <w:pStyle w:val="ListParagraph"/>
        <w:numPr>
          <w:ilvl w:val="0"/>
          <w:numId w:val="4"/>
        </w:numPr>
        <w:spacing w:line="300" w:lineRule="exact"/>
        <w:ind w:left="426"/>
        <w:rPr>
          <w:lang w:val="en-GB"/>
        </w:rPr>
      </w:pPr>
      <w:r>
        <w:rPr>
          <w:b/>
          <w:bCs/>
          <w:color w:val="70AD47" w:themeColor="accent6"/>
          <w:sz w:val="26"/>
          <w:szCs w:val="26"/>
          <w:lang w:val="en-GB"/>
        </w:rPr>
        <w:t>TCA Monitoring</w:t>
      </w:r>
      <w:r w:rsidRPr="08473C56" w:rsidR="00D14702">
        <w:rPr>
          <w:b/>
          <w:bCs/>
          <w:color w:val="70AD47" w:themeColor="accent6"/>
          <w:sz w:val="26"/>
          <w:szCs w:val="26"/>
          <w:lang w:val="en-GB"/>
        </w:rPr>
        <w:t xml:space="preserve"> (</w:t>
      </w:r>
      <w:r w:rsidR="0023395F">
        <w:rPr>
          <w:b/>
          <w:bCs/>
          <w:color w:val="70AD47" w:themeColor="accent6"/>
          <w:sz w:val="26"/>
          <w:szCs w:val="26"/>
          <w:lang w:val="en-GB"/>
        </w:rPr>
        <w:t>1</w:t>
      </w:r>
      <w:r w:rsidRPr="08473C56" w:rsidR="00D14702">
        <w:rPr>
          <w:b/>
          <w:bCs/>
          <w:color w:val="70AD47" w:themeColor="accent6"/>
          <w:sz w:val="26"/>
          <w:szCs w:val="26"/>
          <w:lang w:val="en-GB"/>
        </w:rPr>
        <w:t xml:space="preserve"> page)</w:t>
      </w:r>
    </w:p>
    <w:p w:rsidRPr="00A26F75" w:rsidR="00AB4B2D" w:rsidP="00FC4A11" w:rsidRDefault="00AB4B2D" w14:paraId="603C9386" w14:textId="77777777">
      <w:pPr>
        <w:pStyle w:val="ListParagraph"/>
        <w:spacing w:line="300" w:lineRule="exact"/>
        <w:ind w:left="0"/>
        <w:rPr>
          <w:lang w:val="en-GB"/>
        </w:rPr>
      </w:pPr>
    </w:p>
    <w:tbl>
      <w:tblPr>
        <w:tblStyle w:val="TableGrid"/>
        <w:tblW w:w="92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214"/>
      </w:tblGrid>
      <w:tr w:rsidRPr="00A957C9" w:rsidR="00A957C9" w:rsidTr="007612C6" w14:paraId="4BFA7B74" w14:textId="77777777">
        <w:tc>
          <w:tcPr>
            <w:tcW w:w="9214" w:type="dxa"/>
            <w:tcBorders>
              <w:bottom w:val="single" w:color="auto" w:sz="4" w:space="0"/>
            </w:tcBorders>
            <w:shd w:val="clear" w:color="auto" w:fill="F2F2F2" w:themeFill="background1" w:themeFillShade="F2"/>
          </w:tcPr>
          <w:p w:rsidRPr="00A957C9" w:rsidR="00AB4B2D" w:rsidP="00FC4A11" w:rsidRDefault="0023395F" w14:paraId="4522328F" w14:textId="19D81915">
            <w:pPr>
              <w:pStyle w:val="ListParagraph"/>
              <w:spacing w:line="300" w:lineRule="exact"/>
              <w:ind w:left="0"/>
              <w:rPr>
                <w:b/>
                <w:sz w:val="26"/>
                <w:szCs w:val="26"/>
              </w:rPr>
            </w:pPr>
            <w:r>
              <w:rPr>
                <w:b/>
                <w:bCs/>
                <w:i/>
                <w:iCs/>
                <w:sz w:val="20"/>
                <w:szCs w:val="20"/>
              </w:rPr>
              <w:t>6</w:t>
            </w:r>
            <w:r w:rsidR="005876B5">
              <w:rPr>
                <w:b/>
                <w:bCs/>
                <w:i/>
                <w:iCs/>
                <w:sz w:val="20"/>
                <w:szCs w:val="20"/>
              </w:rPr>
              <w:t xml:space="preserve">.1 </w:t>
            </w:r>
            <w:r w:rsidRPr="00A957C9" w:rsidR="00C47384">
              <w:rPr>
                <w:b/>
                <w:bCs/>
                <w:i/>
                <w:iCs/>
                <w:sz w:val="20"/>
                <w:szCs w:val="20"/>
              </w:rPr>
              <w:t xml:space="preserve">Please provide an outline of the </w:t>
            </w:r>
            <w:proofErr w:type="gramStart"/>
            <w:r w:rsidRPr="00A957C9" w:rsidR="00C47384">
              <w:rPr>
                <w:b/>
                <w:bCs/>
                <w:i/>
                <w:iCs/>
                <w:sz w:val="20"/>
                <w:szCs w:val="20"/>
              </w:rPr>
              <w:t>TCA</w:t>
            </w:r>
            <w:r w:rsidR="0023057A">
              <w:rPr>
                <w:b/>
                <w:bCs/>
                <w:i/>
                <w:iCs/>
                <w:sz w:val="20"/>
                <w:szCs w:val="20"/>
              </w:rPr>
              <w:t xml:space="preserve">  in</w:t>
            </w:r>
            <w:proofErr w:type="gramEnd"/>
            <w:r w:rsidR="0023057A">
              <w:rPr>
                <w:b/>
                <w:bCs/>
                <w:i/>
                <w:iCs/>
                <w:sz w:val="20"/>
                <w:szCs w:val="20"/>
              </w:rPr>
              <w:t>-country</w:t>
            </w:r>
            <w:r w:rsidRPr="00A957C9" w:rsidR="00C47384">
              <w:rPr>
                <w:b/>
                <w:bCs/>
                <w:i/>
                <w:iCs/>
                <w:sz w:val="20"/>
                <w:szCs w:val="20"/>
              </w:rPr>
              <w:t xml:space="preserve"> </w:t>
            </w:r>
            <w:r w:rsidR="00D57494">
              <w:rPr>
                <w:b/>
                <w:bCs/>
                <w:i/>
                <w:iCs/>
                <w:sz w:val="20"/>
                <w:szCs w:val="20"/>
              </w:rPr>
              <w:t xml:space="preserve">mechanism </w:t>
            </w:r>
            <w:r w:rsidRPr="00A957C9" w:rsidR="00C47384">
              <w:rPr>
                <w:b/>
                <w:bCs/>
                <w:i/>
                <w:iCs/>
                <w:sz w:val="20"/>
                <w:szCs w:val="20"/>
              </w:rPr>
              <w:t xml:space="preserve">to jointly monitor and track implementation progress and generation of results of the </w:t>
            </w:r>
            <w:r w:rsidR="00372D1F">
              <w:rPr>
                <w:b/>
                <w:bCs/>
                <w:i/>
                <w:iCs/>
                <w:sz w:val="20"/>
                <w:szCs w:val="20"/>
              </w:rPr>
              <w:t>TCA</w:t>
            </w:r>
            <w:r w:rsidRPr="00A957C9" w:rsidR="00C47384">
              <w:rPr>
                <w:b/>
                <w:bCs/>
                <w:i/>
                <w:iCs/>
                <w:sz w:val="20"/>
                <w:szCs w:val="20"/>
              </w:rPr>
              <w:t xml:space="preserve"> plan as a whole</w:t>
            </w:r>
            <w:r w:rsidR="00564856">
              <w:rPr>
                <w:b/>
                <w:bCs/>
                <w:i/>
                <w:iCs/>
                <w:sz w:val="20"/>
                <w:szCs w:val="20"/>
              </w:rPr>
              <w:t xml:space="preserve">. </w:t>
            </w:r>
            <w:r w:rsidRPr="00A957C9" w:rsidR="00564856">
              <w:rPr>
                <w:b/>
                <w:bCs/>
                <w:i/>
                <w:iCs/>
                <w:sz w:val="20"/>
                <w:szCs w:val="20"/>
              </w:rPr>
              <w:t>How will that information be used to adjust and improve programme implementation?</w:t>
            </w:r>
            <w:r w:rsidRPr="00A957C9" w:rsidR="00DD391A">
              <w:rPr>
                <w:b/>
                <w:bCs/>
                <w:i/>
                <w:iCs/>
                <w:sz w:val="20"/>
                <w:szCs w:val="20"/>
              </w:rPr>
              <w:t xml:space="preserve"> How frequently are data reviewed and used and who will be responsible to ensure that review and learning occurs?</w:t>
            </w:r>
          </w:p>
        </w:tc>
      </w:tr>
      <w:tr w:rsidRPr="006A272B" w:rsidR="00A957C9" w:rsidTr="007612C6" w14:paraId="4CAB625F" w14:textId="77777777">
        <w:tc>
          <w:tcPr>
            <w:tcW w:w="9214" w:type="dxa"/>
            <w:tcBorders>
              <w:top w:val="single" w:color="auto" w:sz="4" w:space="0"/>
              <w:left w:val="single" w:color="auto" w:sz="4" w:space="0"/>
              <w:bottom w:val="single" w:color="auto" w:sz="4" w:space="0"/>
              <w:right w:val="single" w:color="auto" w:sz="4" w:space="0"/>
            </w:tcBorders>
          </w:tcPr>
          <w:p w:rsidRPr="00A27BDD" w:rsidR="00A824CB" w:rsidP="00A824CB" w:rsidRDefault="00A824CB" w14:paraId="19F52BE4" w14:textId="77777777">
            <w:pPr>
              <w:spacing w:line="300" w:lineRule="exact"/>
              <w:rPr>
                <w:b/>
                <w:bCs/>
                <w:sz w:val="20"/>
                <w:szCs w:val="20"/>
                <w:lang w:val="en-GB"/>
              </w:rPr>
            </w:pPr>
            <w:r w:rsidRPr="00A27BDD">
              <w:rPr>
                <w:b/>
                <w:bCs/>
                <w:sz w:val="20"/>
                <w:szCs w:val="20"/>
                <w:lang w:val="en-GB"/>
              </w:rPr>
              <w:t>EPI/MOHSP:</w:t>
            </w:r>
          </w:p>
          <w:p w:rsidRPr="00A27BDD" w:rsidR="00A824CB" w:rsidP="00AC5093" w:rsidRDefault="00A824CB" w14:paraId="6DA17F53" w14:textId="77777777">
            <w:pPr>
              <w:pStyle w:val="Default"/>
              <w:numPr>
                <w:ilvl w:val="0"/>
                <w:numId w:val="9"/>
              </w:numPr>
              <w:rPr>
                <w:sz w:val="20"/>
                <w:szCs w:val="20"/>
              </w:rPr>
            </w:pPr>
            <w:r w:rsidRPr="00A27BDD">
              <w:rPr>
                <w:sz w:val="20"/>
                <w:szCs w:val="20"/>
              </w:rPr>
              <w:t xml:space="preserve">Lead the TCA planning and monitoring process including development of a comprehensive roadmap for implementation of activities and liaise with the Gavi Secretariat on partner mapping. </w:t>
            </w:r>
          </w:p>
          <w:p w:rsidRPr="00A27BDD" w:rsidR="00A824CB" w:rsidP="00AC5093" w:rsidRDefault="00A824CB" w14:paraId="679E8784" w14:textId="77777777">
            <w:pPr>
              <w:pStyle w:val="Default"/>
              <w:numPr>
                <w:ilvl w:val="0"/>
                <w:numId w:val="9"/>
              </w:numPr>
              <w:rPr>
                <w:sz w:val="20"/>
                <w:szCs w:val="20"/>
              </w:rPr>
            </w:pPr>
            <w:r w:rsidRPr="00A27BDD">
              <w:rPr>
                <w:sz w:val="20"/>
                <w:szCs w:val="20"/>
              </w:rPr>
              <w:t xml:space="preserve">Convene quarterly meetings, including joint appraisal (JA) or Multi-Stakeholder </w:t>
            </w:r>
            <w:proofErr w:type="spellStart"/>
            <w:r w:rsidRPr="00A27BDD">
              <w:rPr>
                <w:sz w:val="20"/>
                <w:szCs w:val="20"/>
              </w:rPr>
              <w:t>Dialoque</w:t>
            </w:r>
            <w:proofErr w:type="spellEnd"/>
            <w:r w:rsidRPr="00A27BDD">
              <w:rPr>
                <w:sz w:val="20"/>
                <w:szCs w:val="20"/>
              </w:rPr>
              <w:t xml:space="preserve"> (MSD), to review progress on TCA implementation and plan for following period. </w:t>
            </w:r>
          </w:p>
          <w:p w:rsidRPr="00A27BDD" w:rsidR="00A824CB" w:rsidP="00AC5093" w:rsidRDefault="00A824CB" w14:paraId="47C1B03D" w14:textId="77777777">
            <w:pPr>
              <w:pStyle w:val="Default"/>
              <w:numPr>
                <w:ilvl w:val="0"/>
                <w:numId w:val="9"/>
              </w:numPr>
              <w:rPr>
                <w:sz w:val="20"/>
                <w:szCs w:val="20"/>
              </w:rPr>
            </w:pPr>
            <w:r w:rsidRPr="00A27BDD">
              <w:rPr>
                <w:sz w:val="20"/>
                <w:szCs w:val="20"/>
              </w:rPr>
              <w:t xml:space="preserve">Proactively raise any concerns with TCA provision to partners, the Coordination Forum and the Gavi Secretariat. </w:t>
            </w:r>
          </w:p>
          <w:p w:rsidRPr="00A27BDD" w:rsidR="00A824CB" w:rsidP="00AC5093" w:rsidRDefault="00A824CB" w14:paraId="6C92F377" w14:textId="77777777">
            <w:pPr>
              <w:pStyle w:val="Default"/>
              <w:numPr>
                <w:ilvl w:val="0"/>
                <w:numId w:val="9"/>
              </w:numPr>
              <w:rPr>
                <w:sz w:val="20"/>
                <w:szCs w:val="20"/>
              </w:rPr>
            </w:pPr>
            <w:r w:rsidRPr="00A27BDD">
              <w:rPr>
                <w:sz w:val="20"/>
                <w:szCs w:val="20"/>
              </w:rPr>
              <w:t xml:space="preserve">Ensure relevant partners (including Gavi-identified and Gavi-prequalified partners) are included in TCA planning processes. Actively support the incorporation of Local Partners. </w:t>
            </w:r>
          </w:p>
          <w:p w:rsidRPr="00A27BDD" w:rsidR="00A824CB" w:rsidP="00AC5093" w:rsidRDefault="00A824CB" w14:paraId="5C931E3B" w14:textId="77777777">
            <w:pPr>
              <w:pStyle w:val="Default"/>
              <w:numPr>
                <w:ilvl w:val="0"/>
                <w:numId w:val="9"/>
              </w:numPr>
              <w:rPr>
                <w:sz w:val="20"/>
                <w:szCs w:val="20"/>
              </w:rPr>
            </w:pPr>
            <w:r w:rsidRPr="00A27BDD">
              <w:rPr>
                <w:sz w:val="20"/>
                <w:szCs w:val="20"/>
              </w:rPr>
              <w:t xml:space="preserve">Liaise with the Gavi Secretariat on the engagement mechanisms (identification, prequalification, selection and contracting) of Expanded Partners to align with Gavi’s Procurement and Competition policies. </w:t>
            </w:r>
          </w:p>
          <w:p w:rsidRPr="00A27BDD" w:rsidR="00A824CB" w:rsidP="00AC5093" w:rsidRDefault="00A824CB" w14:paraId="12FB9CF8" w14:textId="77777777">
            <w:pPr>
              <w:pStyle w:val="Default"/>
              <w:numPr>
                <w:ilvl w:val="0"/>
                <w:numId w:val="9"/>
              </w:numPr>
              <w:rPr>
                <w:sz w:val="20"/>
                <w:szCs w:val="20"/>
              </w:rPr>
            </w:pPr>
            <w:r w:rsidRPr="00A27BDD">
              <w:rPr>
                <w:sz w:val="20"/>
                <w:szCs w:val="20"/>
              </w:rPr>
              <w:t>Collaboratively determine, with the Gavi Secretariat, the proportion of available TCA funding that will be allocated between the two groupings of Core Partners and</w:t>
            </w:r>
            <w:r w:rsidRPr="00CC7CD3">
              <w:rPr>
                <w:sz w:val="22"/>
                <w:szCs w:val="22"/>
              </w:rPr>
              <w:t xml:space="preserve"> Expanded Partners </w:t>
            </w:r>
            <w:r w:rsidRPr="00A27BDD">
              <w:rPr>
                <w:sz w:val="20"/>
                <w:szCs w:val="20"/>
              </w:rPr>
              <w:t xml:space="preserve">respectively on a country-by-country basis as part of the TCA Plan Development stage. </w:t>
            </w:r>
          </w:p>
          <w:p w:rsidRPr="00A27BDD" w:rsidR="00A824CB" w:rsidP="00AC5093" w:rsidRDefault="00A824CB" w14:paraId="59C1A046" w14:textId="77777777">
            <w:pPr>
              <w:pStyle w:val="Default"/>
              <w:numPr>
                <w:ilvl w:val="0"/>
                <w:numId w:val="9"/>
              </w:numPr>
              <w:rPr>
                <w:sz w:val="20"/>
                <w:szCs w:val="20"/>
              </w:rPr>
            </w:pPr>
            <w:r w:rsidRPr="00A27BDD">
              <w:rPr>
                <w:sz w:val="20"/>
                <w:szCs w:val="20"/>
              </w:rPr>
              <w:t xml:space="preserve">Provide quarterly documented feedback on quality, relevance and impact of TCA to Coordination Forum and during the JA/MSD process </w:t>
            </w:r>
          </w:p>
          <w:p w:rsidRPr="00A27BDD" w:rsidR="00A824CB" w:rsidP="00AC5093" w:rsidRDefault="00A824CB" w14:paraId="742E7086" w14:textId="77777777">
            <w:pPr>
              <w:pStyle w:val="Default"/>
              <w:numPr>
                <w:ilvl w:val="0"/>
                <w:numId w:val="9"/>
              </w:numPr>
              <w:rPr>
                <w:sz w:val="20"/>
                <w:szCs w:val="20"/>
              </w:rPr>
            </w:pPr>
            <w:r w:rsidRPr="00A27BDD">
              <w:rPr>
                <w:sz w:val="20"/>
                <w:szCs w:val="20"/>
              </w:rPr>
              <w:t xml:space="preserve">Agree with partners on the contribution of staff time to be embedded </w:t>
            </w:r>
          </w:p>
          <w:p w:rsidRPr="00A27BDD" w:rsidR="00A824CB" w:rsidP="00AC5093" w:rsidRDefault="00A824CB" w14:paraId="349FAF61" w14:textId="77777777">
            <w:pPr>
              <w:pStyle w:val="Default"/>
              <w:numPr>
                <w:ilvl w:val="0"/>
                <w:numId w:val="9"/>
              </w:numPr>
              <w:rPr>
                <w:sz w:val="20"/>
                <w:szCs w:val="20"/>
              </w:rPr>
            </w:pPr>
            <w:r w:rsidRPr="00A27BDD">
              <w:rPr>
                <w:sz w:val="20"/>
                <w:szCs w:val="20"/>
              </w:rPr>
              <w:t xml:space="preserve">Development of a mutual accountability framework </w:t>
            </w:r>
          </w:p>
          <w:p w:rsidRPr="00A27BDD" w:rsidR="00A824CB" w:rsidP="00A824CB" w:rsidRDefault="00A824CB" w14:paraId="6D17E8E3" w14:textId="77777777">
            <w:pPr>
              <w:pStyle w:val="Default"/>
              <w:rPr>
                <w:sz w:val="20"/>
                <w:szCs w:val="20"/>
              </w:rPr>
            </w:pPr>
          </w:p>
          <w:p w:rsidRPr="00A27BDD" w:rsidR="00A824CB" w:rsidP="00A824CB" w:rsidRDefault="00A824CB" w14:paraId="494E45B3" w14:textId="77777777">
            <w:pPr>
              <w:pStyle w:val="Default"/>
              <w:rPr>
                <w:sz w:val="20"/>
                <w:szCs w:val="20"/>
              </w:rPr>
            </w:pPr>
            <w:r w:rsidRPr="00A27BDD">
              <w:rPr>
                <w:b/>
                <w:bCs/>
                <w:sz w:val="20"/>
                <w:szCs w:val="20"/>
              </w:rPr>
              <w:t xml:space="preserve">Coordination Forum </w:t>
            </w:r>
          </w:p>
          <w:p w:rsidRPr="00A27BDD" w:rsidR="00A824CB" w:rsidP="00AC5093" w:rsidRDefault="00A824CB" w14:paraId="5AD4B9F8" w14:textId="77777777">
            <w:pPr>
              <w:pStyle w:val="Default"/>
              <w:numPr>
                <w:ilvl w:val="0"/>
                <w:numId w:val="9"/>
              </w:numPr>
              <w:rPr>
                <w:sz w:val="20"/>
                <w:szCs w:val="20"/>
              </w:rPr>
            </w:pPr>
            <w:r w:rsidRPr="00A27BDD">
              <w:rPr>
                <w:sz w:val="20"/>
                <w:szCs w:val="20"/>
              </w:rPr>
              <w:t xml:space="preserve">Review quarterly TCA implementation progress and challenges and agree on corrective actions (at least bi-annually) and endorse plan for following year </w:t>
            </w:r>
          </w:p>
          <w:p w:rsidRPr="00A27BDD" w:rsidR="00A824CB" w:rsidP="00AC5093" w:rsidRDefault="00A824CB" w14:paraId="2DEF460C" w14:textId="77777777">
            <w:pPr>
              <w:pStyle w:val="Default"/>
              <w:numPr>
                <w:ilvl w:val="0"/>
                <w:numId w:val="9"/>
              </w:numPr>
              <w:rPr>
                <w:sz w:val="20"/>
                <w:szCs w:val="20"/>
              </w:rPr>
            </w:pPr>
            <w:r w:rsidRPr="00A27BDD">
              <w:rPr>
                <w:sz w:val="20"/>
                <w:szCs w:val="20"/>
              </w:rPr>
              <w:t xml:space="preserve">Review and validate any requests for adjustments to the TCA plan </w:t>
            </w:r>
          </w:p>
          <w:p w:rsidRPr="00A27BDD" w:rsidR="00A824CB" w:rsidP="00A824CB" w:rsidRDefault="00A824CB" w14:paraId="70FCEAE5" w14:textId="77777777">
            <w:pPr>
              <w:pStyle w:val="Default"/>
              <w:rPr>
                <w:sz w:val="20"/>
                <w:szCs w:val="20"/>
              </w:rPr>
            </w:pPr>
          </w:p>
          <w:p w:rsidRPr="00A27BDD" w:rsidR="00A824CB" w:rsidP="00A824CB" w:rsidRDefault="00A824CB" w14:paraId="31CC399F" w14:textId="77777777">
            <w:pPr>
              <w:pStyle w:val="Default"/>
              <w:rPr>
                <w:sz w:val="20"/>
                <w:szCs w:val="20"/>
              </w:rPr>
            </w:pPr>
            <w:r w:rsidRPr="00A27BDD">
              <w:rPr>
                <w:b/>
                <w:bCs/>
                <w:sz w:val="20"/>
                <w:szCs w:val="20"/>
              </w:rPr>
              <w:t xml:space="preserve">Partners: UNICEF and WHO Regional Level </w:t>
            </w:r>
          </w:p>
          <w:p w:rsidRPr="00A27BDD" w:rsidR="00A824CB" w:rsidP="00AC5093" w:rsidRDefault="00A824CB" w14:paraId="02CB47EE" w14:textId="77777777">
            <w:pPr>
              <w:pStyle w:val="Default"/>
              <w:numPr>
                <w:ilvl w:val="0"/>
                <w:numId w:val="9"/>
              </w:numPr>
              <w:rPr>
                <w:sz w:val="20"/>
                <w:szCs w:val="20"/>
              </w:rPr>
            </w:pPr>
            <w:r w:rsidRPr="00A27BDD">
              <w:rPr>
                <w:sz w:val="20"/>
                <w:szCs w:val="20"/>
              </w:rPr>
              <w:t xml:space="preserve">Monitor progress on TCA delivery throughout the year (including review of regular TCA reporting) and support countries in identifying and overcoming challenges or bottlenecks </w:t>
            </w:r>
          </w:p>
          <w:p w:rsidRPr="00A27BDD" w:rsidR="00A824CB" w:rsidP="00AC5093" w:rsidRDefault="00A824CB" w14:paraId="4B932DA8" w14:textId="77777777">
            <w:pPr>
              <w:pStyle w:val="Default"/>
              <w:numPr>
                <w:ilvl w:val="0"/>
                <w:numId w:val="9"/>
              </w:numPr>
              <w:rPr>
                <w:sz w:val="20"/>
                <w:szCs w:val="20"/>
              </w:rPr>
            </w:pPr>
            <w:r w:rsidRPr="00A27BDD">
              <w:rPr>
                <w:sz w:val="20"/>
                <w:szCs w:val="20"/>
              </w:rPr>
              <w:t xml:space="preserve">Support dissemination of guidance, tools, and decisions from PT/ACT to country level staff </w:t>
            </w:r>
          </w:p>
          <w:p w:rsidRPr="00A27BDD" w:rsidR="00A824CB" w:rsidP="00AC5093" w:rsidRDefault="00A824CB" w14:paraId="684B68B6" w14:textId="77777777">
            <w:pPr>
              <w:pStyle w:val="Default"/>
              <w:numPr>
                <w:ilvl w:val="0"/>
                <w:numId w:val="9"/>
              </w:numPr>
              <w:rPr>
                <w:sz w:val="20"/>
                <w:szCs w:val="20"/>
              </w:rPr>
            </w:pPr>
            <w:r w:rsidRPr="00A27BDD">
              <w:rPr>
                <w:sz w:val="20"/>
                <w:szCs w:val="20"/>
              </w:rPr>
              <w:t xml:space="preserve">Facilitate lessons learned and best practices from planning, implementation and monitoring of TCA in countries </w:t>
            </w:r>
          </w:p>
          <w:p w:rsidRPr="00A27BDD" w:rsidR="00A824CB" w:rsidP="00AC5093" w:rsidRDefault="00A824CB" w14:paraId="2FFD076D" w14:textId="2AB04CFC">
            <w:pPr>
              <w:pStyle w:val="Default"/>
              <w:numPr>
                <w:ilvl w:val="0"/>
                <w:numId w:val="9"/>
              </w:numPr>
              <w:rPr>
                <w:sz w:val="20"/>
                <w:szCs w:val="20"/>
              </w:rPr>
            </w:pPr>
            <w:r w:rsidRPr="00A27BDD">
              <w:rPr>
                <w:sz w:val="20"/>
                <w:szCs w:val="20"/>
              </w:rPr>
              <w:lastRenderedPageBreak/>
              <w:t xml:space="preserve">Review of TCA plans prior to submission to Gavi to ensure alignment with TCA guidance and allow for clearance before proposals are shared with HQs and ultimately Gavi Secretariat </w:t>
            </w:r>
          </w:p>
          <w:p w:rsidRPr="00A27BDD" w:rsidR="00B23580" w:rsidP="00B23580" w:rsidRDefault="00B23580" w14:paraId="2EF79DBB" w14:textId="77777777">
            <w:pPr>
              <w:pStyle w:val="Default"/>
              <w:numPr>
                <w:ilvl w:val="0"/>
                <w:numId w:val="9"/>
              </w:numPr>
              <w:rPr>
                <w:sz w:val="20"/>
                <w:szCs w:val="20"/>
              </w:rPr>
            </w:pPr>
            <w:r w:rsidRPr="00A27BDD">
              <w:rPr>
                <w:sz w:val="20"/>
                <w:szCs w:val="20"/>
              </w:rPr>
              <w:t>R</w:t>
            </w:r>
            <w:proofErr w:type="spellStart"/>
            <w:r w:rsidRPr="00A27BDD">
              <w:rPr>
                <w:sz w:val="20"/>
                <w:szCs w:val="20"/>
                <w:lang w:val="en"/>
              </w:rPr>
              <w:t>eport</w:t>
            </w:r>
            <w:proofErr w:type="spellEnd"/>
            <w:r w:rsidRPr="00A27BDD">
              <w:rPr>
                <w:sz w:val="20"/>
                <w:szCs w:val="20"/>
                <w:lang w:val="en"/>
              </w:rPr>
              <w:t xml:space="preserve"> on/share updates on usage of TCA funds</w:t>
            </w:r>
          </w:p>
          <w:p w:rsidRPr="00A27BDD" w:rsidR="00B23580" w:rsidP="00A824CB" w:rsidRDefault="00B23580" w14:paraId="1922E99A" w14:textId="77777777">
            <w:pPr>
              <w:pStyle w:val="Default"/>
              <w:rPr>
                <w:b/>
                <w:bCs/>
                <w:sz w:val="20"/>
                <w:szCs w:val="20"/>
              </w:rPr>
            </w:pPr>
          </w:p>
          <w:p w:rsidRPr="00A27BDD" w:rsidR="00A824CB" w:rsidP="00A824CB" w:rsidRDefault="00A824CB" w14:paraId="7EF74750" w14:textId="59A7E5AC">
            <w:pPr>
              <w:pStyle w:val="Default"/>
              <w:rPr>
                <w:sz w:val="20"/>
                <w:szCs w:val="20"/>
              </w:rPr>
            </w:pPr>
            <w:r w:rsidRPr="00A27BDD">
              <w:rPr>
                <w:b/>
                <w:bCs/>
                <w:sz w:val="20"/>
                <w:szCs w:val="20"/>
              </w:rPr>
              <w:t xml:space="preserve">Partners: UNICEF and WHO HQ Level </w:t>
            </w:r>
          </w:p>
          <w:p w:rsidRPr="00A27BDD" w:rsidR="00A824CB" w:rsidP="00AC5093" w:rsidRDefault="00A824CB" w14:paraId="6F77C08B" w14:textId="77777777">
            <w:pPr>
              <w:pStyle w:val="Default"/>
              <w:numPr>
                <w:ilvl w:val="0"/>
                <w:numId w:val="9"/>
              </w:numPr>
              <w:rPr>
                <w:sz w:val="20"/>
                <w:szCs w:val="20"/>
              </w:rPr>
            </w:pPr>
            <w:r w:rsidRPr="00A27BDD">
              <w:rPr>
                <w:sz w:val="20"/>
                <w:szCs w:val="20"/>
              </w:rPr>
              <w:t xml:space="preserve">Review submission of TCA milestone reports of priority countries before reporting deadlines and provide reporting feedback via the Partner Portal </w:t>
            </w:r>
          </w:p>
          <w:p w:rsidRPr="00A27BDD" w:rsidR="00A824CB" w:rsidP="00AC5093" w:rsidRDefault="00A824CB" w14:paraId="602297B2" w14:textId="77777777">
            <w:pPr>
              <w:pStyle w:val="Default"/>
              <w:numPr>
                <w:ilvl w:val="0"/>
                <w:numId w:val="9"/>
              </w:numPr>
              <w:rPr>
                <w:sz w:val="20"/>
                <w:szCs w:val="20"/>
              </w:rPr>
            </w:pPr>
            <w:r w:rsidRPr="00A27BDD">
              <w:rPr>
                <w:sz w:val="20"/>
                <w:szCs w:val="20"/>
              </w:rPr>
              <w:t xml:space="preserve">Disseminate guidance, tools, and decisions from PT, ACT, etc., to regional-level staff </w:t>
            </w:r>
          </w:p>
          <w:p w:rsidRPr="00A27BDD" w:rsidR="00AC5093" w:rsidP="00AC5093" w:rsidRDefault="00A824CB" w14:paraId="02D0AC3B" w14:textId="77777777">
            <w:pPr>
              <w:pStyle w:val="Default"/>
              <w:numPr>
                <w:ilvl w:val="0"/>
                <w:numId w:val="9"/>
              </w:numPr>
              <w:rPr>
                <w:sz w:val="20"/>
                <w:szCs w:val="20"/>
              </w:rPr>
            </w:pPr>
            <w:r w:rsidRPr="00A27BDD">
              <w:rPr>
                <w:sz w:val="20"/>
                <w:szCs w:val="20"/>
              </w:rPr>
              <w:t xml:space="preserve">Core Partners to submit HR and financial </w:t>
            </w:r>
            <w:proofErr w:type="spellStart"/>
            <w:r w:rsidRPr="00A27BDD">
              <w:rPr>
                <w:sz w:val="20"/>
                <w:szCs w:val="20"/>
              </w:rPr>
              <w:t>utilisation</w:t>
            </w:r>
            <w:proofErr w:type="spellEnd"/>
            <w:r w:rsidRPr="00A27BDD">
              <w:rPr>
                <w:sz w:val="20"/>
                <w:szCs w:val="20"/>
              </w:rPr>
              <w:t xml:space="preserve"> reports to the Gavi Secretariat as per the respective clause in the country-specific MoUs</w:t>
            </w:r>
          </w:p>
          <w:p w:rsidRPr="00A27BDD" w:rsidR="00B23580" w:rsidP="00D56FC7" w:rsidRDefault="00AC5093" w14:paraId="0A23C189" w14:textId="53E6E198">
            <w:pPr>
              <w:pStyle w:val="Default"/>
              <w:numPr>
                <w:ilvl w:val="0"/>
                <w:numId w:val="9"/>
              </w:numPr>
              <w:rPr>
                <w:sz w:val="20"/>
                <w:szCs w:val="20"/>
              </w:rPr>
            </w:pPr>
            <w:r w:rsidRPr="00A27BDD">
              <w:rPr>
                <w:sz w:val="20"/>
                <w:szCs w:val="20"/>
              </w:rPr>
              <w:t>R</w:t>
            </w:r>
            <w:proofErr w:type="spellStart"/>
            <w:r w:rsidRPr="00A27BDD" w:rsidR="00B23580">
              <w:rPr>
                <w:sz w:val="20"/>
                <w:szCs w:val="20"/>
                <w:lang w:val="en"/>
              </w:rPr>
              <w:t>eport</w:t>
            </w:r>
            <w:proofErr w:type="spellEnd"/>
            <w:r w:rsidRPr="00A27BDD" w:rsidR="00B23580">
              <w:rPr>
                <w:sz w:val="20"/>
                <w:szCs w:val="20"/>
                <w:lang w:val="en"/>
              </w:rPr>
              <w:t xml:space="preserve"> on/share updates on usage of TCA funds</w:t>
            </w:r>
          </w:p>
          <w:p w:rsidRPr="00A27BDD" w:rsidR="00A558F5" w:rsidP="00A824CB" w:rsidRDefault="00A558F5" w14:paraId="3A329BC2" w14:textId="77777777">
            <w:pPr>
              <w:pStyle w:val="Default"/>
              <w:rPr>
                <w:b/>
                <w:bCs/>
                <w:sz w:val="20"/>
                <w:szCs w:val="20"/>
              </w:rPr>
            </w:pPr>
          </w:p>
          <w:p w:rsidRPr="00A27BDD" w:rsidR="00A558F5" w:rsidP="00A824CB" w:rsidRDefault="00A558F5" w14:paraId="541B39B3" w14:textId="15DF069A">
            <w:pPr>
              <w:pStyle w:val="Default"/>
              <w:rPr>
                <w:b/>
                <w:bCs/>
                <w:sz w:val="20"/>
                <w:szCs w:val="20"/>
              </w:rPr>
            </w:pPr>
            <w:r w:rsidRPr="00A27BDD">
              <w:rPr>
                <w:b/>
                <w:bCs/>
                <w:sz w:val="20"/>
                <w:szCs w:val="20"/>
              </w:rPr>
              <w:t>Gavi SFA working groups</w:t>
            </w:r>
          </w:p>
          <w:p w:rsidRPr="00A27BDD" w:rsidR="00A558F5" w:rsidP="00AC5093" w:rsidRDefault="00B71580" w14:paraId="280CFE57" w14:textId="6444C9F7">
            <w:pPr>
              <w:pStyle w:val="Default"/>
              <w:numPr>
                <w:ilvl w:val="0"/>
                <w:numId w:val="9"/>
              </w:numPr>
              <w:rPr>
                <w:b/>
                <w:bCs/>
                <w:sz w:val="20"/>
                <w:szCs w:val="20"/>
              </w:rPr>
            </w:pPr>
            <w:r w:rsidRPr="00A27BDD">
              <w:rPr>
                <w:sz w:val="20"/>
                <w:szCs w:val="20"/>
              </w:rPr>
              <w:t xml:space="preserve">Provide guidance to countries and partners on relevant TCA approaches </w:t>
            </w:r>
            <w:r w:rsidRPr="00A27BDD" w:rsidR="00347817">
              <w:rPr>
                <w:sz w:val="20"/>
                <w:szCs w:val="20"/>
              </w:rPr>
              <w:t>in their programmatic areas</w:t>
            </w:r>
          </w:p>
          <w:p w:rsidRPr="00A27BDD" w:rsidR="00347817" w:rsidP="00AC5093" w:rsidRDefault="00347817" w14:paraId="3E0504F6" w14:textId="6F92D549">
            <w:pPr>
              <w:pStyle w:val="Default"/>
              <w:numPr>
                <w:ilvl w:val="0"/>
                <w:numId w:val="9"/>
              </w:numPr>
              <w:rPr>
                <w:sz w:val="20"/>
                <w:szCs w:val="20"/>
              </w:rPr>
            </w:pPr>
            <w:r w:rsidRPr="00A27BDD">
              <w:rPr>
                <w:sz w:val="20"/>
                <w:szCs w:val="20"/>
              </w:rPr>
              <w:t>Monitor progress on TCA delivery throughout the year in their programmatic areas</w:t>
            </w:r>
          </w:p>
          <w:p w:rsidRPr="00A27BDD" w:rsidR="00A558F5" w:rsidP="00A824CB" w:rsidRDefault="00A558F5" w14:paraId="09A4E482" w14:textId="77777777">
            <w:pPr>
              <w:pStyle w:val="Default"/>
              <w:rPr>
                <w:b/>
                <w:bCs/>
                <w:sz w:val="20"/>
                <w:szCs w:val="20"/>
              </w:rPr>
            </w:pPr>
          </w:p>
          <w:p w:rsidRPr="00A27BDD" w:rsidR="00A824CB" w:rsidP="00A824CB" w:rsidRDefault="00A824CB" w14:paraId="1DD85E59" w14:textId="33817CFE">
            <w:pPr>
              <w:pStyle w:val="Default"/>
              <w:rPr>
                <w:sz w:val="20"/>
                <w:szCs w:val="20"/>
              </w:rPr>
            </w:pPr>
            <w:r w:rsidRPr="00A27BDD">
              <w:rPr>
                <w:b/>
                <w:bCs/>
                <w:sz w:val="20"/>
                <w:szCs w:val="20"/>
              </w:rPr>
              <w:t xml:space="preserve">Gavi Secretariat </w:t>
            </w:r>
          </w:p>
          <w:p w:rsidRPr="00A27BDD" w:rsidR="00A824CB" w:rsidP="00AC5093" w:rsidRDefault="00A824CB" w14:paraId="10A846D0" w14:textId="77777777">
            <w:pPr>
              <w:pStyle w:val="Default"/>
              <w:numPr>
                <w:ilvl w:val="0"/>
                <w:numId w:val="9"/>
              </w:numPr>
              <w:rPr>
                <w:sz w:val="20"/>
                <w:szCs w:val="20"/>
              </w:rPr>
            </w:pPr>
            <w:r w:rsidRPr="00A27BDD">
              <w:rPr>
                <w:sz w:val="20"/>
                <w:szCs w:val="20"/>
              </w:rPr>
              <w:t xml:space="preserve">Ensure clarity on process for TCA planning and reporting </w:t>
            </w:r>
          </w:p>
          <w:p w:rsidRPr="00A27BDD" w:rsidR="00A824CB" w:rsidP="00AC5093" w:rsidRDefault="00A824CB" w14:paraId="22B1622C" w14:textId="77777777">
            <w:pPr>
              <w:pStyle w:val="Default"/>
              <w:numPr>
                <w:ilvl w:val="0"/>
                <w:numId w:val="9"/>
              </w:numPr>
              <w:rPr>
                <w:sz w:val="20"/>
                <w:szCs w:val="20"/>
              </w:rPr>
            </w:pPr>
            <w:r w:rsidRPr="00A27BDD">
              <w:rPr>
                <w:sz w:val="20"/>
                <w:szCs w:val="20"/>
              </w:rPr>
              <w:t xml:space="preserve">Ensure the implementation of contracts follows Gavi Procurement process and policies </w:t>
            </w:r>
          </w:p>
          <w:p w:rsidRPr="00A27BDD" w:rsidR="00A824CB" w:rsidP="00AC5093" w:rsidRDefault="00A824CB" w14:paraId="0A0FE5D7" w14:textId="77777777">
            <w:pPr>
              <w:pStyle w:val="Default"/>
              <w:numPr>
                <w:ilvl w:val="0"/>
                <w:numId w:val="9"/>
              </w:numPr>
              <w:rPr>
                <w:sz w:val="20"/>
                <w:szCs w:val="20"/>
              </w:rPr>
            </w:pPr>
            <w:r w:rsidRPr="00A27BDD">
              <w:rPr>
                <w:sz w:val="20"/>
                <w:szCs w:val="20"/>
              </w:rPr>
              <w:t xml:space="preserve">Support in the mapping and engagement of partners for TA </w:t>
            </w:r>
          </w:p>
          <w:p w:rsidRPr="00A27BDD" w:rsidR="00A824CB" w:rsidP="00AC5093" w:rsidRDefault="00A824CB" w14:paraId="1EF110E5" w14:textId="77777777">
            <w:pPr>
              <w:pStyle w:val="Default"/>
              <w:numPr>
                <w:ilvl w:val="0"/>
                <w:numId w:val="9"/>
              </w:numPr>
              <w:rPr>
                <w:sz w:val="20"/>
                <w:szCs w:val="20"/>
              </w:rPr>
            </w:pPr>
            <w:r w:rsidRPr="00A27BDD">
              <w:rPr>
                <w:sz w:val="20"/>
                <w:szCs w:val="20"/>
              </w:rPr>
              <w:t xml:space="preserve">Engage in quarterly review of TCA in country; convene discussions if necessary; review partner reports (milestones, results and narratives) and provide timely feedback </w:t>
            </w:r>
          </w:p>
          <w:p w:rsidRPr="00A27BDD" w:rsidR="007B679D" w:rsidP="00AC5093" w:rsidRDefault="00A824CB" w14:paraId="21BF2A33" w14:textId="77777777">
            <w:pPr>
              <w:pStyle w:val="Default"/>
              <w:numPr>
                <w:ilvl w:val="0"/>
                <w:numId w:val="9"/>
              </w:numPr>
              <w:rPr>
                <w:sz w:val="20"/>
                <w:szCs w:val="20"/>
                <w:lang w:val="en-GB"/>
              </w:rPr>
            </w:pPr>
            <w:r w:rsidRPr="00A27BDD">
              <w:rPr>
                <w:sz w:val="20"/>
                <w:szCs w:val="20"/>
              </w:rPr>
              <w:t>Ensure robust discussion on planning for TCA through the JA, MSD, including link with other Gavi grants and results expected in the country</w:t>
            </w:r>
          </w:p>
          <w:p w:rsidRPr="006A272B" w:rsidR="00AB4B2D" w:rsidP="00AC5093" w:rsidRDefault="00A824CB" w14:paraId="635EF35F" w14:textId="73085559">
            <w:pPr>
              <w:pStyle w:val="Default"/>
              <w:numPr>
                <w:ilvl w:val="0"/>
                <w:numId w:val="9"/>
              </w:numPr>
              <w:rPr>
                <w:lang w:val="en-GB"/>
              </w:rPr>
            </w:pPr>
            <w:r w:rsidRPr="00A27BDD">
              <w:rPr>
                <w:sz w:val="20"/>
                <w:szCs w:val="20"/>
              </w:rPr>
              <w:t>Support development of a mutual accountability framework</w:t>
            </w:r>
          </w:p>
        </w:tc>
      </w:tr>
    </w:tbl>
    <w:p w:rsidR="007612C6" w:rsidP="00FC4A11" w:rsidRDefault="007612C6" w14:paraId="146AE6CC" w14:textId="77777777">
      <w:pPr>
        <w:spacing w:line="300" w:lineRule="exact"/>
        <w:rPr>
          <w:lang w:val="en-GB"/>
        </w:rPr>
      </w:pPr>
    </w:p>
    <w:sectPr w:rsidR="007612C6" w:rsidSect="007612C6">
      <w:headerReference w:type="even" r:id="rId18"/>
      <w:headerReference w:type="default" r:id="rId19"/>
      <w:footerReference w:type="even" r:id="rId20"/>
      <w:footerReference w:type="default" r:id="rId21"/>
      <w:headerReference w:type="first" r:id="rId22"/>
      <w:footerReference w:type="first" r:id="rId23"/>
      <w:pgSz w:w="12240" w:h="15840" w:orient="portrait"/>
      <w:pgMar w:top="1440" w:right="1608"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8416D" w:rsidP="00431CA9" w:rsidRDefault="0068416D" w14:paraId="4E7E3087" w14:textId="77777777">
      <w:pPr>
        <w:spacing w:line="240" w:lineRule="auto"/>
      </w:pPr>
      <w:r>
        <w:separator/>
      </w:r>
    </w:p>
  </w:endnote>
  <w:endnote w:type="continuationSeparator" w:id="0">
    <w:p w:rsidR="0068416D" w:rsidP="00431CA9" w:rsidRDefault="0068416D" w14:paraId="7A6C5B3C" w14:textId="77777777">
      <w:pPr>
        <w:spacing w:line="240" w:lineRule="auto"/>
      </w:pPr>
      <w:r>
        <w:continuationSeparator/>
      </w:r>
    </w:p>
  </w:endnote>
  <w:endnote w:type="continuationNotice" w:id="1">
    <w:p w:rsidR="0068416D" w:rsidRDefault="0068416D" w14:paraId="386B1179"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E77BF" w:rsidRDefault="009E77BF" w14:paraId="3CCE247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769279477"/>
      <w:docPartObj>
        <w:docPartGallery w:val="Page Numbers (Bottom of Page)"/>
        <w:docPartUnique/>
      </w:docPartObj>
    </w:sdtPr>
    <w:sdtEndPr>
      <w:rPr>
        <w:noProof/>
      </w:rPr>
    </w:sdtEndPr>
    <w:sdtContent>
      <w:p w:rsidR="009E77BF" w:rsidRDefault="009E77BF" w14:paraId="25F050AA" w14:textId="59C85FE8">
        <w:pPr>
          <w:pStyle w:val="Footer"/>
        </w:pPr>
        <w:r w:rsidRPr="00DA777C">
          <w:rPr>
            <w:sz w:val="20"/>
            <w:szCs w:val="20"/>
          </w:rPr>
          <w:fldChar w:fldCharType="begin"/>
        </w:r>
        <w:r w:rsidRPr="00DA777C">
          <w:rPr>
            <w:sz w:val="20"/>
            <w:szCs w:val="20"/>
          </w:rPr>
          <w:instrText xml:space="preserve"> PAGE   \* MERGEFORMAT </w:instrText>
        </w:r>
        <w:r w:rsidRPr="00DA777C">
          <w:rPr>
            <w:sz w:val="20"/>
            <w:szCs w:val="20"/>
          </w:rPr>
          <w:fldChar w:fldCharType="separate"/>
        </w:r>
        <w:r w:rsidRPr="00DA777C">
          <w:rPr>
            <w:noProof/>
            <w:sz w:val="20"/>
            <w:szCs w:val="20"/>
          </w:rPr>
          <w:t>2</w:t>
        </w:r>
        <w:r w:rsidRPr="00DA777C">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E77BF" w:rsidRDefault="009E77BF" w14:paraId="17AAD56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8416D" w:rsidP="00431CA9" w:rsidRDefault="0068416D" w14:paraId="43C549DF" w14:textId="77777777">
      <w:pPr>
        <w:spacing w:line="240" w:lineRule="auto"/>
      </w:pPr>
      <w:r>
        <w:separator/>
      </w:r>
    </w:p>
  </w:footnote>
  <w:footnote w:type="continuationSeparator" w:id="0">
    <w:p w:rsidR="0068416D" w:rsidP="00431CA9" w:rsidRDefault="0068416D" w14:paraId="2E43F1D5" w14:textId="77777777">
      <w:pPr>
        <w:spacing w:line="240" w:lineRule="auto"/>
      </w:pPr>
      <w:r>
        <w:continuationSeparator/>
      </w:r>
    </w:p>
  </w:footnote>
  <w:footnote w:type="continuationNotice" w:id="1">
    <w:p w:rsidR="0068416D" w:rsidRDefault="0068416D" w14:paraId="68F36D00" w14:textId="77777777">
      <w:pPr>
        <w:spacing w:line="240" w:lineRule="auto"/>
      </w:pPr>
    </w:p>
  </w:footnote>
  <w:footnote w:id="2">
    <w:p w:rsidR="009E77BF" w:rsidP="004E0FD3" w:rsidRDefault="009E77BF" w14:paraId="753560C0" w14:textId="77777777">
      <w:pPr>
        <w:rPr>
          <w:rFonts w:ascii="Calibri" w:hAnsi="Calibri" w:cs="Calibri"/>
          <w:color w:val="000000"/>
          <w:sz w:val="16"/>
          <w:szCs w:val="16"/>
          <w:lang w:val="en-GB" w:eastAsia="en-US"/>
        </w:rPr>
      </w:pPr>
      <w:r>
        <w:rPr>
          <w:rStyle w:val="FootnoteReference"/>
        </w:rPr>
        <w:footnoteRef/>
      </w:r>
      <w:r w:rsidRPr="0015480A">
        <w:rPr>
          <w:color w:val="000000"/>
          <w:sz w:val="16"/>
          <w:szCs w:val="16"/>
          <w:lang w:val="en-US"/>
        </w:rPr>
        <w:t xml:space="preserve"> E-Health Centre, MoH, 2018</w:t>
      </w:r>
    </w:p>
  </w:footnote>
  <w:footnote w:id="3">
    <w:p w:rsidRPr="0015480A" w:rsidR="009E77BF" w:rsidP="004E0FD3" w:rsidRDefault="009E77BF" w14:paraId="1D19B14D" w14:textId="77777777">
      <w:pPr>
        <w:rPr>
          <w:color w:val="000000"/>
          <w:sz w:val="16"/>
          <w:szCs w:val="16"/>
          <w:lang w:val="en-US"/>
        </w:rPr>
      </w:pPr>
      <w:r>
        <w:rPr>
          <w:rStyle w:val="FootnoteReference"/>
        </w:rPr>
        <w:footnoteRef/>
      </w:r>
      <w:r w:rsidRPr="0015480A">
        <w:rPr>
          <w:color w:val="000000"/>
          <w:sz w:val="16"/>
          <w:szCs w:val="16"/>
          <w:lang w:val="en-US"/>
        </w:rPr>
        <w:t xml:space="preserve"> WUENIC Data</w:t>
      </w:r>
    </w:p>
  </w:footnote>
  <w:footnote w:id="4">
    <w:p w:rsidR="009E77BF" w:rsidP="009E77BF" w:rsidRDefault="009E77BF" w14:paraId="536173C6" w14:textId="77777777">
      <w:pPr>
        <w:pBdr>
          <w:top w:val="nil"/>
          <w:left w:val="nil"/>
          <w:bottom w:val="nil"/>
          <w:right w:val="nil"/>
          <w:between w:val="nil"/>
        </w:pBdr>
        <w:rPr>
          <w:color w:val="000000"/>
          <w:sz w:val="16"/>
          <w:szCs w:val="16"/>
        </w:rPr>
      </w:pPr>
      <w:r>
        <w:rPr>
          <w:rStyle w:val="FootnoteReference"/>
        </w:rPr>
        <w:footnoteRef/>
      </w:r>
      <w:r>
        <w:rPr>
          <w:color w:val="000000"/>
          <w:sz w:val="16"/>
          <w:szCs w:val="16"/>
        </w:rPr>
        <w:t xml:space="preserve"> WUENIC Data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E77BF" w:rsidRDefault="009E77BF" w14:paraId="0C4F08D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adec="http://schemas.microsoft.com/office/drawing/2017/decorative" xmlns:pic="http://schemas.openxmlformats.org/drawingml/2006/picture" mc:Ignorable="w14 w15 w16se w16cid w16 w16cex w16sdtdh wp14">
  <w:p w:rsidR="009E77BF" w:rsidRDefault="009E77BF" w14:paraId="59757D54" w14:textId="6021F0DD">
    <w:pPr>
      <w:pStyle w:val="Header"/>
    </w:pPr>
    <w:r w:rsidRPr="00892432">
      <w:rPr>
        <w:noProof/>
      </w:rPr>
      <mc:AlternateContent>
        <mc:Choice Requires="wps">
          <w:drawing>
            <wp:anchor distT="0" distB="0" distL="114300" distR="114300" simplePos="0" relativeHeight="251658243" behindDoc="0" locked="0" layoutInCell="1" allowOverlap="1" wp14:anchorId="5C072E57" wp14:editId="6081769F">
              <wp:simplePos x="0" y="0"/>
              <wp:positionH relativeFrom="page">
                <wp:posOffset>1466215</wp:posOffset>
              </wp:positionH>
              <wp:positionV relativeFrom="topMargin">
                <wp:posOffset>52070</wp:posOffset>
              </wp:positionV>
              <wp:extent cx="6319482" cy="794385"/>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9482" cy="794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70C0"/>
                            </a:solidFill>
                            <a:miter lim="800000"/>
                            <a:headEnd/>
                            <a:tailEnd/>
                          </a14:hiddenLine>
                        </a:ext>
                      </a:extLst>
                    </wps:spPr>
                    <wps:txbx>
                      <w:txbxContent>
                        <w:p w:rsidR="009E77BF" w:rsidP="00055BF9" w:rsidRDefault="009E77BF" w14:paraId="70F2D3FD" w14:textId="30B324B9">
                          <w:pPr>
                            <w:rPr>
                              <w:b/>
                              <w:bCs/>
                              <w:color w:val="0070C0"/>
                              <w:sz w:val="24"/>
                              <w:szCs w:val="24"/>
                              <w:lang w:val="en-US"/>
                            </w:rPr>
                          </w:pPr>
                          <w:r>
                            <w:rPr>
                              <w:b/>
                              <w:bCs/>
                              <w:color w:val="0070C0"/>
                              <w:sz w:val="24"/>
                              <w:szCs w:val="24"/>
                              <w:lang w:val="en-US"/>
                            </w:rPr>
                            <w:t xml:space="preserve">PEF Targeted Country Assistance Narrative  </w:t>
                          </w:r>
                        </w:p>
                        <w:p w:rsidRPr="00C4436D" w:rsidR="009E77BF" w:rsidP="00055BF9" w:rsidRDefault="009E77BF" w14:paraId="4599C1BA" w14:textId="1E37035E">
                          <w:pPr>
                            <w:rPr>
                              <w:color w:val="0070C0"/>
                            </w:rPr>
                          </w:pPr>
                          <w:r>
                            <w:rPr>
                              <w:color w:val="0070C0"/>
                            </w:rPr>
                            <w:t>April</w:t>
                          </w:r>
                          <w:r w:rsidRPr="00BD1FEE">
                            <w:rPr>
                              <w:color w:val="0070C0"/>
                            </w:rPr>
                            <w:t xml:space="preserve"> </w:t>
                          </w:r>
                          <w:r w:rsidRPr="00C4436D">
                            <w:rPr>
                              <w:color w:val="0070C0"/>
                            </w:rPr>
                            <w:t>2022</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072E57">
              <v:stroke joinstyle="miter"/>
              <v:path gradientshapeok="t" o:connecttype="rect"/>
            </v:shapetype>
            <v:shape id="Text Box 2" style="position:absolute;margin-left:115.45pt;margin-top:4.1pt;width:497.6pt;height:62.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middle" o:spid="_x0000_s1026" filled="f" stroked="f" strokecolor="#0070c0"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Jx8F4gEAAKMDAAAOAAAAZHJzL2Uyb0RvYy54bWysU8Fu2zAMvQ/YPwi6L47TtE2MOEXXosOA&#13;&#10;rhvQ7QNkWbKF2aJGKbGzrx8lp2m23YZdBJGUH997pDc3Y9+xvUJvwJY8n805U1ZCbWxT8m9fH96t&#13;&#10;OPNB2Fp0YFXJD8rzm+3bN5vBFWoBLXS1QkYg1heDK3kbgiuyzMtW9cLPwClLRQ3Yi0AhNlmNYiD0&#13;&#10;vssW8/lVNgDWDkEq7yl7PxX5NuFrrWT4rLVXgXUlJ24hnZjOKp7ZdiOKBoVrjTzSEP/AohfGUtMT&#13;&#10;1L0Igu3Q/AXVG4ngQYeZhD4DrY1USQOpyed/qHluhVNJC5nj3ckm//9g5dP+2X1BFsb3MNIAkwjv&#13;&#10;HkF+98zCXStso24RYWiVqKlxHi3LBueL46fRal/4CFINn6CmIYtdgAQ0auyjK6STEToN4HAyXY2B&#13;&#10;SUpeXeTr5WrBmaTa9Xp5sbpMLUTx8rVDHz4o6Fm8lBxpqAld7B99iGxE8fIkNrPwYLouDbazvyXo&#13;&#10;Ycwk9pHwRD2M1Uivo4oK6gPpQJj2hPaaLi3gT84G2pGS+x87gYqz7qMlL9b5chmXKgXLy+sFBXhe&#13;&#10;qc4rwkqCKrkMyNkU3IVpFXcOTdNSr8l/C7fkoDZJ3CuvI3PahKT5uLVx1c7j9Or139r+AgAA//8D&#13;&#10;AFBLAwQUAAYACAAAACEAXzlM/uAAAAAPAQAADwAAAGRycy9kb3ducmV2LnhtbExPTU/DMAy9I/Ef&#13;&#10;IiNxY+lSMY2u6TQxdhknCj8ga0zbrXFKk27l3+Od2MWy9Z7fR76eXCfOOITWk4b5LAGBVHnbUq3h&#13;&#10;63P3tAQRoiFrOk+o4RcDrIv7u9xk1l/oA89lrAWLUMiMhibGPpMyVA06E2a+R2Ls2w/ORD6HWtrB&#13;&#10;XFjcdVIlyUI60xI7NKbH1warUzk6DftqjDtJAcdj+75/22z78kc9a/34MG1XPDYrEBGn+P8B1w6c&#13;&#10;HwoOdvAj2SA6DSpNXpiqYalAXHGlFnMQB97SNAVZ5PK2R/EHAAD//wMAUEsBAi0AFAAGAAgAAAAh&#13;&#10;ALaDOJL+AAAA4QEAABMAAAAAAAAAAAAAAAAAAAAAAFtDb250ZW50X1R5cGVzXS54bWxQSwECLQAU&#13;&#10;AAYACAAAACEAOP0h/9YAAACUAQAACwAAAAAAAAAAAAAAAAAvAQAAX3JlbHMvLnJlbHNQSwECLQAU&#13;&#10;AAYACAAAACEAcCcfBeIBAACjAwAADgAAAAAAAAAAAAAAAAAuAgAAZHJzL2Uyb0RvYy54bWxQSwEC&#13;&#10;LQAUAAYACAAAACEAXzlM/uAAAAAPAQAADwAAAAAAAAAAAAAAAAA8BAAAZHJzL2Rvd25yZXYueG1s&#13;&#10;UEsFBgAAAAAEAAQA8wAAAEkFAAAAAA==&#13;&#10;">
              <v:textbox>
                <w:txbxContent>
                  <w:p w:rsidR="009E77BF" w:rsidP="00055BF9" w:rsidRDefault="009E77BF" w14:paraId="70F2D3FD" w14:textId="30B324B9">
                    <w:pPr>
                      <w:rPr>
                        <w:b/>
                        <w:bCs/>
                        <w:color w:val="0070C0"/>
                        <w:sz w:val="24"/>
                        <w:szCs w:val="24"/>
                        <w:lang w:val="en-US"/>
                      </w:rPr>
                    </w:pPr>
                    <w:r>
                      <w:rPr>
                        <w:b/>
                        <w:bCs/>
                        <w:color w:val="0070C0"/>
                        <w:sz w:val="24"/>
                        <w:szCs w:val="24"/>
                        <w:lang w:val="en-US"/>
                      </w:rPr>
                      <w:t xml:space="preserve">PEF Targeted Country Assistance Narrative  </w:t>
                    </w:r>
                  </w:p>
                  <w:p w:rsidRPr="00C4436D" w:rsidR="009E77BF" w:rsidP="00055BF9" w:rsidRDefault="009E77BF" w14:paraId="4599C1BA" w14:textId="1E37035E">
                    <w:pPr>
                      <w:rPr>
                        <w:color w:val="0070C0"/>
                      </w:rPr>
                    </w:pPr>
                    <w:r>
                      <w:rPr>
                        <w:color w:val="0070C0"/>
                      </w:rPr>
                      <w:t>April</w:t>
                    </w:r>
                    <w:r w:rsidRPr="00BD1FEE">
                      <w:rPr>
                        <w:color w:val="0070C0"/>
                      </w:rPr>
                      <w:t xml:space="preserve"> </w:t>
                    </w:r>
                    <w:r w:rsidRPr="00C4436D">
                      <w:rPr>
                        <w:color w:val="0070C0"/>
                      </w:rPr>
                      <w:t>2022</w:t>
                    </w:r>
                  </w:p>
                </w:txbxContent>
              </v:textbox>
              <w10:wrap anchorx="page" anchory="margin"/>
            </v:shape>
          </w:pict>
        </mc:Fallback>
      </mc:AlternateContent>
    </w:r>
    <w:r w:rsidRPr="00892432">
      <w:rPr>
        <w:noProof/>
      </w:rPr>
      <mc:AlternateContent>
        <mc:Choice Requires="wps">
          <w:drawing>
            <wp:anchor distT="0" distB="0" distL="114299" distR="114299" simplePos="0" relativeHeight="251658242" behindDoc="0" locked="0" layoutInCell="1" allowOverlap="1" wp14:anchorId="604E1568" wp14:editId="341C3210">
              <wp:simplePos x="0" y="0"/>
              <wp:positionH relativeFrom="column">
                <wp:posOffset>551180</wp:posOffset>
              </wp:positionH>
              <wp:positionV relativeFrom="page">
                <wp:posOffset>197485</wp:posOffset>
              </wp:positionV>
              <wp:extent cx="0" cy="439420"/>
              <wp:effectExtent l="0" t="0" r="38100" b="3683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39420"/>
                      </a:xfrm>
                      <a:prstGeom prst="line">
                        <a:avLst/>
                      </a:prstGeom>
                      <a:ln w="9525"/>
                    </wps:spPr>
                    <wps:style>
                      <a:lnRef idx="3">
                        <a:schemeClr val="accent5"/>
                      </a:lnRef>
                      <a:fillRef idx="0">
                        <a:schemeClr val="accent5"/>
                      </a:fillRef>
                      <a:effectRef idx="2">
                        <a:schemeClr val="accent5"/>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4" style="position:absolute;z-index:25165824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page;mso-width-percent:0;mso-height-percent:0;mso-width-relative:page;mso-height-relative:page" o:spid="_x0000_s1026" strokecolor="#5b9bd5 [3208]" from="43.4pt,15.55pt" to="43.4pt,50.15pt" w14:anchorId="15AA3D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4AItgEAAL8DAAAOAAAAZHJzL2Uyb0RvYy54bWysU8Fu2zAMvQ/YPwi6L3bcdliNOD20aC/F&#10;WqzbB7AyFQuTREHSYufvK8mJO2wDCgy9CBbJ9/j4RG+uJqPZHn1QZDu+XtWcoRXUK7vr+I/vt5++&#10;cBYi2B40Wez4AQO/2n78sBldiw0NpHv0LJHY0I6u40OMrq2qIAY0EFbk0KakJG8gpqvfVb2HMbEb&#10;XTV1/bkayffOk8AQUvRmTvJt4ZcSRXyQMmBkuuNJWyynL+dzPqvtBtqdBzcocZQB/6HCgLKp6UJ1&#10;AxHYL6/+ojJKeAok40qQqUhKJbDMkKZZ139M8zSAwzJLMie4xabwfrTi6/7aPvosXUz2yd2T+BmS&#10;KdXoQrsk8yW4uWyS3uTypJ1NxcjDYiROkYk5KFL0/OzyvCkeV9CecM6HeIdkWP7ouFY2jwgt7O9D&#10;zJ2hPZXksLZs7PjlRXOR36rImpUUTfGgca76hpKpPvU+K2xlgfBae7aH9PQgBNo4U2TOVJ1hUmm9&#10;AOu3gcf6DMWyXAu4eRu8IEpnsnEBG2XJ/4sgTusydVI6158cmOfOFjxTf3j0J2vSlhQHjxud1/D3&#10;e4G//nfbFwAAAP//AwBQSwMEFAAGAAgAAAAhAEB031fbAAAACAEAAA8AAABkcnMvZG93bnJldi54&#10;bWxMj0FrwkAUhO+F/oflFbyUuhuFIGk2ItaCV20PPW6yzySYfRuya4z/3mcv7XGYYeabfD25Tow4&#10;hNaThmSuQCBV3rZUa/j++nxbgQjRkDWdJ9RwwwDr4vkpN5n1VzrgeIy14BIKmdHQxNhnUoaqQWfC&#10;3PdI7J384ExkOdTSDubK5a6TC6VS6UxLvNCYHrcNVufjxfGu3Y2HMp3iz3mxPe36j/2mfd1rPXuZ&#10;Nu8gIk7xLwwPfEaHgplKfyEbRKdhlTJ51LBMEhDs/+qSc0otQRa5/H+guAMAAP//AwBQSwECLQAU&#10;AAYACAAAACEAtoM4kv4AAADhAQAAEwAAAAAAAAAAAAAAAAAAAAAAW0NvbnRlbnRfVHlwZXNdLnht&#10;bFBLAQItABQABgAIAAAAIQA4/SH/1gAAAJQBAAALAAAAAAAAAAAAAAAAAC8BAABfcmVscy8ucmVs&#10;c1BLAQItABQABgAIAAAAIQAu74AItgEAAL8DAAAOAAAAAAAAAAAAAAAAAC4CAABkcnMvZTJvRG9j&#10;LnhtbFBLAQItABQABgAIAAAAIQBAdN9X2wAAAAgBAAAPAAAAAAAAAAAAAAAAABAEAABkcnMvZG93&#10;bnJldi54bWxQSwUGAAAAAAQABADzAAAAGAUAAAAA&#10;">
              <v:stroke joinstyle="miter"/>
              <o:lock v:ext="edit" shapetype="f"/>
              <w10:wrap anchory="page"/>
            </v:line>
          </w:pict>
        </mc:Fallback>
      </mc:AlternateContent>
    </w:r>
    <w:r w:rsidRPr="00892432">
      <w:rPr>
        <w:noProof/>
      </w:rPr>
      <mc:AlternateContent>
        <mc:Choice Requires="wps">
          <w:drawing>
            <wp:anchor distT="0" distB="0" distL="114300" distR="114300" simplePos="0" relativeHeight="251658240" behindDoc="1" locked="0" layoutInCell="1" allowOverlap="1" wp14:anchorId="3333C187" wp14:editId="76107EC5">
              <wp:simplePos x="0" y="0"/>
              <wp:positionH relativeFrom="page">
                <wp:align>right</wp:align>
              </wp:positionH>
              <wp:positionV relativeFrom="page">
                <wp:posOffset>-259161</wp:posOffset>
              </wp:positionV>
              <wp:extent cx="7771765" cy="1119773"/>
              <wp:effectExtent l="0" t="0" r="635" b="444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1765" cy="1119773"/>
                      </a:xfrm>
                      <a:prstGeom prst="rect">
                        <a:avLst/>
                      </a:prstGeom>
                      <a:solidFill>
                        <a:srgbClr val="F2F2F1"/>
                      </a:solidFill>
                      <a:ln w="6350" cap="flat" cmpd="sng" algn="ctr">
                        <a:noFill/>
                        <a:prstDash val="solid"/>
                        <a:miter lim="800000"/>
                      </a:ln>
                      <a:effectLst/>
                    </wps:spPr>
                    <wps:txbx>
                      <w:txbxContent>
                        <w:p w:rsidR="009E77BF" w:rsidP="00892432" w:rsidRDefault="009E77BF" w14:paraId="3DB0E3A5"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style="position:absolute;margin-left:560.75pt;margin-top:-20.4pt;width:611.95pt;height:88.1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spid="_x0000_s1027" fillcolor="#f2f2f1" stroked="f" strokeweight=".5pt" w14:anchorId="3333C18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cPQMZwIAAM0EAAAOAAAAZHJzL2Uyb0RvYy54bWysVF1r2zAUfR/sPwi9r47TD7cmTgkpGYPQ&#13;&#10;BtrRZ0WWYzFJV5OU2N2v35XspKHb01gC4l7d4/txfK5n971W5CCcl2Aqml9MKBGGQy3NrqLfX1Zf&#13;&#10;binxgZmaKTCiom/C0/v550+zzpZiCi2oWjiCSYwvO1vRNgRbZpnnrdDMX4AVBoMNOM0Cum6X1Y51&#13;&#10;mF2rbDqZ3GQduNo64MJ7vH0YgnSe8jeN4OGpabwIRFUUewvpdOncxjObz1i5c8y2ko9tsH/oQjNp&#13;&#10;sOgp1QMLjOyd/COVltyBhyZccNAZNI3kIs2A0+STD9M8t8yKNAuS4+2JJv//0vLHw7PduNi6t2vg&#13;&#10;PzwyknXWl6dIdPyI6RunIxYbJ31i8e3EougD4XhZFEVe3FxTwjGW5/ldUVxGnjNWHh+3zoevAjSJ&#13;&#10;RkUdvqbEHjusfRigR0jqDJSsV1Kp5LjddqkcOTB8pasp/vMxuz+HKUO6it5cXuNb5wyV1SgW0NS2&#13;&#10;rqg3O0qY2qFkeXCptIFYIMkhln5gvh1KpKyDTrQMKFYldUVvJ/E3FlYmNiaS3MYB3kmLVui3PZFY&#13;&#10;OLUab7ZQv20ccTAo0lu+klh2zXzYMIcSxLZxrcITHo0CHAVGi5IW3K+/3Uc8KgOjlHQoaZzz5545&#13;&#10;QYn6ZlAzd/nVVdyB5FxdF1N03Hlkex4xe70EpDjHBbY8mREf1NFsHOhX3L5FrIohZjjWHhgdnWUY&#13;&#10;Vg33l4vFIsFQ95aFtXm2PCaPzEXCX/pX5uwoiIBaeoSj/Fn5QRcDNj5pYLEP0MgkmndeRwnjziTZ&#13;&#10;jfsdl/LcT6j3r9D8NwAAAP//AwBQSwMEFAAGAAgAAAAhAAkDBlnkAAAADgEAAA8AAABkcnMvZG93&#13;&#10;bnJldi54bWxMjzFPwzAQhXck/oN1SCyodUhpC2mcCgV1AMFAy8DoxkcSYp+j2G3Dv+c6wXK609N7&#13;&#10;9758PTorjjiE1pOC22kCAqnypqVawcduM7kHEaImo60nVPCDAdbF5UWuM+NP9I7HbawFh1DItIIm&#13;&#10;xj6TMlQNOh2mvkdi7csPTkc+h1qaQZ843FmZJslCOt0Sf2h0j2WDVbc9OAWfXRnebPf9rOtN9fpS&#13;&#10;ljfLfoFKXV+NTysejysQEcf454AzA/eHgovt/YFMEFYB00QFk7uEKc5yms4eQOx5m83nIItc/sco&#13;&#10;fgEAAP//AwBQSwECLQAUAAYACAAAACEAtoM4kv4AAADhAQAAEwAAAAAAAAAAAAAAAAAAAAAAW0Nv&#13;&#10;bnRlbnRfVHlwZXNdLnhtbFBLAQItABQABgAIAAAAIQA4/SH/1gAAAJQBAAALAAAAAAAAAAAAAAAA&#13;&#10;AC8BAABfcmVscy8ucmVsc1BLAQItABQABgAIAAAAIQCCcPQMZwIAAM0EAAAOAAAAAAAAAAAAAAAA&#13;&#10;AC4CAABkcnMvZTJvRG9jLnhtbFBLAQItABQABgAIAAAAIQAJAwZZ5AAAAA4BAAAPAAAAAAAAAAAA&#13;&#10;AAAAAMEEAABkcnMvZG93bnJldi54bWxQSwUGAAAAAAQABADzAAAA0gUAAAAA&#13;&#10;">
              <v:textbox>
                <w:txbxContent>
                  <w:p w:rsidR="009E77BF" w:rsidP="00892432" w:rsidRDefault="009E77BF" w14:paraId="3DB0E3A5" w14:textId="77777777">
                    <w:pPr>
                      <w:jc w:val="center"/>
                    </w:pPr>
                  </w:p>
                </w:txbxContent>
              </v:textbox>
              <w10:wrap anchorx="page" anchory="page"/>
            </v:rect>
          </w:pict>
        </mc:Fallback>
      </mc:AlternateContent>
    </w:r>
    <w:r w:rsidRPr="00892432">
      <w:rPr>
        <w:noProof/>
      </w:rPr>
      <w:drawing>
        <wp:anchor distT="0" distB="0" distL="114300" distR="114300" simplePos="0" relativeHeight="251658241" behindDoc="1" locked="0" layoutInCell="1" allowOverlap="1" wp14:anchorId="2E2C20EE" wp14:editId="2A5E81A6">
          <wp:simplePos x="0" y="0"/>
          <wp:positionH relativeFrom="margin">
            <wp:posOffset>-687687</wp:posOffset>
          </wp:positionH>
          <wp:positionV relativeFrom="page">
            <wp:posOffset>191153</wp:posOffset>
          </wp:positionV>
          <wp:extent cx="1186180" cy="439420"/>
          <wp:effectExtent l="0" t="0" r="0" b="5080"/>
          <wp:wrapTight wrapText="bothSides">
            <wp:wrapPolygon edited="0">
              <wp:start x="15495" y="0"/>
              <wp:lineTo x="2313" y="3121"/>
              <wp:lineTo x="0" y="4370"/>
              <wp:lineTo x="0" y="9988"/>
              <wp:lineTo x="925" y="19977"/>
              <wp:lineTo x="925" y="21225"/>
              <wp:lineTo x="18501" y="21225"/>
              <wp:lineTo x="19889" y="19977"/>
              <wp:lineTo x="21276" y="13110"/>
              <wp:lineTo x="21276" y="7491"/>
              <wp:lineTo x="20120" y="1873"/>
              <wp:lineTo x="18964" y="0"/>
              <wp:lineTo x="15495"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10297" t="21860" r="10744" b="21696"/>
                  <a:stretch/>
                </pic:blipFill>
                <pic:spPr bwMode="auto">
                  <a:xfrm>
                    <a:off x="0" y="0"/>
                    <a:ext cx="1186180" cy="4394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E77BF" w:rsidRDefault="009E77BF" w14:paraId="2C86385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514B2"/>
    <w:multiLevelType w:val="multilevel"/>
    <w:tmpl w:val="36B64FDC"/>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 w15:restartNumberingAfterBreak="0">
    <w:nsid w:val="2F8246A0"/>
    <w:multiLevelType w:val="multilevel"/>
    <w:tmpl w:val="7360CA0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 w15:restartNumberingAfterBreak="0">
    <w:nsid w:val="339D4D67"/>
    <w:multiLevelType w:val="hybridMultilevel"/>
    <w:tmpl w:val="3BE40706"/>
    <w:lvl w:ilvl="0" w:tplc="04190001">
      <w:start w:val="1"/>
      <w:numFmt w:val="bullet"/>
      <w:lvlText w:val=""/>
      <w:lvlJc w:val="left"/>
      <w:pPr>
        <w:ind w:left="720" w:hanging="360"/>
      </w:pPr>
      <w:rPr>
        <w:rFonts w:hint="default" w:ascii="Symbol" w:hAnsi="Symbol"/>
      </w:rPr>
    </w:lvl>
    <w:lvl w:ilvl="1" w:tplc="04190003" w:tentative="1">
      <w:start w:val="1"/>
      <w:numFmt w:val="bullet"/>
      <w:lvlText w:val="o"/>
      <w:lvlJc w:val="left"/>
      <w:pPr>
        <w:ind w:left="1440" w:hanging="360"/>
      </w:pPr>
      <w:rPr>
        <w:rFonts w:hint="default" w:ascii="Courier New" w:hAnsi="Courier New" w:cs="Courier New"/>
      </w:rPr>
    </w:lvl>
    <w:lvl w:ilvl="2" w:tplc="04190005" w:tentative="1">
      <w:start w:val="1"/>
      <w:numFmt w:val="bullet"/>
      <w:lvlText w:val=""/>
      <w:lvlJc w:val="left"/>
      <w:pPr>
        <w:ind w:left="2160" w:hanging="360"/>
      </w:pPr>
      <w:rPr>
        <w:rFonts w:hint="default" w:ascii="Wingdings" w:hAnsi="Wingdings"/>
      </w:rPr>
    </w:lvl>
    <w:lvl w:ilvl="3" w:tplc="04190001" w:tentative="1">
      <w:start w:val="1"/>
      <w:numFmt w:val="bullet"/>
      <w:lvlText w:val=""/>
      <w:lvlJc w:val="left"/>
      <w:pPr>
        <w:ind w:left="2880" w:hanging="360"/>
      </w:pPr>
      <w:rPr>
        <w:rFonts w:hint="default" w:ascii="Symbol" w:hAnsi="Symbol"/>
      </w:rPr>
    </w:lvl>
    <w:lvl w:ilvl="4" w:tplc="04190003" w:tentative="1">
      <w:start w:val="1"/>
      <w:numFmt w:val="bullet"/>
      <w:lvlText w:val="o"/>
      <w:lvlJc w:val="left"/>
      <w:pPr>
        <w:ind w:left="3600" w:hanging="360"/>
      </w:pPr>
      <w:rPr>
        <w:rFonts w:hint="default" w:ascii="Courier New" w:hAnsi="Courier New" w:cs="Courier New"/>
      </w:rPr>
    </w:lvl>
    <w:lvl w:ilvl="5" w:tplc="04190005" w:tentative="1">
      <w:start w:val="1"/>
      <w:numFmt w:val="bullet"/>
      <w:lvlText w:val=""/>
      <w:lvlJc w:val="left"/>
      <w:pPr>
        <w:ind w:left="4320" w:hanging="360"/>
      </w:pPr>
      <w:rPr>
        <w:rFonts w:hint="default" w:ascii="Wingdings" w:hAnsi="Wingdings"/>
      </w:rPr>
    </w:lvl>
    <w:lvl w:ilvl="6" w:tplc="04190001" w:tentative="1">
      <w:start w:val="1"/>
      <w:numFmt w:val="bullet"/>
      <w:lvlText w:val=""/>
      <w:lvlJc w:val="left"/>
      <w:pPr>
        <w:ind w:left="5040" w:hanging="360"/>
      </w:pPr>
      <w:rPr>
        <w:rFonts w:hint="default" w:ascii="Symbol" w:hAnsi="Symbol"/>
      </w:rPr>
    </w:lvl>
    <w:lvl w:ilvl="7" w:tplc="04190003" w:tentative="1">
      <w:start w:val="1"/>
      <w:numFmt w:val="bullet"/>
      <w:lvlText w:val="o"/>
      <w:lvlJc w:val="left"/>
      <w:pPr>
        <w:ind w:left="5760" w:hanging="360"/>
      </w:pPr>
      <w:rPr>
        <w:rFonts w:hint="default" w:ascii="Courier New" w:hAnsi="Courier New" w:cs="Courier New"/>
      </w:rPr>
    </w:lvl>
    <w:lvl w:ilvl="8" w:tplc="04190005" w:tentative="1">
      <w:start w:val="1"/>
      <w:numFmt w:val="bullet"/>
      <w:lvlText w:val=""/>
      <w:lvlJc w:val="left"/>
      <w:pPr>
        <w:ind w:left="6480" w:hanging="360"/>
      </w:pPr>
      <w:rPr>
        <w:rFonts w:hint="default" w:ascii="Wingdings" w:hAnsi="Wingdings"/>
      </w:rPr>
    </w:lvl>
  </w:abstractNum>
  <w:abstractNum w:abstractNumId="3" w15:restartNumberingAfterBreak="0">
    <w:nsid w:val="352D31B0"/>
    <w:multiLevelType w:val="multilevel"/>
    <w:tmpl w:val="0DE68E2A"/>
    <w:styleLink w:val="CurrentList3"/>
    <w:lvl w:ilvl="0">
      <w:start w:val="1"/>
      <w:numFmt w:val="none"/>
      <w:lvlText w:val="3."/>
      <w:lvlJc w:val="left"/>
      <w:pPr>
        <w:ind w:left="360" w:hanging="360"/>
      </w:pPr>
      <w:rPr>
        <w:rFonts w:hint="default"/>
      </w:rPr>
    </w:lvl>
    <w:lvl w:ilvl="1">
      <w:start w:val="1"/>
      <w:numFmt w:val="none"/>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5A83827"/>
    <w:multiLevelType w:val="hybridMultilevel"/>
    <w:tmpl w:val="AB64B982"/>
    <w:lvl w:ilvl="0" w:tplc="58D687F6">
      <w:start w:val="3"/>
      <w:numFmt w:val="bullet"/>
      <w:lvlText w:val="-"/>
      <w:lvlJc w:val="left"/>
      <w:pPr>
        <w:ind w:left="720" w:hanging="360"/>
      </w:pPr>
      <w:rPr>
        <w:rFonts w:hint="default" w:ascii="Arial" w:hAnsi="Arial" w:eastAsia="Arial"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3A284B8D"/>
    <w:multiLevelType w:val="multilevel"/>
    <w:tmpl w:val="899CCA90"/>
    <w:styleLink w:val="CurrentList2"/>
    <w:lvl w:ilvl="0">
      <w:start w:val="1"/>
      <w:numFmt w:val="decimal"/>
      <w:lvlText w:val="%1."/>
      <w:lvlJc w:val="left"/>
      <w:pPr>
        <w:ind w:left="360" w:hanging="360"/>
      </w:pPr>
      <w:rPr>
        <w:rFonts w:hint="default"/>
      </w:rPr>
    </w:lvl>
    <w:lvl w:ilvl="1">
      <w:start w:val="1"/>
      <w:numFmt w:val="none"/>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C792C0F"/>
    <w:multiLevelType w:val="multilevel"/>
    <w:tmpl w:val="295ABEB2"/>
    <w:lvl w:ilvl="0">
      <w:start w:val="1"/>
      <w:numFmt w:val="decimal"/>
      <w:lvlText w:val="%1."/>
      <w:lvlJc w:val="left"/>
      <w:pPr>
        <w:ind w:left="502" w:hanging="360"/>
      </w:pPr>
      <w:rPr>
        <w:rFonts w:hint="default"/>
        <w:b/>
        <w:bCs/>
        <w:color w:val="70AD47" w:themeColor="accent6"/>
        <w:sz w:val="24"/>
        <w:szCs w:val="24"/>
      </w:rPr>
    </w:lvl>
    <w:lvl w:ilvl="1">
      <w:start w:val="2"/>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7" w15:restartNumberingAfterBreak="0">
    <w:nsid w:val="3FBE11D0"/>
    <w:multiLevelType w:val="hybridMultilevel"/>
    <w:tmpl w:val="3C525FE2"/>
    <w:lvl w:ilvl="0" w:tplc="58D687F6">
      <w:start w:val="3"/>
      <w:numFmt w:val="bullet"/>
      <w:lvlText w:val="-"/>
      <w:lvlJc w:val="left"/>
      <w:pPr>
        <w:ind w:left="720" w:hanging="360"/>
      </w:pPr>
      <w:rPr>
        <w:rFonts w:hint="default" w:ascii="Arial" w:hAnsi="Arial" w:eastAsia="Arial"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45947172"/>
    <w:multiLevelType w:val="hybridMultilevel"/>
    <w:tmpl w:val="F014E662"/>
    <w:lvl w:ilvl="0" w:tplc="04090001">
      <w:start w:val="1"/>
      <w:numFmt w:val="bullet"/>
      <w:lvlText w:val=""/>
      <w:lvlJc w:val="left"/>
      <w:pPr>
        <w:ind w:left="4897" w:hanging="360"/>
      </w:pPr>
      <w:rPr>
        <w:rFonts w:hint="default" w:ascii="Symbol" w:hAnsi="Symbol"/>
      </w:rPr>
    </w:lvl>
    <w:lvl w:ilvl="1" w:tplc="04090003" w:tentative="1">
      <w:start w:val="1"/>
      <w:numFmt w:val="bullet"/>
      <w:lvlText w:val="o"/>
      <w:lvlJc w:val="left"/>
      <w:pPr>
        <w:ind w:left="2000" w:hanging="360"/>
      </w:pPr>
      <w:rPr>
        <w:rFonts w:hint="default" w:ascii="Courier New" w:hAnsi="Courier New" w:cs="Courier New"/>
      </w:rPr>
    </w:lvl>
    <w:lvl w:ilvl="2" w:tplc="04090005" w:tentative="1">
      <w:start w:val="1"/>
      <w:numFmt w:val="bullet"/>
      <w:lvlText w:val=""/>
      <w:lvlJc w:val="left"/>
      <w:pPr>
        <w:ind w:left="2720" w:hanging="360"/>
      </w:pPr>
      <w:rPr>
        <w:rFonts w:hint="default" w:ascii="Wingdings" w:hAnsi="Wingdings"/>
      </w:rPr>
    </w:lvl>
    <w:lvl w:ilvl="3" w:tplc="04090001" w:tentative="1">
      <w:start w:val="1"/>
      <w:numFmt w:val="bullet"/>
      <w:lvlText w:val=""/>
      <w:lvlJc w:val="left"/>
      <w:pPr>
        <w:ind w:left="3440" w:hanging="360"/>
      </w:pPr>
      <w:rPr>
        <w:rFonts w:hint="default" w:ascii="Symbol" w:hAnsi="Symbol"/>
      </w:rPr>
    </w:lvl>
    <w:lvl w:ilvl="4" w:tplc="04090003" w:tentative="1">
      <w:start w:val="1"/>
      <w:numFmt w:val="bullet"/>
      <w:lvlText w:val="o"/>
      <w:lvlJc w:val="left"/>
      <w:pPr>
        <w:ind w:left="4160" w:hanging="360"/>
      </w:pPr>
      <w:rPr>
        <w:rFonts w:hint="default" w:ascii="Courier New" w:hAnsi="Courier New" w:cs="Courier New"/>
      </w:rPr>
    </w:lvl>
    <w:lvl w:ilvl="5" w:tplc="04090005" w:tentative="1">
      <w:start w:val="1"/>
      <w:numFmt w:val="bullet"/>
      <w:lvlText w:val=""/>
      <w:lvlJc w:val="left"/>
      <w:pPr>
        <w:ind w:left="4880" w:hanging="360"/>
      </w:pPr>
      <w:rPr>
        <w:rFonts w:hint="default" w:ascii="Wingdings" w:hAnsi="Wingdings"/>
      </w:rPr>
    </w:lvl>
    <w:lvl w:ilvl="6" w:tplc="04090001" w:tentative="1">
      <w:start w:val="1"/>
      <w:numFmt w:val="bullet"/>
      <w:lvlText w:val=""/>
      <w:lvlJc w:val="left"/>
      <w:pPr>
        <w:ind w:left="5600" w:hanging="360"/>
      </w:pPr>
      <w:rPr>
        <w:rFonts w:hint="default" w:ascii="Symbol" w:hAnsi="Symbol"/>
      </w:rPr>
    </w:lvl>
    <w:lvl w:ilvl="7" w:tplc="04090003" w:tentative="1">
      <w:start w:val="1"/>
      <w:numFmt w:val="bullet"/>
      <w:lvlText w:val="o"/>
      <w:lvlJc w:val="left"/>
      <w:pPr>
        <w:ind w:left="6320" w:hanging="360"/>
      </w:pPr>
      <w:rPr>
        <w:rFonts w:hint="default" w:ascii="Courier New" w:hAnsi="Courier New" w:cs="Courier New"/>
      </w:rPr>
    </w:lvl>
    <w:lvl w:ilvl="8" w:tplc="04090005" w:tentative="1">
      <w:start w:val="1"/>
      <w:numFmt w:val="bullet"/>
      <w:lvlText w:val=""/>
      <w:lvlJc w:val="left"/>
      <w:pPr>
        <w:ind w:left="7040" w:hanging="360"/>
      </w:pPr>
      <w:rPr>
        <w:rFonts w:hint="default" w:ascii="Wingdings" w:hAnsi="Wingdings"/>
      </w:rPr>
    </w:lvl>
  </w:abstractNum>
  <w:abstractNum w:abstractNumId="9" w15:restartNumberingAfterBreak="0">
    <w:nsid w:val="49E10650"/>
    <w:multiLevelType w:val="multilevel"/>
    <w:tmpl w:val="95E2AB7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0" w15:restartNumberingAfterBreak="0">
    <w:nsid w:val="53536418"/>
    <w:multiLevelType w:val="hybridMultilevel"/>
    <w:tmpl w:val="8E363830"/>
    <w:lvl w:ilvl="0" w:tplc="D84C7738">
      <w:start w:val="1"/>
      <w:numFmt w:val="bullet"/>
      <w:lvlText w:val=""/>
      <w:lvlJc w:val="left"/>
      <w:pPr>
        <w:ind w:left="720" w:hanging="360"/>
      </w:pPr>
      <w:rPr>
        <w:rFonts w:hint="default" w:ascii="Symbol" w:hAnsi="Symbol"/>
        <w:sz w:val="20"/>
        <w:szCs w:val="1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6D4A11AA"/>
    <w:multiLevelType w:val="hybridMultilevel"/>
    <w:tmpl w:val="AD2873C6"/>
    <w:lvl w:ilvl="0" w:tplc="D84C7738">
      <w:start w:val="1"/>
      <w:numFmt w:val="bullet"/>
      <w:lvlText w:val=""/>
      <w:lvlJc w:val="left"/>
      <w:pPr>
        <w:ind w:left="720" w:hanging="360"/>
      </w:pPr>
      <w:rPr>
        <w:rFonts w:hint="default" w:ascii="Symbol" w:hAnsi="Symbol"/>
        <w:sz w:val="20"/>
        <w:szCs w:val="1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6FE56A5F"/>
    <w:multiLevelType w:val="hybridMultilevel"/>
    <w:tmpl w:val="19C64104"/>
    <w:lvl w:ilvl="0" w:tplc="58D687F6">
      <w:start w:val="3"/>
      <w:numFmt w:val="bullet"/>
      <w:lvlText w:val="-"/>
      <w:lvlJc w:val="left"/>
      <w:pPr>
        <w:ind w:left="720" w:hanging="360"/>
      </w:pPr>
      <w:rPr>
        <w:rFonts w:hint="default" w:ascii="Arial" w:hAnsi="Arial" w:eastAsia="Arial"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6FEC7346"/>
    <w:multiLevelType w:val="hybridMultilevel"/>
    <w:tmpl w:val="47389C02"/>
    <w:lvl w:ilvl="0" w:tplc="58D687F6">
      <w:start w:val="3"/>
      <w:numFmt w:val="bullet"/>
      <w:lvlText w:val="-"/>
      <w:lvlJc w:val="left"/>
      <w:pPr>
        <w:ind w:left="720" w:hanging="360"/>
      </w:pPr>
      <w:rPr>
        <w:rFonts w:hint="default" w:ascii="Arial" w:hAnsi="Arial" w:eastAsia="Arial"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762072F7"/>
    <w:multiLevelType w:val="hybridMultilevel"/>
    <w:tmpl w:val="756EA218"/>
    <w:lvl w:ilvl="0" w:tplc="58D687F6">
      <w:start w:val="3"/>
      <w:numFmt w:val="bullet"/>
      <w:lvlText w:val="-"/>
      <w:lvlJc w:val="left"/>
      <w:pPr>
        <w:ind w:left="720" w:hanging="360"/>
      </w:pPr>
      <w:rPr>
        <w:rFonts w:hint="default" w:ascii="Arial" w:hAnsi="Arial" w:eastAsia="Arial"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76C81D35"/>
    <w:multiLevelType w:val="hybridMultilevel"/>
    <w:tmpl w:val="C0C86CE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777B77A0"/>
    <w:multiLevelType w:val="multilevel"/>
    <w:tmpl w:val="0809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90203642">
    <w:abstractNumId w:val="16"/>
  </w:num>
  <w:num w:numId="2" w16cid:durableId="954487302">
    <w:abstractNumId w:val="5"/>
  </w:num>
  <w:num w:numId="3" w16cid:durableId="1871455011">
    <w:abstractNumId w:val="3"/>
  </w:num>
  <w:num w:numId="4" w16cid:durableId="167329392">
    <w:abstractNumId w:val="6"/>
  </w:num>
  <w:num w:numId="5" w16cid:durableId="854424073">
    <w:abstractNumId w:val="8"/>
  </w:num>
  <w:num w:numId="6" w16cid:durableId="1914780367">
    <w:abstractNumId w:val="1"/>
  </w:num>
  <w:num w:numId="7" w16cid:durableId="1737706749">
    <w:abstractNumId w:val="0"/>
  </w:num>
  <w:num w:numId="8" w16cid:durableId="1800412876">
    <w:abstractNumId w:val="4"/>
  </w:num>
  <w:num w:numId="9" w16cid:durableId="798912169">
    <w:abstractNumId w:val="14"/>
  </w:num>
  <w:num w:numId="10" w16cid:durableId="692848619">
    <w:abstractNumId w:val="13"/>
  </w:num>
  <w:num w:numId="11" w16cid:durableId="981693115">
    <w:abstractNumId w:val="7"/>
  </w:num>
  <w:num w:numId="12" w16cid:durableId="1202861435">
    <w:abstractNumId w:val="12"/>
  </w:num>
  <w:num w:numId="13" w16cid:durableId="75787527">
    <w:abstractNumId w:val="9"/>
  </w:num>
  <w:num w:numId="14" w16cid:durableId="1083452832">
    <w:abstractNumId w:val="15"/>
  </w:num>
  <w:num w:numId="15" w16cid:durableId="352734344">
    <w:abstractNumId w:val="10"/>
  </w:num>
  <w:num w:numId="16" w16cid:durableId="1012729098">
    <w:abstractNumId w:val="11"/>
  </w:num>
  <w:num w:numId="17" w16cid:durableId="1171139964">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hideSpellingErrors/>
  <w:hideGrammaticalErrors/>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A0szAwNQGSlqamlko6SsGpxcWZ+XkgBYaWtQC5HfxoLQAAAA=="/>
  </w:docVars>
  <w:rsids>
    <w:rsidRoot w:val="00BD4BCE"/>
    <w:rsid w:val="0000278E"/>
    <w:rsid w:val="00002CAE"/>
    <w:rsid w:val="00002D07"/>
    <w:rsid w:val="00003862"/>
    <w:rsid w:val="00003C31"/>
    <w:rsid w:val="0000542A"/>
    <w:rsid w:val="0000599F"/>
    <w:rsid w:val="00005F0A"/>
    <w:rsid w:val="0000717A"/>
    <w:rsid w:val="00007EAE"/>
    <w:rsid w:val="0001063F"/>
    <w:rsid w:val="00011B02"/>
    <w:rsid w:val="00011B86"/>
    <w:rsid w:val="0001244B"/>
    <w:rsid w:val="00012FFC"/>
    <w:rsid w:val="00014AFF"/>
    <w:rsid w:val="00014F67"/>
    <w:rsid w:val="00015D31"/>
    <w:rsid w:val="00016A9B"/>
    <w:rsid w:val="00016C3F"/>
    <w:rsid w:val="00017FBF"/>
    <w:rsid w:val="00020272"/>
    <w:rsid w:val="00023D98"/>
    <w:rsid w:val="00024F57"/>
    <w:rsid w:val="000251A6"/>
    <w:rsid w:val="00025589"/>
    <w:rsid w:val="00025BBE"/>
    <w:rsid w:val="00025C70"/>
    <w:rsid w:val="00027322"/>
    <w:rsid w:val="00027D74"/>
    <w:rsid w:val="000301CD"/>
    <w:rsid w:val="00030751"/>
    <w:rsid w:val="000313E1"/>
    <w:rsid w:val="00031A36"/>
    <w:rsid w:val="0003251B"/>
    <w:rsid w:val="00034931"/>
    <w:rsid w:val="000357F6"/>
    <w:rsid w:val="000362C6"/>
    <w:rsid w:val="000369C9"/>
    <w:rsid w:val="00037694"/>
    <w:rsid w:val="000378BB"/>
    <w:rsid w:val="000400A6"/>
    <w:rsid w:val="00040A2E"/>
    <w:rsid w:val="00041298"/>
    <w:rsid w:val="00041E9B"/>
    <w:rsid w:val="00042592"/>
    <w:rsid w:val="0004304D"/>
    <w:rsid w:val="000439C4"/>
    <w:rsid w:val="00043A07"/>
    <w:rsid w:val="00044437"/>
    <w:rsid w:val="000449D1"/>
    <w:rsid w:val="000449DE"/>
    <w:rsid w:val="00051114"/>
    <w:rsid w:val="000511DA"/>
    <w:rsid w:val="000521BD"/>
    <w:rsid w:val="0005232A"/>
    <w:rsid w:val="00052358"/>
    <w:rsid w:val="000529E3"/>
    <w:rsid w:val="000538E2"/>
    <w:rsid w:val="00053C8E"/>
    <w:rsid w:val="000544AE"/>
    <w:rsid w:val="00054939"/>
    <w:rsid w:val="00054E05"/>
    <w:rsid w:val="00055A30"/>
    <w:rsid w:val="00055BF9"/>
    <w:rsid w:val="00056DDF"/>
    <w:rsid w:val="00060071"/>
    <w:rsid w:val="00060794"/>
    <w:rsid w:val="00061950"/>
    <w:rsid w:val="0006207D"/>
    <w:rsid w:val="000629D3"/>
    <w:rsid w:val="00063358"/>
    <w:rsid w:val="000660A3"/>
    <w:rsid w:val="0006633A"/>
    <w:rsid w:val="0006639D"/>
    <w:rsid w:val="000663B9"/>
    <w:rsid w:val="00066A17"/>
    <w:rsid w:val="00066E42"/>
    <w:rsid w:val="00067D86"/>
    <w:rsid w:val="00071836"/>
    <w:rsid w:val="00071E35"/>
    <w:rsid w:val="000728A2"/>
    <w:rsid w:val="000728B2"/>
    <w:rsid w:val="00072D93"/>
    <w:rsid w:val="000731C0"/>
    <w:rsid w:val="000759BE"/>
    <w:rsid w:val="00076373"/>
    <w:rsid w:val="000779B1"/>
    <w:rsid w:val="00077FE0"/>
    <w:rsid w:val="0008165C"/>
    <w:rsid w:val="0008192A"/>
    <w:rsid w:val="000820EE"/>
    <w:rsid w:val="000840D7"/>
    <w:rsid w:val="0008474E"/>
    <w:rsid w:val="00085506"/>
    <w:rsid w:val="00085C9D"/>
    <w:rsid w:val="0008622F"/>
    <w:rsid w:val="0008793A"/>
    <w:rsid w:val="00090755"/>
    <w:rsid w:val="00091225"/>
    <w:rsid w:val="000915AC"/>
    <w:rsid w:val="0009314C"/>
    <w:rsid w:val="00094439"/>
    <w:rsid w:val="000A12EE"/>
    <w:rsid w:val="000A22D4"/>
    <w:rsid w:val="000A2FAE"/>
    <w:rsid w:val="000A3F37"/>
    <w:rsid w:val="000A4B39"/>
    <w:rsid w:val="000A5C09"/>
    <w:rsid w:val="000A6141"/>
    <w:rsid w:val="000A6514"/>
    <w:rsid w:val="000A6AC3"/>
    <w:rsid w:val="000A7C47"/>
    <w:rsid w:val="000B0314"/>
    <w:rsid w:val="000B1003"/>
    <w:rsid w:val="000B136D"/>
    <w:rsid w:val="000B179D"/>
    <w:rsid w:val="000B4252"/>
    <w:rsid w:val="000B519F"/>
    <w:rsid w:val="000B57CE"/>
    <w:rsid w:val="000B6145"/>
    <w:rsid w:val="000B6F36"/>
    <w:rsid w:val="000B7057"/>
    <w:rsid w:val="000B752A"/>
    <w:rsid w:val="000B7B44"/>
    <w:rsid w:val="000C00DA"/>
    <w:rsid w:val="000C1057"/>
    <w:rsid w:val="000C118A"/>
    <w:rsid w:val="000C25DD"/>
    <w:rsid w:val="000C25E7"/>
    <w:rsid w:val="000C5A6A"/>
    <w:rsid w:val="000C7FB1"/>
    <w:rsid w:val="000D0267"/>
    <w:rsid w:val="000D048D"/>
    <w:rsid w:val="000D3849"/>
    <w:rsid w:val="000D4A27"/>
    <w:rsid w:val="000D4C95"/>
    <w:rsid w:val="000D5DEA"/>
    <w:rsid w:val="000D5E7B"/>
    <w:rsid w:val="000D7667"/>
    <w:rsid w:val="000E08AF"/>
    <w:rsid w:val="000E092B"/>
    <w:rsid w:val="000E0FA6"/>
    <w:rsid w:val="000E16B2"/>
    <w:rsid w:val="000E28EF"/>
    <w:rsid w:val="000E2A0C"/>
    <w:rsid w:val="000E387E"/>
    <w:rsid w:val="000E45DD"/>
    <w:rsid w:val="000E5047"/>
    <w:rsid w:val="000E6346"/>
    <w:rsid w:val="000E68BF"/>
    <w:rsid w:val="000E69CF"/>
    <w:rsid w:val="000E6BC0"/>
    <w:rsid w:val="000F1AA4"/>
    <w:rsid w:val="000F309B"/>
    <w:rsid w:val="000F34D2"/>
    <w:rsid w:val="000F494D"/>
    <w:rsid w:val="000F4B25"/>
    <w:rsid w:val="000F51E0"/>
    <w:rsid w:val="000F62B5"/>
    <w:rsid w:val="000F7405"/>
    <w:rsid w:val="000F74FF"/>
    <w:rsid w:val="000F7CEA"/>
    <w:rsid w:val="0010039E"/>
    <w:rsid w:val="00100A48"/>
    <w:rsid w:val="00102D7C"/>
    <w:rsid w:val="001052BA"/>
    <w:rsid w:val="0010613E"/>
    <w:rsid w:val="00106608"/>
    <w:rsid w:val="00106CE4"/>
    <w:rsid w:val="001072A0"/>
    <w:rsid w:val="00107D9F"/>
    <w:rsid w:val="00112041"/>
    <w:rsid w:val="00112228"/>
    <w:rsid w:val="00112852"/>
    <w:rsid w:val="00112EF9"/>
    <w:rsid w:val="0011324C"/>
    <w:rsid w:val="0011340A"/>
    <w:rsid w:val="001135FC"/>
    <w:rsid w:val="001151FB"/>
    <w:rsid w:val="00115DB0"/>
    <w:rsid w:val="00116509"/>
    <w:rsid w:val="00120084"/>
    <w:rsid w:val="00120220"/>
    <w:rsid w:val="00120AAE"/>
    <w:rsid w:val="0012478F"/>
    <w:rsid w:val="00125F79"/>
    <w:rsid w:val="00131FD5"/>
    <w:rsid w:val="00133193"/>
    <w:rsid w:val="001360DB"/>
    <w:rsid w:val="00136630"/>
    <w:rsid w:val="001409AB"/>
    <w:rsid w:val="00140BF0"/>
    <w:rsid w:val="001416C5"/>
    <w:rsid w:val="00142231"/>
    <w:rsid w:val="0014327F"/>
    <w:rsid w:val="00143CCE"/>
    <w:rsid w:val="0014527F"/>
    <w:rsid w:val="00146789"/>
    <w:rsid w:val="001472C1"/>
    <w:rsid w:val="001477C4"/>
    <w:rsid w:val="00147F9B"/>
    <w:rsid w:val="00150D82"/>
    <w:rsid w:val="0015170E"/>
    <w:rsid w:val="00151B12"/>
    <w:rsid w:val="0015380B"/>
    <w:rsid w:val="001543AD"/>
    <w:rsid w:val="00155110"/>
    <w:rsid w:val="00160C34"/>
    <w:rsid w:val="00161593"/>
    <w:rsid w:val="00162C55"/>
    <w:rsid w:val="00162F02"/>
    <w:rsid w:val="001634CF"/>
    <w:rsid w:val="00163B04"/>
    <w:rsid w:val="00163F60"/>
    <w:rsid w:val="00163F8E"/>
    <w:rsid w:val="0016435C"/>
    <w:rsid w:val="001651AF"/>
    <w:rsid w:val="001665A3"/>
    <w:rsid w:val="00166D25"/>
    <w:rsid w:val="001708D2"/>
    <w:rsid w:val="001711B8"/>
    <w:rsid w:val="0017125B"/>
    <w:rsid w:val="00171C81"/>
    <w:rsid w:val="00171FC5"/>
    <w:rsid w:val="001720C3"/>
    <w:rsid w:val="0017292E"/>
    <w:rsid w:val="00173991"/>
    <w:rsid w:val="00174D23"/>
    <w:rsid w:val="00175B5E"/>
    <w:rsid w:val="00180F6B"/>
    <w:rsid w:val="00181B12"/>
    <w:rsid w:val="001821EA"/>
    <w:rsid w:val="001822DB"/>
    <w:rsid w:val="00182F5F"/>
    <w:rsid w:val="00183082"/>
    <w:rsid w:val="00183CE0"/>
    <w:rsid w:val="00184FFA"/>
    <w:rsid w:val="00185093"/>
    <w:rsid w:val="001850E7"/>
    <w:rsid w:val="00185112"/>
    <w:rsid w:val="00185924"/>
    <w:rsid w:val="00186FF8"/>
    <w:rsid w:val="001903BE"/>
    <w:rsid w:val="0019040A"/>
    <w:rsid w:val="00190C9A"/>
    <w:rsid w:val="00190D29"/>
    <w:rsid w:val="00191568"/>
    <w:rsid w:val="00191597"/>
    <w:rsid w:val="00191854"/>
    <w:rsid w:val="001919B1"/>
    <w:rsid w:val="001921A9"/>
    <w:rsid w:val="001925CC"/>
    <w:rsid w:val="00192FE8"/>
    <w:rsid w:val="001930A7"/>
    <w:rsid w:val="00193633"/>
    <w:rsid w:val="00194067"/>
    <w:rsid w:val="00194786"/>
    <w:rsid w:val="0019681F"/>
    <w:rsid w:val="001972C1"/>
    <w:rsid w:val="0019737F"/>
    <w:rsid w:val="00197BA9"/>
    <w:rsid w:val="001A1634"/>
    <w:rsid w:val="001A2B4F"/>
    <w:rsid w:val="001A2BBC"/>
    <w:rsid w:val="001A2C5C"/>
    <w:rsid w:val="001A378C"/>
    <w:rsid w:val="001A4060"/>
    <w:rsid w:val="001A42A3"/>
    <w:rsid w:val="001A6804"/>
    <w:rsid w:val="001A69D7"/>
    <w:rsid w:val="001A701E"/>
    <w:rsid w:val="001B0284"/>
    <w:rsid w:val="001B032E"/>
    <w:rsid w:val="001B0487"/>
    <w:rsid w:val="001B0F6A"/>
    <w:rsid w:val="001B12D7"/>
    <w:rsid w:val="001B197D"/>
    <w:rsid w:val="001B19F2"/>
    <w:rsid w:val="001B2DC5"/>
    <w:rsid w:val="001B31AC"/>
    <w:rsid w:val="001B6E82"/>
    <w:rsid w:val="001B7196"/>
    <w:rsid w:val="001B790D"/>
    <w:rsid w:val="001C0F39"/>
    <w:rsid w:val="001C1877"/>
    <w:rsid w:val="001C1D82"/>
    <w:rsid w:val="001C2586"/>
    <w:rsid w:val="001C259F"/>
    <w:rsid w:val="001C2745"/>
    <w:rsid w:val="001C3904"/>
    <w:rsid w:val="001C3A94"/>
    <w:rsid w:val="001C3D34"/>
    <w:rsid w:val="001C3EC1"/>
    <w:rsid w:val="001C406E"/>
    <w:rsid w:val="001C467D"/>
    <w:rsid w:val="001C4DB8"/>
    <w:rsid w:val="001C4DC8"/>
    <w:rsid w:val="001C6814"/>
    <w:rsid w:val="001C77D7"/>
    <w:rsid w:val="001D1572"/>
    <w:rsid w:val="001D18B0"/>
    <w:rsid w:val="001D3CC6"/>
    <w:rsid w:val="001D4CBA"/>
    <w:rsid w:val="001D540C"/>
    <w:rsid w:val="001D591E"/>
    <w:rsid w:val="001D5ACA"/>
    <w:rsid w:val="001D5C6A"/>
    <w:rsid w:val="001D5D72"/>
    <w:rsid w:val="001D6E9E"/>
    <w:rsid w:val="001E1AB1"/>
    <w:rsid w:val="001E1B7F"/>
    <w:rsid w:val="001E1C11"/>
    <w:rsid w:val="001E1E64"/>
    <w:rsid w:val="001E3FED"/>
    <w:rsid w:val="001E6363"/>
    <w:rsid w:val="001E7090"/>
    <w:rsid w:val="001E7F8D"/>
    <w:rsid w:val="001F1286"/>
    <w:rsid w:val="001F18D3"/>
    <w:rsid w:val="001F3298"/>
    <w:rsid w:val="001F4E88"/>
    <w:rsid w:val="001F56B2"/>
    <w:rsid w:val="001F5945"/>
    <w:rsid w:val="001F7004"/>
    <w:rsid w:val="001F7E34"/>
    <w:rsid w:val="0020034E"/>
    <w:rsid w:val="00203B04"/>
    <w:rsid w:val="00204900"/>
    <w:rsid w:val="00206145"/>
    <w:rsid w:val="00206C09"/>
    <w:rsid w:val="002074A9"/>
    <w:rsid w:val="00207BBE"/>
    <w:rsid w:val="002101DE"/>
    <w:rsid w:val="002117C8"/>
    <w:rsid w:val="00212F37"/>
    <w:rsid w:val="00213F13"/>
    <w:rsid w:val="00214406"/>
    <w:rsid w:val="00214B69"/>
    <w:rsid w:val="00214CAA"/>
    <w:rsid w:val="002157CF"/>
    <w:rsid w:val="0021646F"/>
    <w:rsid w:val="00217C23"/>
    <w:rsid w:val="002205D1"/>
    <w:rsid w:val="002214F0"/>
    <w:rsid w:val="0022163D"/>
    <w:rsid w:val="00222FD0"/>
    <w:rsid w:val="00224526"/>
    <w:rsid w:val="0022530F"/>
    <w:rsid w:val="002258A1"/>
    <w:rsid w:val="00225EDA"/>
    <w:rsid w:val="002274E0"/>
    <w:rsid w:val="002279A5"/>
    <w:rsid w:val="00227BBB"/>
    <w:rsid w:val="0023057A"/>
    <w:rsid w:val="0023071D"/>
    <w:rsid w:val="00232758"/>
    <w:rsid w:val="0023299A"/>
    <w:rsid w:val="0023395F"/>
    <w:rsid w:val="00235256"/>
    <w:rsid w:val="00235947"/>
    <w:rsid w:val="0023766B"/>
    <w:rsid w:val="002430BB"/>
    <w:rsid w:val="00244787"/>
    <w:rsid w:val="00245E87"/>
    <w:rsid w:val="00246930"/>
    <w:rsid w:val="00246A98"/>
    <w:rsid w:val="002510AA"/>
    <w:rsid w:val="002518B4"/>
    <w:rsid w:val="00253B51"/>
    <w:rsid w:val="00254FF2"/>
    <w:rsid w:val="00255484"/>
    <w:rsid w:val="002555B8"/>
    <w:rsid w:val="00255A57"/>
    <w:rsid w:val="002571F1"/>
    <w:rsid w:val="00257A1B"/>
    <w:rsid w:val="00260780"/>
    <w:rsid w:val="00261C06"/>
    <w:rsid w:val="00261E2E"/>
    <w:rsid w:val="00262241"/>
    <w:rsid w:val="00262983"/>
    <w:rsid w:val="00263283"/>
    <w:rsid w:val="00263335"/>
    <w:rsid w:val="002639F3"/>
    <w:rsid w:val="00263D91"/>
    <w:rsid w:val="00264286"/>
    <w:rsid w:val="00264C96"/>
    <w:rsid w:val="00264FC1"/>
    <w:rsid w:val="002659D4"/>
    <w:rsid w:val="00267ABF"/>
    <w:rsid w:val="00267D2E"/>
    <w:rsid w:val="002703E1"/>
    <w:rsid w:val="00270AE6"/>
    <w:rsid w:val="00270FC9"/>
    <w:rsid w:val="002733FB"/>
    <w:rsid w:val="00273B72"/>
    <w:rsid w:val="00274298"/>
    <w:rsid w:val="00274F89"/>
    <w:rsid w:val="0027606E"/>
    <w:rsid w:val="002768B0"/>
    <w:rsid w:val="00276FD7"/>
    <w:rsid w:val="0028001A"/>
    <w:rsid w:val="00280B5B"/>
    <w:rsid w:val="00282C24"/>
    <w:rsid w:val="00282E76"/>
    <w:rsid w:val="002840C8"/>
    <w:rsid w:val="00284412"/>
    <w:rsid w:val="00284A22"/>
    <w:rsid w:val="002857C1"/>
    <w:rsid w:val="002859B6"/>
    <w:rsid w:val="00285A19"/>
    <w:rsid w:val="00285B59"/>
    <w:rsid w:val="00285B73"/>
    <w:rsid w:val="002875CC"/>
    <w:rsid w:val="002901E0"/>
    <w:rsid w:val="00291921"/>
    <w:rsid w:val="00291E7D"/>
    <w:rsid w:val="00292233"/>
    <w:rsid w:val="00293BA5"/>
    <w:rsid w:val="00294171"/>
    <w:rsid w:val="00294306"/>
    <w:rsid w:val="00294C50"/>
    <w:rsid w:val="00296E78"/>
    <w:rsid w:val="00297346"/>
    <w:rsid w:val="002977CA"/>
    <w:rsid w:val="00297D0F"/>
    <w:rsid w:val="00297F04"/>
    <w:rsid w:val="002A0F02"/>
    <w:rsid w:val="002A1083"/>
    <w:rsid w:val="002A2C17"/>
    <w:rsid w:val="002A422B"/>
    <w:rsid w:val="002A44A9"/>
    <w:rsid w:val="002A46AE"/>
    <w:rsid w:val="002A4F84"/>
    <w:rsid w:val="002A5CBE"/>
    <w:rsid w:val="002A5CE7"/>
    <w:rsid w:val="002A791F"/>
    <w:rsid w:val="002B0630"/>
    <w:rsid w:val="002B0C61"/>
    <w:rsid w:val="002B1AC5"/>
    <w:rsid w:val="002B1B80"/>
    <w:rsid w:val="002B3ECA"/>
    <w:rsid w:val="002B6243"/>
    <w:rsid w:val="002B63B0"/>
    <w:rsid w:val="002B6D64"/>
    <w:rsid w:val="002B6DCF"/>
    <w:rsid w:val="002C00AC"/>
    <w:rsid w:val="002C0185"/>
    <w:rsid w:val="002C0581"/>
    <w:rsid w:val="002C0F5F"/>
    <w:rsid w:val="002C1CAC"/>
    <w:rsid w:val="002C2EF7"/>
    <w:rsid w:val="002C3C49"/>
    <w:rsid w:val="002C42E8"/>
    <w:rsid w:val="002C6AD3"/>
    <w:rsid w:val="002C6F61"/>
    <w:rsid w:val="002C728E"/>
    <w:rsid w:val="002C73F5"/>
    <w:rsid w:val="002D31D5"/>
    <w:rsid w:val="002D5681"/>
    <w:rsid w:val="002D5862"/>
    <w:rsid w:val="002D6BED"/>
    <w:rsid w:val="002D7B91"/>
    <w:rsid w:val="002E03AD"/>
    <w:rsid w:val="002E0882"/>
    <w:rsid w:val="002E0983"/>
    <w:rsid w:val="002E0A55"/>
    <w:rsid w:val="002E3451"/>
    <w:rsid w:val="002E358D"/>
    <w:rsid w:val="002E38C1"/>
    <w:rsid w:val="002E5FF8"/>
    <w:rsid w:val="002E652B"/>
    <w:rsid w:val="002E71FA"/>
    <w:rsid w:val="002F5CD9"/>
    <w:rsid w:val="002F61AD"/>
    <w:rsid w:val="002F62C0"/>
    <w:rsid w:val="002F736A"/>
    <w:rsid w:val="002F7947"/>
    <w:rsid w:val="002F799C"/>
    <w:rsid w:val="00301307"/>
    <w:rsid w:val="0030149C"/>
    <w:rsid w:val="003036DC"/>
    <w:rsid w:val="003043B2"/>
    <w:rsid w:val="00304ACD"/>
    <w:rsid w:val="003060DE"/>
    <w:rsid w:val="00306D02"/>
    <w:rsid w:val="00306F64"/>
    <w:rsid w:val="00306F8D"/>
    <w:rsid w:val="00307D24"/>
    <w:rsid w:val="0031007B"/>
    <w:rsid w:val="0031009F"/>
    <w:rsid w:val="00310AA5"/>
    <w:rsid w:val="0031153A"/>
    <w:rsid w:val="00311EC1"/>
    <w:rsid w:val="003124F7"/>
    <w:rsid w:val="00314A20"/>
    <w:rsid w:val="00315E25"/>
    <w:rsid w:val="003161B5"/>
    <w:rsid w:val="00316220"/>
    <w:rsid w:val="00316DE0"/>
    <w:rsid w:val="00317A88"/>
    <w:rsid w:val="00317ECE"/>
    <w:rsid w:val="0032033D"/>
    <w:rsid w:val="00320689"/>
    <w:rsid w:val="00321652"/>
    <w:rsid w:val="00322A79"/>
    <w:rsid w:val="00322FAC"/>
    <w:rsid w:val="003239B9"/>
    <w:rsid w:val="0032454D"/>
    <w:rsid w:val="00325B21"/>
    <w:rsid w:val="003268D0"/>
    <w:rsid w:val="00330401"/>
    <w:rsid w:val="0033136F"/>
    <w:rsid w:val="00331590"/>
    <w:rsid w:val="0033192A"/>
    <w:rsid w:val="003325BE"/>
    <w:rsid w:val="0033266B"/>
    <w:rsid w:val="00332ACA"/>
    <w:rsid w:val="00332E3F"/>
    <w:rsid w:val="003333A3"/>
    <w:rsid w:val="00334629"/>
    <w:rsid w:val="00334887"/>
    <w:rsid w:val="00334BDE"/>
    <w:rsid w:val="00336291"/>
    <w:rsid w:val="00337D82"/>
    <w:rsid w:val="0034188F"/>
    <w:rsid w:val="003427FA"/>
    <w:rsid w:val="00342EB5"/>
    <w:rsid w:val="00343A42"/>
    <w:rsid w:val="003449D6"/>
    <w:rsid w:val="00344FEB"/>
    <w:rsid w:val="003452F4"/>
    <w:rsid w:val="003454A5"/>
    <w:rsid w:val="00346234"/>
    <w:rsid w:val="00346802"/>
    <w:rsid w:val="0034776E"/>
    <w:rsid w:val="00347817"/>
    <w:rsid w:val="003503D1"/>
    <w:rsid w:val="00352AE9"/>
    <w:rsid w:val="00352FA5"/>
    <w:rsid w:val="003536EC"/>
    <w:rsid w:val="00353728"/>
    <w:rsid w:val="0035504E"/>
    <w:rsid w:val="00356B27"/>
    <w:rsid w:val="00356C0F"/>
    <w:rsid w:val="00356CDE"/>
    <w:rsid w:val="00357A29"/>
    <w:rsid w:val="00360703"/>
    <w:rsid w:val="00360B97"/>
    <w:rsid w:val="00364218"/>
    <w:rsid w:val="003649C6"/>
    <w:rsid w:val="00364C4B"/>
    <w:rsid w:val="003658FC"/>
    <w:rsid w:val="00367AE5"/>
    <w:rsid w:val="00367BF6"/>
    <w:rsid w:val="003707B5"/>
    <w:rsid w:val="00372C37"/>
    <w:rsid w:val="00372D1F"/>
    <w:rsid w:val="003741E6"/>
    <w:rsid w:val="0037484A"/>
    <w:rsid w:val="003753AB"/>
    <w:rsid w:val="0037595F"/>
    <w:rsid w:val="0037615E"/>
    <w:rsid w:val="003814E6"/>
    <w:rsid w:val="003816F7"/>
    <w:rsid w:val="00381F32"/>
    <w:rsid w:val="003822DF"/>
    <w:rsid w:val="00382DB2"/>
    <w:rsid w:val="00383F2B"/>
    <w:rsid w:val="00384D1C"/>
    <w:rsid w:val="00385206"/>
    <w:rsid w:val="003873AF"/>
    <w:rsid w:val="00387639"/>
    <w:rsid w:val="003901C3"/>
    <w:rsid w:val="003905D3"/>
    <w:rsid w:val="00390EC4"/>
    <w:rsid w:val="0039120B"/>
    <w:rsid w:val="003914E6"/>
    <w:rsid w:val="00392496"/>
    <w:rsid w:val="00393332"/>
    <w:rsid w:val="00393D45"/>
    <w:rsid w:val="00393E88"/>
    <w:rsid w:val="0039400D"/>
    <w:rsid w:val="003940CD"/>
    <w:rsid w:val="003954DD"/>
    <w:rsid w:val="003957C0"/>
    <w:rsid w:val="00395D29"/>
    <w:rsid w:val="00396905"/>
    <w:rsid w:val="00396A81"/>
    <w:rsid w:val="00397AF0"/>
    <w:rsid w:val="00397BD4"/>
    <w:rsid w:val="003A0D3A"/>
    <w:rsid w:val="003A1B10"/>
    <w:rsid w:val="003A1BAB"/>
    <w:rsid w:val="003A28B9"/>
    <w:rsid w:val="003A55C8"/>
    <w:rsid w:val="003A583B"/>
    <w:rsid w:val="003A678D"/>
    <w:rsid w:val="003A7036"/>
    <w:rsid w:val="003A7614"/>
    <w:rsid w:val="003B1A47"/>
    <w:rsid w:val="003B1B93"/>
    <w:rsid w:val="003B1E3B"/>
    <w:rsid w:val="003B2284"/>
    <w:rsid w:val="003B2419"/>
    <w:rsid w:val="003B28B9"/>
    <w:rsid w:val="003B4433"/>
    <w:rsid w:val="003B4A72"/>
    <w:rsid w:val="003B5750"/>
    <w:rsid w:val="003B5C01"/>
    <w:rsid w:val="003B5FC8"/>
    <w:rsid w:val="003B64C9"/>
    <w:rsid w:val="003B66D3"/>
    <w:rsid w:val="003C048B"/>
    <w:rsid w:val="003C13C9"/>
    <w:rsid w:val="003C19A5"/>
    <w:rsid w:val="003C19FE"/>
    <w:rsid w:val="003C5E20"/>
    <w:rsid w:val="003C66EE"/>
    <w:rsid w:val="003C6773"/>
    <w:rsid w:val="003C74A8"/>
    <w:rsid w:val="003C77E0"/>
    <w:rsid w:val="003D0156"/>
    <w:rsid w:val="003D0473"/>
    <w:rsid w:val="003D0D8C"/>
    <w:rsid w:val="003D16BF"/>
    <w:rsid w:val="003D2384"/>
    <w:rsid w:val="003D2828"/>
    <w:rsid w:val="003D4323"/>
    <w:rsid w:val="003D545D"/>
    <w:rsid w:val="003E289A"/>
    <w:rsid w:val="003E28A0"/>
    <w:rsid w:val="003E2B9C"/>
    <w:rsid w:val="003E32D3"/>
    <w:rsid w:val="003E52F0"/>
    <w:rsid w:val="003F0221"/>
    <w:rsid w:val="003F0CF3"/>
    <w:rsid w:val="003F129C"/>
    <w:rsid w:val="003F1471"/>
    <w:rsid w:val="003F1888"/>
    <w:rsid w:val="003F27C4"/>
    <w:rsid w:val="003F29B4"/>
    <w:rsid w:val="003F3455"/>
    <w:rsid w:val="003F3D2A"/>
    <w:rsid w:val="003F3F50"/>
    <w:rsid w:val="003F54AE"/>
    <w:rsid w:val="003F62C8"/>
    <w:rsid w:val="004010B7"/>
    <w:rsid w:val="004023A3"/>
    <w:rsid w:val="0040248D"/>
    <w:rsid w:val="004034F2"/>
    <w:rsid w:val="004039BD"/>
    <w:rsid w:val="00406338"/>
    <w:rsid w:val="00406DAA"/>
    <w:rsid w:val="004079B3"/>
    <w:rsid w:val="0041092A"/>
    <w:rsid w:val="00412BE5"/>
    <w:rsid w:val="004145FE"/>
    <w:rsid w:val="00414627"/>
    <w:rsid w:val="004151A0"/>
    <w:rsid w:val="004161CC"/>
    <w:rsid w:val="0041751A"/>
    <w:rsid w:val="00420376"/>
    <w:rsid w:val="00421904"/>
    <w:rsid w:val="00423711"/>
    <w:rsid w:val="00423A70"/>
    <w:rsid w:val="00423DFC"/>
    <w:rsid w:val="004240CD"/>
    <w:rsid w:val="00424360"/>
    <w:rsid w:val="004249A7"/>
    <w:rsid w:val="00424A13"/>
    <w:rsid w:val="00425A3C"/>
    <w:rsid w:val="004264ED"/>
    <w:rsid w:val="00426D6B"/>
    <w:rsid w:val="00427165"/>
    <w:rsid w:val="0043175C"/>
    <w:rsid w:val="00431CA9"/>
    <w:rsid w:val="004327BC"/>
    <w:rsid w:val="004333D4"/>
    <w:rsid w:val="00433D48"/>
    <w:rsid w:val="00434C26"/>
    <w:rsid w:val="004400C8"/>
    <w:rsid w:val="00440B47"/>
    <w:rsid w:val="004410AD"/>
    <w:rsid w:val="004435AF"/>
    <w:rsid w:val="00444495"/>
    <w:rsid w:val="00444F75"/>
    <w:rsid w:val="0044714D"/>
    <w:rsid w:val="00451FC2"/>
    <w:rsid w:val="00452C3B"/>
    <w:rsid w:val="00453430"/>
    <w:rsid w:val="004534BC"/>
    <w:rsid w:val="00453CB5"/>
    <w:rsid w:val="00454285"/>
    <w:rsid w:val="00454694"/>
    <w:rsid w:val="0045525C"/>
    <w:rsid w:val="00455E02"/>
    <w:rsid w:val="0045621C"/>
    <w:rsid w:val="004574D6"/>
    <w:rsid w:val="0046030E"/>
    <w:rsid w:val="0046062C"/>
    <w:rsid w:val="00460674"/>
    <w:rsid w:val="00460A66"/>
    <w:rsid w:val="00460CBE"/>
    <w:rsid w:val="00463C66"/>
    <w:rsid w:val="00464113"/>
    <w:rsid w:val="00465598"/>
    <w:rsid w:val="00466DBC"/>
    <w:rsid w:val="00467632"/>
    <w:rsid w:val="00470005"/>
    <w:rsid w:val="004718A7"/>
    <w:rsid w:val="00471A7D"/>
    <w:rsid w:val="00471B91"/>
    <w:rsid w:val="00472199"/>
    <w:rsid w:val="00472667"/>
    <w:rsid w:val="00472FB1"/>
    <w:rsid w:val="004745FD"/>
    <w:rsid w:val="0047570D"/>
    <w:rsid w:val="00476608"/>
    <w:rsid w:val="00477627"/>
    <w:rsid w:val="00480B35"/>
    <w:rsid w:val="0048253E"/>
    <w:rsid w:val="00482A9D"/>
    <w:rsid w:val="00482E7C"/>
    <w:rsid w:val="0048306F"/>
    <w:rsid w:val="00483122"/>
    <w:rsid w:val="00483273"/>
    <w:rsid w:val="0048350E"/>
    <w:rsid w:val="004843BC"/>
    <w:rsid w:val="004849BD"/>
    <w:rsid w:val="00485F2C"/>
    <w:rsid w:val="00486519"/>
    <w:rsid w:val="0048676E"/>
    <w:rsid w:val="00486A4E"/>
    <w:rsid w:val="00486FE9"/>
    <w:rsid w:val="00487E95"/>
    <w:rsid w:val="004905F8"/>
    <w:rsid w:val="00493B22"/>
    <w:rsid w:val="00493FAD"/>
    <w:rsid w:val="00494980"/>
    <w:rsid w:val="00495278"/>
    <w:rsid w:val="00495355"/>
    <w:rsid w:val="004954E9"/>
    <w:rsid w:val="00496961"/>
    <w:rsid w:val="00497815"/>
    <w:rsid w:val="004979CC"/>
    <w:rsid w:val="004A0005"/>
    <w:rsid w:val="004A0816"/>
    <w:rsid w:val="004A2F87"/>
    <w:rsid w:val="004A4825"/>
    <w:rsid w:val="004A4D76"/>
    <w:rsid w:val="004A6165"/>
    <w:rsid w:val="004B47C0"/>
    <w:rsid w:val="004B4BBC"/>
    <w:rsid w:val="004B632A"/>
    <w:rsid w:val="004B7F95"/>
    <w:rsid w:val="004C0594"/>
    <w:rsid w:val="004C0A98"/>
    <w:rsid w:val="004C158F"/>
    <w:rsid w:val="004C1E1C"/>
    <w:rsid w:val="004C5FEA"/>
    <w:rsid w:val="004C6B53"/>
    <w:rsid w:val="004C7286"/>
    <w:rsid w:val="004C728C"/>
    <w:rsid w:val="004C752A"/>
    <w:rsid w:val="004D044B"/>
    <w:rsid w:val="004D0C16"/>
    <w:rsid w:val="004D1017"/>
    <w:rsid w:val="004D14AB"/>
    <w:rsid w:val="004D2D29"/>
    <w:rsid w:val="004D3289"/>
    <w:rsid w:val="004D3E3C"/>
    <w:rsid w:val="004D43C1"/>
    <w:rsid w:val="004D4AB2"/>
    <w:rsid w:val="004D4F17"/>
    <w:rsid w:val="004D4F34"/>
    <w:rsid w:val="004D5408"/>
    <w:rsid w:val="004D6C66"/>
    <w:rsid w:val="004D7715"/>
    <w:rsid w:val="004D7AF2"/>
    <w:rsid w:val="004E088E"/>
    <w:rsid w:val="004E0FD3"/>
    <w:rsid w:val="004E10B4"/>
    <w:rsid w:val="004E1A4F"/>
    <w:rsid w:val="004E2247"/>
    <w:rsid w:val="004E2955"/>
    <w:rsid w:val="004E2AE6"/>
    <w:rsid w:val="004E356B"/>
    <w:rsid w:val="004E4361"/>
    <w:rsid w:val="004E467F"/>
    <w:rsid w:val="004E4DD0"/>
    <w:rsid w:val="004E5566"/>
    <w:rsid w:val="004E5A90"/>
    <w:rsid w:val="004E6249"/>
    <w:rsid w:val="004E6CFE"/>
    <w:rsid w:val="004E6E54"/>
    <w:rsid w:val="004F0591"/>
    <w:rsid w:val="004F0A8F"/>
    <w:rsid w:val="004F1203"/>
    <w:rsid w:val="004F3B7A"/>
    <w:rsid w:val="004F3C18"/>
    <w:rsid w:val="004F42B6"/>
    <w:rsid w:val="004F450A"/>
    <w:rsid w:val="004F4B1C"/>
    <w:rsid w:val="004F5915"/>
    <w:rsid w:val="004F6829"/>
    <w:rsid w:val="004F7299"/>
    <w:rsid w:val="00500509"/>
    <w:rsid w:val="00500E2A"/>
    <w:rsid w:val="0050279C"/>
    <w:rsid w:val="00504F79"/>
    <w:rsid w:val="00505896"/>
    <w:rsid w:val="005062C6"/>
    <w:rsid w:val="00506684"/>
    <w:rsid w:val="005067E6"/>
    <w:rsid w:val="00507313"/>
    <w:rsid w:val="005074EB"/>
    <w:rsid w:val="005077A3"/>
    <w:rsid w:val="005101DC"/>
    <w:rsid w:val="005113A3"/>
    <w:rsid w:val="00511402"/>
    <w:rsid w:val="0051199B"/>
    <w:rsid w:val="005134D4"/>
    <w:rsid w:val="00513C55"/>
    <w:rsid w:val="0051581E"/>
    <w:rsid w:val="00516796"/>
    <w:rsid w:val="00516B63"/>
    <w:rsid w:val="0051704F"/>
    <w:rsid w:val="00520598"/>
    <w:rsid w:val="00520D45"/>
    <w:rsid w:val="00522400"/>
    <w:rsid w:val="005224B0"/>
    <w:rsid w:val="005232B1"/>
    <w:rsid w:val="005243A8"/>
    <w:rsid w:val="005244E2"/>
    <w:rsid w:val="005248FE"/>
    <w:rsid w:val="00525F66"/>
    <w:rsid w:val="0053127B"/>
    <w:rsid w:val="005314B0"/>
    <w:rsid w:val="00531545"/>
    <w:rsid w:val="00532C21"/>
    <w:rsid w:val="00532C23"/>
    <w:rsid w:val="0053378F"/>
    <w:rsid w:val="00533802"/>
    <w:rsid w:val="00534259"/>
    <w:rsid w:val="00534F85"/>
    <w:rsid w:val="00535915"/>
    <w:rsid w:val="00535C78"/>
    <w:rsid w:val="00535E76"/>
    <w:rsid w:val="005369FC"/>
    <w:rsid w:val="00536C3A"/>
    <w:rsid w:val="005374BC"/>
    <w:rsid w:val="0053755B"/>
    <w:rsid w:val="00540197"/>
    <w:rsid w:val="00540A06"/>
    <w:rsid w:val="00543846"/>
    <w:rsid w:val="00544D9B"/>
    <w:rsid w:val="00544DBF"/>
    <w:rsid w:val="00545688"/>
    <w:rsid w:val="005472AB"/>
    <w:rsid w:val="00547752"/>
    <w:rsid w:val="0054784D"/>
    <w:rsid w:val="00550B90"/>
    <w:rsid w:val="005516FE"/>
    <w:rsid w:val="00551D5F"/>
    <w:rsid w:val="00553C62"/>
    <w:rsid w:val="0055427F"/>
    <w:rsid w:val="00554377"/>
    <w:rsid w:val="00554633"/>
    <w:rsid w:val="00554C81"/>
    <w:rsid w:val="00555A71"/>
    <w:rsid w:val="0055632E"/>
    <w:rsid w:val="0056073B"/>
    <w:rsid w:val="00561CA2"/>
    <w:rsid w:val="005640D8"/>
    <w:rsid w:val="00564856"/>
    <w:rsid w:val="005654A4"/>
    <w:rsid w:val="005656E2"/>
    <w:rsid w:val="00565861"/>
    <w:rsid w:val="00565B2C"/>
    <w:rsid w:val="00565DD4"/>
    <w:rsid w:val="00565E37"/>
    <w:rsid w:val="005663CD"/>
    <w:rsid w:val="005672DA"/>
    <w:rsid w:val="0056779A"/>
    <w:rsid w:val="00571E26"/>
    <w:rsid w:val="00573627"/>
    <w:rsid w:val="00573C30"/>
    <w:rsid w:val="0057409D"/>
    <w:rsid w:val="005747C1"/>
    <w:rsid w:val="005747F6"/>
    <w:rsid w:val="005757FA"/>
    <w:rsid w:val="00577B41"/>
    <w:rsid w:val="00580063"/>
    <w:rsid w:val="00580F57"/>
    <w:rsid w:val="0058161E"/>
    <w:rsid w:val="00581E16"/>
    <w:rsid w:val="00582A4E"/>
    <w:rsid w:val="0058345B"/>
    <w:rsid w:val="005838AC"/>
    <w:rsid w:val="00584B8A"/>
    <w:rsid w:val="00584D15"/>
    <w:rsid w:val="00584D47"/>
    <w:rsid w:val="005857FE"/>
    <w:rsid w:val="00585AE8"/>
    <w:rsid w:val="00585D4A"/>
    <w:rsid w:val="00585E34"/>
    <w:rsid w:val="0058636E"/>
    <w:rsid w:val="0058661C"/>
    <w:rsid w:val="005876B5"/>
    <w:rsid w:val="0059098F"/>
    <w:rsid w:val="00592554"/>
    <w:rsid w:val="00593006"/>
    <w:rsid w:val="005930E9"/>
    <w:rsid w:val="00593487"/>
    <w:rsid w:val="00593828"/>
    <w:rsid w:val="005939B8"/>
    <w:rsid w:val="00594771"/>
    <w:rsid w:val="00594DFE"/>
    <w:rsid w:val="005954F8"/>
    <w:rsid w:val="00596004"/>
    <w:rsid w:val="00596B8C"/>
    <w:rsid w:val="005A0AD4"/>
    <w:rsid w:val="005A0B38"/>
    <w:rsid w:val="005A108B"/>
    <w:rsid w:val="005A1F00"/>
    <w:rsid w:val="005A2CF2"/>
    <w:rsid w:val="005A341E"/>
    <w:rsid w:val="005A37E3"/>
    <w:rsid w:val="005A38B5"/>
    <w:rsid w:val="005A5036"/>
    <w:rsid w:val="005A53C2"/>
    <w:rsid w:val="005A5414"/>
    <w:rsid w:val="005A6518"/>
    <w:rsid w:val="005A6689"/>
    <w:rsid w:val="005B054F"/>
    <w:rsid w:val="005B0899"/>
    <w:rsid w:val="005B0EDC"/>
    <w:rsid w:val="005B136A"/>
    <w:rsid w:val="005B154B"/>
    <w:rsid w:val="005B2B1A"/>
    <w:rsid w:val="005B340A"/>
    <w:rsid w:val="005B3633"/>
    <w:rsid w:val="005B4481"/>
    <w:rsid w:val="005B46BB"/>
    <w:rsid w:val="005B5997"/>
    <w:rsid w:val="005C0DFC"/>
    <w:rsid w:val="005C0EB2"/>
    <w:rsid w:val="005C15CE"/>
    <w:rsid w:val="005C22EA"/>
    <w:rsid w:val="005C25AF"/>
    <w:rsid w:val="005C2A9E"/>
    <w:rsid w:val="005C3EFD"/>
    <w:rsid w:val="005C4118"/>
    <w:rsid w:val="005C4ADC"/>
    <w:rsid w:val="005C6289"/>
    <w:rsid w:val="005D02A2"/>
    <w:rsid w:val="005D0F9E"/>
    <w:rsid w:val="005D20D8"/>
    <w:rsid w:val="005D23B7"/>
    <w:rsid w:val="005D520B"/>
    <w:rsid w:val="005D6304"/>
    <w:rsid w:val="005D694A"/>
    <w:rsid w:val="005D752C"/>
    <w:rsid w:val="005E0072"/>
    <w:rsid w:val="005E0593"/>
    <w:rsid w:val="005E0C17"/>
    <w:rsid w:val="005E1B90"/>
    <w:rsid w:val="005E2A50"/>
    <w:rsid w:val="005E2B5E"/>
    <w:rsid w:val="005E4623"/>
    <w:rsid w:val="005E4B32"/>
    <w:rsid w:val="005E54E1"/>
    <w:rsid w:val="005E55F4"/>
    <w:rsid w:val="005E5647"/>
    <w:rsid w:val="005E564C"/>
    <w:rsid w:val="005E639D"/>
    <w:rsid w:val="005E728F"/>
    <w:rsid w:val="005E77C8"/>
    <w:rsid w:val="005F0001"/>
    <w:rsid w:val="005F0401"/>
    <w:rsid w:val="005F0DDE"/>
    <w:rsid w:val="005F0F57"/>
    <w:rsid w:val="005F1B86"/>
    <w:rsid w:val="005F1E73"/>
    <w:rsid w:val="005F2060"/>
    <w:rsid w:val="005F26FC"/>
    <w:rsid w:val="005F478A"/>
    <w:rsid w:val="005F59D5"/>
    <w:rsid w:val="005F644C"/>
    <w:rsid w:val="005F6AD5"/>
    <w:rsid w:val="005F77C5"/>
    <w:rsid w:val="005F793E"/>
    <w:rsid w:val="00600378"/>
    <w:rsid w:val="0060363A"/>
    <w:rsid w:val="00603CB9"/>
    <w:rsid w:val="006071F2"/>
    <w:rsid w:val="00607CB7"/>
    <w:rsid w:val="00610D71"/>
    <w:rsid w:val="00610E21"/>
    <w:rsid w:val="00610E68"/>
    <w:rsid w:val="00611995"/>
    <w:rsid w:val="00611D39"/>
    <w:rsid w:val="00611F92"/>
    <w:rsid w:val="00613368"/>
    <w:rsid w:val="00614F7D"/>
    <w:rsid w:val="0061573A"/>
    <w:rsid w:val="00615B5C"/>
    <w:rsid w:val="00617429"/>
    <w:rsid w:val="00620417"/>
    <w:rsid w:val="0062156F"/>
    <w:rsid w:val="00621D99"/>
    <w:rsid w:val="00623B11"/>
    <w:rsid w:val="006251FE"/>
    <w:rsid w:val="006258BD"/>
    <w:rsid w:val="00625987"/>
    <w:rsid w:val="00625E52"/>
    <w:rsid w:val="0062744B"/>
    <w:rsid w:val="0062799F"/>
    <w:rsid w:val="00627F55"/>
    <w:rsid w:val="006303D1"/>
    <w:rsid w:val="00630859"/>
    <w:rsid w:val="00630A26"/>
    <w:rsid w:val="00632F5E"/>
    <w:rsid w:val="00634874"/>
    <w:rsid w:val="00635575"/>
    <w:rsid w:val="00635E08"/>
    <w:rsid w:val="006361FF"/>
    <w:rsid w:val="00636C2A"/>
    <w:rsid w:val="00636D45"/>
    <w:rsid w:val="006371B7"/>
    <w:rsid w:val="00640091"/>
    <w:rsid w:val="0064099D"/>
    <w:rsid w:val="00641187"/>
    <w:rsid w:val="006412E7"/>
    <w:rsid w:val="00641B37"/>
    <w:rsid w:val="0064338F"/>
    <w:rsid w:val="0064386B"/>
    <w:rsid w:val="00643AAD"/>
    <w:rsid w:val="00643F51"/>
    <w:rsid w:val="00645F0B"/>
    <w:rsid w:val="00646BBB"/>
    <w:rsid w:val="00650576"/>
    <w:rsid w:val="00650EB6"/>
    <w:rsid w:val="00652197"/>
    <w:rsid w:val="00652297"/>
    <w:rsid w:val="006528A6"/>
    <w:rsid w:val="00652E87"/>
    <w:rsid w:val="0065351E"/>
    <w:rsid w:val="00654BBD"/>
    <w:rsid w:val="00655D56"/>
    <w:rsid w:val="0065655B"/>
    <w:rsid w:val="00656ECA"/>
    <w:rsid w:val="006615C2"/>
    <w:rsid w:val="00661FAD"/>
    <w:rsid w:val="00662ACF"/>
    <w:rsid w:val="00663FD3"/>
    <w:rsid w:val="00664DD8"/>
    <w:rsid w:val="00665CC3"/>
    <w:rsid w:val="00667C35"/>
    <w:rsid w:val="00670384"/>
    <w:rsid w:val="00670738"/>
    <w:rsid w:val="0067112C"/>
    <w:rsid w:val="00671D7C"/>
    <w:rsid w:val="00672E21"/>
    <w:rsid w:val="00672E58"/>
    <w:rsid w:val="0067359C"/>
    <w:rsid w:val="00673D74"/>
    <w:rsid w:val="00673E18"/>
    <w:rsid w:val="006753F3"/>
    <w:rsid w:val="00676054"/>
    <w:rsid w:val="00676509"/>
    <w:rsid w:val="006771AB"/>
    <w:rsid w:val="00680F5A"/>
    <w:rsid w:val="00682F34"/>
    <w:rsid w:val="00682FE0"/>
    <w:rsid w:val="006837CE"/>
    <w:rsid w:val="0068416D"/>
    <w:rsid w:val="00684376"/>
    <w:rsid w:val="00684504"/>
    <w:rsid w:val="00684F18"/>
    <w:rsid w:val="00685B65"/>
    <w:rsid w:val="006868B9"/>
    <w:rsid w:val="00687CD8"/>
    <w:rsid w:val="006904AE"/>
    <w:rsid w:val="00691302"/>
    <w:rsid w:val="00691486"/>
    <w:rsid w:val="00691A7C"/>
    <w:rsid w:val="00692022"/>
    <w:rsid w:val="00692D14"/>
    <w:rsid w:val="006941DC"/>
    <w:rsid w:val="00694DE8"/>
    <w:rsid w:val="00695034"/>
    <w:rsid w:val="006972FB"/>
    <w:rsid w:val="00697AD0"/>
    <w:rsid w:val="00697EED"/>
    <w:rsid w:val="006A0128"/>
    <w:rsid w:val="006A0DD8"/>
    <w:rsid w:val="006A1097"/>
    <w:rsid w:val="006A11FB"/>
    <w:rsid w:val="006A256E"/>
    <w:rsid w:val="006A272B"/>
    <w:rsid w:val="006A403F"/>
    <w:rsid w:val="006A458E"/>
    <w:rsid w:val="006A4C71"/>
    <w:rsid w:val="006A5757"/>
    <w:rsid w:val="006A5966"/>
    <w:rsid w:val="006A5CF1"/>
    <w:rsid w:val="006A659D"/>
    <w:rsid w:val="006A79C5"/>
    <w:rsid w:val="006B090C"/>
    <w:rsid w:val="006B0F9B"/>
    <w:rsid w:val="006B1FBD"/>
    <w:rsid w:val="006B4EDC"/>
    <w:rsid w:val="006B4F8F"/>
    <w:rsid w:val="006B7C73"/>
    <w:rsid w:val="006C01EA"/>
    <w:rsid w:val="006C10B8"/>
    <w:rsid w:val="006C1146"/>
    <w:rsid w:val="006C1ABF"/>
    <w:rsid w:val="006C1E0D"/>
    <w:rsid w:val="006C2E7C"/>
    <w:rsid w:val="006C39BF"/>
    <w:rsid w:val="006C41D0"/>
    <w:rsid w:val="006C47A8"/>
    <w:rsid w:val="006C566A"/>
    <w:rsid w:val="006C63B1"/>
    <w:rsid w:val="006C6B4C"/>
    <w:rsid w:val="006C700E"/>
    <w:rsid w:val="006D01E1"/>
    <w:rsid w:val="006D1F74"/>
    <w:rsid w:val="006D290B"/>
    <w:rsid w:val="006D3657"/>
    <w:rsid w:val="006D37EB"/>
    <w:rsid w:val="006D4530"/>
    <w:rsid w:val="006D49D3"/>
    <w:rsid w:val="006D4F0A"/>
    <w:rsid w:val="006D5892"/>
    <w:rsid w:val="006D647D"/>
    <w:rsid w:val="006D76FF"/>
    <w:rsid w:val="006E0314"/>
    <w:rsid w:val="006E0F0D"/>
    <w:rsid w:val="006E2714"/>
    <w:rsid w:val="006E3A34"/>
    <w:rsid w:val="006E44BE"/>
    <w:rsid w:val="006E52F6"/>
    <w:rsid w:val="006E5D47"/>
    <w:rsid w:val="006E7767"/>
    <w:rsid w:val="006E788B"/>
    <w:rsid w:val="006F39D8"/>
    <w:rsid w:val="006F3C12"/>
    <w:rsid w:val="006F61B1"/>
    <w:rsid w:val="006F6339"/>
    <w:rsid w:val="00700CC3"/>
    <w:rsid w:val="0070125B"/>
    <w:rsid w:val="00702895"/>
    <w:rsid w:val="00704813"/>
    <w:rsid w:val="0070520E"/>
    <w:rsid w:val="007054E6"/>
    <w:rsid w:val="00706DEC"/>
    <w:rsid w:val="007122E8"/>
    <w:rsid w:val="007132AB"/>
    <w:rsid w:val="007134F7"/>
    <w:rsid w:val="0071439C"/>
    <w:rsid w:val="007172E8"/>
    <w:rsid w:val="00717EEB"/>
    <w:rsid w:val="007203BA"/>
    <w:rsid w:val="00722948"/>
    <w:rsid w:val="00722F56"/>
    <w:rsid w:val="00723F80"/>
    <w:rsid w:val="00725AA6"/>
    <w:rsid w:val="00727B9A"/>
    <w:rsid w:val="00727D92"/>
    <w:rsid w:val="00730B67"/>
    <w:rsid w:val="007319F9"/>
    <w:rsid w:val="00731B29"/>
    <w:rsid w:val="007327EA"/>
    <w:rsid w:val="0073302E"/>
    <w:rsid w:val="007330BC"/>
    <w:rsid w:val="00734900"/>
    <w:rsid w:val="00734C99"/>
    <w:rsid w:val="007353BF"/>
    <w:rsid w:val="00735D79"/>
    <w:rsid w:val="00736B6D"/>
    <w:rsid w:val="0074043C"/>
    <w:rsid w:val="007419F1"/>
    <w:rsid w:val="00741EDB"/>
    <w:rsid w:val="00743B3F"/>
    <w:rsid w:val="007454E0"/>
    <w:rsid w:val="00746130"/>
    <w:rsid w:val="00746E5E"/>
    <w:rsid w:val="007476F9"/>
    <w:rsid w:val="00750687"/>
    <w:rsid w:val="00750C4F"/>
    <w:rsid w:val="00751093"/>
    <w:rsid w:val="00752561"/>
    <w:rsid w:val="00752CEA"/>
    <w:rsid w:val="007530C5"/>
    <w:rsid w:val="00753754"/>
    <w:rsid w:val="00753F43"/>
    <w:rsid w:val="007544B9"/>
    <w:rsid w:val="00754731"/>
    <w:rsid w:val="00755728"/>
    <w:rsid w:val="007557B1"/>
    <w:rsid w:val="00755935"/>
    <w:rsid w:val="00755F05"/>
    <w:rsid w:val="00756954"/>
    <w:rsid w:val="00756B11"/>
    <w:rsid w:val="00756C4E"/>
    <w:rsid w:val="00756F59"/>
    <w:rsid w:val="0075753A"/>
    <w:rsid w:val="00760AA6"/>
    <w:rsid w:val="00760FCB"/>
    <w:rsid w:val="00761232"/>
    <w:rsid w:val="007612C6"/>
    <w:rsid w:val="007612EC"/>
    <w:rsid w:val="00761962"/>
    <w:rsid w:val="0076309A"/>
    <w:rsid w:val="00764768"/>
    <w:rsid w:val="007663ED"/>
    <w:rsid w:val="00766585"/>
    <w:rsid w:val="007665AF"/>
    <w:rsid w:val="007711D9"/>
    <w:rsid w:val="00771DA0"/>
    <w:rsid w:val="00771FC9"/>
    <w:rsid w:val="00772E01"/>
    <w:rsid w:val="00773AA4"/>
    <w:rsid w:val="00773F49"/>
    <w:rsid w:val="00773F9D"/>
    <w:rsid w:val="00774B31"/>
    <w:rsid w:val="00775AC8"/>
    <w:rsid w:val="00775FA2"/>
    <w:rsid w:val="00776B79"/>
    <w:rsid w:val="007770F8"/>
    <w:rsid w:val="007771F1"/>
    <w:rsid w:val="00777596"/>
    <w:rsid w:val="00777960"/>
    <w:rsid w:val="00780382"/>
    <w:rsid w:val="00780650"/>
    <w:rsid w:val="007828C0"/>
    <w:rsid w:val="00785EC4"/>
    <w:rsid w:val="007860B6"/>
    <w:rsid w:val="00787014"/>
    <w:rsid w:val="007906EB"/>
    <w:rsid w:val="00791188"/>
    <w:rsid w:val="007920FE"/>
    <w:rsid w:val="0079410B"/>
    <w:rsid w:val="0079577C"/>
    <w:rsid w:val="00797CEE"/>
    <w:rsid w:val="007A01FE"/>
    <w:rsid w:val="007A03B7"/>
    <w:rsid w:val="007A0BE8"/>
    <w:rsid w:val="007A140D"/>
    <w:rsid w:val="007A286E"/>
    <w:rsid w:val="007A2907"/>
    <w:rsid w:val="007A3140"/>
    <w:rsid w:val="007A3D9B"/>
    <w:rsid w:val="007A3FC1"/>
    <w:rsid w:val="007A5A29"/>
    <w:rsid w:val="007A62BC"/>
    <w:rsid w:val="007A68ED"/>
    <w:rsid w:val="007A7B07"/>
    <w:rsid w:val="007B008C"/>
    <w:rsid w:val="007B0489"/>
    <w:rsid w:val="007B0839"/>
    <w:rsid w:val="007B0B7F"/>
    <w:rsid w:val="007B138C"/>
    <w:rsid w:val="007B2DAD"/>
    <w:rsid w:val="007B3D50"/>
    <w:rsid w:val="007B42BF"/>
    <w:rsid w:val="007B4D35"/>
    <w:rsid w:val="007B53D1"/>
    <w:rsid w:val="007B57CE"/>
    <w:rsid w:val="007B679D"/>
    <w:rsid w:val="007B6820"/>
    <w:rsid w:val="007B693C"/>
    <w:rsid w:val="007B6CDD"/>
    <w:rsid w:val="007C037E"/>
    <w:rsid w:val="007C0650"/>
    <w:rsid w:val="007C0B45"/>
    <w:rsid w:val="007C1739"/>
    <w:rsid w:val="007C1FA0"/>
    <w:rsid w:val="007C391C"/>
    <w:rsid w:val="007C4006"/>
    <w:rsid w:val="007C4268"/>
    <w:rsid w:val="007C5BD8"/>
    <w:rsid w:val="007C635F"/>
    <w:rsid w:val="007D092D"/>
    <w:rsid w:val="007D192B"/>
    <w:rsid w:val="007D22B4"/>
    <w:rsid w:val="007D28B7"/>
    <w:rsid w:val="007D3491"/>
    <w:rsid w:val="007D354C"/>
    <w:rsid w:val="007D3D6D"/>
    <w:rsid w:val="007D48DC"/>
    <w:rsid w:val="007D5474"/>
    <w:rsid w:val="007E04D4"/>
    <w:rsid w:val="007E2A2A"/>
    <w:rsid w:val="007E38FB"/>
    <w:rsid w:val="007E45E5"/>
    <w:rsid w:val="007E5321"/>
    <w:rsid w:val="007E6330"/>
    <w:rsid w:val="007F0C16"/>
    <w:rsid w:val="007F0EE6"/>
    <w:rsid w:val="007F1297"/>
    <w:rsid w:val="007F129C"/>
    <w:rsid w:val="007F2F8B"/>
    <w:rsid w:val="007F5746"/>
    <w:rsid w:val="007F67C7"/>
    <w:rsid w:val="007F6CEF"/>
    <w:rsid w:val="007F6E37"/>
    <w:rsid w:val="00800B08"/>
    <w:rsid w:val="00801057"/>
    <w:rsid w:val="00801224"/>
    <w:rsid w:val="0080146B"/>
    <w:rsid w:val="0080167C"/>
    <w:rsid w:val="00801AFB"/>
    <w:rsid w:val="00801F52"/>
    <w:rsid w:val="008024BE"/>
    <w:rsid w:val="0080260C"/>
    <w:rsid w:val="00802DCD"/>
    <w:rsid w:val="00802ECA"/>
    <w:rsid w:val="00803DC8"/>
    <w:rsid w:val="00804F18"/>
    <w:rsid w:val="00806832"/>
    <w:rsid w:val="008071BE"/>
    <w:rsid w:val="0080767E"/>
    <w:rsid w:val="0081033F"/>
    <w:rsid w:val="00810AF0"/>
    <w:rsid w:val="00813F4B"/>
    <w:rsid w:val="00814B4D"/>
    <w:rsid w:val="0081613E"/>
    <w:rsid w:val="00817047"/>
    <w:rsid w:val="008177A2"/>
    <w:rsid w:val="0082176F"/>
    <w:rsid w:val="0082199C"/>
    <w:rsid w:val="008237C2"/>
    <w:rsid w:val="00825A5E"/>
    <w:rsid w:val="00826755"/>
    <w:rsid w:val="00826985"/>
    <w:rsid w:val="00826D88"/>
    <w:rsid w:val="00830620"/>
    <w:rsid w:val="00830DDC"/>
    <w:rsid w:val="00831282"/>
    <w:rsid w:val="0083230A"/>
    <w:rsid w:val="008323B2"/>
    <w:rsid w:val="008341B6"/>
    <w:rsid w:val="00834E25"/>
    <w:rsid w:val="00834F37"/>
    <w:rsid w:val="008361E1"/>
    <w:rsid w:val="00836211"/>
    <w:rsid w:val="00836389"/>
    <w:rsid w:val="0084111C"/>
    <w:rsid w:val="0084226D"/>
    <w:rsid w:val="00843074"/>
    <w:rsid w:val="00844137"/>
    <w:rsid w:val="008447E6"/>
    <w:rsid w:val="00845548"/>
    <w:rsid w:val="00845CF8"/>
    <w:rsid w:val="0084686E"/>
    <w:rsid w:val="00846A75"/>
    <w:rsid w:val="00847933"/>
    <w:rsid w:val="0085019F"/>
    <w:rsid w:val="008502A9"/>
    <w:rsid w:val="0085070C"/>
    <w:rsid w:val="0085207D"/>
    <w:rsid w:val="00852796"/>
    <w:rsid w:val="0085341F"/>
    <w:rsid w:val="00853875"/>
    <w:rsid w:val="0085389A"/>
    <w:rsid w:val="00854111"/>
    <w:rsid w:val="00854489"/>
    <w:rsid w:val="00854DD8"/>
    <w:rsid w:val="008551A7"/>
    <w:rsid w:val="00855992"/>
    <w:rsid w:val="00855C87"/>
    <w:rsid w:val="0085754C"/>
    <w:rsid w:val="00860039"/>
    <w:rsid w:val="008606B9"/>
    <w:rsid w:val="00861752"/>
    <w:rsid w:val="00861B69"/>
    <w:rsid w:val="00861D56"/>
    <w:rsid w:val="00862143"/>
    <w:rsid w:val="00863767"/>
    <w:rsid w:val="00863A24"/>
    <w:rsid w:val="00863A71"/>
    <w:rsid w:val="00865910"/>
    <w:rsid w:val="00865EE9"/>
    <w:rsid w:val="008660D4"/>
    <w:rsid w:val="00870E1D"/>
    <w:rsid w:val="00871DA2"/>
    <w:rsid w:val="00871FCF"/>
    <w:rsid w:val="008721B8"/>
    <w:rsid w:val="008750A5"/>
    <w:rsid w:val="00876030"/>
    <w:rsid w:val="008779D5"/>
    <w:rsid w:val="0088037D"/>
    <w:rsid w:val="00881023"/>
    <w:rsid w:val="008810FA"/>
    <w:rsid w:val="00881396"/>
    <w:rsid w:val="00881459"/>
    <w:rsid w:val="00881730"/>
    <w:rsid w:val="0088199F"/>
    <w:rsid w:val="00883710"/>
    <w:rsid w:val="00883783"/>
    <w:rsid w:val="008837F3"/>
    <w:rsid w:val="008839F8"/>
    <w:rsid w:val="00887DDF"/>
    <w:rsid w:val="008902E6"/>
    <w:rsid w:val="00890C73"/>
    <w:rsid w:val="00891051"/>
    <w:rsid w:val="00892432"/>
    <w:rsid w:val="00892829"/>
    <w:rsid w:val="008940AB"/>
    <w:rsid w:val="00894285"/>
    <w:rsid w:val="0089522A"/>
    <w:rsid w:val="008966DB"/>
    <w:rsid w:val="008975C2"/>
    <w:rsid w:val="008A0401"/>
    <w:rsid w:val="008A13A1"/>
    <w:rsid w:val="008A5244"/>
    <w:rsid w:val="008A5419"/>
    <w:rsid w:val="008A79C9"/>
    <w:rsid w:val="008B2F8A"/>
    <w:rsid w:val="008B3B43"/>
    <w:rsid w:val="008B3BA6"/>
    <w:rsid w:val="008B3F7B"/>
    <w:rsid w:val="008B5064"/>
    <w:rsid w:val="008B5523"/>
    <w:rsid w:val="008C0A68"/>
    <w:rsid w:val="008C1275"/>
    <w:rsid w:val="008C2F6D"/>
    <w:rsid w:val="008C343B"/>
    <w:rsid w:val="008C4702"/>
    <w:rsid w:val="008C50F9"/>
    <w:rsid w:val="008C5969"/>
    <w:rsid w:val="008C5B93"/>
    <w:rsid w:val="008C6A16"/>
    <w:rsid w:val="008C6D49"/>
    <w:rsid w:val="008C7464"/>
    <w:rsid w:val="008C753C"/>
    <w:rsid w:val="008D06D4"/>
    <w:rsid w:val="008D1187"/>
    <w:rsid w:val="008D13DC"/>
    <w:rsid w:val="008D19E6"/>
    <w:rsid w:val="008D24DC"/>
    <w:rsid w:val="008D2934"/>
    <w:rsid w:val="008D34C1"/>
    <w:rsid w:val="008D3F16"/>
    <w:rsid w:val="008D3F8B"/>
    <w:rsid w:val="008D4BE6"/>
    <w:rsid w:val="008D4C22"/>
    <w:rsid w:val="008D64C9"/>
    <w:rsid w:val="008D7F55"/>
    <w:rsid w:val="008E1249"/>
    <w:rsid w:val="008E14DB"/>
    <w:rsid w:val="008E1B0F"/>
    <w:rsid w:val="008E1FBE"/>
    <w:rsid w:val="008E21D7"/>
    <w:rsid w:val="008E2600"/>
    <w:rsid w:val="008E29B9"/>
    <w:rsid w:val="008E30ED"/>
    <w:rsid w:val="008E3202"/>
    <w:rsid w:val="008E517E"/>
    <w:rsid w:val="008E6030"/>
    <w:rsid w:val="008E6274"/>
    <w:rsid w:val="008F3180"/>
    <w:rsid w:val="008F35C0"/>
    <w:rsid w:val="008F3634"/>
    <w:rsid w:val="008F421E"/>
    <w:rsid w:val="008F422C"/>
    <w:rsid w:val="008F50F8"/>
    <w:rsid w:val="008F56BC"/>
    <w:rsid w:val="008F6B3C"/>
    <w:rsid w:val="0090123D"/>
    <w:rsid w:val="009017D7"/>
    <w:rsid w:val="00903D2C"/>
    <w:rsid w:val="00905BB2"/>
    <w:rsid w:val="00906672"/>
    <w:rsid w:val="00906989"/>
    <w:rsid w:val="00907DB1"/>
    <w:rsid w:val="009102E2"/>
    <w:rsid w:val="00911E33"/>
    <w:rsid w:val="009133D1"/>
    <w:rsid w:val="009143EA"/>
    <w:rsid w:val="00914FFD"/>
    <w:rsid w:val="00915114"/>
    <w:rsid w:val="009151C0"/>
    <w:rsid w:val="009213AB"/>
    <w:rsid w:val="0092449D"/>
    <w:rsid w:val="0092482D"/>
    <w:rsid w:val="0092551E"/>
    <w:rsid w:val="00925949"/>
    <w:rsid w:val="00925F5B"/>
    <w:rsid w:val="00925F94"/>
    <w:rsid w:val="0092713F"/>
    <w:rsid w:val="009304BF"/>
    <w:rsid w:val="009307D7"/>
    <w:rsid w:val="00930E42"/>
    <w:rsid w:val="00930E5E"/>
    <w:rsid w:val="009311BA"/>
    <w:rsid w:val="00931DE6"/>
    <w:rsid w:val="009330ED"/>
    <w:rsid w:val="009342E6"/>
    <w:rsid w:val="00934393"/>
    <w:rsid w:val="00934ACE"/>
    <w:rsid w:val="00935177"/>
    <w:rsid w:val="00936CAE"/>
    <w:rsid w:val="0094128B"/>
    <w:rsid w:val="009433FD"/>
    <w:rsid w:val="00943C34"/>
    <w:rsid w:val="00945993"/>
    <w:rsid w:val="0094628D"/>
    <w:rsid w:val="00946312"/>
    <w:rsid w:val="009469F4"/>
    <w:rsid w:val="00946C49"/>
    <w:rsid w:val="00947944"/>
    <w:rsid w:val="0095142E"/>
    <w:rsid w:val="0095370A"/>
    <w:rsid w:val="0095469D"/>
    <w:rsid w:val="00955158"/>
    <w:rsid w:val="009552CA"/>
    <w:rsid w:val="00955361"/>
    <w:rsid w:val="009569EF"/>
    <w:rsid w:val="00957085"/>
    <w:rsid w:val="00963AC6"/>
    <w:rsid w:val="0096492D"/>
    <w:rsid w:val="00964BBB"/>
    <w:rsid w:val="00964C87"/>
    <w:rsid w:val="00965030"/>
    <w:rsid w:val="00966312"/>
    <w:rsid w:val="0096631A"/>
    <w:rsid w:val="009667C4"/>
    <w:rsid w:val="00966ADA"/>
    <w:rsid w:val="00966BB1"/>
    <w:rsid w:val="00967CFF"/>
    <w:rsid w:val="009714C8"/>
    <w:rsid w:val="00971806"/>
    <w:rsid w:val="00971B8A"/>
    <w:rsid w:val="00971FF5"/>
    <w:rsid w:val="00972AF4"/>
    <w:rsid w:val="009731D8"/>
    <w:rsid w:val="00974727"/>
    <w:rsid w:val="0097530B"/>
    <w:rsid w:val="009756EF"/>
    <w:rsid w:val="00976F28"/>
    <w:rsid w:val="00977070"/>
    <w:rsid w:val="009771ED"/>
    <w:rsid w:val="009772C9"/>
    <w:rsid w:val="009802A0"/>
    <w:rsid w:val="0098207C"/>
    <w:rsid w:val="009829EE"/>
    <w:rsid w:val="009834B5"/>
    <w:rsid w:val="0098415C"/>
    <w:rsid w:val="00984606"/>
    <w:rsid w:val="00984A76"/>
    <w:rsid w:val="00985BDE"/>
    <w:rsid w:val="00985D25"/>
    <w:rsid w:val="009912B7"/>
    <w:rsid w:val="009924CF"/>
    <w:rsid w:val="00992659"/>
    <w:rsid w:val="009928DD"/>
    <w:rsid w:val="00993015"/>
    <w:rsid w:val="00993049"/>
    <w:rsid w:val="009933D1"/>
    <w:rsid w:val="0099431C"/>
    <w:rsid w:val="00994470"/>
    <w:rsid w:val="009948E5"/>
    <w:rsid w:val="00994D6A"/>
    <w:rsid w:val="00994E9B"/>
    <w:rsid w:val="009971AF"/>
    <w:rsid w:val="009A0033"/>
    <w:rsid w:val="009A13B4"/>
    <w:rsid w:val="009A19DB"/>
    <w:rsid w:val="009A1E47"/>
    <w:rsid w:val="009A2150"/>
    <w:rsid w:val="009A2D50"/>
    <w:rsid w:val="009A3C28"/>
    <w:rsid w:val="009A49B5"/>
    <w:rsid w:val="009A5EFC"/>
    <w:rsid w:val="009A5F3B"/>
    <w:rsid w:val="009B07F0"/>
    <w:rsid w:val="009B1228"/>
    <w:rsid w:val="009B1FAA"/>
    <w:rsid w:val="009B21B5"/>
    <w:rsid w:val="009B3DBB"/>
    <w:rsid w:val="009B5438"/>
    <w:rsid w:val="009B5502"/>
    <w:rsid w:val="009B7A42"/>
    <w:rsid w:val="009B7CDD"/>
    <w:rsid w:val="009C08E7"/>
    <w:rsid w:val="009C0B87"/>
    <w:rsid w:val="009C1BB4"/>
    <w:rsid w:val="009C20B6"/>
    <w:rsid w:val="009C292C"/>
    <w:rsid w:val="009C2DB2"/>
    <w:rsid w:val="009C4A4F"/>
    <w:rsid w:val="009C62B6"/>
    <w:rsid w:val="009C7A68"/>
    <w:rsid w:val="009C7BFC"/>
    <w:rsid w:val="009D01A4"/>
    <w:rsid w:val="009D07BA"/>
    <w:rsid w:val="009D0A48"/>
    <w:rsid w:val="009D1051"/>
    <w:rsid w:val="009D1E3E"/>
    <w:rsid w:val="009D2454"/>
    <w:rsid w:val="009D263A"/>
    <w:rsid w:val="009D2DBE"/>
    <w:rsid w:val="009D46F1"/>
    <w:rsid w:val="009D4A7C"/>
    <w:rsid w:val="009D4A88"/>
    <w:rsid w:val="009D4EC2"/>
    <w:rsid w:val="009D68F5"/>
    <w:rsid w:val="009D6E90"/>
    <w:rsid w:val="009D7988"/>
    <w:rsid w:val="009D7AE5"/>
    <w:rsid w:val="009E04F1"/>
    <w:rsid w:val="009E1A7E"/>
    <w:rsid w:val="009E251F"/>
    <w:rsid w:val="009E385D"/>
    <w:rsid w:val="009E57DA"/>
    <w:rsid w:val="009E5993"/>
    <w:rsid w:val="009E671B"/>
    <w:rsid w:val="009E67A7"/>
    <w:rsid w:val="009E77BF"/>
    <w:rsid w:val="009E78AA"/>
    <w:rsid w:val="009F0292"/>
    <w:rsid w:val="009F1795"/>
    <w:rsid w:val="009F19F8"/>
    <w:rsid w:val="009F2D0A"/>
    <w:rsid w:val="009F3923"/>
    <w:rsid w:val="009F4958"/>
    <w:rsid w:val="009F6873"/>
    <w:rsid w:val="009F7930"/>
    <w:rsid w:val="00A00119"/>
    <w:rsid w:val="00A03A9E"/>
    <w:rsid w:val="00A03D2C"/>
    <w:rsid w:val="00A03E8B"/>
    <w:rsid w:val="00A04AAF"/>
    <w:rsid w:val="00A0555C"/>
    <w:rsid w:val="00A05A7D"/>
    <w:rsid w:val="00A06E5B"/>
    <w:rsid w:val="00A07150"/>
    <w:rsid w:val="00A0721C"/>
    <w:rsid w:val="00A107FA"/>
    <w:rsid w:val="00A125A4"/>
    <w:rsid w:val="00A1289D"/>
    <w:rsid w:val="00A131C2"/>
    <w:rsid w:val="00A13F0F"/>
    <w:rsid w:val="00A14542"/>
    <w:rsid w:val="00A1573C"/>
    <w:rsid w:val="00A204F4"/>
    <w:rsid w:val="00A213CA"/>
    <w:rsid w:val="00A22BA9"/>
    <w:rsid w:val="00A23E9F"/>
    <w:rsid w:val="00A26F75"/>
    <w:rsid w:val="00A27B13"/>
    <w:rsid w:val="00A27BDD"/>
    <w:rsid w:val="00A3055C"/>
    <w:rsid w:val="00A30624"/>
    <w:rsid w:val="00A31D8E"/>
    <w:rsid w:val="00A31F0D"/>
    <w:rsid w:val="00A32072"/>
    <w:rsid w:val="00A334A7"/>
    <w:rsid w:val="00A33919"/>
    <w:rsid w:val="00A3485F"/>
    <w:rsid w:val="00A34FBD"/>
    <w:rsid w:val="00A362B8"/>
    <w:rsid w:val="00A36389"/>
    <w:rsid w:val="00A36B96"/>
    <w:rsid w:val="00A37A8C"/>
    <w:rsid w:val="00A4007B"/>
    <w:rsid w:val="00A40C69"/>
    <w:rsid w:val="00A4175E"/>
    <w:rsid w:val="00A42713"/>
    <w:rsid w:val="00A44774"/>
    <w:rsid w:val="00A46D2C"/>
    <w:rsid w:val="00A47FCF"/>
    <w:rsid w:val="00A50132"/>
    <w:rsid w:val="00A5080B"/>
    <w:rsid w:val="00A5400A"/>
    <w:rsid w:val="00A5480B"/>
    <w:rsid w:val="00A558F5"/>
    <w:rsid w:val="00A5791E"/>
    <w:rsid w:val="00A61551"/>
    <w:rsid w:val="00A61D95"/>
    <w:rsid w:val="00A641D3"/>
    <w:rsid w:val="00A64E34"/>
    <w:rsid w:val="00A65940"/>
    <w:rsid w:val="00A70C81"/>
    <w:rsid w:val="00A7282C"/>
    <w:rsid w:val="00A73334"/>
    <w:rsid w:val="00A733BF"/>
    <w:rsid w:val="00A77372"/>
    <w:rsid w:val="00A80397"/>
    <w:rsid w:val="00A81F6C"/>
    <w:rsid w:val="00A824CB"/>
    <w:rsid w:val="00A82597"/>
    <w:rsid w:val="00A82901"/>
    <w:rsid w:val="00A8339B"/>
    <w:rsid w:val="00A8620B"/>
    <w:rsid w:val="00A90E6D"/>
    <w:rsid w:val="00A9157A"/>
    <w:rsid w:val="00A919E9"/>
    <w:rsid w:val="00A93EDB"/>
    <w:rsid w:val="00A94C10"/>
    <w:rsid w:val="00A95102"/>
    <w:rsid w:val="00A957C9"/>
    <w:rsid w:val="00A95F01"/>
    <w:rsid w:val="00A971D1"/>
    <w:rsid w:val="00A97226"/>
    <w:rsid w:val="00A9737C"/>
    <w:rsid w:val="00AA12AB"/>
    <w:rsid w:val="00AA1505"/>
    <w:rsid w:val="00AA22E2"/>
    <w:rsid w:val="00AA32F8"/>
    <w:rsid w:val="00AA39CC"/>
    <w:rsid w:val="00AA41A0"/>
    <w:rsid w:val="00AA543E"/>
    <w:rsid w:val="00AA5E54"/>
    <w:rsid w:val="00AA6EB5"/>
    <w:rsid w:val="00AB1589"/>
    <w:rsid w:val="00AB3458"/>
    <w:rsid w:val="00AB4AEE"/>
    <w:rsid w:val="00AB4B2D"/>
    <w:rsid w:val="00AB5B93"/>
    <w:rsid w:val="00AB641D"/>
    <w:rsid w:val="00AB6B19"/>
    <w:rsid w:val="00AB7056"/>
    <w:rsid w:val="00AB7F9F"/>
    <w:rsid w:val="00AC1D96"/>
    <w:rsid w:val="00AC1F31"/>
    <w:rsid w:val="00AC3BD9"/>
    <w:rsid w:val="00AC41B2"/>
    <w:rsid w:val="00AC5093"/>
    <w:rsid w:val="00AC55EB"/>
    <w:rsid w:val="00AC7583"/>
    <w:rsid w:val="00AC783B"/>
    <w:rsid w:val="00AD0A42"/>
    <w:rsid w:val="00AD10CE"/>
    <w:rsid w:val="00AD17F8"/>
    <w:rsid w:val="00AD2EDF"/>
    <w:rsid w:val="00AD4720"/>
    <w:rsid w:val="00AD5447"/>
    <w:rsid w:val="00AD5867"/>
    <w:rsid w:val="00AD656C"/>
    <w:rsid w:val="00AE07B9"/>
    <w:rsid w:val="00AE2304"/>
    <w:rsid w:val="00AE241B"/>
    <w:rsid w:val="00AE2D4D"/>
    <w:rsid w:val="00AE4155"/>
    <w:rsid w:val="00AE43EB"/>
    <w:rsid w:val="00AF0472"/>
    <w:rsid w:val="00AF0863"/>
    <w:rsid w:val="00AF103C"/>
    <w:rsid w:val="00AF226A"/>
    <w:rsid w:val="00AF4BE7"/>
    <w:rsid w:val="00AF78DB"/>
    <w:rsid w:val="00B00A2A"/>
    <w:rsid w:val="00B00E22"/>
    <w:rsid w:val="00B00F4C"/>
    <w:rsid w:val="00B015EE"/>
    <w:rsid w:val="00B01B27"/>
    <w:rsid w:val="00B0235E"/>
    <w:rsid w:val="00B037E3"/>
    <w:rsid w:val="00B040AC"/>
    <w:rsid w:val="00B05758"/>
    <w:rsid w:val="00B0585F"/>
    <w:rsid w:val="00B05E8E"/>
    <w:rsid w:val="00B06122"/>
    <w:rsid w:val="00B07323"/>
    <w:rsid w:val="00B07701"/>
    <w:rsid w:val="00B07B94"/>
    <w:rsid w:val="00B10AB6"/>
    <w:rsid w:val="00B10FF1"/>
    <w:rsid w:val="00B127C8"/>
    <w:rsid w:val="00B13769"/>
    <w:rsid w:val="00B1393A"/>
    <w:rsid w:val="00B153E5"/>
    <w:rsid w:val="00B16600"/>
    <w:rsid w:val="00B177EC"/>
    <w:rsid w:val="00B2066D"/>
    <w:rsid w:val="00B224F9"/>
    <w:rsid w:val="00B22F29"/>
    <w:rsid w:val="00B23580"/>
    <w:rsid w:val="00B247AA"/>
    <w:rsid w:val="00B276DA"/>
    <w:rsid w:val="00B27A76"/>
    <w:rsid w:val="00B27DEC"/>
    <w:rsid w:val="00B29BBB"/>
    <w:rsid w:val="00B30348"/>
    <w:rsid w:val="00B315AD"/>
    <w:rsid w:val="00B330AE"/>
    <w:rsid w:val="00B3364C"/>
    <w:rsid w:val="00B33C79"/>
    <w:rsid w:val="00B34599"/>
    <w:rsid w:val="00B36B73"/>
    <w:rsid w:val="00B4070C"/>
    <w:rsid w:val="00B41597"/>
    <w:rsid w:val="00B42E72"/>
    <w:rsid w:val="00B43CE1"/>
    <w:rsid w:val="00B43DEC"/>
    <w:rsid w:val="00B43F39"/>
    <w:rsid w:val="00B45BEE"/>
    <w:rsid w:val="00B47A21"/>
    <w:rsid w:val="00B519E1"/>
    <w:rsid w:val="00B5279A"/>
    <w:rsid w:val="00B5323A"/>
    <w:rsid w:val="00B53AA3"/>
    <w:rsid w:val="00B56B46"/>
    <w:rsid w:val="00B56D41"/>
    <w:rsid w:val="00B57375"/>
    <w:rsid w:val="00B57E22"/>
    <w:rsid w:val="00B60765"/>
    <w:rsid w:val="00B614D7"/>
    <w:rsid w:val="00B61754"/>
    <w:rsid w:val="00B628BF"/>
    <w:rsid w:val="00B629E6"/>
    <w:rsid w:val="00B631B0"/>
    <w:rsid w:val="00B64A9D"/>
    <w:rsid w:val="00B664EF"/>
    <w:rsid w:val="00B70E7E"/>
    <w:rsid w:val="00B71580"/>
    <w:rsid w:val="00B72B7F"/>
    <w:rsid w:val="00B735BA"/>
    <w:rsid w:val="00B7388D"/>
    <w:rsid w:val="00B738B0"/>
    <w:rsid w:val="00B741D0"/>
    <w:rsid w:val="00B74F8E"/>
    <w:rsid w:val="00B7503B"/>
    <w:rsid w:val="00B76951"/>
    <w:rsid w:val="00B80406"/>
    <w:rsid w:val="00B80521"/>
    <w:rsid w:val="00B80F5B"/>
    <w:rsid w:val="00B81CA4"/>
    <w:rsid w:val="00B8308C"/>
    <w:rsid w:val="00B8351A"/>
    <w:rsid w:val="00B83554"/>
    <w:rsid w:val="00B85287"/>
    <w:rsid w:val="00B87772"/>
    <w:rsid w:val="00B87DEF"/>
    <w:rsid w:val="00B90616"/>
    <w:rsid w:val="00B91314"/>
    <w:rsid w:val="00B91F37"/>
    <w:rsid w:val="00B920A1"/>
    <w:rsid w:val="00B92D45"/>
    <w:rsid w:val="00B9327B"/>
    <w:rsid w:val="00B9516E"/>
    <w:rsid w:val="00B954F8"/>
    <w:rsid w:val="00B95590"/>
    <w:rsid w:val="00B962BB"/>
    <w:rsid w:val="00B96E0F"/>
    <w:rsid w:val="00B976BA"/>
    <w:rsid w:val="00BA0EF3"/>
    <w:rsid w:val="00BA2282"/>
    <w:rsid w:val="00BA2633"/>
    <w:rsid w:val="00BA38C9"/>
    <w:rsid w:val="00BA47C3"/>
    <w:rsid w:val="00BA5928"/>
    <w:rsid w:val="00BA5D62"/>
    <w:rsid w:val="00BA6719"/>
    <w:rsid w:val="00BA72E0"/>
    <w:rsid w:val="00BB3C52"/>
    <w:rsid w:val="00BB46C4"/>
    <w:rsid w:val="00BB4710"/>
    <w:rsid w:val="00BB4D47"/>
    <w:rsid w:val="00BB59CD"/>
    <w:rsid w:val="00BB5A9F"/>
    <w:rsid w:val="00BB600C"/>
    <w:rsid w:val="00BB6BB7"/>
    <w:rsid w:val="00BB7DFC"/>
    <w:rsid w:val="00BB7F65"/>
    <w:rsid w:val="00BC022A"/>
    <w:rsid w:val="00BC14BC"/>
    <w:rsid w:val="00BC1F75"/>
    <w:rsid w:val="00BC3D1C"/>
    <w:rsid w:val="00BC43FB"/>
    <w:rsid w:val="00BC4771"/>
    <w:rsid w:val="00BC5CF9"/>
    <w:rsid w:val="00BC6114"/>
    <w:rsid w:val="00BD0046"/>
    <w:rsid w:val="00BD0839"/>
    <w:rsid w:val="00BD0DBA"/>
    <w:rsid w:val="00BD1060"/>
    <w:rsid w:val="00BD172E"/>
    <w:rsid w:val="00BD1DE9"/>
    <w:rsid w:val="00BD1FEE"/>
    <w:rsid w:val="00BD237D"/>
    <w:rsid w:val="00BD2F19"/>
    <w:rsid w:val="00BD3894"/>
    <w:rsid w:val="00BD3BE4"/>
    <w:rsid w:val="00BD4BCE"/>
    <w:rsid w:val="00BD4E5D"/>
    <w:rsid w:val="00BD4EFD"/>
    <w:rsid w:val="00BD5EF9"/>
    <w:rsid w:val="00BD62EA"/>
    <w:rsid w:val="00BD6671"/>
    <w:rsid w:val="00BD7134"/>
    <w:rsid w:val="00BE01DD"/>
    <w:rsid w:val="00BE0DA0"/>
    <w:rsid w:val="00BE1967"/>
    <w:rsid w:val="00BE2AB1"/>
    <w:rsid w:val="00BE411F"/>
    <w:rsid w:val="00BE4270"/>
    <w:rsid w:val="00BE5C69"/>
    <w:rsid w:val="00BE66F8"/>
    <w:rsid w:val="00BE715D"/>
    <w:rsid w:val="00BE7CDD"/>
    <w:rsid w:val="00BF04C1"/>
    <w:rsid w:val="00BF26E3"/>
    <w:rsid w:val="00BF2ABC"/>
    <w:rsid w:val="00BF431C"/>
    <w:rsid w:val="00BF442C"/>
    <w:rsid w:val="00BF4A4B"/>
    <w:rsid w:val="00BF4D04"/>
    <w:rsid w:val="00BF6818"/>
    <w:rsid w:val="00BF6BFF"/>
    <w:rsid w:val="00C007F4"/>
    <w:rsid w:val="00C01C22"/>
    <w:rsid w:val="00C058BA"/>
    <w:rsid w:val="00C06BE6"/>
    <w:rsid w:val="00C078E2"/>
    <w:rsid w:val="00C07B99"/>
    <w:rsid w:val="00C1185B"/>
    <w:rsid w:val="00C12C54"/>
    <w:rsid w:val="00C14E8F"/>
    <w:rsid w:val="00C1617F"/>
    <w:rsid w:val="00C21E0A"/>
    <w:rsid w:val="00C21F4F"/>
    <w:rsid w:val="00C2241D"/>
    <w:rsid w:val="00C22B50"/>
    <w:rsid w:val="00C235A7"/>
    <w:rsid w:val="00C24068"/>
    <w:rsid w:val="00C24424"/>
    <w:rsid w:val="00C245E7"/>
    <w:rsid w:val="00C2474E"/>
    <w:rsid w:val="00C25AE2"/>
    <w:rsid w:val="00C26435"/>
    <w:rsid w:val="00C26B13"/>
    <w:rsid w:val="00C30EA5"/>
    <w:rsid w:val="00C31E67"/>
    <w:rsid w:val="00C327B6"/>
    <w:rsid w:val="00C32FE5"/>
    <w:rsid w:val="00C33B48"/>
    <w:rsid w:val="00C33EE7"/>
    <w:rsid w:val="00C3495D"/>
    <w:rsid w:val="00C34D1D"/>
    <w:rsid w:val="00C34D52"/>
    <w:rsid w:val="00C36406"/>
    <w:rsid w:val="00C36C18"/>
    <w:rsid w:val="00C372DD"/>
    <w:rsid w:val="00C3792E"/>
    <w:rsid w:val="00C42CE1"/>
    <w:rsid w:val="00C43795"/>
    <w:rsid w:val="00C44092"/>
    <w:rsid w:val="00C4436D"/>
    <w:rsid w:val="00C44856"/>
    <w:rsid w:val="00C47384"/>
    <w:rsid w:val="00C478BC"/>
    <w:rsid w:val="00C4790D"/>
    <w:rsid w:val="00C47E15"/>
    <w:rsid w:val="00C503CA"/>
    <w:rsid w:val="00C509D9"/>
    <w:rsid w:val="00C517A1"/>
    <w:rsid w:val="00C5322D"/>
    <w:rsid w:val="00C544F6"/>
    <w:rsid w:val="00C5465C"/>
    <w:rsid w:val="00C55C42"/>
    <w:rsid w:val="00C567F1"/>
    <w:rsid w:val="00C56F79"/>
    <w:rsid w:val="00C577A1"/>
    <w:rsid w:val="00C577EF"/>
    <w:rsid w:val="00C600CF"/>
    <w:rsid w:val="00C60296"/>
    <w:rsid w:val="00C60546"/>
    <w:rsid w:val="00C637F3"/>
    <w:rsid w:val="00C64508"/>
    <w:rsid w:val="00C6514E"/>
    <w:rsid w:val="00C705BD"/>
    <w:rsid w:val="00C70BE6"/>
    <w:rsid w:val="00C722AA"/>
    <w:rsid w:val="00C7272D"/>
    <w:rsid w:val="00C738B4"/>
    <w:rsid w:val="00C74683"/>
    <w:rsid w:val="00C75F46"/>
    <w:rsid w:val="00C77EAA"/>
    <w:rsid w:val="00C824AD"/>
    <w:rsid w:val="00C8328F"/>
    <w:rsid w:val="00C8352F"/>
    <w:rsid w:val="00C8399B"/>
    <w:rsid w:val="00C86A98"/>
    <w:rsid w:val="00C905CF"/>
    <w:rsid w:val="00C90697"/>
    <w:rsid w:val="00C90AA3"/>
    <w:rsid w:val="00C9199F"/>
    <w:rsid w:val="00C932C9"/>
    <w:rsid w:val="00C934B5"/>
    <w:rsid w:val="00C93788"/>
    <w:rsid w:val="00C9453B"/>
    <w:rsid w:val="00C95FE6"/>
    <w:rsid w:val="00C96033"/>
    <w:rsid w:val="00C96770"/>
    <w:rsid w:val="00C97F61"/>
    <w:rsid w:val="00CA07E1"/>
    <w:rsid w:val="00CA07EB"/>
    <w:rsid w:val="00CA2465"/>
    <w:rsid w:val="00CA3612"/>
    <w:rsid w:val="00CA3E7A"/>
    <w:rsid w:val="00CA4D5E"/>
    <w:rsid w:val="00CA6B8C"/>
    <w:rsid w:val="00CB111D"/>
    <w:rsid w:val="00CB1544"/>
    <w:rsid w:val="00CB1764"/>
    <w:rsid w:val="00CB1BE3"/>
    <w:rsid w:val="00CB1F78"/>
    <w:rsid w:val="00CB2E8F"/>
    <w:rsid w:val="00CB38A5"/>
    <w:rsid w:val="00CB4531"/>
    <w:rsid w:val="00CB4A35"/>
    <w:rsid w:val="00CB5C26"/>
    <w:rsid w:val="00CB6930"/>
    <w:rsid w:val="00CB6D26"/>
    <w:rsid w:val="00CB72C7"/>
    <w:rsid w:val="00CB7C93"/>
    <w:rsid w:val="00CC0525"/>
    <w:rsid w:val="00CC05EA"/>
    <w:rsid w:val="00CC2B39"/>
    <w:rsid w:val="00CC33F7"/>
    <w:rsid w:val="00CC4071"/>
    <w:rsid w:val="00CC6960"/>
    <w:rsid w:val="00CC726B"/>
    <w:rsid w:val="00CC7CD3"/>
    <w:rsid w:val="00CD0801"/>
    <w:rsid w:val="00CD099E"/>
    <w:rsid w:val="00CD166C"/>
    <w:rsid w:val="00CD1A34"/>
    <w:rsid w:val="00CD1C0A"/>
    <w:rsid w:val="00CD1F99"/>
    <w:rsid w:val="00CD27BE"/>
    <w:rsid w:val="00CD323D"/>
    <w:rsid w:val="00CD3E63"/>
    <w:rsid w:val="00CD4C26"/>
    <w:rsid w:val="00CD54EB"/>
    <w:rsid w:val="00CD598D"/>
    <w:rsid w:val="00CE0D54"/>
    <w:rsid w:val="00CE180C"/>
    <w:rsid w:val="00CE1F57"/>
    <w:rsid w:val="00CE2E2F"/>
    <w:rsid w:val="00CE3BD9"/>
    <w:rsid w:val="00CE3BF7"/>
    <w:rsid w:val="00CE4793"/>
    <w:rsid w:val="00CE5E0B"/>
    <w:rsid w:val="00CE610A"/>
    <w:rsid w:val="00CE643F"/>
    <w:rsid w:val="00CE6445"/>
    <w:rsid w:val="00CE6886"/>
    <w:rsid w:val="00CE7301"/>
    <w:rsid w:val="00CE7FDA"/>
    <w:rsid w:val="00CF3BC4"/>
    <w:rsid w:val="00CF47BD"/>
    <w:rsid w:val="00CF5598"/>
    <w:rsid w:val="00CF60FF"/>
    <w:rsid w:val="00D02684"/>
    <w:rsid w:val="00D02A57"/>
    <w:rsid w:val="00D04EFA"/>
    <w:rsid w:val="00D05B3C"/>
    <w:rsid w:val="00D06096"/>
    <w:rsid w:val="00D110D7"/>
    <w:rsid w:val="00D117EE"/>
    <w:rsid w:val="00D11C6B"/>
    <w:rsid w:val="00D124FC"/>
    <w:rsid w:val="00D13312"/>
    <w:rsid w:val="00D13E22"/>
    <w:rsid w:val="00D146BA"/>
    <w:rsid w:val="00D14702"/>
    <w:rsid w:val="00D15CB4"/>
    <w:rsid w:val="00D17E32"/>
    <w:rsid w:val="00D2077C"/>
    <w:rsid w:val="00D20DCB"/>
    <w:rsid w:val="00D20DF4"/>
    <w:rsid w:val="00D2109B"/>
    <w:rsid w:val="00D21A5D"/>
    <w:rsid w:val="00D229FB"/>
    <w:rsid w:val="00D22E59"/>
    <w:rsid w:val="00D23EB7"/>
    <w:rsid w:val="00D25D7D"/>
    <w:rsid w:val="00D26F3F"/>
    <w:rsid w:val="00D27779"/>
    <w:rsid w:val="00D312C1"/>
    <w:rsid w:val="00D312CE"/>
    <w:rsid w:val="00D31784"/>
    <w:rsid w:val="00D33290"/>
    <w:rsid w:val="00D338B0"/>
    <w:rsid w:val="00D344CB"/>
    <w:rsid w:val="00D3460D"/>
    <w:rsid w:val="00D353AF"/>
    <w:rsid w:val="00D359F1"/>
    <w:rsid w:val="00D35D47"/>
    <w:rsid w:val="00D369A3"/>
    <w:rsid w:val="00D37417"/>
    <w:rsid w:val="00D3747D"/>
    <w:rsid w:val="00D374B6"/>
    <w:rsid w:val="00D407BD"/>
    <w:rsid w:val="00D41E9E"/>
    <w:rsid w:val="00D430A2"/>
    <w:rsid w:val="00D44D03"/>
    <w:rsid w:val="00D44FBD"/>
    <w:rsid w:val="00D45AF2"/>
    <w:rsid w:val="00D4639E"/>
    <w:rsid w:val="00D47702"/>
    <w:rsid w:val="00D503CB"/>
    <w:rsid w:val="00D5081F"/>
    <w:rsid w:val="00D5257C"/>
    <w:rsid w:val="00D533B6"/>
    <w:rsid w:val="00D53E62"/>
    <w:rsid w:val="00D542F2"/>
    <w:rsid w:val="00D5485E"/>
    <w:rsid w:val="00D54AE9"/>
    <w:rsid w:val="00D55A11"/>
    <w:rsid w:val="00D5697F"/>
    <w:rsid w:val="00D56FC7"/>
    <w:rsid w:val="00D57494"/>
    <w:rsid w:val="00D57AF5"/>
    <w:rsid w:val="00D57F9D"/>
    <w:rsid w:val="00D5C6D6"/>
    <w:rsid w:val="00D60262"/>
    <w:rsid w:val="00D603BC"/>
    <w:rsid w:val="00D60E8C"/>
    <w:rsid w:val="00D634C1"/>
    <w:rsid w:val="00D67985"/>
    <w:rsid w:val="00D706E5"/>
    <w:rsid w:val="00D71E33"/>
    <w:rsid w:val="00D72665"/>
    <w:rsid w:val="00D739D5"/>
    <w:rsid w:val="00D740FF"/>
    <w:rsid w:val="00D76620"/>
    <w:rsid w:val="00D77BD9"/>
    <w:rsid w:val="00D810A9"/>
    <w:rsid w:val="00D812A2"/>
    <w:rsid w:val="00D81EE2"/>
    <w:rsid w:val="00D8344B"/>
    <w:rsid w:val="00D86723"/>
    <w:rsid w:val="00D8693B"/>
    <w:rsid w:val="00D86950"/>
    <w:rsid w:val="00D86FD6"/>
    <w:rsid w:val="00D8775C"/>
    <w:rsid w:val="00D87A24"/>
    <w:rsid w:val="00D87E53"/>
    <w:rsid w:val="00D90799"/>
    <w:rsid w:val="00D93986"/>
    <w:rsid w:val="00D941F6"/>
    <w:rsid w:val="00D95683"/>
    <w:rsid w:val="00D9703F"/>
    <w:rsid w:val="00D9723A"/>
    <w:rsid w:val="00DA090F"/>
    <w:rsid w:val="00DA0D20"/>
    <w:rsid w:val="00DA3172"/>
    <w:rsid w:val="00DA43B8"/>
    <w:rsid w:val="00DA488C"/>
    <w:rsid w:val="00DA4C59"/>
    <w:rsid w:val="00DA6323"/>
    <w:rsid w:val="00DA650B"/>
    <w:rsid w:val="00DA777C"/>
    <w:rsid w:val="00DA7E56"/>
    <w:rsid w:val="00DB14B3"/>
    <w:rsid w:val="00DB2D75"/>
    <w:rsid w:val="00DB3EDA"/>
    <w:rsid w:val="00DB41DD"/>
    <w:rsid w:val="00DB594A"/>
    <w:rsid w:val="00DB7620"/>
    <w:rsid w:val="00DC0C9D"/>
    <w:rsid w:val="00DC1A8D"/>
    <w:rsid w:val="00DC26D7"/>
    <w:rsid w:val="00DC271B"/>
    <w:rsid w:val="00DC2D5A"/>
    <w:rsid w:val="00DC3133"/>
    <w:rsid w:val="00DC403E"/>
    <w:rsid w:val="00DC4D30"/>
    <w:rsid w:val="00DC7614"/>
    <w:rsid w:val="00DC791F"/>
    <w:rsid w:val="00DD1A2A"/>
    <w:rsid w:val="00DD1B10"/>
    <w:rsid w:val="00DD2766"/>
    <w:rsid w:val="00DD2899"/>
    <w:rsid w:val="00DD391A"/>
    <w:rsid w:val="00DD55D2"/>
    <w:rsid w:val="00DD56F7"/>
    <w:rsid w:val="00DD5888"/>
    <w:rsid w:val="00DD6A66"/>
    <w:rsid w:val="00DD7030"/>
    <w:rsid w:val="00DE0688"/>
    <w:rsid w:val="00DE0955"/>
    <w:rsid w:val="00DE166A"/>
    <w:rsid w:val="00DE24F0"/>
    <w:rsid w:val="00DE3352"/>
    <w:rsid w:val="00DE3474"/>
    <w:rsid w:val="00DE4592"/>
    <w:rsid w:val="00DE4627"/>
    <w:rsid w:val="00DE4D0F"/>
    <w:rsid w:val="00DE4D1D"/>
    <w:rsid w:val="00DE5AFD"/>
    <w:rsid w:val="00DE5E3E"/>
    <w:rsid w:val="00DE6F78"/>
    <w:rsid w:val="00DF12FC"/>
    <w:rsid w:val="00DF310C"/>
    <w:rsid w:val="00DF5364"/>
    <w:rsid w:val="00DF5556"/>
    <w:rsid w:val="00DF5786"/>
    <w:rsid w:val="00DF620C"/>
    <w:rsid w:val="00DF666C"/>
    <w:rsid w:val="00DF6BD8"/>
    <w:rsid w:val="00DF76B5"/>
    <w:rsid w:val="00E00C2F"/>
    <w:rsid w:val="00E019BA"/>
    <w:rsid w:val="00E02B9C"/>
    <w:rsid w:val="00E03DAD"/>
    <w:rsid w:val="00E040FC"/>
    <w:rsid w:val="00E047E9"/>
    <w:rsid w:val="00E04E95"/>
    <w:rsid w:val="00E0590A"/>
    <w:rsid w:val="00E065D7"/>
    <w:rsid w:val="00E06C83"/>
    <w:rsid w:val="00E079CD"/>
    <w:rsid w:val="00E10AB9"/>
    <w:rsid w:val="00E1116B"/>
    <w:rsid w:val="00E11E27"/>
    <w:rsid w:val="00E125AC"/>
    <w:rsid w:val="00E13397"/>
    <w:rsid w:val="00E14236"/>
    <w:rsid w:val="00E14E31"/>
    <w:rsid w:val="00E152B4"/>
    <w:rsid w:val="00E165B4"/>
    <w:rsid w:val="00E20111"/>
    <w:rsid w:val="00E21200"/>
    <w:rsid w:val="00E2368E"/>
    <w:rsid w:val="00E27DDF"/>
    <w:rsid w:val="00E301B9"/>
    <w:rsid w:val="00E31CCA"/>
    <w:rsid w:val="00E334DD"/>
    <w:rsid w:val="00E3372F"/>
    <w:rsid w:val="00E350B1"/>
    <w:rsid w:val="00E35401"/>
    <w:rsid w:val="00E36C1A"/>
    <w:rsid w:val="00E40D15"/>
    <w:rsid w:val="00E411A6"/>
    <w:rsid w:val="00E41678"/>
    <w:rsid w:val="00E42186"/>
    <w:rsid w:val="00E42B24"/>
    <w:rsid w:val="00E4535E"/>
    <w:rsid w:val="00E45644"/>
    <w:rsid w:val="00E45B47"/>
    <w:rsid w:val="00E45BF0"/>
    <w:rsid w:val="00E4643C"/>
    <w:rsid w:val="00E47E48"/>
    <w:rsid w:val="00E50185"/>
    <w:rsid w:val="00E50D7D"/>
    <w:rsid w:val="00E5302A"/>
    <w:rsid w:val="00E5405A"/>
    <w:rsid w:val="00E54974"/>
    <w:rsid w:val="00E54F0E"/>
    <w:rsid w:val="00E5596D"/>
    <w:rsid w:val="00E559E2"/>
    <w:rsid w:val="00E55CFA"/>
    <w:rsid w:val="00E560BA"/>
    <w:rsid w:val="00E57E81"/>
    <w:rsid w:val="00E6011C"/>
    <w:rsid w:val="00E60373"/>
    <w:rsid w:val="00E612D0"/>
    <w:rsid w:val="00E62FE0"/>
    <w:rsid w:val="00E646CA"/>
    <w:rsid w:val="00E65BFB"/>
    <w:rsid w:val="00E66C80"/>
    <w:rsid w:val="00E6756F"/>
    <w:rsid w:val="00E707CA"/>
    <w:rsid w:val="00E7088E"/>
    <w:rsid w:val="00E72955"/>
    <w:rsid w:val="00E730C9"/>
    <w:rsid w:val="00E7392A"/>
    <w:rsid w:val="00E747F5"/>
    <w:rsid w:val="00E749E3"/>
    <w:rsid w:val="00E74BD5"/>
    <w:rsid w:val="00E74D02"/>
    <w:rsid w:val="00E74E32"/>
    <w:rsid w:val="00E75139"/>
    <w:rsid w:val="00E761FE"/>
    <w:rsid w:val="00E77DE7"/>
    <w:rsid w:val="00E802EF"/>
    <w:rsid w:val="00E80A44"/>
    <w:rsid w:val="00E82CF0"/>
    <w:rsid w:val="00E85E40"/>
    <w:rsid w:val="00E86A94"/>
    <w:rsid w:val="00E87819"/>
    <w:rsid w:val="00E90265"/>
    <w:rsid w:val="00E90615"/>
    <w:rsid w:val="00E91C65"/>
    <w:rsid w:val="00E940B9"/>
    <w:rsid w:val="00E9452A"/>
    <w:rsid w:val="00E94841"/>
    <w:rsid w:val="00E94D13"/>
    <w:rsid w:val="00E95219"/>
    <w:rsid w:val="00EA0CEE"/>
    <w:rsid w:val="00EA0E8B"/>
    <w:rsid w:val="00EA1792"/>
    <w:rsid w:val="00EA335A"/>
    <w:rsid w:val="00EA3669"/>
    <w:rsid w:val="00EA4DE2"/>
    <w:rsid w:val="00EA552E"/>
    <w:rsid w:val="00EA5601"/>
    <w:rsid w:val="00EA70FD"/>
    <w:rsid w:val="00EA7614"/>
    <w:rsid w:val="00EA76B2"/>
    <w:rsid w:val="00EB0A8B"/>
    <w:rsid w:val="00EB2414"/>
    <w:rsid w:val="00EB3BA9"/>
    <w:rsid w:val="00EB52EA"/>
    <w:rsid w:val="00EB5619"/>
    <w:rsid w:val="00EB65C1"/>
    <w:rsid w:val="00EB74F8"/>
    <w:rsid w:val="00EB769C"/>
    <w:rsid w:val="00EC0A18"/>
    <w:rsid w:val="00EC1023"/>
    <w:rsid w:val="00EC2386"/>
    <w:rsid w:val="00EC26AC"/>
    <w:rsid w:val="00EC2702"/>
    <w:rsid w:val="00EC2A95"/>
    <w:rsid w:val="00EC2EA5"/>
    <w:rsid w:val="00EC339A"/>
    <w:rsid w:val="00EC3A56"/>
    <w:rsid w:val="00EC3DE8"/>
    <w:rsid w:val="00EC5390"/>
    <w:rsid w:val="00EC589D"/>
    <w:rsid w:val="00EC6BB0"/>
    <w:rsid w:val="00EC7215"/>
    <w:rsid w:val="00EC7231"/>
    <w:rsid w:val="00EC7322"/>
    <w:rsid w:val="00ED0237"/>
    <w:rsid w:val="00ED0818"/>
    <w:rsid w:val="00ED081D"/>
    <w:rsid w:val="00ED1252"/>
    <w:rsid w:val="00ED1332"/>
    <w:rsid w:val="00ED2634"/>
    <w:rsid w:val="00ED2A79"/>
    <w:rsid w:val="00ED6218"/>
    <w:rsid w:val="00ED6C0E"/>
    <w:rsid w:val="00ED6D3A"/>
    <w:rsid w:val="00ED6DE9"/>
    <w:rsid w:val="00ED7372"/>
    <w:rsid w:val="00EE13B6"/>
    <w:rsid w:val="00EE2AA0"/>
    <w:rsid w:val="00EE4729"/>
    <w:rsid w:val="00EE566A"/>
    <w:rsid w:val="00EE5EF0"/>
    <w:rsid w:val="00EF03AD"/>
    <w:rsid w:val="00EF113D"/>
    <w:rsid w:val="00EF23F6"/>
    <w:rsid w:val="00EF2FBD"/>
    <w:rsid w:val="00EF41C8"/>
    <w:rsid w:val="00EF4894"/>
    <w:rsid w:val="00EF52EE"/>
    <w:rsid w:val="00EF56A6"/>
    <w:rsid w:val="00EF7B57"/>
    <w:rsid w:val="00F005FE"/>
    <w:rsid w:val="00F00D89"/>
    <w:rsid w:val="00F025EC"/>
    <w:rsid w:val="00F02CD4"/>
    <w:rsid w:val="00F03565"/>
    <w:rsid w:val="00F03799"/>
    <w:rsid w:val="00F05612"/>
    <w:rsid w:val="00F0655E"/>
    <w:rsid w:val="00F10203"/>
    <w:rsid w:val="00F10DE4"/>
    <w:rsid w:val="00F12878"/>
    <w:rsid w:val="00F13976"/>
    <w:rsid w:val="00F14791"/>
    <w:rsid w:val="00F1704F"/>
    <w:rsid w:val="00F171DD"/>
    <w:rsid w:val="00F173AF"/>
    <w:rsid w:val="00F20201"/>
    <w:rsid w:val="00F2096C"/>
    <w:rsid w:val="00F20DC1"/>
    <w:rsid w:val="00F21D2A"/>
    <w:rsid w:val="00F233E7"/>
    <w:rsid w:val="00F23535"/>
    <w:rsid w:val="00F23ECB"/>
    <w:rsid w:val="00F257BF"/>
    <w:rsid w:val="00F2661D"/>
    <w:rsid w:val="00F308AB"/>
    <w:rsid w:val="00F31F21"/>
    <w:rsid w:val="00F34BAC"/>
    <w:rsid w:val="00F35D4E"/>
    <w:rsid w:val="00F362F4"/>
    <w:rsid w:val="00F36B32"/>
    <w:rsid w:val="00F3721F"/>
    <w:rsid w:val="00F43296"/>
    <w:rsid w:val="00F443BD"/>
    <w:rsid w:val="00F45522"/>
    <w:rsid w:val="00F46409"/>
    <w:rsid w:val="00F464AE"/>
    <w:rsid w:val="00F466B8"/>
    <w:rsid w:val="00F50774"/>
    <w:rsid w:val="00F50E6F"/>
    <w:rsid w:val="00F53489"/>
    <w:rsid w:val="00F5445C"/>
    <w:rsid w:val="00F54926"/>
    <w:rsid w:val="00F54B62"/>
    <w:rsid w:val="00F54B76"/>
    <w:rsid w:val="00F54C32"/>
    <w:rsid w:val="00F55034"/>
    <w:rsid w:val="00F55D6B"/>
    <w:rsid w:val="00F5697C"/>
    <w:rsid w:val="00F574D5"/>
    <w:rsid w:val="00F605F9"/>
    <w:rsid w:val="00F6082D"/>
    <w:rsid w:val="00F61481"/>
    <w:rsid w:val="00F61C33"/>
    <w:rsid w:val="00F62E65"/>
    <w:rsid w:val="00F6367E"/>
    <w:rsid w:val="00F64903"/>
    <w:rsid w:val="00F6622C"/>
    <w:rsid w:val="00F6689B"/>
    <w:rsid w:val="00F6698C"/>
    <w:rsid w:val="00F67578"/>
    <w:rsid w:val="00F679FD"/>
    <w:rsid w:val="00F67EDF"/>
    <w:rsid w:val="00F70423"/>
    <w:rsid w:val="00F70D0E"/>
    <w:rsid w:val="00F7103C"/>
    <w:rsid w:val="00F72137"/>
    <w:rsid w:val="00F723F1"/>
    <w:rsid w:val="00F726D5"/>
    <w:rsid w:val="00F73FF8"/>
    <w:rsid w:val="00F74481"/>
    <w:rsid w:val="00F74E58"/>
    <w:rsid w:val="00F75612"/>
    <w:rsid w:val="00F76935"/>
    <w:rsid w:val="00F76A64"/>
    <w:rsid w:val="00F80A5F"/>
    <w:rsid w:val="00F80A7D"/>
    <w:rsid w:val="00F82AF0"/>
    <w:rsid w:val="00F847FF"/>
    <w:rsid w:val="00F84AE8"/>
    <w:rsid w:val="00F85295"/>
    <w:rsid w:val="00F91B66"/>
    <w:rsid w:val="00F93606"/>
    <w:rsid w:val="00F937E9"/>
    <w:rsid w:val="00F9472A"/>
    <w:rsid w:val="00F97889"/>
    <w:rsid w:val="00FA04B1"/>
    <w:rsid w:val="00FA0AC0"/>
    <w:rsid w:val="00FA0D06"/>
    <w:rsid w:val="00FA0F24"/>
    <w:rsid w:val="00FA1982"/>
    <w:rsid w:val="00FA19C2"/>
    <w:rsid w:val="00FA23AF"/>
    <w:rsid w:val="00FA2E0E"/>
    <w:rsid w:val="00FA6F69"/>
    <w:rsid w:val="00FA7F9E"/>
    <w:rsid w:val="00FB048D"/>
    <w:rsid w:val="00FB065F"/>
    <w:rsid w:val="00FB0963"/>
    <w:rsid w:val="00FB18F4"/>
    <w:rsid w:val="00FB3569"/>
    <w:rsid w:val="00FB4334"/>
    <w:rsid w:val="00FB7375"/>
    <w:rsid w:val="00FC2518"/>
    <w:rsid w:val="00FC27E9"/>
    <w:rsid w:val="00FC2E1B"/>
    <w:rsid w:val="00FC42D7"/>
    <w:rsid w:val="00FC4A11"/>
    <w:rsid w:val="00FC5A9E"/>
    <w:rsid w:val="00FC6A27"/>
    <w:rsid w:val="00FC6D6F"/>
    <w:rsid w:val="00FC76F6"/>
    <w:rsid w:val="00FD05CA"/>
    <w:rsid w:val="00FD27FA"/>
    <w:rsid w:val="00FD2B4C"/>
    <w:rsid w:val="00FD397F"/>
    <w:rsid w:val="00FD4292"/>
    <w:rsid w:val="00FD5008"/>
    <w:rsid w:val="00FD6F4C"/>
    <w:rsid w:val="00FD778D"/>
    <w:rsid w:val="00FE1BC9"/>
    <w:rsid w:val="00FE2A60"/>
    <w:rsid w:val="00FE4224"/>
    <w:rsid w:val="00FE4940"/>
    <w:rsid w:val="00FE53B0"/>
    <w:rsid w:val="00FE64C4"/>
    <w:rsid w:val="00FE670E"/>
    <w:rsid w:val="00FF00C8"/>
    <w:rsid w:val="00FF02BB"/>
    <w:rsid w:val="00FF0674"/>
    <w:rsid w:val="00FF0C52"/>
    <w:rsid w:val="00FF1750"/>
    <w:rsid w:val="00FF19D7"/>
    <w:rsid w:val="00FF19EE"/>
    <w:rsid w:val="00FF1D71"/>
    <w:rsid w:val="00FF2C35"/>
    <w:rsid w:val="00FF31C1"/>
    <w:rsid w:val="00FF45B2"/>
    <w:rsid w:val="00FF460F"/>
    <w:rsid w:val="00FF6184"/>
    <w:rsid w:val="00FF756A"/>
    <w:rsid w:val="00FF76CF"/>
    <w:rsid w:val="00FF7A65"/>
    <w:rsid w:val="00FF7F4C"/>
    <w:rsid w:val="0127F11C"/>
    <w:rsid w:val="0144117D"/>
    <w:rsid w:val="01940749"/>
    <w:rsid w:val="01DA9506"/>
    <w:rsid w:val="01DCF0E0"/>
    <w:rsid w:val="02177440"/>
    <w:rsid w:val="0236C2C0"/>
    <w:rsid w:val="0266E86B"/>
    <w:rsid w:val="027BEC80"/>
    <w:rsid w:val="029B7D7B"/>
    <w:rsid w:val="02A8B731"/>
    <w:rsid w:val="02D09E76"/>
    <w:rsid w:val="030F1F19"/>
    <w:rsid w:val="032BA92C"/>
    <w:rsid w:val="03672A75"/>
    <w:rsid w:val="03DFD29E"/>
    <w:rsid w:val="041D2136"/>
    <w:rsid w:val="0427137D"/>
    <w:rsid w:val="04594EF3"/>
    <w:rsid w:val="0463215A"/>
    <w:rsid w:val="04828E15"/>
    <w:rsid w:val="04B63F4F"/>
    <w:rsid w:val="05FDC2CB"/>
    <w:rsid w:val="0632FCD2"/>
    <w:rsid w:val="063CF83E"/>
    <w:rsid w:val="06446B8C"/>
    <w:rsid w:val="064E8E3F"/>
    <w:rsid w:val="0651C982"/>
    <w:rsid w:val="065C64F9"/>
    <w:rsid w:val="06F60DDE"/>
    <w:rsid w:val="075533B5"/>
    <w:rsid w:val="077D115B"/>
    <w:rsid w:val="07F90ED3"/>
    <w:rsid w:val="0828BE6B"/>
    <w:rsid w:val="083F98C7"/>
    <w:rsid w:val="08473C56"/>
    <w:rsid w:val="0861878D"/>
    <w:rsid w:val="08783D74"/>
    <w:rsid w:val="09367DE7"/>
    <w:rsid w:val="096C65D7"/>
    <w:rsid w:val="09752946"/>
    <w:rsid w:val="09A0FF0A"/>
    <w:rsid w:val="09BE687E"/>
    <w:rsid w:val="0AF88E2F"/>
    <w:rsid w:val="0B103690"/>
    <w:rsid w:val="0B1054CB"/>
    <w:rsid w:val="0C391661"/>
    <w:rsid w:val="0CE6C6D2"/>
    <w:rsid w:val="0D172931"/>
    <w:rsid w:val="0D2BFA75"/>
    <w:rsid w:val="0D440878"/>
    <w:rsid w:val="0E3F1FAF"/>
    <w:rsid w:val="0EC0BC2F"/>
    <w:rsid w:val="0F5FCC5D"/>
    <w:rsid w:val="0F8D0193"/>
    <w:rsid w:val="0FA4A511"/>
    <w:rsid w:val="1030F000"/>
    <w:rsid w:val="10559C24"/>
    <w:rsid w:val="10AF8292"/>
    <w:rsid w:val="10C77BFF"/>
    <w:rsid w:val="1139A341"/>
    <w:rsid w:val="1158F1C1"/>
    <w:rsid w:val="116124E4"/>
    <w:rsid w:val="117E7BF5"/>
    <w:rsid w:val="11F07066"/>
    <w:rsid w:val="11FD19E7"/>
    <w:rsid w:val="1299CAFF"/>
    <w:rsid w:val="12D59147"/>
    <w:rsid w:val="1332C8A5"/>
    <w:rsid w:val="13C97C32"/>
    <w:rsid w:val="144B18B2"/>
    <w:rsid w:val="14E9B95B"/>
    <w:rsid w:val="154E6E4F"/>
    <w:rsid w:val="156C709F"/>
    <w:rsid w:val="1573F883"/>
    <w:rsid w:val="15A86953"/>
    <w:rsid w:val="16208AC0"/>
    <w:rsid w:val="167ED604"/>
    <w:rsid w:val="16ABD386"/>
    <w:rsid w:val="16B1DDD1"/>
    <w:rsid w:val="16C06816"/>
    <w:rsid w:val="184080AA"/>
    <w:rsid w:val="1840E64C"/>
    <w:rsid w:val="1866ACA6"/>
    <w:rsid w:val="18779747"/>
    <w:rsid w:val="188FB6D3"/>
    <w:rsid w:val="18943C20"/>
    <w:rsid w:val="1924054C"/>
    <w:rsid w:val="1B04300A"/>
    <w:rsid w:val="1BD4C1B7"/>
    <w:rsid w:val="1BE46828"/>
    <w:rsid w:val="1CFDA188"/>
    <w:rsid w:val="1DE8DF7D"/>
    <w:rsid w:val="1DF06761"/>
    <w:rsid w:val="1E81FB5E"/>
    <w:rsid w:val="1E918394"/>
    <w:rsid w:val="1EDB86DD"/>
    <w:rsid w:val="1EE640CD"/>
    <w:rsid w:val="1F133E4F"/>
    <w:rsid w:val="1F540A14"/>
    <w:rsid w:val="203C32B6"/>
    <w:rsid w:val="203E8FC7"/>
    <w:rsid w:val="207B20C2"/>
    <w:rsid w:val="208DB2D3"/>
    <w:rsid w:val="213597B1"/>
    <w:rsid w:val="2173EF7E"/>
    <w:rsid w:val="21E5E3EF"/>
    <w:rsid w:val="22BC50A0"/>
    <w:rsid w:val="232472AA"/>
    <w:rsid w:val="2335B85F"/>
    <w:rsid w:val="2335EB30"/>
    <w:rsid w:val="23572F85"/>
    <w:rsid w:val="236D47B3"/>
    <w:rsid w:val="237907D3"/>
    <w:rsid w:val="23BCAC80"/>
    <w:rsid w:val="23BFBAD3"/>
    <w:rsid w:val="23DF278E"/>
    <w:rsid w:val="2429D5E3"/>
    <w:rsid w:val="250C2A66"/>
    <w:rsid w:val="2516F8EC"/>
    <w:rsid w:val="252924B2"/>
    <w:rsid w:val="25639E99"/>
    <w:rsid w:val="25AE62FB"/>
    <w:rsid w:val="261A631F"/>
    <w:rsid w:val="26333270"/>
    <w:rsid w:val="26A179E0"/>
    <w:rsid w:val="272CB665"/>
    <w:rsid w:val="273E812F"/>
    <w:rsid w:val="27CA4ED3"/>
    <w:rsid w:val="27D4A41C"/>
    <w:rsid w:val="27D4B8B2"/>
    <w:rsid w:val="280C3370"/>
    <w:rsid w:val="28ED1264"/>
    <w:rsid w:val="291D19D4"/>
    <w:rsid w:val="293C868F"/>
    <w:rsid w:val="298F0E45"/>
    <w:rsid w:val="29B2029C"/>
    <w:rsid w:val="2AFBC1F9"/>
    <w:rsid w:val="2B7DB66D"/>
    <w:rsid w:val="2BB2273D"/>
    <w:rsid w:val="2CB22C93"/>
    <w:rsid w:val="2CE28EF2"/>
    <w:rsid w:val="2D4DBAEA"/>
    <w:rsid w:val="2D53791D"/>
    <w:rsid w:val="2DBFE9CA"/>
    <w:rsid w:val="2DD127E1"/>
    <w:rsid w:val="2DECACDD"/>
    <w:rsid w:val="2E4AA436"/>
    <w:rsid w:val="2E626AD2"/>
    <w:rsid w:val="2F013E8A"/>
    <w:rsid w:val="2F0F00E9"/>
    <w:rsid w:val="2F3ECA62"/>
    <w:rsid w:val="2F829A74"/>
    <w:rsid w:val="2F92698C"/>
    <w:rsid w:val="2FA6FAD3"/>
    <w:rsid w:val="2FBA86FB"/>
    <w:rsid w:val="2FD46499"/>
    <w:rsid w:val="3004A8BD"/>
    <w:rsid w:val="30FA96BF"/>
    <w:rsid w:val="313196FF"/>
    <w:rsid w:val="317034FA"/>
    <w:rsid w:val="320BA99E"/>
    <w:rsid w:val="3228E1AD"/>
    <w:rsid w:val="3257E760"/>
    <w:rsid w:val="32818005"/>
    <w:rsid w:val="32A6E661"/>
    <w:rsid w:val="32C492C3"/>
    <w:rsid w:val="32C64423"/>
    <w:rsid w:val="32DC4290"/>
    <w:rsid w:val="32FA64E2"/>
    <w:rsid w:val="3323B89A"/>
    <w:rsid w:val="334A73EE"/>
    <w:rsid w:val="337AB4A9"/>
    <w:rsid w:val="33FA254B"/>
    <w:rsid w:val="348BB948"/>
    <w:rsid w:val="34D5F597"/>
    <w:rsid w:val="351CFC39"/>
    <w:rsid w:val="35251529"/>
    <w:rsid w:val="353FA472"/>
    <w:rsid w:val="35772A0E"/>
    <w:rsid w:val="35A43028"/>
    <w:rsid w:val="35AE58AD"/>
    <w:rsid w:val="35D3FC2F"/>
    <w:rsid w:val="364610DD"/>
    <w:rsid w:val="36484DB1"/>
    <w:rsid w:val="364D96BF"/>
    <w:rsid w:val="3684DEAC"/>
    <w:rsid w:val="369A68DD"/>
    <w:rsid w:val="36F6E7B3"/>
    <w:rsid w:val="3720DB47"/>
    <w:rsid w:val="3738652F"/>
    <w:rsid w:val="373F886C"/>
    <w:rsid w:val="37907C02"/>
    <w:rsid w:val="379D2EB9"/>
    <w:rsid w:val="3864AB4C"/>
    <w:rsid w:val="38A08456"/>
    <w:rsid w:val="38F5364C"/>
    <w:rsid w:val="393FA91A"/>
    <w:rsid w:val="3957844C"/>
    <w:rsid w:val="3957A287"/>
    <w:rsid w:val="3978D72C"/>
    <w:rsid w:val="39D0EC0B"/>
    <w:rsid w:val="3A5B0CBA"/>
    <w:rsid w:val="3AEC4FAB"/>
    <w:rsid w:val="3B290834"/>
    <w:rsid w:val="3B7329F6"/>
    <w:rsid w:val="3B744F4B"/>
    <w:rsid w:val="3B9296B1"/>
    <w:rsid w:val="3C8C4D9D"/>
    <w:rsid w:val="3C96157A"/>
    <w:rsid w:val="3CEBA27B"/>
    <w:rsid w:val="3D5C2947"/>
    <w:rsid w:val="3D773EBE"/>
    <w:rsid w:val="3DC66899"/>
    <w:rsid w:val="3F26D7BE"/>
    <w:rsid w:val="3F367E2F"/>
    <w:rsid w:val="3FA02142"/>
    <w:rsid w:val="3FB838EA"/>
    <w:rsid w:val="4007DEA5"/>
    <w:rsid w:val="401848B5"/>
    <w:rsid w:val="403F1335"/>
    <w:rsid w:val="409348AA"/>
    <w:rsid w:val="40D0A732"/>
    <w:rsid w:val="41427D68"/>
    <w:rsid w:val="417A1661"/>
    <w:rsid w:val="418E7E7B"/>
    <w:rsid w:val="41E3999B"/>
    <w:rsid w:val="4251D70C"/>
    <w:rsid w:val="42AA5FDB"/>
    <w:rsid w:val="42EC4CDC"/>
    <w:rsid w:val="4368BE89"/>
    <w:rsid w:val="43ADCA0E"/>
    <w:rsid w:val="43C7895C"/>
    <w:rsid w:val="4464B56E"/>
    <w:rsid w:val="44C623C0"/>
    <w:rsid w:val="454889BA"/>
    <w:rsid w:val="4584277F"/>
    <w:rsid w:val="45F10F96"/>
    <w:rsid w:val="460E66A7"/>
    <w:rsid w:val="46236731"/>
    <w:rsid w:val="465AD0E4"/>
    <w:rsid w:val="4672FD22"/>
    <w:rsid w:val="4687CE66"/>
    <w:rsid w:val="47313D95"/>
    <w:rsid w:val="4731522B"/>
    <w:rsid w:val="47372111"/>
    <w:rsid w:val="47AA9BAF"/>
    <w:rsid w:val="47B8361B"/>
    <w:rsid w:val="47FD2D0A"/>
    <w:rsid w:val="4822846D"/>
    <w:rsid w:val="485A31FC"/>
    <w:rsid w:val="48716051"/>
    <w:rsid w:val="48844D83"/>
    <w:rsid w:val="4920188E"/>
    <w:rsid w:val="49204B5F"/>
    <w:rsid w:val="49618003"/>
    <w:rsid w:val="4991EEC4"/>
    <w:rsid w:val="4995988E"/>
    <w:rsid w:val="49B15B7F"/>
    <w:rsid w:val="49B17015"/>
    <w:rsid w:val="4A0B5683"/>
    <w:rsid w:val="4ACBB049"/>
    <w:rsid w:val="4ADA4FE6"/>
    <w:rsid w:val="4B6BE3E3"/>
    <w:rsid w:val="4C07D5A0"/>
    <w:rsid w:val="4C122AE9"/>
    <w:rsid w:val="4C33BF82"/>
    <w:rsid w:val="4C64C5FC"/>
    <w:rsid w:val="4D1920AB"/>
    <w:rsid w:val="4D255023"/>
    <w:rsid w:val="4D7A5F71"/>
    <w:rsid w:val="4D9F5029"/>
    <w:rsid w:val="4E0D1B47"/>
    <w:rsid w:val="4E4DD800"/>
    <w:rsid w:val="4E53A0F5"/>
    <w:rsid w:val="4E6BC79A"/>
    <w:rsid w:val="4E7D5954"/>
    <w:rsid w:val="4EAA4240"/>
    <w:rsid w:val="4F791A6C"/>
    <w:rsid w:val="4FDAA9F5"/>
    <w:rsid w:val="5034A4F9"/>
    <w:rsid w:val="50F60D95"/>
    <w:rsid w:val="50F99924"/>
    <w:rsid w:val="519CBA3D"/>
    <w:rsid w:val="51C1DECF"/>
    <w:rsid w:val="51C4D427"/>
    <w:rsid w:val="520E5DA2"/>
    <w:rsid w:val="52EC6866"/>
    <w:rsid w:val="530A5E2C"/>
    <w:rsid w:val="53BB553F"/>
    <w:rsid w:val="53C8B335"/>
    <w:rsid w:val="53D02683"/>
    <w:rsid w:val="53E83486"/>
    <w:rsid w:val="54155043"/>
    <w:rsid w:val="546EE41D"/>
    <w:rsid w:val="54A69334"/>
    <w:rsid w:val="54D390B6"/>
    <w:rsid w:val="54F30D77"/>
    <w:rsid w:val="54FFB2C5"/>
    <w:rsid w:val="55533545"/>
    <w:rsid w:val="563B4058"/>
    <w:rsid w:val="5641A138"/>
    <w:rsid w:val="56B7E395"/>
    <w:rsid w:val="56BAC590"/>
    <w:rsid w:val="571F3DD0"/>
    <w:rsid w:val="574C3B52"/>
    <w:rsid w:val="575F896E"/>
    <w:rsid w:val="576BA80D"/>
    <w:rsid w:val="5783D44B"/>
    <w:rsid w:val="57913241"/>
    <w:rsid w:val="57C08CD4"/>
    <w:rsid w:val="57ED5785"/>
    <w:rsid w:val="57F3D7E7"/>
    <w:rsid w:val="5842BCAC"/>
    <w:rsid w:val="590951B3"/>
    <w:rsid w:val="59760802"/>
    <w:rsid w:val="599806A7"/>
    <w:rsid w:val="599A63B8"/>
    <w:rsid w:val="599FACC6"/>
    <w:rsid w:val="5B41B7E0"/>
    <w:rsid w:val="5B61249B"/>
    <w:rsid w:val="5B613931"/>
    <w:rsid w:val="5B75EBFC"/>
    <w:rsid w:val="5BCB9128"/>
    <w:rsid w:val="5C91BF21"/>
    <w:rsid w:val="5C984008"/>
    <w:rsid w:val="5D125766"/>
    <w:rsid w:val="5D1B8EC4"/>
    <w:rsid w:val="5D3AFB7F"/>
    <w:rsid w:val="5E06CCB9"/>
    <w:rsid w:val="5E36274C"/>
    <w:rsid w:val="5E6EEEC3"/>
    <w:rsid w:val="5EBDB819"/>
    <w:rsid w:val="5EE4ACB8"/>
    <w:rsid w:val="5F14D263"/>
    <w:rsid w:val="5F25C82E"/>
    <w:rsid w:val="5F46CE48"/>
    <w:rsid w:val="5F50341F"/>
    <w:rsid w:val="5F7E886E"/>
    <w:rsid w:val="5FC9B185"/>
    <w:rsid w:val="6015146D"/>
    <w:rsid w:val="601BC825"/>
    <w:rsid w:val="6056A67F"/>
    <w:rsid w:val="6130780D"/>
    <w:rsid w:val="6140FE6A"/>
    <w:rsid w:val="61852A03"/>
    <w:rsid w:val="6206E4BE"/>
    <w:rsid w:val="623B4BE9"/>
    <w:rsid w:val="62985A80"/>
    <w:rsid w:val="62CB2E14"/>
    <w:rsid w:val="62EAE236"/>
    <w:rsid w:val="630A6387"/>
    <w:rsid w:val="640DD48E"/>
    <w:rsid w:val="6422BD39"/>
    <w:rsid w:val="64431148"/>
    <w:rsid w:val="6508E4F1"/>
    <w:rsid w:val="651F76D7"/>
    <w:rsid w:val="656ED8A1"/>
    <w:rsid w:val="65BF7CB9"/>
    <w:rsid w:val="65E467DF"/>
    <w:rsid w:val="667195E1"/>
    <w:rsid w:val="66D4B2B9"/>
    <w:rsid w:val="66E7D212"/>
    <w:rsid w:val="6718AA4D"/>
    <w:rsid w:val="672CC901"/>
    <w:rsid w:val="67D63830"/>
    <w:rsid w:val="67F89A3B"/>
    <w:rsid w:val="67FAF74C"/>
    <w:rsid w:val="6800405A"/>
    <w:rsid w:val="680B29DD"/>
    <w:rsid w:val="68378847"/>
    <w:rsid w:val="6860BC45"/>
    <w:rsid w:val="68A88974"/>
    <w:rsid w:val="68A9914E"/>
    <w:rsid w:val="696AF9EA"/>
    <w:rsid w:val="69C4F4EE"/>
    <w:rsid w:val="69D9E46D"/>
    <w:rsid w:val="6A83539C"/>
    <w:rsid w:val="6A945C6F"/>
    <w:rsid w:val="6AD2F957"/>
    <w:rsid w:val="6BBA349A"/>
    <w:rsid w:val="6BC37658"/>
    <w:rsid w:val="6C796364"/>
    <w:rsid w:val="6CA20334"/>
    <w:rsid w:val="6CDAC9DC"/>
    <w:rsid w:val="6D037186"/>
    <w:rsid w:val="6D06986E"/>
    <w:rsid w:val="6D5D6C8A"/>
    <w:rsid w:val="6D8014C3"/>
    <w:rsid w:val="6D9AF02B"/>
    <w:rsid w:val="6DF4912E"/>
    <w:rsid w:val="6E0F0EDC"/>
    <w:rsid w:val="6EAA8C57"/>
    <w:rsid w:val="6EE0B1B3"/>
    <w:rsid w:val="6F6440F0"/>
    <w:rsid w:val="6F74C70F"/>
    <w:rsid w:val="6F83A406"/>
    <w:rsid w:val="6F991F6F"/>
    <w:rsid w:val="6FCBE018"/>
    <w:rsid w:val="7010A436"/>
    <w:rsid w:val="704B32F1"/>
    <w:rsid w:val="7077662A"/>
    <w:rsid w:val="707EA580"/>
    <w:rsid w:val="709B298C"/>
    <w:rsid w:val="70E710E7"/>
    <w:rsid w:val="71608D3C"/>
    <w:rsid w:val="71906CB9"/>
    <w:rsid w:val="71AAC337"/>
    <w:rsid w:val="71AC7497"/>
    <w:rsid w:val="71FC5847"/>
    <w:rsid w:val="71FFC529"/>
    <w:rsid w:val="7221E27B"/>
    <w:rsid w:val="7292111C"/>
    <w:rsid w:val="72B3583D"/>
    <w:rsid w:val="72D2C4F8"/>
    <w:rsid w:val="73254CAE"/>
    <w:rsid w:val="732C2A6F"/>
    <w:rsid w:val="732CBFFC"/>
    <w:rsid w:val="73503969"/>
    <w:rsid w:val="73911A01"/>
    <w:rsid w:val="73B6E0AB"/>
    <w:rsid w:val="73EE2898"/>
    <w:rsid w:val="742EB407"/>
    <w:rsid w:val="747553EF"/>
    <w:rsid w:val="74EED044"/>
    <w:rsid w:val="7607E5DB"/>
    <w:rsid w:val="761E95A3"/>
    <w:rsid w:val="766A1BCF"/>
    <w:rsid w:val="76744F65"/>
    <w:rsid w:val="772A4A8A"/>
    <w:rsid w:val="773A68C8"/>
    <w:rsid w:val="775AF02C"/>
    <w:rsid w:val="77E0E29F"/>
    <w:rsid w:val="77E3A526"/>
    <w:rsid w:val="77F135ED"/>
    <w:rsid w:val="7842D083"/>
    <w:rsid w:val="785234BA"/>
    <w:rsid w:val="789148F7"/>
    <w:rsid w:val="78AA4B8D"/>
    <w:rsid w:val="78C60F07"/>
    <w:rsid w:val="78D113A2"/>
    <w:rsid w:val="792BD304"/>
    <w:rsid w:val="79637FC5"/>
    <w:rsid w:val="799AE726"/>
    <w:rsid w:val="799DC7E8"/>
    <w:rsid w:val="79DFDE15"/>
    <w:rsid w:val="7A214860"/>
    <w:rsid w:val="7A410FB3"/>
    <w:rsid w:val="7A5978A5"/>
    <w:rsid w:val="7B177C64"/>
    <w:rsid w:val="7B1AC306"/>
    <w:rsid w:val="7B250C5A"/>
    <w:rsid w:val="7B2FE556"/>
    <w:rsid w:val="7B6363BF"/>
    <w:rsid w:val="7B74BE0A"/>
    <w:rsid w:val="7BC12847"/>
    <w:rsid w:val="7BDCE014"/>
    <w:rsid w:val="7C116F33"/>
    <w:rsid w:val="7CF18FFC"/>
    <w:rsid w:val="7E93CDE7"/>
    <w:rsid w:val="7EB33AA2"/>
    <w:rsid w:val="7ED346FA"/>
    <w:rsid w:val="7F6A3A98"/>
    <w:rsid w:val="7FB6A4D5"/>
    <w:rsid w:val="7FCED113"/>
    <w:rsid w:val="7FDE8C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C811D"/>
  <w15:chartTrackingRefBased/>
  <w15:docId w15:val="{B552177C-91E0-4CC9-8AC9-E7EABB4F3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D4BCE"/>
    <w:pPr>
      <w:spacing w:after="0" w:line="276" w:lineRule="auto"/>
    </w:pPr>
    <w:rPr>
      <w:rFonts w:ascii="Arial" w:hAnsi="Arial" w:eastAsia="Arial" w:cs="Arial"/>
      <w:lang w:val="en" w:eastAsia="en-GB"/>
    </w:rPr>
  </w:style>
  <w:style w:type="paragraph" w:styleId="Heading1">
    <w:name w:val="heading 1"/>
    <w:basedOn w:val="Normal"/>
    <w:next w:val="Normal"/>
    <w:link w:val="Heading1Char"/>
    <w:uiPriority w:val="9"/>
    <w:qFormat/>
    <w:rsid w:val="00BD4BCE"/>
    <w:pPr>
      <w:keepNext/>
      <w:keepLines/>
      <w:spacing w:before="400" w:after="120"/>
      <w:outlineLvl w:val="0"/>
    </w:pPr>
    <w:rPr>
      <w:sz w:val="40"/>
      <w:szCs w:val="4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D4BCE"/>
    <w:rPr>
      <w:rFonts w:ascii="Arial" w:hAnsi="Arial" w:eastAsia="Arial" w:cs="Arial"/>
      <w:sz w:val="40"/>
      <w:szCs w:val="40"/>
      <w:lang w:val="en" w:eastAsia="en-GB"/>
    </w:rPr>
  </w:style>
  <w:style w:type="paragraph" w:styleId="CommentText">
    <w:name w:val="annotation text"/>
    <w:basedOn w:val="Normal"/>
    <w:link w:val="CommentTextChar"/>
    <w:uiPriority w:val="99"/>
    <w:unhideWhenUsed/>
    <w:rsid w:val="00BD4BCE"/>
    <w:pPr>
      <w:spacing w:line="240" w:lineRule="auto"/>
    </w:pPr>
    <w:rPr>
      <w:sz w:val="20"/>
      <w:szCs w:val="20"/>
    </w:rPr>
  </w:style>
  <w:style w:type="character" w:styleId="CommentTextChar" w:customStyle="1">
    <w:name w:val="Comment Text Char"/>
    <w:basedOn w:val="DefaultParagraphFont"/>
    <w:link w:val="CommentText"/>
    <w:uiPriority w:val="99"/>
    <w:rsid w:val="00BD4BCE"/>
    <w:rPr>
      <w:rFonts w:ascii="Arial" w:hAnsi="Arial" w:eastAsia="Arial" w:cs="Arial"/>
      <w:sz w:val="20"/>
      <w:szCs w:val="20"/>
      <w:lang w:val="en" w:eastAsia="en-GB"/>
    </w:rPr>
  </w:style>
  <w:style w:type="character" w:styleId="CommentReference">
    <w:name w:val="annotation reference"/>
    <w:basedOn w:val="DefaultParagraphFont"/>
    <w:uiPriority w:val="99"/>
    <w:semiHidden/>
    <w:unhideWhenUsed/>
    <w:rsid w:val="00BD4BCE"/>
    <w:rPr>
      <w:sz w:val="16"/>
      <w:szCs w:val="16"/>
    </w:rPr>
  </w:style>
  <w:style w:type="paragraph" w:styleId="paragraph" w:customStyle="1">
    <w:name w:val="paragraph"/>
    <w:basedOn w:val="Normal"/>
    <w:rsid w:val="00BD4BCE"/>
    <w:pPr>
      <w:spacing w:before="100" w:beforeAutospacing="1" w:after="100" w:afterAutospacing="1" w:line="240" w:lineRule="auto"/>
    </w:pPr>
    <w:rPr>
      <w:rFonts w:ascii="Times New Roman" w:hAnsi="Times New Roman" w:eastAsia="Times New Roman" w:cs="Times New Roman"/>
      <w:sz w:val="24"/>
      <w:szCs w:val="24"/>
      <w:lang w:val="en-US" w:eastAsia="en-US"/>
    </w:rPr>
  </w:style>
  <w:style w:type="character" w:styleId="normaltextrun" w:customStyle="1">
    <w:name w:val="normaltextrun"/>
    <w:basedOn w:val="DefaultParagraphFont"/>
    <w:rsid w:val="00BD4BCE"/>
  </w:style>
  <w:style w:type="character" w:styleId="eop" w:customStyle="1">
    <w:name w:val="eop"/>
    <w:basedOn w:val="DefaultParagraphFont"/>
    <w:rsid w:val="00BD4BCE"/>
  </w:style>
  <w:style w:type="character" w:styleId="spellingerror" w:customStyle="1">
    <w:name w:val="spellingerror"/>
    <w:basedOn w:val="DefaultParagraphFont"/>
    <w:rsid w:val="00BD4BCE"/>
  </w:style>
  <w:style w:type="paragraph" w:styleId="Header">
    <w:name w:val="header"/>
    <w:basedOn w:val="Normal"/>
    <w:link w:val="HeaderChar"/>
    <w:uiPriority w:val="99"/>
    <w:unhideWhenUsed/>
    <w:rsid w:val="00431CA9"/>
    <w:pPr>
      <w:tabs>
        <w:tab w:val="center" w:pos="4680"/>
        <w:tab w:val="right" w:pos="9360"/>
      </w:tabs>
      <w:spacing w:line="240" w:lineRule="auto"/>
    </w:pPr>
  </w:style>
  <w:style w:type="character" w:styleId="HeaderChar" w:customStyle="1">
    <w:name w:val="Header Char"/>
    <w:basedOn w:val="DefaultParagraphFont"/>
    <w:link w:val="Header"/>
    <w:uiPriority w:val="99"/>
    <w:rsid w:val="00431CA9"/>
    <w:rPr>
      <w:rFonts w:ascii="Arial" w:hAnsi="Arial" w:eastAsia="Arial" w:cs="Arial"/>
      <w:lang w:val="en" w:eastAsia="en-GB"/>
    </w:rPr>
  </w:style>
  <w:style w:type="paragraph" w:styleId="Footer">
    <w:name w:val="footer"/>
    <w:basedOn w:val="Normal"/>
    <w:link w:val="FooterChar"/>
    <w:uiPriority w:val="99"/>
    <w:unhideWhenUsed/>
    <w:rsid w:val="00431CA9"/>
    <w:pPr>
      <w:tabs>
        <w:tab w:val="center" w:pos="4680"/>
        <w:tab w:val="right" w:pos="9360"/>
      </w:tabs>
      <w:spacing w:line="240" w:lineRule="auto"/>
    </w:pPr>
  </w:style>
  <w:style w:type="character" w:styleId="FooterChar" w:customStyle="1">
    <w:name w:val="Footer Char"/>
    <w:basedOn w:val="DefaultParagraphFont"/>
    <w:link w:val="Footer"/>
    <w:uiPriority w:val="99"/>
    <w:rsid w:val="00431CA9"/>
    <w:rPr>
      <w:rFonts w:ascii="Arial" w:hAnsi="Arial" w:eastAsia="Arial" w:cs="Arial"/>
      <w:lang w:val="en" w:eastAsia="en-GB"/>
    </w:rPr>
  </w:style>
  <w:style w:type="paragraph" w:styleId="ListParagraph">
    <w:name w:val="List Paragraph"/>
    <w:aliases w:val="Citation List,references,Bullet Points,Liste Paragraf,List Bullet-OpsManual,Table of contents numbered,List Paragraph Char Char,List Paragraph1,Bullets,Graphic,Resume Title,Ha,Text,Use Case List Paragraph,Proposal Bullet List,List Item,bl"/>
    <w:basedOn w:val="Normal"/>
    <w:link w:val="ListParagraphChar"/>
    <w:uiPriority w:val="34"/>
    <w:qFormat/>
    <w:rsid w:val="000B7B44"/>
    <w:pPr>
      <w:ind w:left="720"/>
      <w:contextualSpacing/>
    </w:pPr>
  </w:style>
  <w:style w:type="paragraph" w:styleId="CommentSubject">
    <w:name w:val="annotation subject"/>
    <w:basedOn w:val="CommentText"/>
    <w:next w:val="CommentText"/>
    <w:link w:val="CommentSubjectChar"/>
    <w:uiPriority w:val="99"/>
    <w:semiHidden/>
    <w:unhideWhenUsed/>
    <w:rsid w:val="007A3FC1"/>
    <w:rPr>
      <w:b/>
      <w:bCs/>
    </w:rPr>
  </w:style>
  <w:style w:type="character" w:styleId="CommentSubjectChar" w:customStyle="1">
    <w:name w:val="Comment Subject Char"/>
    <w:basedOn w:val="CommentTextChar"/>
    <w:link w:val="CommentSubject"/>
    <w:uiPriority w:val="99"/>
    <w:semiHidden/>
    <w:rsid w:val="007A3FC1"/>
    <w:rPr>
      <w:rFonts w:ascii="Arial" w:hAnsi="Arial" w:eastAsia="Arial" w:cs="Arial"/>
      <w:b/>
      <w:bCs/>
      <w:sz w:val="20"/>
      <w:szCs w:val="20"/>
      <w:lang w:val="en" w:eastAsia="en-GB"/>
    </w:rPr>
  </w:style>
  <w:style w:type="table" w:styleId="TableGrid">
    <w:name w:val="Table Grid"/>
    <w:basedOn w:val="TableNormal"/>
    <w:uiPriority w:val="59"/>
    <w:rsid w:val="001850E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stParagraphChar" w:customStyle="1">
    <w:name w:val="List Paragraph Char"/>
    <w:aliases w:val="Citation List Char,references Char,Bullet Points Char,Liste Paragraf Char,List Bullet-OpsManual Char,Table of contents numbered Char,List Paragraph Char Char Char,List Paragraph1 Char,Bullets Char,Graphic Char,Resume Title Char"/>
    <w:link w:val="ListParagraph"/>
    <w:uiPriority w:val="34"/>
    <w:qFormat/>
    <w:locked/>
    <w:rsid w:val="00AA32F8"/>
    <w:rPr>
      <w:rFonts w:ascii="Arial" w:hAnsi="Arial" w:eastAsia="Arial" w:cs="Arial"/>
      <w:lang w:val="en" w:eastAsia="en-GB"/>
    </w:rPr>
  </w:style>
  <w:style w:type="character" w:styleId="Mention">
    <w:name w:val="Mention"/>
    <w:basedOn w:val="DefaultParagraphFont"/>
    <w:uiPriority w:val="99"/>
    <w:unhideWhenUsed/>
    <w:rsid w:val="00AA32F8"/>
    <w:rPr>
      <w:color w:val="2B579A"/>
      <w:shd w:val="clear" w:color="auto" w:fill="E6E6E6"/>
    </w:rPr>
  </w:style>
  <w:style w:type="character" w:styleId="UnresolvedMention">
    <w:name w:val="Unresolved Mention"/>
    <w:basedOn w:val="DefaultParagraphFont"/>
    <w:uiPriority w:val="99"/>
    <w:unhideWhenUsed/>
    <w:rsid w:val="00806832"/>
    <w:rPr>
      <w:color w:val="605E5C"/>
      <w:shd w:val="clear" w:color="auto" w:fill="E1DFDD"/>
    </w:rPr>
  </w:style>
  <w:style w:type="paragraph" w:styleId="Title">
    <w:name w:val="Title"/>
    <w:basedOn w:val="Normal"/>
    <w:link w:val="TitleChar"/>
    <w:uiPriority w:val="10"/>
    <w:qFormat/>
    <w:rsid w:val="00806832"/>
    <w:pPr>
      <w:spacing w:before="240" w:after="60" w:line="240" w:lineRule="auto"/>
      <w:jc w:val="center"/>
      <w:outlineLvl w:val="0"/>
    </w:pPr>
    <w:rPr>
      <w:rFonts w:eastAsia="MS Mincho"/>
      <w:b/>
      <w:bCs/>
      <w:kern w:val="28"/>
      <w:sz w:val="32"/>
      <w:szCs w:val="32"/>
      <w:lang w:val="en-US" w:eastAsia="ja-JP"/>
    </w:rPr>
  </w:style>
  <w:style w:type="character" w:styleId="TitleChar" w:customStyle="1">
    <w:name w:val="Title Char"/>
    <w:basedOn w:val="DefaultParagraphFont"/>
    <w:link w:val="Title"/>
    <w:uiPriority w:val="10"/>
    <w:rsid w:val="00806832"/>
    <w:rPr>
      <w:rFonts w:ascii="Arial" w:hAnsi="Arial" w:eastAsia="MS Mincho" w:cs="Arial"/>
      <w:b/>
      <w:bCs/>
      <w:kern w:val="28"/>
      <w:sz w:val="32"/>
      <w:szCs w:val="32"/>
      <w:lang w:eastAsia="ja-JP"/>
    </w:rPr>
  </w:style>
  <w:style w:type="paragraph" w:styleId="Revision">
    <w:name w:val="Revision"/>
    <w:hidden/>
    <w:uiPriority w:val="99"/>
    <w:semiHidden/>
    <w:rsid w:val="002518B4"/>
    <w:pPr>
      <w:spacing w:after="0" w:line="240" w:lineRule="auto"/>
    </w:pPr>
    <w:rPr>
      <w:rFonts w:ascii="Arial" w:hAnsi="Arial" w:eastAsia="Arial" w:cs="Arial"/>
      <w:lang w:val="en" w:eastAsia="en-GB"/>
    </w:rPr>
  </w:style>
  <w:style w:type="character" w:styleId="Hyperlink">
    <w:name w:val="Hyperlink"/>
    <w:basedOn w:val="DefaultParagraphFont"/>
    <w:uiPriority w:val="99"/>
    <w:unhideWhenUsed/>
    <w:rsid w:val="00775AC8"/>
    <w:rPr>
      <w:color w:val="0563C1" w:themeColor="hyperlink"/>
      <w:u w:val="single"/>
    </w:rPr>
  </w:style>
  <w:style w:type="character" w:styleId="FollowedHyperlink">
    <w:name w:val="FollowedHyperlink"/>
    <w:basedOn w:val="DefaultParagraphFont"/>
    <w:uiPriority w:val="99"/>
    <w:semiHidden/>
    <w:unhideWhenUsed/>
    <w:rsid w:val="0032033D"/>
    <w:rPr>
      <w:color w:val="954F72" w:themeColor="followedHyperlink"/>
      <w:u w:val="single"/>
    </w:rPr>
  </w:style>
  <w:style w:type="paragraph" w:styleId="NormalWeb">
    <w:name w:val="Normal (Web)"/>
    <w:basedOn w:val="Normal"/>
    <w:uiPriority w:val="99"/>
    <w:semiHidden/>
    <w:unhideWhenUsed/>
    <w:rsid w:val="003427FA"/>
    <w:pPr>
      <w:spacing w:before="100" w:beforeAutospacing="1" w:after="100" w:afterAutospacing="1" w:line="240" w:lineRule="auto"/>
    </w:pPr>
    <w:rPr>
      <w:rFonts w:ascii="Times New Roman" w:hAnsi="Times New Roman" w:eastAsia="Times New Roman" w:cs="Times New Roman"/>
      <w:sz w:val="24"/>
      <w:szCs w:val="24"/>
    </w:rPr>
  </w:style>
  <w:style w:type="numbering" w:styleId="CurrentList1" w:customStyle="1">
    <w:name w:val="Current List1"/>
    <w:uiPriority w:val="99"/>
    <w:rsid w:val="004E4361"/>
    <w:pPr>
      <w:numPr>
        <w:numId w:val="1"/>
      </w:numPr>
    </w:pPr>
  </w:style>
  <w:style w:type="numbering" w:styleId="CurrentList2" w:customStyle="1">
    <w:name w:val="Current List2"/>
    <w:uiPriority w:val="99"/>
    <w:rsid w:val="00F73FF8"/>
    <w:pPr>
      <w:numPr>
        <w:numId w:val="2"/>
      </w:numPr>
    </w:pPr>
  </w:style>
  <w:style w:type="numbering" w:styleId="CurrentList3" w:customStyle="1">
    <w:name w:val="Current List3"/>
    <w:uiPriority w:val="99"/>
    <w:rsid w:val="001E1C11"/>
    <w:pPr>
      <w:numPr>
        <w:numId w:val="3"/>
      </w:numPr>
    </w:pPr>
  </w:style>
  <w:style w:type="paragraph" w:styleId="NoSpacing">
    <w:name w:val="No Spacing"/>
    <w:uiPriority w:val="1"/>
    <w:qFormat/>
    <w:rsid w:val="00284A22"/>
    <w:pPr>
      <w:spacing w:after="0" w:line="240" w:lineRule="auto"/>
    </w:pPr>
    <w:rPr>
      <w:rFonts w:ascii="Arial" w:hAnsi="Arial" w:eastAsia="Arial" w:cs="Arial"/>
      <w:lang w:val="en" w:eastAsia="en-GB"/>
    </w:rPr>
  </w:style>
  <w:style w:type="paragraph" w:styleId="FootnoteText">
    <w:name w:val="footnote text"/>
    <w:basedOn w:val="Normal"/>
    <w:link w:val="FootnoteTextChar"/>
    <w:uiPriority w:val="99"/>
    <w:semiHidden/>
    <w:unhideWhenUsed/>
    <w:rsid w:val="00D77BD9"/>
    <w:pPr>
      <w:spacing w:line="240" w:lineRule="auto"/>
    </w:pPr>
    <w:rPr>
      <w:sz w:val="20"/>
      <w:szCs w:val="20"/>
    </w:rPr>
  </w:style>
  <w:style w:type="character" w:styleId="FootnoteTextChar" w:customStyle="1">
    <w:name w:val="Footnote Text Char"/>
    <w:basedOn w:val="DefaultParagraphFont"/>
    <w:link w:val="FootnoteText"/>
    <w:uiPriority w:val="99"/>
    <w:semiHidden/>
    <w:rsid w:val="00D77BD9"/>
    <w:rPr>
      <w:rFonts w:ascii="Arial" w:hAnsi="Arial" w:eastAsia="Arial" w:cs="Arial"/>
      <w:sz w:val="20"/>
      <w:szCs w:val="20"/>
      <w:lang w:val="en" w:eastAsia="en-GB"/>
    </w:rPr>
  </w:style>
  <w:style w:type="character" w:styleId="FootnoteReference">
    <w:name w:val="footnote reference"/>
    <w:basedOn w:val="DefaultParagraphFont"/>
    <w:uiPriority w:val="99"/>
    <w:unhideWhenUsed/>
    <w:rsid w:val="00D77BD9"/>
    <w:rPr>
      <w:vertAlign w:val="superscript"/>
    </w:rPr>
  </w:style>
  <w:style w:type="paragraph" w:styleId="Default" w:customStyle="1">
    <w:name w:val="Default"/>
    <w:rsid w:val="00E60373"/>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CC7CD3"/>
    <w:pPr>
      <w:spacing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C7CD3"/>
    <w:rPr>
      <w:rFonts w:ascii="Segoe UI" w:hAnsi="Segoe UI" w:eastAsia="Arial" w:cs="Segoe UI"/>
      <w:sz w:val="18"/>
      <w:szCs w:val="18"/>
      <w:lang w:val="en" w:eastAsia="en-GB"/>
    </w:rPr>
  </w:style>
  <w:style w:type="paragraph" w:styleId="HTMLPreformatted">
    <w:name w:val="HTML Preformatted"/>
    <w:basedOn w:val="Normal"/>
    <w:link w:val="HTMLPreformattedChar"/>
    <w:uiPriority w:val="99"/>
    <w:unhideWhenUsed/>
    <w:rsid w:val="00AE4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eastAsia="Times New Roman" w:cs="Courier New"/>
      <w:sz w:val="20"/>
      <w:szCs w:val="20"/>
      <w:lang w:val="ru-RU" w:eastAsia="ru-RU"/>
    </w:rPr>
  </w:style>
  <w:style w:type="character" w:styleId="HTMLPreformattedChar" w:customStyle="1">
    <w:name w:val="HTML Preformatted Char"/>
    <w:basedOn w:val="DefaultParagraphFont"/>
    <w:link w:val="HTMLPreformatted"/>
    <w:uiPriority w:val="99"/>
    <w:rsid w:val="00AE4155"/>
    <w:rPr>
      <w:rFonts w:ascii="Courier New" w:hAnsi="Courier New" w:eastAsia="Times New Roman" w:cs="Courier New"/>
      <w:sz w:val="20"/>
      <w:szCs w:val="20"/>
      <w:lang w:val="ru-RU" w:eastAsia="ru-RU"/>
    </w:rPr>
  </w:style>
  <w:style w:type="character" w:styleId="y2iqfc" w:customStyle="1">
    <w:name w:val="y2iqfc"/>
    <w:basedOn w:val="DefaultParagraphFont"/>
    <w:rsid w:val="00AE4155"/>
  </w:style>
  <w:style w:type="paragraph" w:styleId="Subtitle">
    <w:name w:val="Subtitle"/>
    <w:basedOn w:val="Normal"/>
    <w:next w:val="Normal"/>
    <w:link w:val="SubtitleChar"/>
    <w:uiPriority w:val="11"/>
    <w:qFormat/>
    <w:rsid w:val="003B1A47"/>
    <w:pPr>
      <w:keepNext/>
      <w:keepLines/>
      <w:spacing w:before="360" w:after="80" w:line="240" w:lineRule="auto"/>
      <w:jc w:val="both"/>
    </w:pPr>
    <w:rPr>
      <w:rFonts w:ascii="Georgia" w:hAnsi="Georgia" w:eastAsia="Georgia" w:cs="Georgia"/>
      <w:i/>
      <w:color w:val="666666"/>
      <w:sz w:val="48"/>
      <w:szCs w:val="48"/>
      <w:lang w:val="en-GB" w:eastAsia="en-US"/>
    </w:rPr>
  </w:style>
  <w:style w:type="character" w:styleId="SubtitleChar" w:customStyle="1">
    <w:name w:val="Subtitle Char"/>
    <w:basedOn w:val="DefaultParagraphFont"/>
    <w:link w:val="Subtitle"/>
    <w:uiPriority w:val="11"/>
    <w:rsid w:val="003B1A47"/>
    <w:rPr>
      <w:rFonts w:ascii="Georgia" w:hAnsi="Georgia" w:eastAsia="Georgia" w:cs="Georgia"/>
      <w:i/>
      <w:color w:val="666666"/>
      <w:sz w:val="48"/>
      <w:szCs w:val="4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587028">
      <w:bodyDiv w:val="1"/>
      <w:marLeft w:val="0"/>
      <w:marRight w:val="0"/>
      <w:marTop w:val="0"/>
      <w:marBottom w:val="0"/>
      <w:divBdr>
        <w:top w:val="none" w:sz="0" w:space="0" w:color="auto"/>
        <w:left w:val="none" w:sz="0" w:space="0" w:color="auto"/>
        <w:bottom w:val="none" w:sz="0" w:space="0" w:color="auto"/>
        <w:right w:val="none" w:sz="0" w:space="0" w:color="auto"/>
      </w:divBdr>
    </w:div>
    <w:div w:id="336083462">
      <w:bodyDiv w:val="1"/>
      <w:marLeft w:val="0"/>
      <w:marRight w:val="0"/>
      <w:marTop w:val="0"/>
      <w:marBottom w:val="0"/>
      <w:divBdr>
        <w:top w:val="none" w:sz="0" w:space="0" w:color="auto"/>
        <w:left w:val="none" w:sz="0" w:space="0" w:color="auto"/>
        <w:bottom w:val="none" w:sz="0" w:space="0" w:color="auto"/>
        <w:right w:val="none" w:sz="0" w:space="0" w:color="auto"/>
      </w:divBdr>
    </w:div>
    <w:div w:id="382945981">
      <w:bodyDiv w:val="1"/>
      <w:marLeft w:val="0"/>
      <w:marRight w:val="0"/>
      <w:marTop w:val="0"/>
      <w:marBottom w:val="0"/>
      <w:divBdr>
        <w:top w:val="none" w:sz="0" w:space="0" w:color="auto"/>
        <w:left w:val="none" w:sz="0" w:space="0" w:color="auto"/>
        <w:bottom w:val="none" w:sz="0" w:space="0" w:color="auto"/>
        <w:right w:val="none" w:sz="0" w:space="0" w:color="auto"/>
      </w:divBdr>
    </w:div>
    <w:div w:id="450977692">
      <w:bodyDiv w:val="1"/>
      <w:marLeft w:val="0"/>
      <w:marRight w:val="0"/>
      <w:marTop w:val="0"/>
      <w:marBottom w:val="0"/>
      <w:divBdr>
        <w:top w:val="none" w:sz="0" w:space="0" w:color="auto"/>
        <w:left w:val="none" w:sz="0" w:space="0" w:color="auto"/>
        <w:bottom w:val="none" w:sz="0" w:space="0" w:color="auto"/>
        <w:right w:val="none" w:sz="0" w:space="0" w:color="auto"/>
      </w:divBdr>
      <w:divsChild>
        <w:div w:id="749809211">
          <w:marLeft w:val="0"/>
          <w:marRight w:val="0"/>
          <w:marTop w:val="0"/>
          <w:marBottom w:val="0"/>
          <w:divBdr>
            <w:top w:val="none" w:sz="0" w:space="0" w:color="auto"/>
            <w:left w:val="none" w:sz="0" w:space="0" w:color="auto"/>
            <w:bottom w:val="none" w:sz="0" w:space="0" w:color="auto"/>
            <w:right w:val="none" w:sz="0" w:space="0" w:color="auto"/>
          </w:divBdr>
        </w:div>
      </w:divsChild>
    </w:div>
    <w:div w:id="479732974">
      <w:bodyDiv w:val="1"/>
      <w:marLeft w:val="0"/>
      <w:marRight w:val="0"/>
      <w:marTop w:val="0"/>
      <w:marBottom w:val="0"/>
      <w:divBdr>
        <w:top w:val="none" w:sz="0" w:space="0" w:color="auto"/>
        <w:left w:val="none" w:sz="0" w:space="0" w:color="auto"/>
        <w:bottom w:val="none" w:sz="0" w:space="0" w:color="auto"/>
        <w:right w:val="none" w:sz="0" w:space="0" w:color="auto"/>
      </w:divBdr>
    </w:div>
    <w:div w:id="559102086">
      <w:bodyDiv w:val="1"/>
      <w:marLeft w:val="0"/>
      <w:marRight w:val="0"/>
      <w:marTop w:val="0"/>
      <w:marBottom w:val="0"/>
      <w:divBdr>
        <w:top w:val="none" w:sz="0" w:space="0" w:color="auto"/>
        <w:left w:val="none" w:sz="0" w:space="0" w:color="auto"/>
        <w:bottom w:val="none" w:sz="0" w:space="0" w:color="auto"/>
        <w:right w:val="none" w:sz="0" w:space="0" w:color="auto"/>
      </w:divBdr>
      <w:divsChild>
        <w:div w:id="778570844">
          <w:marLeft w:val="446"/>
          <w:marRight w:val="0"/>
          <w:marTop w:val="0"/>
          <w:marBottom w:val="0"/>
          <w:divBdr>
            <w:top w:val="none" w:sz="0" w:space="0" w:color="auto"/>
            <w:left w:val="none" w:sz="0" w:space="0" w:color="auto"/>
            <w:bottom w:val="none" w:sz="0" w:space="0" w:color="auto"/>
            <w:right w:val="none" w:sz="0" w:space="0" w:color="auto"/>
          </w:divBdr>
        </w:div>
        <w:div w:id="2123526703">
          <w:marLeft w:val="446"/>
          <w:marRight w:val="0"/>
          <w:marTop w:val="0"/>
          <w:marBottom w:val="0"/>
          <w:divBdr>
            <w:top w:val="none" w:sz="0" w:space="0" w:color="auto"/>
            <w:left w:val="none" w:sz="0" w:space="0" w:color="auto"/>
            <w:bottom w:val="none" w:sz="0" w:space="0" w:color="auto"/>
            <w:right w:val="none" w:sz="0" w:space="0" w:color="auto"/>
          </w:divBdr>
        </w:div>
      </w:divsChild>
    </w:div>
    <w:div w:id="605430980">
      <w:bodyDiv w:val="1"/>
      <w:marLeft w:val="0"/>
      <w:marRight w:val="0"/>
      <w:marTop w:val="0"/>
      <w:marBottom w:val="0"/>
      <w:divBdr>
        <w:top w:val="none" w:sz="0" w:space="0" w:color="auto"/>
        <w:left w:val="none" w:sz="0" w:space="0" w:color="auto"/>
        <w:bottom w:val="none" w:sz="0" w:space="0" w:color="auto"/>
        <w:right w:val="none" w:sz="0" w:space="0" w:color="auto"/>
      </w:divBdr>
    </w:div>
    <w:div w:id="634679841">
      <w:bodyDiv w:val="1"/>
      <w:marLeft w:val="0"/>
      <w:marRight w:val="0"/>
      <w:marTop w:val="0"/>
      <w:marBottom w:val="0"/>
      <w:divBdr>
        <w:top w:val="none" w:sz="0" w:space="0" w:color="auto"/>
        <w:left w:val="none" w:sz="0" w:space="0" w:color="auto"/>
        <w:bottom w:val="none" w:sz="0" w:space="0" w:color="auto"/>
        <w:right w:val="none" w:sz="0" w:space="0" w:color="auto"/>
      </w:divBdr>
    </w:div>
    <w:div w:id="639652041">
      <w:bodyDiv w:val="1"/>
      <w:marLeft w:val="0"/>
      <w:marRight w:val="0"/>
      <w:marTop w:val="0"/>
      <w:marBottom w:val="0"/>
      <w:divBdr>
        <w:top w:val="none" w:sz="0" w:space="0" w:color="auto"/>
        <w:left w:val="none" w:sz="0" w:space="0" w:color="auto"/>
        <w:bottom w:val="none" w:sz="0" w:space="0" w:color="auto"/>
        <w:right w:val="none" w:sz="0" w:space="0" w:color="auto"/>
      </w:divBdr>
    </w:div>
    <w:div w:id="714697641">
      <w:bodyDiv w:val="1"/>
      <w:marLeft w:val="0"/>
      <w:marRight w:val="0"/>
      <w:marTop w:val="0"/>
      <w:marBottom w:val="0"/>
      <w:divBdr>
        <w:top w:val="none" w:sz="0" w:space="0" w:color="auto"/>
        <w:left w:val="none" w:sz="0" w:space="0" w:color="auto"/>
        <w:bottom w:val="none" w:sz="0" w:space="0" w:color="auto"/>
        <w:right w:val="none" w:sz="0" w:space="0" w:color="auto"/>
      </w:divBdr>
      <w:divsChild>
        <w:div w:id="485634332">
          <w:marLeft w:val="547"/>
          <w:marRight w:val="0"/>
          <w:marTop w:val="0"/>
          <w:marBottom w:val="0"/>
          <w:divBdr>
            <w:top w:val="none" w:sz="0" w:space="0" w:color="auto"/>
            <w:left w:val="none" w:sz="0" w:space="0" w:color="auto"/>
            <w:bottom w:val="none" w:sz="0" w:space="0" w:color="auto"/>
            <w:right w:val="none" w:sz="0" w:space="0" w:color="auto"/>
          </w:divBdr>
        </w:div>
        <w:div w:id="832451658">
          <w:marLeft w:val="547"/>
          <w:marRight w:val="0"/>
          <w:marTop w:val="0"/>
          <w:marBottom w:val="0"/>
          <w:divBdr>
            <w:top w:val="none" w:sz="0" w:space="0" w:color="auto"/>
            <w:left w:val="none" w:sz="0" w:space="0" w:color="auto"/>
            <w:bottom w:val="none" w:sz="0" w:space="0" w:color="auto"/>
            <w:right w:val="none" w:sz="0" w:space="0" w:color="auto"/>
          </w:divBdr>
        </w:div>
        <w:div w:id="1220674050">
          <w:marLeft w:val="547"/>
          <w:marRight w:val="0"/>
          <w:marTop w:val="0"/>
          <w:marBottom w:val="0"/>
          <w:divBdr>
            <w:top w:val="none" w:sz="0" w:space="0" w:color="auto"/>
            <w:left w:val="none" w:sz="0" w:space="0" w:color="auto"/>
            <w:bottom w:val="none" w:sz="0" w:space="0" w:color="auto"/>
            <w:right w:val="none" w:sz="0" w:space="0" w:color="auto"/>
          </w:divBdr>
        </w:div>
        <w:div w:id="1766029581">
          <w:marLeft w:val="547"/>
          <w:marRight w:val="0"/>
          <w:marTop w:val="0"/>
          <w:marBottom w:val="0"/>
          <w:divBdr>
            <w:top w:val="none" w:sz="0" w:space="0" w:color="auto"/>
            <w:left w:val="none" w:sz="0" w:space="0" w:color="auto"/>
            <w:bottom w:val="none" w:sz="0" w:space="0" w:color="auto"/>
            <w:right w:val="none" w:sz="0" w:space="0" w:color="auto"/>
          </w:divBdr>
        </w:div>
        <w:div w:id="2067297246">
          <w:marLeft w:val="547"/>
          <w:marRight w:val="0"/>
          <w:marTop w:val="0"/>
          <w:marBottom w:val="0"/>
          <w:divBdr>
            <w:top w:val="none" w:sz="0" w:space="0" w:color="auto"/>
            <w:left w:val="none" w:sz="0" w:space="0" w:color="auto"/>
            <w:bottom w:val="none" w:sz="0" w:space="0" w:color="auto"/>
            <w:right w:val="none" w:sz="0" w:space="0" w:color="auto"/>
          </w:divBdr>
        </w:div>
      </w:divsChild>
    </w:div>
    <w:div w:id="811867919">
      <w:bodyDiv w:val="1"/>
      <w:marLeft w:val="0"/>
      <w:marRight w:val="0"/>
      <w:marTop w:val="0"/>
      <w:marBottom w:val="0"/>
      <w:divBdr>
        <w:top w:val="none" w:sz="0" w:space="0" w:color="auto"/>
        <w:left w:val="none" w:sz="0" w:space="0" w:color="auto"/>
        <w:bottom w:val="none" w:sz="0" w:space="0" w:color="auto"/>
        <w:right w:val="none" w:sz="0" w:space="0" w:color="auto"/>
      </w:divBdr>
    </w:div>
    <w:div w:id="826358433">
      <w:bodyDiv w:val="1"/>
      <w:marLeft w:val="0"/>
      <w:marRight w:val="0"/>
      <w:marTop w:val="0"/>
      <w:marBottom w:val="0"/>
      <w:divBdr>
        <w:top w:val="none" w:sz="0" w:space="0" w:color="auto"/>
        <w:left w:val="none" w:sz="0" w:space="0" w:color="auto"/>
        <w:bottom w:val="none" w:sz="0" w:space="0" w:color="auto"/>
        <w:right w:val="none" w:sz="0" w:space="0" w:color="auto"/>
      </w:divBdr>
    </w:div>
    <w:div w:id="875460831">
      <w:bodyDiv w:val="1"/>
      <w:marLeft w:val="0"/>
      <w:marRight w:val="0"/>
      <w:marTop w:val="0"/>
      <w:marBottom w:val="0"/>
      <w:divBdr>
        <w:top w:val="none" w:sz="0" w:space="0" w:color="auto"/>
        <w:left w:val="none" w:sz="0" w:space="0" w:color="auto"/>
        <w:bottom w:val="none" w:sz="0" w:space="0" w:color="auto"/>
        <w:right w:val="none" w:sz="0" w:space="0" w:color="auto"/>
      </w:divBdr>
    </w:div>
    <w:div w:id="1095707565">
      <w:bodyDiv w:val="1"/>
      <w:marLeft w:val="0"/>
      <w:marRight w:val="0"/>
      <w:marTop w:val="0"/>
      <w:marBottom w:val="0"/>
      <w:divBdr>
        <w:top w:val="none" w:sz="0" w:space="0" w:color="auto"/>
        <w:left w:val="none" w:sz="0" w:space="0" w:color="auto"/>
        <w:bottom w:val="none" w:sz="0" w:space="0" w:color="auto"/>
        <w:right w:val="none" w:sz="0" w:space="0" w:color="auto"/>
      </w:divBdr>
    </w:div>
    <w:div w:id="1175195432">
      <w:bodyDiv w:val="1"/>
      <w:marLeft w:val="0"/>
      <w:marRight w:val="0"/>
      <w:marTop w:val="0"/>
      <w:marBottom w:val="0"/>
      <w:divBdr>
        <w:top w:val="none" w:sz="0" w:space="0" w:color="auto"/>
        <w:left w:val="none" w:sz="0" w:space="0" w:color="auto"/>
        <w:bottom w:val="none" w:sz="0" w:space="0" w:color="auto"/>
        <w:right w:val="none" w:sz="0" w:space="0" w:color="auto"/>
      </w:divBdr>
    </w:div>
    <w:div w:id="1267732208">
      <w:bodyDiv w:val="1"/>
      <w:marLeft w:val="0"/>
      <w:marRight w:val="0"/>
      <w:marTop w:val="0"/>
      <w:marBottom w:val="0"/>
      <w:divBdr>
        <w:top w:val="none" w:sz="0" w:space="0" w:color="auto"/>
        <w:left w:val="none" w:sz="0" w:space="0" w:color="auto"/>
        <w:bottom w:val="none" w:sz="0" w:space="0" w:color="auto"/>
        <w:right w:val="none" w:sz="0" w:space="0" w:color="auto"/>
      </w:divBdr>
      <w:divsChild>
        <w:div w:id="785730664">
          <w:marLeft w:val="0"/>
          <w:marRight w:val="0"/>
          <w:marTop w:val="0"/>
          <w:marBottom w:val="0"/>
          <w:divBdr>
            <w:top w:val="none" w:sz="0" w:space="0" w:color="auto"/>
            <w:left w:val="none" w:sz="0" w:space="0" w:color="auto"/>
            <w:bottom w:val="none" w:sz="0" w:space="0" w:color="auto"/>
            <w:right w:val="none" w:sz="0" w:space="0" w:color="auto"/>
          </w:divBdr>
        </w:div>
      </w:divsChild>
    </w:div>
    <w:div w:id="1388725829">
      <w:bodyDiv w:val="1"/>
      <w:marLeft w:val="0"/>
      <w:marRight w:val="0"/>
      <w:marTop w:val="0"/>
      <w:marBottom w:val="0"/>
      <w:divBdr>
        <w:top w:val="none" w:sz="0" w:space="0" w:color="auto"/>
        <w:left w:val="none" w:sz="0" w:space="0" w:color="auto"/>
        <w:bottom w:val="none" w:sz="0" w:space="0" w:color="auto"/>
        <w:right w:val="none" w:sz="0" w:space="0" w:color="auto"/>
      </w:divBdr>
      <w:divsChild>
        <w:div w:id="645281064">
          <w:marLeft w:val="0"/>
          <w:marRight w:val="0"/>
          <w:marTop w:val="0"/>
          <w:marBottom w:val="0"/>
          <w:divBdr>
            <w:top w:val="none" w:sz="0" w:space="0" w:color="auto"/>
            <w:left w:val="none" w:sz="0" w:space="0" w:color="auto"/>
            <w:bottom w:val="none" w:sz="0" w:space="0" w:color="auto"/>
            <w:right w:val="none" w:sz="0" w:space="0" w:color="auto"/>
          </w:divBdr>
        </w:div>
      </w:divsChild>
    </w:div>
    <w:div w:id="1539397317">
      <w:bodyDiv w:val="1"/>
      <w:marLeft w:val="0"/>
      <w:marRight w:val="0"/>
      <w:marTop w:val="0"/>
      <w:marBottom w:val="0"/>
      <w:divBdr>
        <w:top w:val="none" w:sz="0" w:space="0" w:color="auto"/>
        <w:left w:val="none" w:sz="0" w:space="0" w:color="auto"/>
        <w:bottom w:val="none" w:sz="0" w:space="0" w:color="auto"/>
        <w:right w:val="none" w:sz="0" w:space="0" w:color="auto"/>
      </w:divBdr>
      <w:divsChild>
        <w:div w:id="572273363">
          <w:marLeft w:val="0"/>
          <w:marRight w:val="0"/>
          <w:marTop w:val="0"/>
          <w:marBottom w:val="0"/>
          <w:divBdr>
            <w:top w:val="none" w:sz="0" w:space="0" w:color="auto"/>
            <w:left w:val="none" w:sz="0" w:space="0" w:color="auto"/>
            <w:bottom w:val="none" w:sz="0" w:space="0" w:color="auto"/>
            <w:right w:val="none" w:sz="0" w:space="0" w:color="auto"/>
          </w:divBdr>
          <w:divsChild>
            <w:div w:id="37357810">
              <w:marLeft w:val="0"/>
              <w:marRight w:val="0"/>
              <w:marTop w:val="0"/>
              <w:marBottom w:val="0"/>
              <w:divBdr>
                <w:top w:val="none" w:sz="0" w:space="0" w:color="auto"/>
                <w:left w:val="none" w:sz="0" w:space="0" w:color="auto"/>
                <w:bottom w:val="none" w:sz="0" w:space="0" w:color="auto"/>
                <w:right w:val="none" w:sz="0" w:space="0" w:color="auto"/>
              </w:divBdr>
              <w:divsChild>
                <w:div w:id="2144106564">
                  <w:marLeft w:val="0"/>
                  <w:marRight w:val="0"/>
                  <w:marTop w:val="0"/>
                  <w:marBottom w:val="0"/>
                  <w:divBdr>
                    <w:top w:val="none" w:sz="0" w:space="0" w:color="auto"/>
                    <w:left w:val="none" w:sz="0" w:space="0" w:color="auto"/>
                    <w:bottom w:val="none" w:sz="0" w:space="0" w:color="auto"/>
                    <w:right w:val="none" w:sz="0" w:space="0" w:color="auto"/>
                  </w:divBdr>
                </w:div>
              </w:divsChild>
            </w:div>
            <w:div w:id="478692110">
              <w:marLeft w:val="0"/>
              <w:marRight w:val="0"/>
              <w:marTop w:val="0"/>
              <w:marBottom w:val="0"/>
              <w:divBdr>
                <w:top w:val="none" w:sz="0" w:space="0" w:color="auto"/>
                <w:left w:val="none" w:sz="0" w:space="0" w:color="auto"/>
                <w:bottom w:val="none" w:sz="0" w:space="0" w:color="auto"/>
                <w:right w:val="none" w:sz="0" w:space="0" w:color="auto"/>
              </w:divBdr>
              <w:divsChild>
                <w:div w:id="866674073">
                  <w:marLeft w:val="0"/>
                  <w:marRight w:val="0"/>
                  <w:marTop w:val="0"/>
                  <w:marBottom w:val="0"/>
                  <w:divBdr>
                    <w:top w:val="none" w:sz="0" w:space="0" w:color="auto"/>
                    <w:left w:val="none" w:sz="0" w:space="0" w:color="auto"/>
                    <w:bottom w:val="none" w:sz="0" w:space="0" w:color="auto"/>
                    <w:right w:val="none" w:sz="0" w:space="0" w:color="auto"/>
                  </w:divBdr>
                </w:div>
                <w:div w:id="908659193">
                  <w:marLeft w:val="0"/>
                  <w:marRight w:val="0"/>
                  <w:marTop w:val="0"/>
                  <w:marBottom w:val="0"/>
                  <w:divBdr>
                    <w:top w:val="none" w:sz="0" w:space="0" w:color="auto"/>
                    <w:left w:val="none" w:sz="0" w:space="0" w:color="auto"/>
                    <w:bottom w:val="none" w:sz="0" w:space="0" w:color="auto"/>
                    <w:right w:val="none" w:sz="0" w:space="0" w:color="auto"/>
                  </w:divBdr>
                </w:div>
              </w:divsChild>
            </w:div>
            <w:div w:id="563680221">
              <w:marLeft w:val="0"/>
              <w:marRight w:val="0"/>
              <w:marTop w:val="0"/>
              <w:marBottom w:val="0"/>
              <w:divBdr>
                <w:top w:val="none" w:sz="0" w:space="0" w:color="auto"/>
                <w:left w:val="none" w:sz="0" w:space="0" w:color="auto"/>
                <w:bottom w:val="none" w:sz="0" w:space="0" w:color="auto"/>
                <w:right w:val="none" w:sz="0" w:space="0" w:color="auto"/>
              </w:divBdr>
              <w:divsChild>
                <w:div w:id="1096101502">
                  <w:marLeft w:val="0"/>
                  <w:marRight w:val="0"/>
                  <w:marTop w:val="0"/>
                  <w:marBottom w:val="0"/>
                  <w:divBdr>
                    <w:top w:val="none" w:sz="0" w:space="0" w:color="auto"/>
                    <w:left w:val="none" w:sz="0" w:space="0" w:color="auto"/>
                    <w:bottom w:val="none" w:sz="0" w:space="0" w:color="auto"/>
                    <w:right w:val="none" w:sz="0" w:space="0" w:color="auto"/>
                  </w:divBdr>
                </w:div>
              </w:divsChild>
            </w:div>
            <w:div w:id="862061366">
              <w:marLeft w:val="0"/>
              <w:marRight w:val="0"/>
              <w:marTop w:val="0"/>
              <w:marBottom w:val="0"/>
              <w:divBdr>
                <w:top w:val="none" w:sz="0" w:space="0" w:color="auto"/>
                <w:left w:val="none" w:sz="0" w:space="0" w:color="auto"/>
                <w:bottom w:val="none" w:sz="0" w:space="0" w:color="auto"/>
                <w:right w:val="none" w:sz="0" w:space="0" w:color="auto"/>
              </w:divBdr>
              <w:divsChild>
                <w:div w:id="811171557">
                  <w:marLeft w:val="0"/>
                  <w:marRight w:val="0"/>
                  <w:marTop w:val="0"/>
                  <w:marBottom w:val="0"/>
                  <w:divBdr>
                    <w:top w:val="none" w:sz="0" w:space="0" w:color="auto"/>
                    <w:left w:val="none" w:sz="0" w:space="0" w:color="auto"/>
                    <w:bottom w:val="none" w:sz="0" w:space="0" w:color="auto"/>
                    <w:right w:val="none" w:sz="0" w:space="0" w:color="auto"/>
                  </w:divBdr>
                </w:div>
              </w:divsChild>
            </w:div>
            <w:div w:id="1411927330">
              <w:marLeft w:val="0"/>
              <w:marRight w:val="0"/>
              <w:marTop w:val="0"/>
              <w:marBottom w:val="0"/>
              <w:divBdr>
                <w:top w:val="none" w:sz="0" w:space="0" w:color="auto"/>
                <w:left w:val="none" w:sz="0" w:space="0" w:color="auto"/>
                <w:bottom w:val="none" w:sz="0" w:space="0" w:color="auto"/>
                <w:right w:val="none" w:sz="0" w:space="0" w:color="auto"/>
              </w:divBdr>
              <w:divsChild>
                <w:div w:id="287396759">
                  <w:marLeft w:val="0"/>
                  <w:marRight w:val="0"/>
                  <w:marTop w:val="0"/>
                  <w:marBottom w:val="0"/>
                  <w:divBdr>
                    <w:top w:val="none" w:sz="0" w:space="0" w:color="auto"/>
                    <w:left w:val="none" w:sz="0" w:space="0" w:color="auto"/>
                    <w:bottom w:val="none" w:sz="0" w:space="0" w:color="auto"/>
                    <w:right w:val="none" w:sz="0" w:space="0" w:color="auto"/>
                  </w:divBdr>
                </w:div>
                <w:div w:id="1500923814">
                  <w:marLeft w:val="0"/>
                  <w:marRight w:val="0"/>
                  <w:marTop w:val="0"/>
                  <w:marBottom w:val="0"/>
                  <w:divBdr>
                    <w:top w:val="none" w:sz="0" w:space="0" w:color="auto"/>
                    <w:left w:val="none" w:sz="0" w:space="0" w:color="auto"/>
                    <w:bottom w:val="none" w:sz="0" w:space="0" w:color="auto"/>
                    <w:right w:val="none" w:sz="0" w:space="0" w:color="auto"/>
                  </w:divBdr>
                </w:div>
              </w:divsChild>
            </w:div>
            <w:div w:id="2097747082">
              <w:marLeft w:val="0"/>
              <w:marRight w:val="0"/>
              <w:marTop w:val="0"/>
              <w:marBottom w:val="0"/>
              <w:divBdr>
                <w:top w:val="none" w:sz="0" w:space="0" w:color="auto"/>
                <w:left w:val="none" w:sz="0" w:space="0" w:color="auto"/>
                <w:bottom w:val="none" w:sz="0" w:space="0" w:color="auto"/>
                <w:right w:val="none" w:sz="0" w:space="0" w:color="auto"/>
              </w:divBdr>
              <w:divsChild>
                <w:div w:id="21235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91437">
      <w:bodyDiv w:val="1"/>
      <w:marLeft w:val="0"/>
      <w:marRight w:val="0"/>
      <w:marTop w:val="0"/>
      <w:marBottom w:val="0"/>
      <w:divBdr>
        <w:top w:val="none" w:sz="0" w:space="0" w:color="auto"/>
        <w:left w:val="none" w:sz="0" w:space="0" w:color="auto"/>
        <w:bottom w:val="none" w:sz="0" w:space="0" w:color="auto"/>
        <w:right w:val="none" w:sz="0" w:space="0" w:color="auto"/>
      </w:divBdr>
      <w:divsChild>
        <w:div w:id="988946970">
          <w:marLeft w:val="0"/>
          <w:marRight w:val="0"/>
          <w:marTop w:val="0"/>
          <w:marBottom w:val="0"/>
          <w:divBdr>
            <w:top w:val="none" w:sz="0" w:space="0" w:color="auto"/>
            <w:left w:val="none" w:sz="0" w:space="0" w:color="auto"/>
            <w:bottom w:val="none" w:sz="0" w:space="0" w:color="auto"/>
            <w:right w:val="none" w:sz="0" w:space="0" w:color="auto"/>
          </w:divBdr>
        </w:div>
      </w:divsChild>
    </w:div>
    <w:div w:id="1706101029">
      <w:bodyDiv w:val="1"/>
      <w:marLeft w:val="0"/>
      <w:marRight w:val="0"/>
      <w:marTop w:val="0"/>
      <w:marBottom w:val="0"/>
      <w:divBdr>
        <w:top w:val="none" w:sz="0" w:space="0" w:color="auto"/>
        <w:left w:val="none" w:sz="0" w:space="0" w:color="auto"/>
        <w:bottom w:val="none" w:sz="0" w:space="0" w:color="auto"/>
        <w:right w:val="none" w:sz="0" w:space="0" w:color="auto"/>
      </w:divBdr>
      <w:divsChild>
        <w:div w:id="309098310">
          <w:marLeft w:val="0"/>
          <w:marRight w:val="0"/>
          <w:marTop w:val="0"/>
          <w:marBottom w:val="0"/>
          <w:divBdr>
            <w:top w:val="none" w:sz="0" w:space="0" w:color="auto"/>
            <w:left w:val="none" w:sz="0" w:space="0" w:color="auto"/>
            <w:bottom w:val="none" w:sz="0" w:space="0" w:color="auto"/>
            <w:right w:val="none" w:sz="0" w:space="0" w:color="auto"/>
          </w:divBdr>
          <w:divsChild>
            <w:div w:id="239684054">
              <w:marLeft w:val="0"/>
              <w:marRight w:val="0"/>
              <w:marTop w:val="0"/>
              <w:marBottom w:val="0"/>
              <w:divBdr>
                <w:top w:val="none" w:sz="0" w:space="0" w:color="auto"/>
                <w:left w:val="none" w:sz="0" w:space="0" w:color="auto"/>
                <w:bottom w:val="none" w:sz="0" w:space="0" w:color="auto"/>
                <w:right w:val="none" w:sz="0" w:space="0" w:color="auto"/>
              </w:divBdr>
              <w:divsChild>
                <w:div w:id="1331443089">
                  <w:marLeft w:val="0"/>
                  <w:marRight w:val="0"/>
                  <w:marTop w:val="0"/>
                  <w:marBottom w:val="0"/>
                  <w:divBdr>
                    <w:top w:val="none" w:sz="0" w:space="0" w:color="auto"/>
                    <w:left w:val="none" w:sz="0" w:space="0" w:color="auto"/>
                    <w:bottom w:val="none" w:sz="0" w:space="0" w:color="auto"/>
                    <w:right w:val="none" w:sz="0" w:space="0" w:color="auto"/>
                  </w:divBdr>
                </w:div>
              </w:divsChild>
            </w:div>
            <w:div w:id="879901245">
              <w:marLeft w:val="0"/>
              <w:marRight w:val="0"/>
              <w:marTop w:val="0"/>
              <w:marBottom w:val="0"/>
              <w:divBdr>
                <w:top w:val="none" w:sz="0" w:space="0" w:color="auto"/>
                <w:left w:val="none" w:sz="0" w:space="0" w:color="auto"/>
                <w:bottom w:val="none" w:sz="0" w:space="0" w:color="auto"/>
                <w:right w:val="none" w:sz="0" w:space="0" w:color="auto"/>
              </w:divBdr>
              <w:divsChild>
                <w:div w:id="584648199">
                  <w:marLeft w:val="0"/>
                  <w:marRight w:val="0"/>
                  <w:marTop w:val="0"/>
                  <w:marBottom w:val="0"/>
                  <w:divBdr>
                    <w:top w:val="none" w:sz="0" w:space="0" w:color="auto"/>
                    <w:left w:val="none" w:sz="0" w:space="0" w:color="auto"/>
                    <w:bottom w:val="none" w:sz="0" w:space="0" w:color="auto"/>
                    <w:right w:val="none" w:sz="0" w:space="0" w:color="auto"/>
                  </w:divBdr>
                </w:div>
                <w:div w:id="1619753760">
                  <w:marLeft w:val="0"/>
                  <w:marRight w:val="0"/>
                  <w:marTop w:val="0"/>
                  <w:marBottom w:val="0"/>
                  <w:divBdr>
                    <w:top w:val="none" w:sz="0" w:space="0" w:color="auto"/>
                    <w:left w:val="none" w:sz="0" w:space="0" w:color="auto"/>
                    <w:bottom w:val="none" w:sz="0" w:space="0" w:color="auto"/>
                    <w:right w:val="none" w:sz="0" w:space="0" w:color="auto"/>
                  </w:divBdr>
                </w:div>
              </w:divsChild>
            </w:div>
            <w:div w:id="1192648869">
              <w:marLeft w:val="0"/>
              <w:marRight w:val="0"/>
              <w:marTop w:val="0"/>
              <w:marBottom w:val="0"/>
              <w:divBdr>
                <w:top w:val="none" w:sz="0" w:space="0" w:color="auto"/>
                <w:left w:val="none" w:sz="0" w:space="0" w:color="auto"/>
                <w:bottom w:val="none" w:sz="0" w:space="0" w:color="auto"/>
                <w:right w:val="none" w:sz="0" w:space="0" w:color="auto"/>
              </w:divBdr>
              <w:divsChild>
                <w:div w:id="1102336681">
                  <w:marLeft w:val="0"/>
                  <w:marRight w:val="0"/>
                  <w:marTop w:val="0"/>
                  <w:marBottom w:val="0"/>
                  <w:divBdr>
                    <w:top w:val="none" w:sz="0" w:space="0" w:color="auto"/>
                    <w:left w:val="none" w:sz="0" w:space="0" w:color="auto"/>
                    <w:bottom w:val="none" w:sz="0" w:space="0" w:color="auto"/>
                    <w:right w:val="none" w:sz="0" w:space="0" w:color="auto"/>
                  </w:divBdr>
                </w:div>
              </w:divsChild>
            </w:div>
            <w:div w:id="1455521570">
              <w:marLeft w:val="0"/>
              <w:marRight w:val="0"/>
              <w:marTop w:val="0"/>
              <w:marBottom w:val="0"/>
              <w:divBdr>
                <w:top w:val="none" w:sz="0" w:space="0" w:color="auto"/>
                <w:left w:val="none" w:sz="0" w:space="0" w:color="auto"/>
                <w:bottom w:val="none" w:sz="0" w:space="0" w:color="auto"/>
                <w:right w:val="none" w:sz="0" w:space="0" w:color="auto"/>
              </w:divBdr>
              <w:divsChild>
                <w:div w:id="21977477">
                  <w:marLeft w:val="0"/>
                  <w:marRight w:val="0"/>
                  <w:marTop w:val="0"/>
                  <w:marBottom w:val="0"/>
                  <w:divBdr>
                    <w:top w:val="none" w:sz="0" w:space="0" w:color="auto"/>
                    <w:left w:val="none" w:sz="0" w:space="0" w:color="auto"/>
                    <w:bottom w:val="none" w:sz="0" w:space="0" w:color="auto"/>
                    <w:right w:val="none" w:sz="0" w:space="0" w:color="auto"/>
                  </w:divBdr>
                </w:div>
              </w:divsChild>
            </w:div>
            <w:div w:id="1835871347">
              <w:marLeft w:val="0"/>
              <w:marRight w:val="0"/>
              <w:marTop w:val="0"/>
              <w:marBottom w:val="0"/>
              <w:divBdr>
                <w:top w:val="none" w:sz="0" w:space="0" w:color="auto"/>
                <w:left w:val="none" w:sz="0" w:space="0" w:color="auto"/>
                <w:bottom w:val="none" w:sz="0" w:space="0" w:color="auto"/>
                <w:right w:val="none" w:sz="0" w:space="0" w:color="auto"/>
              </w:divBdr>
              <w:divsChild>
                <w:div w:id="219098264">
                  <w:marLeft w:val="0"/>
                  <w:marRight w:val="0"/>
                  <w:marTop w:val="0"/>
                  <w:marBottom w:val="0"/>
                  <w:divBdr>
                    <w:top w:val="none" w:sz="0" w:space="0" w:color="auto"/>
                    <w:left w:val="none" w:sz="0" w:space="0" w:color="auto"/>
                    <w:bottom w:val="none" w:sz="0" w:space="0" w:color="auto"/>
                    <w:right w:val="none" w:sz="0" w:space="0" w:color="auto"/>
                  </w:divBdr>
                </w:div>
                <w:div w:id="1577786666">
                  <w:marLeft w:val="0"/>
                  <w:marRight w:val="0"/>
                  <w:marTop w:val="0"/>
                  <w:marBottom w:val="0"/>
                  <w:divBdr>
                    <w:top w:val="none" w:sz="0" w:space="0" w:color="auto"/>
                    <w:left w:val="none" w:sz="0" w:space="0" w:color="auto"/>
                    <w:bottom w:val="none" w:sz="0" w:space="0" w:color="auto"/>
                    <w:right w:val="none" w:sz="0" w:space="0" w:color="auto"/>
                  </w:divBdr>
                </w:div>
              </w:divsChild>
            </w:div>
            <w:div w:id="2061131726">
              <w:marLeft w:val="0"/>
              <w:marRight w:val="0"/>
              <w:marTop w:val="0"/>
              <w:marBottom w:val="0"/>
              <w:divBdr>
                <w:top w:val="none" w:sz="0" w:space="0" w:color="auto"/>
                <w:left w:val="none" w:sz="0" w:space="0" w:color="auto"/>
                <w:bottom w:val="none" w:sz="0" w:space="0" w:color="auto"/>
                <w:right w:val="none" w:sz="0" w:space="0" w:color="auto"/>
              </w:divBdr>
              <w:divsChild>
                <w:div w:id="78847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635737">
      <w:bodyDiv w:val="1"/>
      <w:marLeft w:val="0"/>
      <w:marRight w:val="0"/>
      <w:marTop w:val="0"/>
      <w:marBottom w:val="0"/>
      <w:divBdr>
        <w:top w:val="none" w:sz="0" w:space="0" w:color="auto"/>
        <w:left w:val="none" w:sz="0" w:space="0" w:color="auto"/>
        <w:bottom w:val="none" w:sz="0" w:space="0" w:color="auto"/>
        <w:right w:val="none" w:sz="0" w:space="0" w:color="auto"/>
      </w:divBdr>
    </w:div>
    <w:div w:id="210403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chart" Target="charts/chart1.xml" Id="rId13" /><Relationship Type="http://schemas.openxmlformats.org/officeDocument/2006/relationships/header" Target="header1.xml" Id="rId18" /><Relationship Type="http://schemas.microsoft.com/office/2019/05/relationships/documenttasks" Target="documenttasks/documenttasks1.xml" Id="rId26"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https://www.gavi.org/sites/default/files/support/TCA-guidelines.pdf"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www.gavi.org/news/document-library/gavi-programme-funding-guidelines"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fontTable" Target="fontTable.xml" Id="rId24" /><Relationship Type="http://schemas.openxmlformats.org/officeDocument/2006/relationships/customXml" Target="../customXml/item5.xml" Id="rId5" /><Relationship Type="http://schemas.openxmlformats.org/officeDocument/2006/relationships/chart" Target="charts/chart3.xml" Id="rId15" /><Relationship Type="http://schemas.openxmlformats.org/officeDocument/2006/relationships/footer" Target="footer3.xml" Id="rId23" /><Relationship Type="http://schemas.openxmlformats.org/officeDocument/2006/relationships/webSettings" Target="webSetting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chart" Target="charts/chart2.xml" Id="rId14" /><Relationship Type="http://schemas.openxmlformats.org/officeDocument/2006/relationships/header" Target="header3.xml" Id="rId22" /><Relationship Type="http://schemas.openxmlformats.org/officeDocument/2006/relationships/glossaryDocument" Target="glossary/document.xml" Id="R3f58dfba704a4e1b"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Sandro\Downloads\Graphs_Coverage%20MICS%20(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Sandro\Downloads\Graphs_Coverage%20MICS%20(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Sandro\Downloads\Graphs_Coverage%20MICS%20(1).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Wealth</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MD"/>
        </a:p>
      </c:txPr>
    </c:title>
    <c:autoTitleDeleted val="0"/>
    <c:plotArea>
      <c:layout/>
      <c:lineChart>
        <c:grouping val="stacked"/>
        <c:varyColors val="0"/>
        <c:ser>
          <c:idx val="0"/>
          <c:order val="0"/>
          <c:tx>
            <c:strRef>
              <c:f>Wealth!$B$1</c:f>
              <c:strCache>
                <c:ptCount val="1"/>
                <c:pt idx="0">
                  <c:v>Lowest</c:v>
                </c:pt>
              </c:strCache>
            </c:strRef>
          </c:tx>
          <c:spPr>
            <a:ln w="28575" cap="rnd">
              <a:solidFill>
                <a:schemeClr val="accent1">
                  <a:shade val="76000"/>
                </a:schemeClr>
              </a:solidFill>
              <a:round/>
            </a:ln>
            <a:effectLst/>
          </c:spPr>
          <c:marker>
            <c:symbol val="circle"/>
            <c:size val="5"/>
            <c:spPr>
              <a:solidFill>
                <a:schemeClr val="accent1">
                  <a:shade val="76000"/>
                </a:schemeClr>
              </a:solidFill>
              <a:ln w="9525">
                <a:solidFill>
                  <a:schemeClr val="accent1">
                    <a:shade val="76000"/>
                  </a:schemeClr>
                </a:solidFill>
              </a:ln>
              <a:effectLst/>
            </c:spPr>
          </c:marker>
          <c:dLbls>
            <c:spPr>
              <a:solidFill>
                <a:schemeClr val="lt1"/>
              </a:solidFill>
              <a:ln>
                <a:solidFill>
                  <a:schemeClr val="dk1">
                    <a:lumMod val="25000"/>
                    <a:lumOff val="75000"/>
                  </a:scheme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MD"/>
              </a:p>
            </c:txPr>
            <c:dLblPos val="b"/>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upArrowCallou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Wealth!$A$2:$A$13</c:f>
              <c:strCache>
                <c:ptCount val="12"/>
                <c:pt idx="0">
                  <c:v>BCG</c:v>
                </c:pt>
                <c:pt idx="1">
                  <c:v>HepB_BD</c:v>
                </c:pt>
                <c:pt idx="2">
                  <c:v>OPV1</c:v>
                </c:pt>
                <c:pt idx="3">
                  <c:v>OPV2</c:v>
                </c:pt>
                <c:pt idx="4">
                  <c:v>OPV3</c:v>
                </c:pt>
                <c:pt idx="5">
                  <c:v>DTP1</c:v>
                </c:pt>
                <c:pt idx="6">
                  <c:v>DTP2</c:v>
                </c:pt>
                <c:pt idx="7">
                  <c:v>DTP3</c:v>
                </c:pt>
                <c:pt idx="8">
                  <c:v>PCV1</c:v>
                </c:pt>
                <c:pt idx="9">
                  <c:v>PCV2</c:v>
                </c:pt>
                <c:pt idx="10">
                  <c:v>PCV3</c:v>
                </c:pt>
                <c:pt idx="11">
                  <c:v>MMR1</c:v>
                </c:pt>
              </c:strCache>
            </c:strRef>
          </c:cat>
          <c:val>
            <c:numRef>
              <c:f>Wealth!$B$2:$B$13</c:f>
              <c:numCache>
                <c:formatCode>0.0%</c:formatCode>
                <c:ptCount val="12"/>
                <c:pt idx="0">
                  <c:v>0.94499999999999995</c:v>
                </c:pt>
                <c:pt idx="1">
                  <c:v>0.94499999999999995</c:v>
                </c:pt>
                <c:pt idx="2">
                  <c:v>0.89900000000000002</c:v>
                </c:pt>
                <c:pt idx="3">
                  <c:v>0.88100000000000001</c:v>
                </c:pt>
                <c:pt idx="4">
                  <c:v>0.83799999999999997</c:v>
                </c:pt>
                <c:pt idx="5">
                  <c:v>0.89800000000000002</c:v>
                </c:pt>
                <c:pt idx="6">
                  <c:v>0.86699999999999999</c:v>
                </c:pt>
                <c:pt idx="7">
                  <c:v>0.875</c:v>
                </c:pt>
                <c:pt idx="8">
                  <c:v>0.86899999999999999</c:v>
                </c:pt>
                <c:pt idx="9">
                  <c:v>0.85699999999999998</c:v>
                </c:pt>
                <c:pt idx="10">
                  <c:v>0.83599999999999997</c:v>
                </c:pt>
                <c:pt idx="11">
                  <c:v>0.93899999999999995</c:v>
                </c:pt>
              </c:numCache>
            </c:numRef>
          </c:val>
          <c:smooth val="0"/>
          <c:extLst>
            <c:ext xmlns:c16="http://schemas.microsoft.com/office/drawing/2014/chart" uri="{C3380CC4-5D6E-409C-BE32-E72D297353CC}">
              <c16:uniqueId val="{00000000-15F9-48C4-BFBB-E160153C7060}"/>
            </c:ext>
          </c:extLst>
        </c:ser>
        <c:ser>
          <c:idx val="1"/>
          <c:order val="1"/>
          <c:tx>
            <c:strRef>
              <c:f>Wealth!$C$1</c:f>
              <c:strCache>
                <c:ptCount val="1"/>
                <c:pt idx="0">
                  <c:v>Highest</c:v>
                </c:pt>
              </c:strCache>
            </c:strRef>
          </c:tx>
          <c:spPr>
            <a:ln w="28575" cap="rnd">
              <a:solidFill>
                <a:schemeClr val="accent1">
                  <a:tint val="77000"/>
                </a:schemeClr>
              </a:solidFill>
              <a:round/>
            </a:ln>
            <a:effectLst/>
          </c:spPr>
          <c:marker>
            <c:symbol val="circle"/>
            <c:size val="5"/>
            <c:spPr>
              <a:solidFill>
                <a:schemeClr val="accent1">
                  <a:tint val="77000"/>
                </a:schemeClr>
              </a:solidFill>
              <a:ln w="9525">
                <a:solidFill>
                  <a:schemeClr val="accent1">
                    <a:tint val="77000"/>
                  </a:schemeClr>
                </a:solidFill>
              </a:ln>
              <a:effectLst/>
            </c:spPr>
          </c:marker>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MD"/>
              </a:p>
            </c:txPr>
            <c:dLblPos val="t"/>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Wealth!$A$2:$A$13</c:f>
              <c:strCache>
                <c:ptCount val="12"/>
                <c:pt idx="0">
                  <c:v>BCG</c:v>
                </c:pt>
                <c:pt idx="1">
                  <c:v>HepB_BD</c:v>
                </c:pt>
                <c:pt idx="2">
                  <c:v>OPV1</c:v>
                </c:pt>
                <c:pt idx="3">
                  <c:v>OPV2</c:v>
                </c:pt>
                <c:pt idx="4">
                  <c:v>OPV3</c:v>
                </c:pt>
                <c:pt idx="5">
                  <c:v>DTP1</c:v>
                </c:pt>
                <c:pt idx="6">
                  <c:v>DTP2</c:v>
                </c:pt>
                <c:pt idx="7">
                  <c:v>DTP3</c:v>
                </c:pt>
                <c:pt idx="8">
                  <c:v>PCV1</c:v>
                </c:pt>
                <c:pt idx="9">
                  <c:v>PCV2</c:v>
                </c:pt>
                <c:pt idx="10">
                  <c:v>PCV3</c:v>
                </c:pt>
                <c:pt idx="11">
                  <c:v>MMR1</c:v>
                </c:pt>
              </c:strCache>
            </c:strRef>
          </c:cat>
          <c:val>
            <c:numRef>
              <c:f>Wealth!$C$2:$C$13</c:f>
              <c:numCache>
                <c:formatCode>0.0%</c:formatCode>
                <c:ptCount val="12"/>
                <c:pt idx="0">
                  <c:v>0.94699999999999995</c:v>
                </c:pt>
                <c:pt idx="1">
                  <c:v>0.95799999999999996</c:v>
                </c:pt>
                <c:pt idx="2">
                  <c:v>0.80900000000000005</c:v>
                </c:pt>
                <c:pt idx="3" formatCode="0%">
                  <c:v>0.79</c:v>
                </c:pt>
                <c:pt idx="4">
                  <c:v>0.66600000000000004</c:v>
                </c:pt>
                <c:pt idx="5">
                  <c:v>0.81699999999999995</c:v>
                </c:pt>
                <c:pt idx="6">
                  <c:v>0.81100000000000005</c:v>
                </c:pt>
                <c:pt idx="7">
                  <c:v>0.76400000000000001</c:v>
                </c:pt>
                <c:pt idx="8">
                  <c:v>0.80800000000000005</c:v>
                </c:pt>
                <c:pt idx="9">
                  <c:v>0.77600000000000002</c:v>
                </c:pt>
                <c:pt idx="10">
                  <c:v>0.72799999999999998</c:v>
                </c:pt>
                <c:pt idx="11">
                  <c:v>0.84599999999999997</c:v>
                </c:pt>
              </c:numCache>
            </c:numRef>
          </c:val>
          <c:smooth val="0"/>
          <c:extLst>
            <c:ext xmlns:c16="http://schemas.microsoft.com/office/drawing/2014/chart" uri="{C3380CC4-5D6E-409C-BE32-E72D297353CC}">
              <c16:uniqueId val="{00000001-15F9-48C4-BFBB-E160153C7060}"/>
            </c:ext>
          </c:extLst>
        </c:ser>
        <c:dLbls>
          <c:showLegendKey val="0"/>
          <c:showVal val="0"/>
          <c:showCatName val="0"/>
          <c:showSerName val="0"/>
          <c:showPercent val="0"/>
          <c:showBubbleSize val="0"/>
        </c:dLbls>
        <c:marker val="1"/>
        <c:smooth val="0"/>
        <c:axId val="1679175423"/>
        <c:axId val="1989559071"/>
      </c:lineChart>
      <c:catAx>
        <c:axId val="16791754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MD"/>
          </a:p>
        </c:txPr>
        <c:crossAx val="1989559071"/>
        <c:crosses val="autoZero"/>
        <c:auto val="1"/>
        <c:lblAlgn val="ctr"/>
        <c:lblOffset val="100"/>
        <c:noMultiLvlLbl val="0"/>
      </c:catAx>
      <c:valAx>
        <c:axId val="1989559071"/>
        <c:scaling>
          <c:orientation val="minMax"/>
        </c:scaling>
        <c:delete val="1"/>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16791754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MD"/>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MD"/>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Education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MD"/>
        </a:p>
      </c:txPr>
    </c:title>
    <c:autoTitleDeleted val="0"/>
    <c:plotArea>
      <c:layout/>
      <c:lineChart>
        <c:grouping val="stacked"/>
        <c:varyColors val="0"/>
        <c:ser>
          <c:idx val="0"/>
          <c:order val="0"/>
          <c:tx>
            <c:strRef>
              <c:f>Wealth!$B$31</c:f>
              <c:strCache>
                <c:ptCount val="1"/>
                <c:pt idx="0">
                  <c:v>Lowest</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MD"/>
              </a:p>
            </c:txPr>
            <c:dLblPos val="b"/>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EllipseCallou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Wealth!$A$32:$A$43</c:f>
              <c:strCache>
                <c:ptCount val="12"/>
                <c:pt idx="0">
                  <c:v>BCG</c:v>
                </c:pt>
                <c:pt idx="1">
                  <c:v>HepB_BD</c:v>
                </c:pt>
                <c:pt idx="2">
                  <c:v>OPV1</c:v>
                </c:pt>
                <c:pt idx="3">
                  <c:v>OPV2</c:v>
                </c:pt>
                <c:pt idx="4">
                  <c:v>OPV3</c:v>
                </c:pt>
                <c:pt idx="5">
                  <c:v>DTP1</c:v>
                </c:pt>
                <c:pt idx="6">
                  <c:v>DTP2</c:v>
                </c:pt>
                <c:pt idx="7">
                  <c:v>DTP3</c:v>
                </c:pt>
                <c:pt idx="8">
                  <c:v>PCV1</c:v>
                </c:pt>
                <c:pt idx="9">
                  <c:v>PCV2</c:v>
                </c:pt>
                <c:pt idx="10">
                  <c:v>PCV3</c:v>
                </c:pt>
                <c:pt idx="11">
                  <c:v>MMR1</c:v>
                </c:pt>
              </c:strCache>
            </c:strRef>
          </c:cat>
          <c:val>
            <c:numRef>
              <c:f>Wealth!$B$32:$B$43</c:f>
              <c:numCache>
                <c:formatCode>0.0%</c:formatCode>
                <c:ptCount val="12"/>
                <c:pt idx="0">
                  <c:v>0.92400000000000004</c:v>
                </c:pt>
                <c:pt idx="1">
                  <c:v>0.93100000000000005</c:v>
                </c:pt>
                <c:pt idx="2">
                  <c:v>0.879</c:v>
                </c:pt>
                <c:pt idx="3">
                  <c:v>0.83499999999999996</c:v>
                </c:pt>
                <c:pt idx="4">
                  <c:v>0.81899999999999995</c:v>
                </c:pt>
                <c:pt idx="5">
                  <c:v>0.879</c:v>
                </c:pt>
                <c:pt idx="6">
                  <c:v>0.86099999999999999</c:v>
                </c:pt>
                <c:pt idx="7">
                  <c:v>0.86099999999999999</c:v>
                </c:pt>
                <c:pt idx="8">
                  <c:v>0.84399999999999997</c:v>
                </c:pt>
                <c:pt idx="9">
                  <c:v>0.85899999999999999</c:v>
                </c:pt>
                <c:pt idx="10">
                  <c:v>0.89200000000000002</c:v>
                </c:pt>
                <c:pt idx="11">
                  <c:v>0.96699999999999997</c:v>
                </c:pt>
              </c:numCache>
            </c:numRef>
          </c:val>
          <c:smooth val="0"/>
          <c:extLst>
            <c:ext xmlns:c16="http://schemas.microsoft.com/office/drawing/2014/chart" uri="{C3380CC4-5D6E-409C-BE32-E72D297353CC}">
              <c16:uniqueId val="{00000000-0A4F-4CA5-8B7B-ED370D386DE6}"/>
            </c:ext>
          </c:extLst>
        </c:ser>
        <c:ser>
          <c:idx val="1"/>
          <c:order val="1"/>
          <c:tx>
            <c:strRef>
              <c:f>Wealth!$C$31</c:f>
              <c:strCache>
                <c:ptCount val="1"/>
                <c:pt idx="0">
                  <c:v>Highest</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MD"/>
              </a:p>
            </c:txPr>
            <c:dLblPos val="t"/>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EllipseCallou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Wealth!$A$32:$A$43</c:f>
              <c:strCache>
                <c:ptCount val="12"/>
                <c:pt idx="0">
                  <c:v>BCG</c:v>
                </c:pt>
                <c:pt idx="1">
                  <c:v>HepB_BD</c:v>
                </c:pt>
                <c:pt idx="2">
                  <c:v>OPV1</c:v>
                </c:pt>
                <c:pt idx="3">
                  <c:v>OPV2</c:v>
                </c:pt>
                <c:pt idx="4">
                  <c:v>OPV3</c:v>
                </c:pt>
                <c:pt idx="5">
                  <c:v>DTP1</c:v>
                </c:pt>
                <c:pt idx="6">
                  <c:v>DTP2</c:v>
                </c:pt>
                <c:pt idx="7">
                  <c:v>DTP3</c:v>
                </c:pt>
                <c:pt idx="8">
                  <c:v>PCV1</c:v>
                </c:pt>
                <c:pt idx="9">
                  <c:v>PCV2</c:v>
                </c:pt>
                <c:pt idx="10">
                  <c:v>PCV3</c:v>
                </c:pt>
                <c:pt idx="11">
                  <c:v>MMR1</c:v>
                </c:pt>
              </c:strCache>
            </c:strRef>
          </c:cat>
          <c:val>
            <c:numRef>
              <c:f>Wealth!$C$32:$C$43</c:f>
              <c:numCache>
                <c:formatCode>0.0%</c:formatCode>
                <c:ptCount val="12"/>
                <c:pt idx="0">
                  <c:v>0.97099999999999997</c:v>
                </c:pt>
                <c:pt idx="1">
                  <c:v>0.98</c:v>
                </c:pt>
                <c:pt idx="2">
                  <c:v>0.93799999999999994</c:v>
                </c:pt>
                <c:pt idx="3" formatCode="0%">
                  <c:v>0.90600000000000003</c:v>
                </c:pt>
                <c:pt idx="4">
                  <c:v>0.81899999999999995</c:v>
                </c:pt>
                <c:pt idx="5">
                  <c:v>0.93799999999999994</c:v>
                </c:pt>
                <c:pt idx="6">
                  <c:v>0.91100000000000003</c:v>
                </c:pt>
                <c:pt idx="7">
                  <c:v>0.9</c:v>
                </c:pt>
                <c:pt idx="8">
                  <c:v>0.93200000000000005</c:v>
                </c:pt>
                <c:pt idx="9">
                  <c:v>0.91200000000000003</c:v>
                </c:pt>
                <c:pt idx="10">
                  <c:v>0.85399999999999998</c:v>
                </c:pt>
                <c:pt idx="11">
                  <c:v>0.94899999999999995</c:v>
                </c:pt>
              </c:numCache>
            </c:numRef>
          </c:val>
          <c:smooth val="0"/>
          <c:extLst>
            <c:ext xmlns:c16="http://schemas.microsoft.com/office/drawing/2014/chart" uri="{C3380CC4-5D6E-409C-BE32-E72D297353CC}">
              <c16:uniqueId val="{00000001-0A4F-4CA5-8B7B-ED370D386DE6}"/>
            </c:ext>
          </c:extLst>
        </c:ser>
        <c:dLbls>
          <c:showLegendKey val="0"/>
          <c:showVal val="0"/>
          <c:showCatName val="0"/>
          <c:showSerName val="0"/>
          <c:showPercent val="0"/>
          <c:showBubbleSize val="0"/>
        </c:dLbls>
        <c:marker val="1"/>
        <c:smooth val="0"/>
        <c:axId val="1778468879"/>
        <c:axId val="2111360463"/>
      </c:lineChart>
      <c:catAx>
        <c:axId val="17784688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MD"/>
          </a:p>
        </c:txPr>
        <c:crossAx val="2111360463"/>
        <c:crosses val="autoZero"/>
        <c:auto val="1"/>
        <c:lblAlgn val="ctr"/>
        <c:lblOffset val="100"/>
        <c:noMultiLvlLbl val="0"/>
      </c:catAx>
      <c:valAx>
        <c:axId val="2111360463"/>
        <c:scaling>
          <c:orientation val="minMax"/>
        </c:scaling>
        <c:delete val="1"/>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177846887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MD"/>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MD"/>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Gender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MD"/>
        </a:p>
      </c:txPr>
    </c:title>
    <c:autoTitleDeleted val="0"/>
    <c:plotArea>
      <c:layout/>
      <c:lineChart>
        <c:grouping val="stacked"/>
        <c:varyColors val="0"/>
        <c:ser>
          <c:idx val="0"/>
          <c:order val="0"/>
          <c:tx>
            <c:strRef>
              <c:f>Wealth!$B$49</c:f>
              <c:strCache>
                <c:ptCount val="1"/>
                <c:pt idx="0">
                  <c:v>Male</c:v>
                </c:pt>
              </c:strCache>
            </c:strRef>
          </c:tx>
          <c:spPr>
            <a:ln w="28575" cap="rnd">
              <a:solidFill>
                <a:schemeClr val="accent3">
                  <a:shade val="76000"/>
                </a:schemeClr>
              </a:solidFill>
              <a:round/>
            </a:ln>
            <a:effectLst/>
          </c:spPr>
          <c:marker>
            <c:symbol val="circle"/>
            <c:size val="5"/>
            <c:spPr>
              <a:solidFill>
                <a:schemeClr val="accent3">
                  <a:shade val="76000"/>
                </a:schemeClr>
              </a:solidFill>
              <a:ln w="9525">
                <a:solidFill>
                  <a:schemeClr val="accent3">
                    <a:shade val="76000"/>
                  </a:schemeClr>
                </a:solidFill>
              </a:ln>
              <a:effectLst/>
            </c:spPr>
          </c:marker>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MD"/>
              </a:p>
            </c:txPr>
            <c:dLblPos val="b"/>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borderCallout1">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Wealth!$A$50:$A$61</c:f>
              <c:strCache>
                <c:ptCount val="12"/>
                <c:pt idx="0">
                  <c:v>BCG</c:v>
                </c:pt>
                <c:pt idx="1">
                  <c:v>HepB_BD</c:v>
                </c:pt>
                <c:pt idx="2">
                  <c:v>OPV1</c:v>
                </c:pt>
                <c:pt idx="3">
                  <c:v>OPV2</c:v>
                </c:pt>
                <c:pt idx="4">
                  <c:v>OPV3</c:v>
                </c:pt>
                <c:pt idx="5">
                  <c:v>DTP1</c:v>
                </c:pt>
                <c:pt idx="6">
                  <c:v>DTP2</c:v>
                </c:pt>
                <c:pt idx="7">
                  <c:v>DTP3</c:v>
                </c:pt>
                <c:pt idx="8">
                  <c:v>PCV1</c:v>
                </c:pt>
                <c:pt idx="9">
                  <c:v>PCV2</c:v>
                </c:pt>
                <c:pt idx="10">
                  <c:v>PCV3</c:v>
                </c:pt>
                <c:pt idx="11">
                  <c:v>MMR1</c:v>
                </c:pt>
              </c:strCache>
            </c:strRef>
          </c:cat>
          <c:val>
            <c:numRef>
              <c:f>Wealth!$B$50:$B$61</c:f>
              <c:numCache>
                <c:formatCode>0.0%</c:formatCode>
                <c:ptCount val="12"/>
                <c:pt idx="0">
                  <c:v>0.95399999999999996</c:v>
                </c:pt>
                <c:pt idx="1">
                  <c:v>0.95699999999999996</c:v>
                </c:pt>
                <c:pt idx="2">
                  <c:v>0.88100000000000001</c:v>
                </c:pt>
                <c:pt idx="3">
                  <c:v>0.84599999999999997</c:v>
                </c:pt>
                <c:pt idx="4">
                  <c:v>0.78800000000000003</c:v>
                </c:pt>
                <c:pt idx="5">
                  <c:v>0.88400000000000001</c:v>
                </c:pt>
                <c:pt idx="6">
                  <c:v>0.86099999999999999</c:v>
                </c:pt>
                <c:pt idx="7">
                  <c:v>0.84099999999999997</c:v>
                </c:pt>
                <c:pt idx="8">
                  <c:v>0.85799999999999998</c:v>
                </c:pt>
                <c:pt idx="9">
                  <c:v>0.84399999999999997</c:v>
                </c:pt>
                <c:pt idx="10">
                  <c:v>0.84399999999999997</c:v>
                </c:pt>
                <c:pt idx="11">
                  <c:v>0.93200000000000005</c:v>
                </c:pt>
              </c:numCache>
            </c:numRef>
          </c:val>
          <c:smooth val="0"/>
          <c:extLst>
            <c:ext xmlns:c16="http://schemas.microsoft.com/office/drawing/2014/chart" uri="{C3380CC4-5D6E-409C-BE32-E72D297353CC}">
              <c16:uniqueId val="{00000000-662F-49BE-B01C-7D2E6E823B68}"/>
            </c:ext>
          </c:extLst>
        </c:ser>
        <c:ser>
          <c:idx val="1"/>
          <c:order val="1"/>
          <c:tx>
            <c:strRef>
              <c:f>Wealth!$C$49</c:f>
              <c:strCache>
                <c:ptCount val="1"/>
                <c:pt idx="0">
                  <c:v>Female</c:v>
                </c:pt>
              </c:strCache>
            </c:strRef>
          </c:tx>
          <c:spPr>
            <a:ln w="28575" cap="rnd">
              <a:solidFill>
                <a:schemeClr val="accent3">
                  <a:tint val="77000"/>
                </a:schemeClr>
              </a:solidFill>
              <a:round/>
            </a:ln>
            <a:effectLst/>
          </c:spPr>
          <c:marker>
            <c:symbol val="circle"/>
            <c:size val="5"/>
            <c:spPr>
              <a:solidFill>
                <a:schemeClr val="accent3">
                  <a:tint val="77000"/>
                </a:schemeClr>
              </a:solidFill>
              <a:ln w="9525">
                <a:solidFill>
                  <a:schemeClr val="accent3">
                    <a:tint val="77000"/>
                  </a:schemeClr>
                </a:solidFill>
              </a:ln>
              <a:effectLst/>
            </c:spPr>
          </c:marker>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MD"/>
              </a:p>
            </c:txPr>
            <c:dLblPos val="t"/>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borderCallout1">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Wealth!$A$50:$A$61</c:f>
              <c:strCache>
                <c:ptCount val="12"/>
                <c:pt idx="0">
                  <c:v>BCG</c:v>
                </c:pt>
                <c:pt idx="1">
                  <c:v>HepB_BD</c:v>
                </c:pt>
                <c:pt idx="2">
                  <c:v>OPV1</c:v>
                </c:pt>
                <c:pt idx="3">
                  <c:v>OPV2</c:v>
                </c:pt>
                <c:pt idx="4">
                  <c:v>OPV3</c:v>
                </c:pt>
                <c:pt idx="5">
                  <c:v>DTP1</c:v>
                </c:pt>
                <c:pt idx="6">
                  <c:v>DTP2</c:v>
                </c:pt>
                <c:pt idx="7">
                  <c:v>DTP3</c:v>
                </c:pt>
                <c:pt idx="8">
                  <c:v>PCV1</c:v>
                </c:pt>
                <c:pt idx="9">
                  <c:v>PCV2</c:v>
                </c:pt>
                <c:pt idx="10">
                  <c:v>PCV3</c:v>
                </c:pt>
                <c:pt idx="11">
                  <c:v>MMR1</c:v>
                </c:pt>
              </c:strCache>
            </c:strRef>
          </c:cat>
          <c:val>
            <c:numRef>
              <c:f>Wealth!$C$50:$C$61</c:f>
              <c:numCache>
                <c:formatCode>0.0%</c:formatCode>
                <c:ptCount val="12"/>
                <c:pt idx="0">
                  <c:v>0.98199999999999998</c:v>
                </c:pt>
                <c:pt idx="1">
                  <c:v>0.98399999999999999</c:v>
                </c:pt>
                <c:pt idx="2">
                  <c:v>0.93100000000000005</c:v>
                </c:pt>
                <c:pt idx="3">
                  <c:v>0.91100000000000003</c:v>
                </c:pt>
                <c:pt idx="4">
                  <c:v>0.80700000000000005</c:v>
                </c:pt>
                <c:pt idx="5">
                  <c:v>0.93200000000000005</c:v>
                </c:pt>
                <c:pt idx="6">
                  <c:v>0.90400000000000003</c:v>
                </c:pt>
                <c:pt idx="7">
                  <c:v>0.88900000000000001</c:v>
                </c:pt>
                <c:pt idx="8">
                  <c:v>0.91900000000000004</c:v>
                </c:pt>
                <c:pt idx="9">
                  <c:v>0.91</c:v>
                </c:pt>
                <c:pt idx="10">
                  <c:v>0.84099999999999997</c:v>
                </c:pt>
                <c:pt idx="11">
                  <c:v>0.93200000000000005</c:v>
                </c:pt>
              </c:numCache>
            </c:numRef>
          </c:val>
          <c:smooth val="0"/>
          <c:extLst>
            <c:ext xmlns:c16="http://schemas.microsoft.com/office/drawing/2014/chart" uri="{C3380CC4-5D6E-409C-BE32-E72D297353CC}">
              <c16:uniqueId val="{00000001-662F-49BE-B01C-7D2E6E823B68}"/>
            </c:ext>
          </c:extLst>
        </c:ser>
        <c:dLbls>
          <c:showLegendKey val="0"/>
          <c:showVal val="0"/>
          <c:showCatName val="0"/>
          <c:showSerName val="0"/>
          <c:showPercent val="0"/>
          <c:showBubbleSize val="0"/>
        </c:dLbls>
        <c:marker val="1"/>
        <c:smooth val="0"/>
        <c:axId val="2107214079"/>
        <c:axId val="2116191743"/>
      </c:lineChart>
      <c:catAx>
        <c:axId val="21072140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MD"/>
          </a:p>
        </c:txPr>
        <c:crossAx val="2116191743"/>
        <c:crosses val="autoZero"/>
        <c:auto val="1"/>
        <c:lblAlgn val="ctr"/>
        <c:lblOffset val="100"/>
        <c:noMultiLvlLbl val="0"/>
      </c:catAx>
      <c:valAx>
        <c:axId val="2116191743"/>
        <c:scaling>
          <c:orientation val="minMax"/>
        </c:scaling>
        <c:delete val="1"/>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210721407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MD"/>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MD"/>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ocumenttasks/documenttasks1.xml><?xml version="1.0" encoding="utf-8"?>
<t:Tasks xmlns:t="http://schemas.microsoft.com/office/tasks/2019/documenttasks" xmlns:oel="http://schemas.microsoft.com/office/2019/extlst">
  <t:Task id="{4A43C8DD-7982-43B9-B1AB-BA3DB70F9F30}">
    <t:Anchor>
      <t:Comment id="1598432536"/>
    </t:Anchor>
    <t:History>
      <t:Event id="{150CC8DA-67DB-4E73-AB3C-B8ABB2F2B172}" time="2021-07-28T10:36:11.111Z">
        <t:Attribution userId="S::ssingh@gavi.org::3c2f2231-3942-4bb8-9d90-8435c098fb31" userProvider="AD" userName="Smita Singh"/>
        <t:Anchor>
          <t:Comment id="98129769"/>
        </t:Anchor>
        <t:Create/>
      </t:Event>
      <t:Event id="{153BB033-02ED-47D3-BFE0-04FA1F5241FF}" time="2021-07-28T10:36:11.111Z">
        <t:Attribution userId="S::ssingh@gavi.org::3c2f2231-3942-4bb8-9d90-8435c098fb31" userProvider="AD" userName="Smita Singh"/>
        <t:Anchor>
          <t:Comment id="98129769"/>
        </t:Anchor>
        <t:Assign userId="S::rsoundardjee@gavi.org::c337124f-86db-4ef7-b062-924dc22f0008" userProvider="AD" userName="Riswana Soundardjee"/>
      </t:Event>
      <t:Event id="{BC8A21B9-3DBD-46D2-8062-54407F6CE020}" time="2021-07-28T10:36:11.111Z">
        <t:Attribution userId="S::ssingh@gavi.org::3c2f2231-3942-4bb8-9d90-8435c098fb31" userProvider="AD" userName="Smita Singh"/>
        <t:Anchor>
          <t:Comment id="98129769"/>
        </t:Anchor>
        <t:SetTitle title="@Riswana Soundardjee I've expanded this - does it looks okay now?"/>
      </t:Event>
    </t:History>
  </t:Task>
</t:Task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733b56a7-593e-4ec1-880d-0ebbe025f4b7}"/>
      </w:docPartPr>
      <w:docPartBody>
        <w:p w14:paraId="790149A1">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Gavi Document" ma:contentTypeID="0x0101009954897F3EE3CC4ABB9FB9EDAC9CDEBC0061E92A44B5DD2545AEF000129C25E859" ma:contentTypeVersion="210" ma:contentTypeDescription="Gavi Document content type " ma:contentTypeScope="" ma:versionID="018448dccf2be7cd5e980f911665f437">
  <xsd:schema xmlns:xsd="http://www.w3.org/2001/XMLSchema" xmlns:xs="http://www.w3.org/2001/XMLSchema" xmlns:p="http://schemas.microsoft.com/office/2006/metadata/properties" xmlns:ns2="d0706217-df7c-4bf4-936d-b09aa3b837af" xmlns:ns3="55894003-98dc-4f3e-8669-85b90bdbcc8c" xmlns:ns4="5c2490db-6e42-4989-a0fb-d6ff54a6a7de" targetNamespace="http://schemas.microsoft.com/office/2006/metadata/properties" ma:root="true" ma:fieldsID="cbed3299a347cf75869588c6c9c045d2" ns2:_="" ns3:_="" ns4:_="">
    <xsd:import namespace="d0706217-df7c-4bf4-936d-b09aa3b837af"/>
    <xsd:import namespace="55894003-98dc-4f3e-8669-85b90bdbcc8c"/>
    <xsd:import namespace="5c2490db-6e42-4989-a0fb-d6ff54a6a7de"/>
    <xsd:element name="properties">
      <xsd:complexType>
        <xsd:sequence>
          <xsd:element name="documentManagement">
            <xsd:complexType>
              <xsd:all>
                <xsd:element ref="ns2:TaxCatchAll" minOccurs="0"/>
                <xsd:element ref="ns3:_dlc_DocId" minOccurs="0"/>
                <xsd:element ref="ns3:_dlc_DocIdUrl" minOccurs="0"/>
                <xsd:element ref="ns3:_dlc_DocIdPersistId" minOccurs="0"/>
                <xsd:element ref="ns2:TaxCatchAllLabel"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TaxCatchAll" ma:index="5" nillable="true" ma:displayName="Taxonomy Catch All Column" ma:description="" ma:hidden="true" ma:list="{c405dbff-886d-494b-bfcb-83b334e9f606}" ma:internalName="TaxCatchAll" ma:showField="CatchAllData" ma:web="55894003-98dc-4f3e-8669-85b90bdbcc8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c405dbff-886d-494b-bfcb-83b334e9f606}" ma:internalName="TaxCatchAllLabel" ma:readOnly="true" ma:showField="CatchAllDataLabel" ma:web="55894003-98dc-4f3e-8669-85b90bdbcc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894003-98dc-4f3e-8669-85b90bdbcc8c"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dexed="true"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2490db-6e42-4989-a0fb-d6ff54a6a7de" elementFormDefault="qualified">
    <xsd:import namespace="http://schemas.microsoft.com/office/2006/documentManagement/types"/>
    <xsd:import namespace="http://schemas.microsoft.com/office/infopath/2007/PartnerControls"/>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cb0222-e980-4273-ad97-85dba3159c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0706217-df7c-4bf4-936d-b09aa3b837af" xsi:nil="true"/>
    <_dlc_DocId xmlns="55894003-98dc-4f3e-8669-85b90bdbcc8c">GAVI-438364776-957321</_dlc_DocId>
    <_dlc_DocIdUrl xmlns="55894003-98dc-4f3e-8669-85b90bdbcc8c">
      <Url>https://gavinet.sharepoint.com/teams/PAP/srp/_layouts/15/DocIdRedir.aspx?ID=GAVI-438364776-957321</Url>
      <Description>GAVI-438364776-957321</Description>
    </_dlc_DocIdUrl>
    <lcf76f155ced4ddcb4097134ff3c332f xmlns="5c2490db-6e42-4989-a0fb-d6ff54a6a7d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93cb0222-e980-4273-ad97-85dba3159c09" ContentTypeId="0x0101009954897F3EE3CC4ABB9FB9EDAC9CDEBC"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4F728E-98BA-48D5-8C0D-AFF4B98B0BF5}">
  <ds:schemaRefs>
    <ds:schemaRef ds:uri="http://schemas.microsoft.com/sharepoint/events"/>
  </ds:schemaRefs>
</ds:datastoreItem>
</file>

<file path=customXml/itemProps2.xml><?xml version="1.0" encoding="utf-8"?>
<ds:datastoreItem xmlns:ds="http://schemas.openxmlformats.org/officeDocument/2006/customXml" ds:itemID="{5D45A379-0D6D-4968-898E-8A257F83739E}"/>
</file>

<file path=customXml/itemProps3.xml><?xml version="1.0" encoding="utf-8"?>
<ds:datastoreItem xmlns:ds="http://schemas.openxmlformats.org/officeDocument/2006/customXml" ds:itemID="{443ABCCA-2525-4A32-B18C-E44E28EFC753}">
  <ds:schemaRefs>
    <ds:schemaRef ds:uri="http://schemas.microsoft.com/office/2006/metadata/properties"/>
    <ds:schemaRef ds:uri="http://schemas.microsoft.com/office/infopath/2007/PartnerControls"/>
    <ds:schemaRef ds:uri="d0706217-df7c-4bf4-936d-b09aa3b837af"/>
    <ds:schemaRef ds:uri="55894003-98dc-4f3e-8669-85b90bdbcc8c"/>
  </ds:schemaRefs>
</ds:datastoreItem>
</file>

<file path=customXml/itemProps4.xml><?xml version="1.0" encoding="utf-8"?>
<ds:datastoreItem xmlns:ds="http://schemas.openxmlformats.org/officeDocument/2006/customXml" ds:itemID="{59FC98E1-93EC-4B46-81E1-EEE82A0CBC43}">
  <ds:schemaRefs>
    <ds:schemaRef ds:uri="http://schemas.openxmlformats.org/officeDocument/2006/bibliography"/>
  </ds:schemaRefs>
</ds:datastoreItem>
</file>

<file path=customXml/itemProps5.xml><?xml version="1.0" encoding="utf-8"?>
<ds:datastoreItem xmlns:ds="http://schemas.openxmlformats.org/officeDocument/2006/customXml" ds:itemID="{7128A578-D6CE-4B46-9B14-9ECAFD982273}">
  <ds:schemaRefs>
    <ds:schemaRef ds:uri="Microsoft.SharePoint.Taxonomy.ContentTypeSync"/>
  </ds:schemaRefs>
</ds:datastoreItem>
</file>

<file path=customXml/itemProps6.xml><?xml version="1.0" encoding="utf-8"?>
<ds:datastoreItem xmlns:ds="http://schemas.openxmlformats.org/officeDocument/2006/customXml" ds:itemID="{B510E385-F15C-49C0-BF1D-0F2315539B2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seeee</dc:title>
  <dc:subject/>
  <dc:creator>Stephanie Phipps (Consultant)</dc:creator>
  <cp:keywords/>
  <dc:description/>
  <cp:lastModifiedBy>Timur Cherikov (Consultant)</cp:lastModifiedBy>
  <cp:revision>5</cp:revision>
  <dcterms:created xsi:type="dcterms:W3CDTF">2022-05-24T15:48:00Z</dcterms:created>
  <dcterms:modified xsi:type="dcterms:W3CDTF">2022-06-01T15:34:26Z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0x0101009954897F3EE3CC4ABB9FB9EDAC9CDEBC0061E92A44B5DD2545AEF000129C25E859</vt:lpwstr>
  </property>
  <property fmtid="{D5CDD505-2E9C-101B-9397-08002B2CF9AE}" pid="3" name="SharedWithUsers">
    <vt:lpwstr>566;#Ranjana Kumar;#12158;#Katja Schemionek;#3520;#Alex de Jonquieres;#13088;#Daria Piccand;#17886;#Susan Mackay;#867;#Maya Getchell (Consultant);#24960;#Ibrahim Mohammed;#12006;#Jean-Charles Dubourg;#25188;#Eric Sarriot;#13264;#Sara Menzies;#113;#Riswana</vt:lpwstr>
  </property>
  <property fmtid="{D5CDD505-2E9C-101B-9397-08002B2CF9AE}" pid="4" name="MSIP_Label_0a957285-7815-485a-9751-5b273b784ad5_Enabled">
    <vt:lpwstr>true</vt:lpwstr>
  </property>
  <property fmtid="{D5CDD505-2E9C-101B-9397-08002B2CF9AE}" pid="5" name="MSIP_Label_0a957285-7815-485a-9751-5b273b784ad5_SetDate">
    <vt:lpwstr>2021-06-28T14:41:48Z</vt:lpwstr>
  </property>
  <property fmtid="{D5CDD505-2E9C-101B-9397-08002B2CF9AE}" pid="6" name="MSIP_Label_0a957285-7815-485a-9751-5b273b784ad5_Method">
    <vt:lpwstr>Privileged</vt:lpwstr>
  </property>
  <property fmtid="{D5CDD505-2E9C-101B-9397-08002B2CF9AE}" pid="7" name="MSIP_Label_0a957285-7815-485a-9751-5b273b784ad5_Name">
    <vt:lpwstr>0a957285-7815-485a-9751-5b273b784ad5</vt:lpwstr>
  </property>
  <property fmtid="{D5CDD505-2E9C-101B-9397-08002B2CF9AE}" pid="8" name="MSIP_Label_0a957285-7815-485a-9751-5b273b784ad5_SiteId">
    <vt:lpwstr>1de6d9f3-0daf-4df6-b9d6-5959f16f6118</vt:lpwstr>
  </property>
  <property fmtid="{D5CDD505-2E9C-101B-9397-08002B2CF9AE}" pid="9" name="MSIP_Label_0a957285-7815-485a-9751-5b273b784ad5_ActionId">
    <vt:lpwstr>b3f6c006-4701-4f2b-898d-0000134ac9f8</vt:lpwstr>
  </property>
  <property fmtid="{D5CDD505-2E9C-101B-9397-08002B2CF9AE}" pid="10" name="MSIP_Label_0a957285-7815-485a-9751-5b273b784ad5_ContentBits">
    <vt:lpwstr>0</vt:lpwstr>
  </property>
  <property fmtid="{D5CDD505-2E9C-101B-9397-08002B2CF9AE}" pid="11" name="_dlc_DocIdItemGuid">
    <vt:lpwstr>cb9b1338-a7f7-4e43-bf9e-32b6c4df7cff</vt:lpwstr>
  </property>
  <property fmtid="{D5CDD505-2E9C-101B-9397-08002B2CF9AE}" pid="12" name="Lang">
    <vt:lpwstr/>
  </property>
  <property fmtid="{D5CDD505-2E9C-101B-9397-08002B2CF9AE}" pid="13" name="TaxKeyword">
    <vt:lpwstr/>
  </property>
  <property fmtid="{D5CDD505-2E9C-101B-9397-08002B2CF9AE}" pid="14" name="Risk">
    <vt:lpwstr/>
  </property>
  <property fmtid="{D5CDD505-2E9C-101B-9397-08002B2CF9AE}" pid="15" name="Health">
    <vt:lpwstr/>
  </property>
  <property fmtid="{D5CDD505-2E9C-101B-9397-08002B2CF9AE}" pid="16" name="Vaccine">
    <vt:lpwstr/>
  </property>
  <property fmtid="{D5CDD505-2E9C-101B-9397-08002B2CF9AE}" pid="17" name="Governance">
    <vt:lpwstr/>
  </property>
  <property fmtid="{D5CDD505-2E9C-101B-9397-08002B2CF9AE}" pid="18" name="Country">
    <vt:lpwstr/>
  </property>
  <property fmtid="{D5CDD505-2E9C-101B-9397-08002B2CF9AE}" pid="19" name="International Development">
    <vt:lpwstr/>
  </property>
  <property fmtid="{D5CDD505-2E9C-101B-9397-08002B2CF9AE}" pid="20" name="Market Shaping">
    <vt:lpwstr/>
  </property>
  <property fmtid="{D5CDD505-2E9C-101B-9397-08002B2CF9AE}" pid="21" name="Programme and project management">
    <vt:lpwstr/>
  </property>
  <property fmtid="{D5CDD505-2E9C-101B-9397-08002B2CF9AE}" pid="22" name="Strategy and Policy">
    <vt:lpwstr/>
  </property>
  <property fmtid="{D5CDD505-2E9C-101B-9397-08002B2CF9AE}" pid="23" name="Stakeholder">
    <vt:lpwstr/>
  </property>
  <property fmtid="{D5CDD505-2E9C-101B-9397-08002B2CF9AE}" pid="24" name="Document Type">
    <vt:lpwstr/>
  </property>
  <property fmtid="{D5CDD505-2E9C-101B-9397-08002B2CF9AE}" pid="25" name="Finance">
    <vt:lpwstr/>
  </property>
  <property fmtid="{D5CDD505-2E9C-101B-9397-08002B2CF9AE}" pid="26" name="Country Type">
    <vt:lpwstr/>
  </property>
  <property fmtid="{D5CDD505-2E9C-101B-9397-08002B2CF9AE}" pid="27" name="Health System Strengthening">
    <vt:lpwstr/>
  </property>
  <property fmtid="{D5CDD505-2E9C-101B-9397-08002B2CF9AE}" pid="28" name="Location1">
    <vt:lpwstr/>
  </property>
  <property fmtid="{D5CDD505-2E9C-101B-9397-08002B2CF9AE}" pid="29" name="IT Systems">
    <vt:lpwstr/>
  </property>
  <property fmtid="{D5CDD505-2E9C-101B-9397-08002B2CF9AE}" pid="30" name="Depto">
    <vt:lpwstr/>
  </property>
  <property fmtid="{D5CDD505-2E9C-101B-9397-08002B2CF9AE}" pid="31" name="MediaServiceImageTags">
    <vt:lpwstr/>
  </property>
  <property fmtid="{D5CDD505-2E9C-101B-9397-08002B2CF9AE}" pid="32" name="kfa83adfad8641678ddaedda80d7e126">
    <vt:lpwstr/>
  </property>
  <property fmtid="{D5CDD505-2E9C-101B-9397-08002B2CF9AE}" pid="33" name="Test">
    <vt:lpwstr/>
  </property>
</Properties>
</file>