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documenttasks/documenttasks1.xml" ContentType="application/vnd.ms-office.documenttasks+xml"/>
  <Override PartName="/word/commentsIds.xml" ContentType="application/vnd.openxmlformats-officedocument.wordprocessingml.commentsIds+xml"/>
  <Override PartName="/word/glossary/document.xml" ContentType="application/vnd.openxmlformats-officedocument.wordprocessingml.document.glossary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F74EB" w:rsidR="00B177EC" w:rsidP="5AD644C6" w:rsidRDefault="5AD644C6" w14:paraId="15DDCE4E" w14:textId="6B17DA41">
      <w:pPr>
        <w:spacing w:line="300" w:lineRule="exact"/>
        <w:jc w:val="center"/>
        <w:rPr>
          <w:b/>
          <w:bCs/>
          <w:sz w:val="32"/>
          <w:szCs w:val="32"/>
          <w:lang w:val="en-GB"/>
        </w:rPr>
      </w:pPr>
      <w:r w:rsidRPr="00AF74EB">
        <w:rPr>
          <w:b/>
          <w:bCs/>
          <w:sz w:val="32"/>
          <w:szCs w:val="32"/>
          <w:lang w:val="en-GB"/>
        </w:rPr>
        <w:t>Rwanda</w:t>
      </w:r>
    </w:p>
    <w:p w:rsidRPr="00AF74EB" w:rsidR="00B177EC" w:rsidP="00FC4A11" w:rsidRDefault="00B177EC" w14:paraId="2F1C3C11" w14:textId="77777777">
      <w:pPr>
        <w:spacing w:line="300" w:lineRule="exact"/>
        <w:rPr>
          <w:b/>
          <w:sz w:val="36"/>
          <w:szCs w:val="36"/>
          <w:lang w:val="en-GB"/>
        </w:rPr>
      </w:pPr>
    </w:p>
    <w:p w:rsidRPr="00AF74EB" w:rsidR="00EA7614" w:rsidP="002C42E8" w:rsidRDefault="000301CD" w14:paraId="104F20A4" w14:textId="46A3E482">
      <w:pPr>
        <w:spacing w:line="300" w:lineRule="exact"/>
        <w:jc w:val="center"/>
        <w:rPr>
          <w:b/>
          <w:sz w:val="32"/>
          <w:szCs w:val="32"/>
          <w:lang w:val="en-GB"/>
        </w:rPr>
      </w:pPr>
      <w:r w:rsidRPr="00AF74EB">
        <w:rPr>
          <w:b/>
          <w:sz w:val="32"/>
          <w:szCs w:val="32"/>
          <w:lang w:val="en-GB"/>
        </w:rPr>
        <w:t>PEF Targeted Country Assistance (TCA) Narrative</w:t>
      </w:r>
    </w:p>
    <w:p w:rsidRPr="00AF74EB" w:rsidR="00EA7614" w:rsidP="002C42E8" w:rsidRDefault="000301CD" w14:paraId="299FEA98" w14:textId="14379F3C">
      <w:pPr>
        <w:spacing w:line="300" w:lineRule="exact"/>
        <w:jc w:val="center"/>
        <w:rPr>
          <w:bCs/>
          <w:sz w:val="32"/>
          <w:szCs w:val="32"/>
          <w:lang w:val="en-GB"/>
        </w:rPr>
      </w:pPr>
      <w:r w:rsidRPr="00AF74EB">
        <w:rPr>
          <w:b/>
          <w:sz w:val="32"/>
          <w:szCs w:val="32"/>
          <w:lang w:val="en-GB"/>
        </w:rPr>
        <w:t>for 2022-</w:t>
      </w:r>
      <w:r w:rsidRPr="00AF74EB">
        <w:rPr>
          <w:b/>
          <w:bCs/>
          <w:sz w:val="32"/>
          <w:szCs w:val="32"/>
          <w:lang w:val="en-GB"/>
        </w:rPr>
        <w:t>2025 Multi-Year Planning</w:t>
      </w:r>
    </w:p>
    <w:p w:rsidRPr="00AF74EB" w:rsidR="000301CD" w:rsidP="00FC4A11" w:rsidRDefault="000301CD" w14:paraId="505C9912" w14:textId="77777777">
      <w:pPr>
        <w:spacing w:line="300" w:lineRule="exact"/>
        <w:rPr>
          <w:bCs/>
          <w:lang w:val="en-GB"/>
        </w:rPr>
      </w:pPr>
    </w:p>
    <w:p w:rsidRPr="00AF74EB" w:rsidR="000D0267" w:rsidP="00FC4A11" w:rsidRDefault="008A3D4B" w14:paraId="0E23D244" w14:textId="2FCEC8A1">
      <w:pPr>
        <w:spacing w:line="300" w:lineRule="exact"/>
        <w:rPr>
          <w:bCs/>
        </w:rPr>
      </w:pPr>
      <w:r>
        <w:rPr>
          <w:bCs/>
          <w:lang w:val="en-GB"/>
        </w:rPr>
        <w:t xml:space="preserve">This </w:t>
      </w:r>
      <w:r w:rsidRPr="00AE6766" w:rsidR="006B3FB9">
        <w:rPr>
          <w:bCs/>
          <w:lang w:val="en-GB"/>
        </w:rPr>
        <w:t>PEF Targeted Country Assistance (TCA)</w:t>
      </w:r>
      <w:r w:rsidR="006B3FB9">
        <w:rPr>
          <w:b/>
          <w:sz w:val="32"/>
          <w:szCs w:val="32"/>
          <w:lang w:val="en-GB"/>
        </w:rPr>
        <w:t xml:space="preserve"> </w:t>
      </w:r>
      <w:r w:rsidRPr="00AF74EB" w:rsidR="00322FAC">
        <w:rPr>
          <w:bCs/>
          <w:lang w:val="en-GB"/>
        </w:rPr>
        <w:t>narrative contextualise</w:t>
      </w:r>
      <w:r w:rsidRPr="00AF74EB" w:rsidR="008447E6">
        <w:rPr>
          <w:bCs/>
          <w:lang w:val="en-GB"/>
        </w:rPr>
        <w:t>s</w:t>
      </w:r>
      <w:r w:rsidRPr="00AF74EB" w:rsidR="00322FAC">
        <w:rPr>
          <w:bCs/>
          <w:lang w:val="en-GB"/>
        </w:rPr>
        <w:t xml:space="preserve"> </w:t>
      </w:r>
      <w:r w:rsidR="006B3FB9">
        <w:rPr>
          <w:bCs/>
          <w:lang w:val="en-GB"/>
        </w:rPr>
        <w:t>Rwanda</w:t>
      </w:r>
      <w:r w:rsidRPr="00AF74EB" w:rsidR="006B3FB9">
        <w:rPr>
          <w:bCs/>
          <w:lang w:val="en-GB"/>
        </w:rPr>
        <w:t xml:space="preserve"> </w:t>
      </w:r>
      <w:r w:rsidRPr="00AF74EB" w:rsidR="00E14236">
        <w:rPr>
          <w:bCs/>
          <w:lang w:val="en-GB"/>
        </w:rPr>
        <w:t>TCA plan</w:t>
      </w:r>
      <w:r w:rsidRPr="00AF74EB" w:rsidR="00EF52EE">
        <w:rPr>
          <w:bCs/>
          <w:lang w:val="en-GB"/>
        </w:rPr>
        <w:t xml:space="preserve"> for</w:t>
      </w:r>
      <w:r w:rsidRPr="00AE6766" w:rsidR="006B3FB9">
        <w:rPr>
          <w:bCs/>
          <w:lang w:val="en-GB"/>
        </w:rPr>
        <w:t xml:space="preserve"> for 2022-2025</w:t>
      </w:r>
      <w:r w:rsidR="00E8233D">
        <w:rPr>
          <w:b/>
          <w:bCs/>
          <w:sz w:val="32"/>
          <w:szCs w:val="32"/>
          <w:lang w:val="en-GB"/>
        </w:rPr>
        <w:t xml:space="preserve"> </w:t>
      </w:r>
      <w:r w:rsidRPr="00AF74EB" w:rsidR="00322FAC">
        <w:rPr>
          <w:bCs/>
          <w:lang w:val="en-GB"/>
        </w:rPr>
        <w:t xml:space="preserve">and how the support </w:t>
      </w:r>
      <w:r w:rsidR="006B3FB9">
        <w:rPr>
          <w:bCs/>
          <w:lang w:val="en-GB"/>
        </w:rPr>
        <w:t>we</w:t>
      </w:r>
      <w:r w:rsidRPr="00AF74EB" w:rsidR="00322FAC">
        <w:rPr>
          <w:bCs/>
          <w:lang w:val="en-GB"/>
        </w:rPr>
        <w:t xml:space="preserve"> are requesting from Gavi will help </w:t>
      </w:r>
      <w:r w:rsidR="006B3FB9">
        <w:rPr>
          <w:bCs/>
          <w:lang w:val="en-GB"/>
        </w:rPr>
        <w:t>the country to</w:t>
      </w:r>
      <w:r w:rsidRPr="00AF74EB" w:rsidR="006B3FB9">
        <w:rPr>
          <w:bCs/>
          <w:lang w:val="en-GB"/>
        </w:rPr>
        <w:t xml:space="preserve"> </w:t>
      </w:r>
      <w:r w:rsidRPr="00AF74EB" w:rsidR="008E6274">
        <w:rPr>
          <w:bCs/>
          <w:lang w:val="en-GB"/>
        </w:rPr>
        <w:t>reach</w:t>
      </w:r>
      <w:r w:rsidR="00E8233D">
        <w:rPr>
          <w:bCs/>
          <w:lang w:val="en-GB"/>
        </w:rPr>
        <w:t xml:space="preserve"> </w:t>
      </w:r>
      <w:r w:rsidR="006B3FB9">
        <w:rPr>
          <w:bCs/>
          <w:lang w:val="en-GB"/>
        </w:rPr>
        <w:t xml:space="preserve">our </w:t>
      </w:r>
      <w:r w:rsidRPr="00AF74EB" w:rsidR="008E6274">
        <w:rPr>
          <w:bCs/>
          <w:lang w:val="en-GB"/>
        </w:rPr>
        <w:t>immuni</w:t>
      </w:r>
      <w:r w:rsidRPr="00AF74EB" w:rsidR="00FF2C35">
        <w:rPr>
          <w:bCs/>
          <w:lang w:val="en-GB"/>
        </w:rPr>
        <w:t>s</w:t>
      </w:r>
      <w:r w:rsidRPr="00AF74EB" w:rsidR="008E6274">
        <w:rPr>
          <w:bCs/>
          <w:lang w:val="en-GB"/>
        </w:rPr>
        <w:t>ation goals.</w:t>
      </w:r>
      <w:r w:rsidR="00E8233D">
        <w:rPr>
          <w:bCs/>
          <w:lang w:val="en-GB"/>
        </w:rPr>
        <w:t xml:space="preserve"> </w:t>
      </w:r>
    </w:p>
    <w:p w:rsidRPr="00AF74EB" w:rsidR="00056DDF" w:rsidP="00FC4A11" w:rsidRDefault="00056DDF" w14:paraId="6F6CC660" w14:textId="77777777">
      <w:pPr>
        <w:spacing w:line="300" w:lineRule="exact"/>
        <w:rPr>
          <w:bCs/>
        </w:rPr>
      </w:pPr>
    </w:p>
    <w:p w:rsidRPr="00AF74EB" w:rsidR="001C1D82" w:rsidP="00056DDF" w:rsidRDefault="00056DDF" w14:paraId="1AB11C18" w14:textId="238BD1D1">
      <w:pPr>
        <w:spacing w:line="300" w:lineRule="exact"/>
        <w:ind w:left="426"/>
        <w:rPr>
          <w:i/>
          <w:lang w:val="en-GB"/>
        </w:rPr>
      </w:pPr>
      <w:r w:rsidRPr="00AF74EB">
        <w:rPr>
          <w:i/>
          <w:lang w:val="en-GB"/>
        </w:rPr>
        <w:t>(Populated by Gavi)</w:t>
      </w:r>
    </w:p>
    <w:tbl>
      <w:tblPr>
        <w:tblStyle w:val="TableGrid"/>
        <w:tblW w:w="906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185"/>
        <w:gridCol w:w="787"/>
        <w:gridCol w:w="4961"/>
        <w:gridCol w:w="1134"/>
      </w:tblGrid>
      <w:tr w:rsidRPr="00AF74EB" w:rsidR="00AF74EB" w:rsidTr="75B4E7F9" w14:paraId="70C3917F" w14:textId="6D7D2D4E">
        <w:tc>
          <w:tcPr>
            <w:tcW w:w="2185" w:type="dxa"/>
            <w:shd w:val="clear" w:color="auto" w:fill="DEEAF6" w:themeFill="accent5" w:themeFillTint="33"/>
          </w:tcPr>
          <w:p w:rsidRPr="00AF74EB" w:rsidR="00FB048D" w:rsidP="00FC4A11" w:rsidRDefault="00FB048D" w14:paraId="7BD2C001" w14:textId="20F00943">
            <w:pPr>
              <w:spacing w:line="300" w:lineRule="exact"/>
              <w:rPr>
                <w:b/>
                <w:lang w:val="en-GB"/>
              </w:rPr>
            </w:pPr>
            <w:r w:rsidRPr="00AF74EB">
              <w:rPr>
                <w:b/>
                <w:lang w:val="en-GB"/>
              </w:rPr>
              <w:t>Total Envelope</w:t>
            </w:r>
          </w:p>
        </w:tc>
        <w:tc>
          <w:tcPr>
            <w:tcW w:w="5748" w:type="dxa"/>
            <w:gridSpan w:val="2"/>
            <w:shd w:val="clear" w:color="auto" w:fill="DEEAF6" w:themeFill="accent5" w:themeFillTint="33"/>
          </w:tcPr>
          <w:p w:rsidRPr="00AF74EB" w:rsidR="00FB048D" w:rsidP="00FC4A11" w:rsidRDefault="00FB048D" w14:paraId="5F1CD927" w14:textId="6426DCE3">
            <w:pPr>
              <w:spacing w:line="300" w:lineRule="exact"/>
              <w:rPr>
                <w:b/>
                <w:lang w:val="en-GB"/>
              </w:rPr>
            </w:pPr>
            <w:r w:rsidRPr="00AF74EB">
              <w:rPr>
                <w:b/>
                <w:lang w:val="en-GB"/>
              </w:rPr>
              <w:t>Indicative allocation per 2022-2025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:rsidRPr="00AF74EB" w:rsidR="00FB048D" w:rsidP="00FC4A11" w:rsidRDefault="00FB048D" w14:paraId="7640021E" w14:textId="0969877A">
            <w:pPr>
              <w:spacing w:line="300" w:lineRule="exact"/>
              <w:rPr>
                <w:b/>
                <w:lang w:val="en-GB"/>
              </w:rPr>
            </w:pPr>
            <w:r w:rsidRPr="00AF74EB">
              <w:rPr>
                <w:b/>
                <w:lang w:val="en-GB"/>
              </w:rPr>
              <w:t>%</w:t>
            </w:r>
          </w:p>
        </w:tc>
      </w:tr>
      <w:tr w:rsidRPr="00AF74EB" w:rsidR="00AF74EB" w:rsidTr="75B4E7F9" w14:paraId="150C4E2A" w14:textId="117ACA42">
        <w:tc>
          <w:tcPr>
            <w:tcW w:w="2185" w:type="dxa"/>
            <w:vMerge w:val="restart"/>
            <w:shd w:val="clear" w:color="auto" w:fill="FFFFFF" w:themeFill="background1"/>
          </w:tcPr>
          <w:p w:rsidRPr="00AF74EB" w:rsidR="00527175" w:rsidP="75B4E7F9" w:rsidRDefault="00527175" w14:paraId="731ED098" w14:textId="089A8D03">
            <w:pPr>
              <w:spacing w:line="300" w:lineRule="exact"/>
              <w:rPr>
                <w:lang w:val="en-GB"/>
              </w:rPr>
            </w:pPr>
            <w:r w:rsidRPr="00AF74EB">
              <w:rPr>
                <w:lang w:val="en-GB"/>
              </w:rPr>
              <w:t>$2,819,374</w:t>
            </w:r>
          </w:p>
        </w:tc>
        <w:tc>
          <w:tcPr>
            <w:tcW w:w="787" w:type="dxa"/>
            <w:shd w:val="clear" w:color="auto" w:fill="E2EFD9" w:themeFill="accent6" w:themeFillTint="33"/>
          </w:tcPr>
          <w:p w:rsidRPr="00AF74EB" w:rsidR="00527175" w:rsidP="00FC4A11" w:rsidRDefault="00527175" w14:paraId="7CFDAA42" w14:textId="02FC954E">
            <w:pPr>
              <w:spacing w:line="300" w:lineRule="exact"/>
              <w:rPr>
                <w:b/>
                <w:lang w:val="en-GB"/>
              </w:rPr>
            </w:pPr>
            <w:r w:rsidRPr="00AF74EB">
              <w:rPr>
                <w:b/>
                <w:lang w:val="en-GB"/>
              </w:rPr>
              <w:t>202</w:t>
            </w:r>
            <w:r w:rsidR="00B36FD7">
              <w:rPr>
                <w:b/>
                <w:lang w:val="en-GB"/>
              </w:rPr>
              <w:t>2</w:t>
            </w:r>
          </w:p>
        </w:tc>
        <w:tc>
          <w:tcPr>
            <w:tcW w:w="4961" w:type="dxa"/>
            <w:shd w:val="clear" w:color="auto" w:fill="E2EFD9" w:themeFill="accent6" w:themeFillTint="33"/>
          </w:tcPr>
          <w:p w:rsidRPr="00AF74EB" w:rsidR="00527175" w:rsidP="00FC4A11" w:rsidRDefault="00527175" w14:paraId="00353A5A" w14:textId="621BD2E8">
            <w:pPr>
              <w:spacing w:line="300" w:lineRule="exact"/>
              <w:rPr>
                <w:lang w:val="en-GB"/>
              </w:rPr>
            </w:pPr>
            <w:r w:rsidRPr="00AF74EB">
              <w:rPr>
                <w:lang w:val="en-GB"/>
              </w:rPr>
              <w:t>$704,731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Pr="00AF74EB" w:rsidR="00527175" w:rsidP="00FC4A11" w:rsidRDefault="00527175" w14:paraId="2EADFDF3" w14:textId="5B4E5F62">
            <w:pPr>
              <w:spacing w:line="300" w:lineRule="exact"/>
              <w:rPr>
                <w:bCs/>
                <w:lang w:val="en-GB"/>
              </w:rPr>
            </w:pPr>
            <w:r w:rsidRPr="00AF74EB">
              <w:rPr>
                <w:bCs/>
                <w:lang w:val="en-GB"/>
              </w:rPr>
              <w:t>25%</w:t>
            </w:r>
          </w:p>
        </w:tc>
      </w:tr>
      <w:tr w:rsidRPr="00AF74EB" w:rsidR="00AF74EB" w:rsidTr="75B4E7F9" w14:paraId="3A3CDB53" w14:textId="7AF48707">
        <w:tc>
          <w:tcPr>
            <w:tcW w:w="2185" w:type="dxa"/>
            <w:vMerge/>
          </w:tcPr>
          <w:p w:rsidRPr="00AF74EB" w:rsidR="00527175" w:rsidP="004D48BA" w:rsidRDefault="00527175" w14:paraId="0CA26921" w14:textId="77777777">
            <w:pPr>
              <w:spacing w:line="300" w:lineRule="exact"/>
              <w:rPr>
                <w:bCs/>
                <w:lang w:val="en-GB"/>
              </w:rPr>
            </w:pPr>
          </w:p>
        </w:tc>
        <w:tc>
          <w:tcPr>
            <w:tcW w:w="787" w:type="dxa"/>
            <w:shd w:val="clear" w:color="auto" w:fill="E2EFD9" w:themeFill="accent6" w:themeFillTint="33"/>
          </w:tcPr>
          <w:p w:rsidRPr="00AF74EB" w:rsidR="00527175" w:rsidP="004D48BA" w:rsidRDefault="00527175" w14:paraId="5CF45603" w14:textId="2F76FA56">
            <w:pPr>
              <w:spacing w:line="300" w:lineRule="exact"/>
              <w:rPr>
                <w:b/>
                <w:lang w:val="en-GB"/>
              </w:rPr>
            </w:pPr>
            <w:r w:rsidRPr="00AF74EB">
              <w:rPr>
                <w:b/>
                <w:lang w:val="en-GB"/>
              </w:rPr>
              <w:t>2023</w:t>
            </w:r>
          </w:p>
        </w:tc>
        <w:tc>
          <w:tcPr>
            <w:tcW w:w="4961" w:type="dxa"/>
            <w:shd w:val="clear" w:color="auto" w:fill="E2EFD9" w:themeFill="accent6" w:themeFillTint="33"/>
          </w:tcPr>
          <w:p w:rsidRPr="00AF74EB" w:rsidR="00527175" w:rsidP="004D48BA" w:rsidRDefault="00527175" w14:paraId="4DA7D255" w14:textId="42E0B2C7">
            <w:pPr>
              <w:spacing w:line="300" w:lineRule="exact"/>
              <w:rPr>
                <w:lang w:val="en-GB"/>
              </w:rPr>
            </w:pPr>
            <w:r w:rsidRPr="00AF74EB">
              <w:rPr>
                <w:lang w:val="en-GB"/>
              </w:rPr>
              <w:t>$704,881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Pr="00AF74EB" w:rsidR="00527175" w:rsidP="004D48BA" w:rsidRDefault="00527175" w14:paraId="11ED1C8B" w14:textId="45CCAC23">
            <w:pPr>
              <w:spacing w:line="300" w:lineRule="exact"/>
              <w:rPr>
                <w:bCs/>
                <w:lang w:val="en-GB"/>
              </w:rPr>
            </w:pPr>
            <w:r w:rsidRPr="00AF74EB">
              <w:rPr>
                <w:bCs/>
                <w:lang w:val="en-GB"/>
              </w:rPr>
              <w:t>25%</w:t>
            </w:r>
          </w:p>
        </w:tc>
      </w:tr>
      <w:tr w:rsidRPr="00AF74EB" w:rsidR="00AF74EB" w:rsidTr="75B4E7F9" w14:paraId="2B41AF6E" w14:textId="32236133">
        <w:trPr>
          <w:trHeight w:val="315"/>
        </w:trPr>
        <w:tc>
          <w:tcPr>
            <w:tcW w:w="2185" w:type="dxa"/>
            <w:vMerge/>
          </w:tcPr>
          <w:p w:rsidRPr="00AF74EB" w:rsidR="00527175" w:rsidP="004D48BA" w:rsidRDefault="00527175" w14:paraId="738943EB" w14:textId="77777777">
            <w:pPr>
              <w:spacing w:line="300" w:lineRule="exact"/>
              <w:rPr>
                <w:bCs/>
                <w:lang w:val="en-GB"/>
              </w:rPr>
            </w:pPr>
          </w:p>
        </w:tc>
        <w:tc>
          <w:tcPr>
            <w:tcW w:w="787" w:type="dxa"/>
            <w:shd w:val="clear" w:color="auto" w:fill="E2EFD9" w:themeFill="accent6" w:themeFillTint="33"/>
          </w:tcPr>
          <w:p w:rsidRPr="00AF74EB" w:rsidR="00527175" w:rsidP="004D48BA" w:rsidRDefault="00527175" w14:paraId="28C528DF" w14:textId="4AE7C869">
            <w:pPr>
              <w:spacing w:line="300" w:lineRule="exact"/>
              <w:rPr>
                <w:b/>
                <w:lang w:val="en-GB"/>
              </w:rPr>
            </w:pPr>
            <w:r w:rsidRPr="00AF74EB">
              <w:rPr>
                <w:b/>
                <w:lang w:val="en-GB"/>
              </w:rPr>
              <w:t>2024</w:t>
            </w:r>
          </w:p>
        </w:tc>
        <w:tc>
          <w:tcPr>
            <w:tcW w:w="4961" w:type="dxa"/>
            <w:shd w:val="clear" w:color="auto" w:fill="E2EFD9" w:themeFill="accent6" w:themeFillTint="33"/>
          </w:tcPr>
          <w:p w:rsidRPr="00AF74EB" w:rsidR="00527175" w:rsidP="004D48BA" w:rsidRDefault="00527175" w14:paraId="73FF7BEA" w14:textId="1AAB4C39">
            <w:pPr>
              <w:spacing w:line="300" w:lineRule="exact"/>
              <w:rPr>
                <w:lang w:val="en-GB"/>
              </w:rPr>
            </w:pPr>
            <w:r w:rsidRPr="00AF74EB">
              <w:rPr>
                <w:lang w:val="en-GB"/>
              </w:rPr>
              <w:t>$704,881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Pr="00AF74EB" w:rsidR="00527175" w:rsidP="004D48BA" w:rsidRDefault="00527175" w14:paraId="1254B287" w14:textId="57F48A96">
            <w:pPr>
              <w:spacing w:line="300" w:lineRule="exact"/>
              <w:rPr>
                <w:bCs/>
                <w:lang w:val="en-GB"/>
              </w:rPr>
            </w:pPr>
            <w:r w:rsidRPr="00AF74EB">
              <w:rPr>
                <w:bCs/>
                <w:lang w:val="en-GB"/>
              </w:rPr>
              <w:t>25%</w:t>
            </w:r>
          </w:p>
        </w:tc>
      </w:tr>
      <w:tr w:rsidRPr="00AF74EB" w:rsidR="00AF74EB" w:rsidTr="75B4E7F9" w14:paraId="04FE0C7D" w14:textId="77777777">
        <w:trPr>
          <w:trHeight w:val="315"/>
        </w:trPr>
        <w:tc>
          <w:tcPr>
            <w:tcW w:w="2185" w:type="dxa"/>
            <w:vMerge/>
          </w:tcPr>
          <w:p w:rsidRPr="00AF74EB" w:rsidR="00527175" w:rsidP="004D48BA" w:rsidRDefault="00527175" w14:paraId="155A49A5" w14:textId="77777777">
            <w:pPr>
              <w:spacing w:line="300" w:lineRule="exact"/>
              <w:rPr>
                <w:bCs/>
                <w:lang w:val="en-GB"/>
              </w:rPr>
            </w:pPr>
          </w:p>
        </w:tc>
        <w:tc>
          <w:tcPr>
            <w:tcW w:w="787" w:type="dxa"/>
            <w:shd w:val="clear" w:color="auto" w:fill="E2EFD9" w:themeFill="accent6" w:themeFillTint="33"/>
          </w:tcPr>
          <w:p w:rsidRPr="00AF74EB" w:rsidR="00527175" w:rsidP="004D48BA" w:rsidRDefault="00527175" w14:paraId="43C7FD0F" w14:textId="18580044">
            <w:pPr>
              <w:spacing w:line="300" w:lineRule="exact"/>
              <w:rPr>
                <w:b/>
                <w:lang w:val="en-GB"/>
              </w:rPr>
            </w:pPr>
            <w:r w:rsidRPr="00AF74EB">
              <w:rPr>
                <w:b/>
                <w:lang w:val="en-GB"/>
              </w:rPr>
              <w:t>2025</w:t>
            </w:r>
          </w:p>
        </w:tc>
        <w:tc>
          <w:tcPr>
            <w:tcW w:w="4961" w:type="dxa"/>
            <w:shd w:val="clear" w:color="auto" w:fill="E2EFD9" w:themeFill="accent6" w:themeFillTint="33"/>
          </w:tcPr>
          <w:p w:rsidRPr="00AF74EB" w:rsidR="00527175" w:rsidP="004D48BA" w:rsidRDefault="00527175" w14:paraId="6A43F22D" w14:textId="4C488B70">
            <w:pPr>
              <w:spacing w:line="300" w:lineRule="exact"/>
              <w:rPr>
                <w:lang w:val="en-GB"/>
              </w:rPr>
            </w:pPr>
            <w:r w:rsidRPr="00AF74EB">
              <w:rPr>
                <w:lang w:val="en-GB"/>
              </w:rPr>
              <w:t>$704,881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Pr="00AF74EB" w:rsidR="00527175" w:rsidP="004D48BA" w:rsidRDefault="00527175" w14:paraId="4BAE9E5C" w14:textId="5B758E75">
            <w:pPr>
              <w:spacing w:line="300" w:lineRule="exact"/>
              <w:rPr>
                <w:bCs/>
                <w:lang w:val="en-GB"/>
              </w:rPr>
            </w:pPr>
            <w:r w:rsidRPr="00AF74EB">
              <w:rPr>
                <w:bCs/>
                <w:lang w:val="en-GB"/>
              </w:rPr>
              <w:t>25%</w:t>
            </w:r>
          </w:p>
        </w:tc>
      </w:tr>
    </w:tbl>
    <w:p w:rsidRPr="00AF74EB" w:rsidR="00A47FCF" w:rsidP="00FC4A11" w:rsidRDefault="00A47FCF" w14:paraId="1F6083B3" w14:textId="77777777">
      <w:pPr>
        <w:spacing w:line="300" w:lineRule="exact"/>
        <w:rPr>
          <w:bCs/>
          <w:lang w:val="en-GB"/>
        </w:rPr>
      </w:pPr>
    </w:p>
    <w:p w:rsidRPr="00AF74EB" w:rsidR="00650EB6" w:rsidP="00CE1F57" w:rsidRDefault="00FB7375" w14:paraId="030CF340" w14:textId="34A3E30E">
      <w:pPr>
        <w:pStyle w:val="ListParagraph"/>
        <w:numPr>
          <w:ilvl w:val="0"/>
          <w:numId w:val="4"/>
        </w:numPr>
        <w:spacing w:line="300" w:lineRule="exact"/>
        <w:ind w:left="426"/>
        <w:rPr>
          <w:b/>
          <w:sz w:val="26"/>
          <w:szCs w:val="26"/>
          <w:lang w:val="en-GB"/>
        </w:rPr>
      </w:pPr>
      <w:r w:rsidRPr="00AF74EB">
        <w:rPr>
          <w:b/>
          <w:sz w:val="26"/>
          <w:szCs w:val="26"/>
          <w:lang w:val="en-GB"/>
        </w:rPr>
        <w:t xml:space="preserve">Key objectives for the EPI program and known gaps/bottlenecks </w:t>
      </w:r>
      <w:r w:rsidRPr="00AF74EB" w:rsidR="00650EB6">
        <w:rPr>
          <w:b/>
          <w:sz w:val="26"/>
          <w:szCs w:val="26"/>
          <w:lang w:val="en-GB"/>
        </w:rPr>
        <w:t>(0.5 page)</w:t>
      </w:r>
    </w:p>
    <w:p w:rsidRPr="00AF74EB" w:rsidR="000E69CF" w:rsidP="00FC4A11" w:rsidRDefault="000E69CF" w14:paraId="52D793FC" w14:textId="77777777">
      <w:pPr>
        <w:spacing w:line="300" w:lineRule="exact"/>
        <w:rPr>
          <w:bCs/>
          <w:lang w:val="en-GB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192"/>
      </w:tblGrid>
      <w:tr w:rsidRPr="00AF74EB" w:rsidR="00AF74EB" w:rsidTr="7F867002" w14:paraId="4DE8D376" w14:textId="77777777">
        <w:tc>
          <w:tcPr>
            <w:tcW w:w="9192" w:type="dxa"/>
            <w:tcBorders>
              <w:bottom w:val="single" w:color="auto" w:sz="6" w:space="0"/>
            </w:tcBorders>
            <w:shd w:val="clear" w:color="auto" w:fill="F2F2F2" w:themeFill="background1" w:themeFillShade="F2"/>
            <w:tcMar/>
          </w:tcPr>
          <w:p w:rsidRPr="00AF74EB" w:rsidR="00650EB6" w:rsidP="002C0392" w:rsidRDefault="00650EB6" w14:paraId="7976640A" w14:textId="045AA386">
            <w:pPr>
              <w:spacing w:line="300" w:lineRule="exact"/>
              <w:rPr>
                <w:b/>
                <w:i/>
                <w:iCs/>
                <w:sz w:val="20"/>
                <w:szCs w:val="20"/>
                <w:lang w:val="en-GB"/>
              </w:rPr>
            </w:pPr>
            <w:r w:rsidRPr="00AF74EB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1.1 </w:t>
            </w:r>
            <w:r w:rsidR="002C0392">
              <w:rPr>
                <w:b/>
                <w:bCs/>
                <w:i/>
                <w:iCs/>
                <w:sz w:val="20"/>
                <w:szCs w:val="20"/>
              </w:rPr>
              <w:t>C</w:t>
            </w:r>
            <w:r w:rsidRPr="00AF74EB">
              <w:rPr>
                <w:b/>
                <w:bCs/>
                <w:i/>
                <w:iCs/>
                <w:sz w:val="20"/>
                <w:szCs w:val="20"/>
              </w:rPr>
              <w:t xml:space="preserve">ountry context </w:t>
            </w:r>
          </w:p>
        </w:tc>
      </w:tr>
      <w:tr w:rsidRPr="00AF74EB" w:rsidR="00650EB6" w:rsidTr="7F867002" w14:paraId="79578C2F" w14:textId="77777777">
        <w:tc>
          <w:tcPr>
            <w:tcW w:w="9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AF74EB" w:rsidR="00E665A3" w:rsidP="00ED0389" w:rsidRDefault="00B45DFA" w14:paraId="05629FF4" w14:textId="70DAEB27">
            <w:pPr>
              <w:spacing w:line="300" w:lineRule="exact"/>
              <w:jc w:val="both"/>
              <w:rPr>
                <w:rFonts w:eastAsia="Times New Roman"/>
              </w:rPr>
            </w:pPr>
            <w:r w:rsidRPr="00AF74EB">
              <w:rPr>
                <w:rFonts w:eastAsia="Times New Roman"/>
                <w:lang w:val="en-US"/>
              </w:rPr>
              <w:t>Since its establishment in 1984, the Rwanda immunization program strives to make immunization services universely accessible. Efforts have been made to reach and maintain the</w:t>
            </w:r>
            <w:r w:rsidRPr="00AF74EB" w:rsidR="008F56E6">
              <w:rPr>
                <w:rFonts w:eastAsia="Times New Roman"/>
                <w:lang w:val="en-US"/>
              </w:rPr>
              <w:t xml:space="preserve"> </w:t>
            </w:r>
            <w:r w:rsidRPr="00AF74EB">
              <w:rPr>
                <w:rFonts w:eastAsia="Times New Roman"/>
                <w:lang w:val="en-US"/>
              </w:rPr>
              <w:t>immunization coverage</w:t>
            </w:r>
            <w:r w:rsidRPr="00AF74EB" w:rsidR="008F56E6">
              <w:rPr>
                <w:rFonts w:eastAsia="Times New Roman"/>
                <w:lang w:val="en-US"/>
              </w:rPr>
              <w:t xml:space="preserve"> targets </w:t>
            </w:r>
            <w:r w:rsidRPr="00AF74EB">
              <w:rPr>
                <w:rFonts w:eastAsia="Times New Roman"/>
                <w:lang w:val="en-US"/>
              </w:rPr>
              <w:t xml:space="preserve">for </w:t>
            </w:r>
            <w:r w:rsidRPr="00AF74EB" w:rsidR="00ED0389">
              <w:rPr>
                <w:rFonts w:eastAsia="Times New Roman"/>
                <w:lang w:val="en-US"/>
              </w:rPr>
              <w:t>traditional and new vaccines delivered</w:t>
            </w:r>
            <w:r w:rsidR="00E8233D">
              <w:rPr>
                <w:rFonts w:eastAsia="Times New Roman"/>
                <w:lang w:val="en-US"/>
              </w:rPr>
              <w:t xml:space="preserve"> </w:t>
            </w:r>
            <w:r w:rsidRPr="00AF74EB">
              <w:rPr>
                <w:rFonts w:eastAsia="Times New Roman"/>
                <w:lang w:val="en-US"/>
              </w:rPr>
              <w:t xml:space="preserve">in the immunization schedule, and Rwanda </w:t>
            </w:r>
            <w:r w:rsidRPr="00AF74EB" w:rsidR="006626EF">
              <w:rPr>
                <w:rFonts w:eastAsia="Times New Roman"/>
                <w:lang w:val="en-US"/>
              </w:rPr>
              <w:t>report</w:t>
            </w:r>
            <w:r w:rsidRPr="00AF74EB" w:rsidR="003417B7">
              <w:rPr>
                <w:rFonts w:eastAsia="Times New Roman"/>
                <w:lang w:val="en-US"/>
              </w:rPr>
              <w:t>ed</w:t>
            </w:r>
            <w:r w:rsidR="00E8233D">
              <w:rPr>
                <w:rFonts w:eastAsia="Times New Roman"/>
                <w:lang w:val="en-US"/>
              </w:rPr>
              <w:t xml:space="preserve"> </w:t>
            </w:r>
            <w:r w:rsidRPr="00AF74EB" w:rsidR="006626EF">
              <w:rPr>
                <w:rFonts w:eastAsia="Times New Roman"/>
                <w:lang w:val="en-US"/>
              </w:rPr>
              <w:t>the highest coverage for fully immunized children in Sub-Sharan Africa</w:t>
            </w:r>
            <w:r w:rsidRPr="00AF74EB" w:rsidR="00485FCC">
              <w:rPr>
                <w:rStyle w:val="FootnoteReference"/>
                <w:rFonts w:eastAsia="Times New Roman"/>
                <w:lang w:val="en-US"/>
              </w:rPr>
              <w:footnoteReference w:id="2"/>
            </w:r>
            <w:r w:rsidRPr="00AF74EB" w:rsidR="006626EF">
              <w:rPr>
                <w:rFonts w:eastAsia="Times New Roman"/>
                <w:lang w:val="en-US"/>
              </w:rPr>
              <w:t>.</w:t>
            </w:r>
            <w:r w:rsidR="00E8233D">
              <w:rPr>
                <w:rFonts w:eastAsia="Times New Roman"/>
                <w:lang w:val="en-US"/>
              </w:rPr>
              <w:t xml:space="preserve"> </w:t>
            </w:r>
            <w:r w:rsidRPr="00AF74EB" w:rsidR="00D04ACB">
              <w:rPr>
                <w:rFonts w:eastAsia="Times New Roman"/>
                <w:lang w:val="en-US"/>
              </w:rPr>
              <w:t>According to</w:t>
            </w:r>
            <w:r w:rsidRPr="00AF74EB" w:rsidR="004E4BE2">
              <w:rPr>
                <w:rFonts w:eastAsia="Times New Roman"/>
                <w:lang w:val="en-US"/>
              </w:rPr>
              <w:t xml:space="preserve"> Rwanda</w:t>
            </w:r>
            <w:r w:rsidR="00E8233D">
              <w:rPr>
                <w:rFonts w:eastAsia="Times New Roman"/>
                <w:lang w:val="en-US"/>
              </w:rPr>
              <w:t xml:space="preserve"> </w:t>
            </w:r>
            <w:r w:rsidRPr="00AF74EB" w:rsidR="00D04ACB">
              <w:rPr>
                <w:rFonts w:eastAsia="Times New Roman"/>
                <w:lang w:val="en-US"/>
              </w:rPr>
              <w:t>DHS 2019-20, the coverage of fully vaccinated children is 96%</w:t>
            </w:r>
            <w:r w:rsidRPr="00AF74EB" w:rsidR="00EA65CD">
              <w:rPr>
                <w:rFonts w:eastAsia="Times New Roman"/>
                <w:lang w:val="en-US"/>
              </w:rPr>
              <w:t xml:space="preserve">, </w:t>
            </w:r>
            <w:r w:rsidRPr="00AF74EB" w:rsidR="00DF6D4E">
              <w:rPr>
                <w:rFonts w:eastAsia="Times New Roman"/>
                <w:lang w:val="en-US"/>
              </w:rPr>
              <w:t>and 8</w:t>
            </w:r>
            <w:r w:rsidRPr="00AF74EB" w:rsidR="00D04ACB">
              <w:rPr>
                <w:rFonts w:eastAsia="Times New Roman"/>
                <w:lang w:val="en-US"/>
              </w:rPr>
              <w:t>4</w:t>
            </w:r>
            <w:r w:rsidRPr="00AF74EB" w:rsidR="00A20406">
              <w:rPr>
                <w:rFonts w:eastAsia="Times New Roman"/>
                <w:lang w:val="en-US"/>
              </w:rPr>
              <w:t>.4</w:t>
            </w:r>
            <w:r w:rsidRPr="00AF74EB" w:rsidR="00D04ACB">
              <w:rPr>
                <w:rFonts w:eastAsia="Times New Roman"/>
                <w:lang w:val="en-US"/>
              </w:rPr>
              <w:t xml:space="preserve">% have </w:t>
            </w:r>
            <w:r w:rsidRPr="00AF74EB" w:rsidR="00DF6D4E">
              <w:rPr>
                <w:rFonts w:eastAsia="Times New Roman"/>
                <w:lang w:val="en-US"/>
              </w:rPr>
              <w:t xml:space="preserve">received </w:t>
            </w:r>
            <w:r w:rsidRPr="00AF74EB" w:rsidR="00D04ACB">
              <w:rPr>
                <w:rFonts w:eastAsia="Times New Roman"/>
                <w:lang w:val="en-US"/>
              </w:rPr>
              <w:t>a</w:t>
            </w:r>
            <w:r w:rsidRPr="00AF74EB" w:rsidR="00DF6D4E">
              <w:rPr>
                <w:rFonts w:eastAsia="Times New Roman"/>
              </w:rPr>
              <w:t>ll age-</w:t>
            </w:r>
            <w:r w:rsidRPr="00AF74EB" w:rsidR="00D04ACB">
              <w:rPr>
                <w:rFonts w:eastAsia="Times New Roman"/>
              </w:rPr>
              <w:t>approriate</w:t>
            </w:r>
            <w:r w:rsidRPr="00AF74EB" w:rsidR="00DF6D4E">
              <w:rPr>
                <w:rFonts w:eastAsia="Times New Roman"/>
              </w:rPr>
              <w:t xml:space="preserve"> doses</w:t>
            </w:r>
            <w:r w:rsidRPr="00AF74EB" w:rsidR="003417B7">
              <w:rPr>
                <w:rStyle w:val="FootnoteReference"/>
                <w:rFonts w:eastAsia="Times New Roman"/>
              </w:rPr>
              <w:footnoteReference w:id="3"/>
            </w:r>
            <w:r w:rsidRPr="00AF74EB" w:rsidR="00A20406">
              <w:rPr>
                <w:rFonts w:eastAsia="Times New Roman"/>
              </w:rPr>
              <w:t xml:space="preserve"> </w:t>
            </w:r>
            <w:r w:rsidRPr="00AF74EB" w:rsidR="00D04ACB">
              <w:rPr>
                <w:rFonts w:eastAsia="Times New Roman"/>
                <w:lang w:val="en-US"/>
              </w:rPr>
              <w:t>. Prior</w:t>
            </w:r>
            <w:r w:rsidRPr="00AF74EB" w:rsidR="00BE5258">
              <w:rPr>
                <w:rFonts w:eastAsia="Times New Roman"/>
                <w:lang w:val="en-US"/>
              </w:rPr>
              <w:t xml:space="preserve"> to</w:t>
            </w:r>
            <w:r w:rsidRPr="00AF74EB" w:rsidR="00D04ACB">
              <w:rPr>
                <w:rFonts w:eastAsia="Times New Roman"/>
                <w:lang w:val="en-US"/>
              </w:rPr>
              <w:t xml:space="preserve"> Covid-19, </w:t>
            </w:r>
            <w:r w:rsidRPr="00AF74EB" w:rsidR="00D04ACB">
              <w:rPr>
                <w:rFonts w:eastAsia="Times New Roman"/>
              </w:rPr>
              <w:t>HPV vaccination coverage had been constantly above 90% with a narrow drop out between the first</w:t>
            </w:r>
            <w:r w:rsidR="00E8233D">
              <w:rPr>
                <w:rFonts w:eastAsia="Times New Roman"/>
              </w:rPr>
              <w:t xml:space="preserve"> </w:t>
            </w:r>
            <w:r w:rsidRPr="00AF74EB" w:rsidR="00D04ACB">
              <w:rPr>
                <w:rFonts w:eastAsia="Times New Roman"/>
              </w:rPr>
              <w:t>dose and the second</w:t>
            </w:r>
            <w:r w:rsidR="00E8233D">
              <w:rPr>
                <w:rFonts w:eastAsia="Times New Roman"/>
              </w:rPr>
              <w:t xml:space="preserve"> </w:t>
            </w:r>
            <w:r w:rsidRPr="00AF74EB" w:rsidR="00D04ACB">
              <w:rPr>
                <w:rFonts w:eastAsia="Times New Roman"/>
              </w:rPr>
              <w:t xml:space="preserve">dose. </w:t>
            </w:r>
          </w:p>
          <w:p w:rsidR="00724ECA" w:rsidP="00013C61" w:rsidRDefault="00E41372" w14:paraId="6683EAA8" w14:textId="4D9D61C8">
            <w:pPr>
              <w:spacing w:line="300" w:lineRule="exact"/>
              <w:jc w:val="both"/>
              <w:rPr>
                <w:rFonts w:eastAsia="Times New Roman"/>
              </w:rPr>
            </w:pPr>
            <w:r w:rsidRPr="00AF74EB">
              <w:rPr>
                <w:rFonts w:eastAsia="Times New Roman"/>
              </w:rPr>
              <w:t>Rwanda</w:t>
            </w:r>
            <w:r w:rsidRPr="00AF74EB" w:rsidR="00E665A3">
              <w:rPr>
                <w:rFonts w:eastAsia="Times New Roman"/>
              </w:rPr>
              <w:t xml:space="preserve"> </w:t>
            </w:r>
            <w:r w:rsidRPr="00AF74EB" w:rsidR="00117A20">
              <w:rPr>
                <w:rFonts w:eastAsia="Times New Roman"/>
              </w:rPr>
              <w:t>is</w:t>
            </w:r>
            <w:r w:rsidRPr="00AF74EB">
              <w:rPr>
                <w:rFonts w:eastAsia="Times New Roman"/>
              </w:rPr>
              <w:t xml:space="preserve"> committed to reach every child with</w:t>
            </w:r>
            <w:r w:rsidRPr="00AF74EB" w:rsidR="0083250E">
              <w:rPr>
                <w:rFonts w:eastAsia="Times New Roman"/>
              </w:rPr>
              <w:t xml:space="preserve"> quality </w:t>
            </w:r>
            <w:r w:rsidRPr="00AF74EB" w:rsidR="00F4354A">
              <w:rPr>
                <w:rFonts w:eastAsia="Times New Roman"/>
              </w:rPr>
              <w:t xml:space="preserve">vaccination </w:t>
            </w:r>
            <w:r w:rsidRPr="00AF74EB">
              <w:rPr>
                <w:rFonts w:eastAsia="Times New Roman"/>
              </w:rPr>
              <w:t>services to consistently minimize zero dose and under</w:t>
            </w:r>
            <w:r w:rsidRPr="00AF74EB" w:rsidR="00697FD0">
              <w:rPr>
                <w:rFonts w:eastAsia="Times New Roman"/>
              </w:rPr>
              <w:t>-</w:t>
            </w:r>
            <w:r w:rsidRPr="00AF74EB">
              <w:rPr>
                <w:rFonts w:eastAsia="Times New Roman"/>
              </w:rPr>
              <w:t>immunized children</w:t>
            </w:r>
            <w:r w:rsidRPr="00AF74EB" w:rsidR="00697FD0">
              <w:rPr>
                <w:rFonts w:eastAsia="Times New Roman"/>
              </w:rPr>
              <w:t>, increase</w:t>
            </w:r>
            <w:r w:rsidRPr="00AF74EB" w:rsidR="00F4354A">
              <w:rPr>
                <w:rFonts w:eastAsia="Times New Roman"/>
              </w:rPr>
              <w:t xml:space="preserve"> and sustain</w:t>
            </w:r>
            <w:r w:rsidRPr="00AF74EB" w:rsidR="00117A20">
              <w:rPr>
                <w:rFonts w:eastAsia="Times New Roman"/>
              </w:rPr>
              <w:t xml:space="preserve"> the most </w:t>
            </w:r>
            <w:r w:rsidRPr="00AF74EB" w:rsidR="00F4354A">
              <w:rPr>
                <w:rFonts w:eastAsia="Times New Roman"/>
              </w:rPr>
              <w:t>high</w:t>
            </w:r>
            <w:r w:rsidRPr="00AF74EB" w:rsidR="00117A20">
              <w:rPr>
                <w:rFonts w:eastAsia="Times New Roman"/>
              </w:rPr>
              <w:t>est</w:t>
            </w:r>
            <w:r w:rsidR="00E8233D">
              <w:rPr>
                <w:rFonts w:eastAsia="Times New Roman"/>
              </w:rPr>
              <w:t xml:space="preserve"> </w:t>
            </w:r>
            <w:r w:rsidRPr="00AF74EB" w:rsidR="00F4354A">
              <w:rPr>
                <w:rFonts w:eastAsia="Times New Roman"/>
              </w:rPr>
              <w:t>coverage for</w:t>
            </w:r>
            <w:r w:rsidR="00E8233D">
              <w:rPr>
                <w:rFonts w:eastAsia="Times New Roman"/>
              </w:rPr>
              <w:t xml:space="preserve"> </w:t>
            </w:r>
            <w:r w:rsidRPr="00AF74EB" w:rsidR="00697FD0">
              <w:rPr>
                <w:rFonts w:eastAsia="Times New Roman"/>
              </w:rPr>
              <w:t>age-appropriate doses</w:t>
            </w:r>
            <w:r w:rsidRPr="00AF74EB" w:rsidR="00F4354A">
              <w:rPr>
                <w:rFonts w:eastAsia="Times New Roman"/>
              </w:rPr>
              <w:t>.</w:t>
            </w:r>
            <w:r w:rsidRPr="00AF74EB">
              <w:rPr>
                <w:rFonts w:eastAsia="Times New Roman"/>
              </w:rPr>
              <w:t xml:space="preserve"> </w:t>
            </w:r>
          </w:p>
          <w:p w:rsidRPr="00AF74EB" w:rsidR="00263231" w:rsidP="00013C61" w:rsidRDefault="00166F28" w14:paraId="12D2892F" w14:textId="6A6440B3">
            <w:pPr>
              <w:spacing w:line="300" w:lineRule="exact"/>
              <w:jc w:val="both"/>
              <w:rPr>
                <w:rFonts w:eastAsia="Times New Roman"/>
                <w:lang w:val="en-US"/>
              </w:rPr>
            </w:pPr>
            <w:r w:rsidRPr="7F867002" w:rsidR="2B504C07">
              <w:rPr>
                <w:rFonts w:eastAsia="Times New Roman"/>
                <w:lang w:val="en-US"/>
              </w:rPr>
              <w:t>The</w:t>
            </w:r>
            <w:r w:rsidRPr="7F867002" w:rsidR="1ADF6214">
              <w:rPr>
                <w:rFonts w:eastAsia="Times New Roman"/>
                <w:lang w:val="en-US"/>
              </w:rPr>
              <w:t xml:space="preserve"> </w:t>
            </w:r>
            <w:r w:rsidRPr="7F867002" w:rsidR="1ADF6214">
              <w:rPr>
                <w:rFonts w:eastAsia="Times New Roman"/>
                <w:lang w:val="en-US"/>
              </w:rPr>
              <w:t>overall</w:t>
            </w:r>
            <w:r w:rsidRPr="7F867002" w:rsidR="00E8233D">
              <w:rPr>
                <w:rFonts w:eastAsia="Times New Roman"/>
                <w:lang w:val="en-US"/>
              </w:rPr>
              <w:t xml:space="preserve"> </w:t>
            </w:r>
            <w:r w:rsidRPr="7F867002" w:rsidR="2B504C07">
              <w:rPr>
                <w:rFonts w:eastAsia="Times New Roman"/>
                <w:lang w:val="en-US"/>
              </w:rPr>
              <w:t>objective</w:t>
            </w:r>
            <w:r w:rsidRPr="7F867002" w:rsidR="2B504C07">
              <w:rPr>
                <w:rFonts w:eastAsia="Times New Roman"/>
                <w:lang w:val="en-US"/>
              </w:rPr>
              <w:t xml:space="preserve"> of the Rwanda EPI program is to control, eliminate and eradicate VPDs</w:t>
            </w:r>
            <w:r w:rsidRPr="7F867002" w:rsidR="1ADF6214">
              <w:rPr>
                <w:rFonts w:eastAsia="Times New Roman"/>
                <w:lang w:val="en-US"/>
              </w:rPr>
              <w:t xml:space="preserve"> as to </w:t>
            </w:r>
            <w:r w:rsidRPr="7F867002" w:rsidR="002C0392">
              <w:rPr>
                <w:rFonts w:eastAsia="Times New Roman"/>
                <w:lang w:val="en-US"/>
              </w:rPr>
              <w:t>substantially</w:t>
            </w:r>
            <w:r w:rsidRPr="7F867002" w:rsidR="002C0392">
              <w:rPr>
                <w:rFonts w:eastAsia="Times New Roman"/>
                <w:lang w:val="en-US"/>
              </w:rPr>
              <w:t xml:space="preserve"> </w:t>
            </w:r>
            <w:r w:rsidRPr="7F867002" w:rsidR="1ADF6214">
              <w:rPr>
                <w:rFonts w:eastAsia="Times New Roman"/>
                <w:lang w:val="en-US"/>
              </w:rPr>
              <w:t xml:space="preserve">reduce </w:t>
            </w:r>
            <w:r w:rsidRPr="7F867002" w:rsidR="4A762ABF">
              <w:rPr>
                <w:rFonts w:eastAsia="Times New Roman"/>
                <w:lang w:val="en-US"/>
              </w:rPr>
              <w:t>v</w:t>
            </w:r>
            <w:r w:rsidRPr="7F867002" w:rsidR="1ADF6214">
              <w:rPr>
                <w:rFonts w:eastAsia="Times New Roman"/>
                <w:lang w:val="en-US"/>
              </w:rPr>
              <w:t>accine preventable diseases related morbidity</w:t>
            </w:r>
            <w:r w:rsidRPr="7F867002" w:rsidR="3BCED8F8">
              <w:rPr>
                <w:rFonts w:eastAsia="Times New Roman"/>
                <w:lang w:val="en-US"/>
              </w:rPr>
              <w:t xml:space="preserve">, disability </w:t>
            </w:r>
            <w:r w:rsidRPr="7F867002" w:rsidR="1ADF6214">
              <w:rPr>
                <w:rFonts w:eastAsia="Times New Roman"/>
                <w:lang w:val="en-US"/>
              </w:rPr>
              <w:t>and mortality</w:t>
            </w:r>
            <w:r w:rsidRPr="7F867002" w:rsidR="5EFAC712">
              <w:rPr>
                <w:rFonts w:eastAsia="Times New Roman"/>
                <w:lang w:val="en-US"/>
              </w:rPr>
              <w:t xml:space="preserve">. </w:t>
            </w:r>
            <w:r w:rsidRPr="7F867002" w:rsidR="1BA7A618">
              <w:rPr>
                <w:rFonts w:eastAsia="Times New Roman"/>
                <w:lang w:val="en-US"/>
              </w:rPr>
              <w:t>S</w:t>
            </w:r>
            <w:r w:rsidRPr="7F867002" w:rsidR="5EFAC712">
              <w:rPr>
                <w:rFonts w:eastAsia="Times New Roman"/>
                <w:lang w:val="en-US"/>
              </w:rPr>
              <w:t>t</w:t>
            </w:r>
            <w:r w:rsidRPr="7F867002" w:rsidR="1BA7A618">
              <w:rPr>
                <w:rFonts w:eastAsia="Times New Roman"/>
                <w:lang w:val="en-US"/>
              </w:rPr>
              <w:t xml:space="preserve">rengthening </w:t>
            </w:r>
            <w:r w:rsidRPr="7F867002" w:rsidR="5EFAC712">
              <w:rPr>
                <w:rFonts w:eastAsia="Times New Roman"/>
                <w:lang w:val="en-US"/>
              </w:rPr>
              <w:t>immunization</w:t>
            </w:r>
            <w:r w:rsidRPr="7F867002" w:rsidR="1BA7A618">
              <w:rPr>
                <w:rFonts w:eastAsia="Times New Roman"/>
                <w:lang w:val="en-US"/>
              </w:rPr>
              <w:t xml:space="preserve"> program and sustaining capacity at all level</w:t>
            </w:r>
            <w:r w:rsidRPr="7F867002" w:rsidR="387CE014">
              <w:rPr>
                <w:rFonts w:eastAsia="Times New Roman"/>
                <w:lang w:val="en-US"/>
              </w:rPr>
              <w:t>s</w:t>
            </w:r>
            <w:r w:rsidRPr="7F867002" w:rsidR="1BA7A618">
              <w:rPr>
                <w:rFonts w:eastAsia="Times New Roman"/>
                <w:lang w:val="en-US"/>
              </w:rPr>
              <w:t xml:space="preserve"> of the health system</w:t>
            </w:r>
            <w:r w:rsidRPr="7F867002" w:rsidR="00E8233D">
              <w:rPr>
                <w:rFonts w:eastAsia="Times New Roman"/>
                <w:lang w:val="en-US"/>
              </w:rPr>
              <w:t xml:space="preserve"> </w:t>
            </w:r>
            <w:r w:rsidRPr="7F867002" w:rsidR="1BA7A618">
              <w:rPr>
                <w:rFonts w:eastAsia="Times New Roman"/>
                <w:lang w:val="en-US"/>
              </w:rPr>
              <w:t>will be essential</w:t>
            </w:r>
            <w:r w:rsidRPr="7F867002" w:rsidR="00E8233D">
              <w:rPr>
                <w:rFonts w:eastAsia="Times New Roman"/>
                <w:lang w:val="en-US"/>
              </w:rPr>
              <w:t xml:space="preserve"> </w:t>
            </w:r>
            <w:r w:rsidRPr="7F867002" w:rsidR="5EFAC712">
              <w:rPr>
                <w:rFonts w:eastAsia="Times New Roman"/>
                <w:lang w:val="en-US"/>
              </w:rPr>
              <w:t xml:space="preserve">to </w:t>
            </w:r>
            <w:r w:rsidRPr="7F867002" w:rsidR="387CE014">
              <w:rPr>
                <w:rFonts w:eastAsia="Times New Roman"/>
                <w:lang w:val="en-US"/>
              </w:rPr>
              <w:t xml:space="preserve">ensure </w:t>
            </w:r>
            <w:r w:rsidRPr="7F867002" w:rsidR="5EFAC712">
              <w:rPr>
                <w:rFonts w:eastAsia="Times New Roman"/>
                <w:lang w:val="en-US"/>
              </w:rPr>
              <w:t>vaccines</w:t>
            </w:r>
            <w:r w:rsidRPr="7F867002" w:rsidR="387CE014">
              <w:rPr>
                <w:rFonts w:eastAsia="Times New Roman"/>
                <w:lang w:val="en-US"/>
              </w:rPr>
              <w:t xml:space="preserve"> delivery system </w:t>
            </w:r>
            <w:r w:rsidRPr="7F867002" w:rsidR="5EFAC712">
              <w:rPr>
                <w:rFonts w:eastAsia="Times New Roman"/>
                <w:lang w:val="en-US"/>
              </w:rPr>
              <w:t>reach</w:t>
            </w:r>
            <w:r w:rsidRPr="7F867002" w:rsidR="387CE014">
              <w:rPr>
                <w:rFonts w:eastAsia="Times New Roman"/>
                <w:lang w:val="en-US"/>
              </w:rPr>
              <w:t xml:space="preserve">es </w:t>
            </w:r>
            <w:r w:rsidRPr="7F867002" w:rsidR="5EFAC712">
              <w:rPr>
                <w:rFonts w:eastAsia="Times New Roman"/>
                <w:lang w:val="en-US"/>
              </w:rPr>
              <w:t>zero-dose children and missed communities with equity lens in a sustainable manner.</w:t>
            </w:r>
            <w:r w:rsidRPr="7F867002" w:rsidR="00E8233D">
              <w:rPr>
                <w:rFonts w:eastAsia="Times New Roman"/>
                <w:lang w:val="en-US"/>
              </w:rPr>
              <w:t xml:space="preserve"> </w:t>
            </w:r>
          </w:p>
          <w:p w:rsidRPr="00AF74EB" w:rsidR="00064C7B" w:rsidP="00013C61" w:rsidRDefault="00263231" w14:paraId="248227D4" w14:textId="1F9A2223">
            <w:pPr>
              <w:spacing w:line="300" w:lineRule="exact"/>
              <w:jc w:val="both"/>
              <w:rPr>
                <w:rFonts w:eastAsia="Times New Roman"/>
                <w:lang w:val="en-US"/>
              </w:rPr>
            </w:pPr>
            <w:r w:rsidRPr="7F867002" w:rsidR="1ECE9AE9">
              <w:rPr>
                <w:rFonts w:eastAsia="Times New Roman"/>
                <w:lang w:val="en-US"/>
              </w:rPr>
              <w:t>Specifically</w:t>
            </w:r>
            <w:r w:rsidRPr="7F867002" w:rsidR="1ECE9AE9">
              <w:rPr>
                <w:rFonts w:eastAsia="Times New Roman"/>
                <w:lang w:val="en-US"/>
              </w:rPr>
              <w:t>, the EPI plan to:</w:t>
            </w:r>
            <w:r w:rsidRPr="7F867002" w:rsidR="5EFAC712">
              <w:rPr>
                <w:rFonts w:eastAsia="Times New Roman"/>
                <w:lang w:val="en-US"/>
              </w:rPr>
              <w:t xml:space="preserve"> </w:t>
            </w:r>
          </w:p>
          <w:p w:rsidRPr="00AF74EB" w:rsidR="004359D6" w:rsidP="00013C61" w:rsidRDefault="004359D6" w14:paraId="679B89B1" w14:textId="77777777">
            <w:pPr>
              <w:spacing w:line="300" w:lineRule="exact"/>
              <w:jc w:val="both"/>
              <w:rPr>
                <w:rFonts w:eastAsia="Times New Roman"/>
                <w:lang w:val="en-US"/>
              </w:rPr>
            </w:pPr>
          </w:p>
          <w:p w:rsidRPr="00AF74EB" w:rsidR="00064C7B" w:rsidP="00263231" w:rsidRDefault="00271D8D" w14:paraId="23E3CB91" w14:textId="6DDB12BE">
            <w:pPr>
              <w:pStyle w:val="NoSpacing"/>
              <w:numPr>
                <w:ilvl w:val="0"/>
                <w:numId w:val="6"/>
              </w:numPr>
              <w:shd w:val="clear" w:color="auto" w:fill="FFFFFF" w:themeFill="background1"/>
              <w:spacing w:after="120" w:line="276" w:lineRule="auto"/>
              <w:jc w:val="both"/>
            </w:pPr>
            <w:r w:rsidRPr="00AF74EB">
              <w:t>S</w:t>
            </w:r>
            <w:r w:rsidRPr="00AF74EB" w:rsidR="00166F28">
              <w:t xml:space="preserve">trengthen the Immunization </w:t>
            </w:r>
            <w:r w:rsidRPr="00AF74EB" w:rsidR="00064C7B">
              <w:t>Programme so as to increase</w:t>
            </w:r>
            <w:r w:rsidR="00241FC0">
              <w:t xml:space="preserve"> </w:t>
            </w:r>
            <w:r w:rsidRPr="00AF74EB" w:rsidR="00064C7B">
              <w:t xml:space="preserve">immunization coverage </w:t>
            </w:r>
            <w:r w:rsidR="007F6137">
              <w:t>for all-age appropriate coverage from 84.4% to 88%</w:t>
            </w:r>
            <w:r w:rsidRPr="00AF74EB" w:rsidR="007F6137">
              <w:t xml:space="preserve"> </w:t>
            </w:r>
            <w:r w:rsidRPr="00AF74EB" w:rsidR="00064C7B">
              <w:t>and sustain</w:t>
            </w:r>
            <w:r w:rsidR="00E8233D">
              <w:t xml:space="preserve"> </w:t>
            </w:r>
            <w:r w:rsidR="007F6137">
              <w:t xml:space="preserve">fully </w:t>
            </w:r>
            <w:r w:rsidRPr="00AF74EB" w:rsidR="00064C7B">
              <w:t>immunizatio</w:t>
            </w:r>
            <w:r w:rsidRPr="00AF74EB" w:rsidR="00166F28">
              <w:t xml:space="preserve">n </w:t>
            </w:r>
            <w:r w:rsidRPr="00AF74EB" w:rsidR="00166F28">
              <w:lastRenderedPageBreak/>
              <w:t>coverage beyond the current 96</w:t>
            </w:r>
            <w:r w:rsidRPr="00AF74EB" w:rsidR="00064C7B">
              <w:t>% for the fully immunized children in all districts by 202</w:t>
            </w:r>
            <w:r w:rsidRPr="00AF74EB" w:rsidR="00166F28">
              <w:t>5</w:t>
            </w:r>
          </w:p>
          <w:p w:rsidRPr="00AF74EB" w:rsidR="00166F28" w:rsidP="00263231" w:rsidRDefault="00271D8D" w14:paraId="31E994E7" w14:textId="10750600">
            <w:pPr>
              <w:pStyle w:val="NoSpacing"/>
              <w:numPr>
                <w:ilvl w:val="0"/>
                <w:numId w:val="6"/>
              </w:numPr>
              <w:shd w:val="clear" w:color="auto" w:fill="FFFFFF" w:themeFill="background1"/>
              <w:spacing w:after="120" w:line="276" w:lineRule="auto"/>
              <w:jc w:val="both"/>
            </w:pPr>
            <w:r w:rsidRPr="00AF74EB">
              <w:t>E</w:t>
            </w:r>
            <w:r w:rsidRPr="00AF74EB" w:rsidR="00166F28">
              <w:t>nhance performance of the logistics and supply chain system of the Immunization Programme to ensure availability of supplies and safeguard of vaccine potency at all levels of immunization supply chain</w:t>
            </w:r>
          </w:p>
          <w:p w:rsidRPr="00AF74EB" w:rsidR="00166F28" w:rsidP="00263231" w:rsidRDefault="00271D8D" w14:paraId="3AB5EDD5" w14:textId="1A475169">
            <w:pPr>
              <w:pStyle w:val="NoSpacing"/>
              <w:numPr>
                <w:ilvl w:val="0"/>
                <w:numId w:val="6"/>
              </w:numPr>
              <w:shd w:val="clear" w:color="auto" w:fill="FFFFFF" w:themeFill="background1"/>
              <w:spacing w:after="120" w:line="276" w:lineRule="auto"/>
              <w:jc w:val="both"/>
            </w:pPr>
            <w:r w:rsidRPr="00AF74EB">
              <w:t>E</w:t>
            </w:r>
            <w:r w:rsidRPr="00AF74EB" w:rsidR="00166F28">
              <w:t>nhance continuous data quality improvement and utilization of data for evidence-based decision making (EBDM) at all levels of the health system</w:t>
            </w:r>
          </w:p>
          <w:p w:rsidRPr="00AF74EB" w:rsidR="00166F28" w:rsidP="00263231" w:rsidRDefault="00271D8D" w14:paraId="0FD769AA" w14:textId="6B739F92">
            <w:pPr>
              <w:pStyle w:val="NoSpacing"/>
              <w:numPr>
                <w:ilvl w:val="0"/>
                <w:numId w:val="6"/>
              </w:numPr>
              <w:shd w:val="clear" w:color="auto" w:fill="FFFFFF" w:themeFill="background1"/>
              <w:spacing w:after="120" w:line="276" w:lineRule="auto"/>
              <w:jc w:val="both"/>
            </w:pPr>
            <w:r w:rsidRPr="00AF74EB">
              <w:t>S</w:t>
            </w:r>
            <w:r w:rsidRPr="00AF74EB" w:rsidR="00166F28">
              <w:t>trengthen social and behavior change communication approaches that promote demand for and uptake of immunization services so as to achieve and sustain a minimum of 96 % coverage of the fully immunized by 2025</w:t>
            </w:r>
          </w:p>
          <w:p w:rsidRPr="00AF74EB" w:rsidR="00166F28" w:rsidP="00263231" w:rsidRDefault="00271D8D" w14:paraId="372065D6" w14:textId="7540F15A">
            <w:pPr>
              <w:pStyle w:val="NoSpacing"/>
              <w:numPr>
                <w:ilvl w:val="0"/>
                <w:numId w:val="6"/>
              </w:numPr>
              <w:shd w:val="clear" w:color="auto" w:fill="FFFFFF" w:themeFill="background1"/>
              <w:spacing w:after="120" w:line="276" w:lineRule="auto"/>
              <w:jc w:val="both"/>
            </w:pPr>
            <w:r w:rsidRPr="00AF74EB">
              <w:t>S</w:t>
            </w:r>
            <w:r w:rsidRPr="00AF74EB" w:rsidR="00166F28">
              <w:t>trengthen the oversight functions of the Immunization Program for sustainability of quality immunization programme that can achieve and sustain a minimum of 96% coverage of the fully immunized by 2025</w:t>
            </w:r>
          </w:p>
          <w:p w:rsidRPr="00AF74EB" w:rsidR="00166F28" w:rsidP="00263231" w:rsidRDefault="00271D8D" w14:paraId="1AC00FFF" w14:textId="1C7C45A8">
            <w:pPr>
              <w:pStyle w:val="NoSpacing"/>
              <w:numPr>
                <w:ilvl w:val="0"/>
                <w:numId w:val="6"/>
              </w:numPr>
              <w:shd w:val="clear" w:color="auto" w:fill="FFFFFF" w:themeFill="background1"/>
              <w:spacing w:after="120" w:line="276" w:lineRule="auto"/>
              <w:jc w:val="both"/>
              <w:rPr>
                <w:rFonts w:eastAsia="Times New Roman"/>
                <w:b/>
                <w:lang w:val="en-US"/>
              </w:rPr>
            </w:pPr>
            <w:r w:rsidRPr="00AF74EB">
              <w:t>P</w:t>
            </w:r>
            <w:r w:rsidRPr="00AF74EB" w:rsidR="00390477">
              <w:t>romote i</w:t>
            </w:r>
            <w:r w:rsidRPr="00AF74EB" w:rsidR="00A84A2E">
              <w:t>mmu</w:t>
            </w:r>
            <w:r w:rsidRPr="00AF74EB" w:rsidR="00390477">
              <w:t>nization digitalisation, r</w:t>
            </w:r>
            <w:r w:rsidRPr="00AF74EB" w:rsidR="00166F28">
              <w:t xml:space="preserve">esearch and </w:t>
            </w:r>
            <w:r w:rsidRPr="00AF74EB" w:rsidR="00A84A2E">
              <w:t>in</w:t>
            </w:r>
            <w:r w:rsidRPr="00AF74EB" w:rsidR="00D37E9A">
              <w:t>nova</w:t>
            </w:r>
            <w:r w:rsidRPr="00AF74EB" w:rsidR="00166F28">
              <w:t>tion</w:t>
            </w:r>
            <w:r w:rsidRPr="00AF74EB" w:rsidR="00390477">
              <w:t>s</w:t>
            </w:r>
            <w:r w:rsidRPr="00AF74EB" w:rsidR="00166F28">
              <w:t xml:space="preserve">. </w:t>
            </w:r>
          </w:p>
          <w:p w:rsidRPr="00AF74EB" w:rsidR="00064C7B" w:rsidP="00FD2841" w:rsidRDefault="00FD2841" w14:paraId="78052B35" w14:textId="0588C744">
            <w:pPr>
              <w:spacing w:line="300" w:lineRule="exact"/>
              <w:rPr>
                <w:lang w:val="en-US"/>
              </w:rPr>
            </w:pPr>
            <w:r w:rsidRPr="7F867002" w:rsidR="5FEB1EA6">
              <w:rPr>
                <w:lang w:val="en-US"/>
              </w:rPr>
              <w:t xml:space="preserve">These objectives guide the </w:t>
            </w:r>
            <w:bookmarkStart w:name="_Int_RNTD4OEl" w:id="1993166688"/>
            <w:r w:rsidRPr="7F867002" w:rsidR="5FEB1EA6">
              <w:rPr>
                <w:lang w:val="en-US"/>
              </w:rPr>
              <w:t>I</w:t>
            </w:r>
            <w:r w:rsidRPr="7F867002" w:rsidR="1ECE9AE9">
              <w:rPr>
                <w:lang w:val="en-US"/>
              </w:rPr>
              <w:t>mmunization</w:t>
            </w:r>
            <w:bookmarkEnd w:id="1993166688"/>
            <w:r w:rsidRPr="7F867002" w:rsidR="1ECE9AE9">
              <w:rPr>
                <w:lang w:val="en-US"/>
              </w:rPr>
              <w:t xml:space="preserve"> program towards achieving</w:t>
            </w:r>
            <w:r w:rsidRPr="7F867002" w:rsidR="00E8233D">
              <w:rPr>
                <w:lang w:val="en-US"/>
              </w:rPr>
              <w:t xml:space="preserve"> </w:t>
            </w:r>
            <w:r w:rsidRPr="7F867002" w:rsidR="5FEB1EA6">
              <w:rPr>
                <w:lang w:val="en-US"/>
              </w:rPr>
              <w:t>equitable and sustainable</w:t>
            </w:r>
            <w:r w:rsidRPr="7F867002" w:rsidR="15119562">
              <w:rPr>
                <w:lang w:val="en-US"/>
              </w:rPr>
              <w:t xml:space="preserve"> vaccination</w:t>
            </w:r>
            <w:r w:rsidRPr="7F867002" w:rsidR="5FEB1EA6">
              <w:rPr>
                <w:lang w:val="en-US"/>
              </w:rPr>
              <w:t xml:space="preserve"> services</w:t>
            </w:r>
            <w:r w:rsidRPr="7F867002" w:rsidR="00E8233D">
              <w:rPr>
                <w:lang w:val="en-US"/>
              </w:rPr>
              <w:t xml:space="preserve"> </w:t>
            </w:r>
            <w:r w:rsidRPr="7F867002" w:rsidR="15119562">
              <w:rPr>
                <w:lang w:val="en-US"/>
              </w:rPr>
              <w:t>accessible to everyone.</w:t>
            </w:r>
            <w:r w:rsidRPr="7F867002" w:rsidR="00E8233D">
              <w:rPr>
                <w:lang w:val="en-US"/>
              </w:rPr>
              <w:t xml:space="preserve"> </w:t>
            </w:r>
            <w:r w:rsidRPr="7F867002" w:rsidR="7599D571">
              <w:rPr>
                <w:lang w:val="en-US"/>
              </w:rPr>
              <w:t>There are still gaps to fill especially in having all children vaccinated on time (age-appropriate doses) and respecting the vaccination calendar.</w:t>
            </w:r>
            <w:r w:rsidRPr="7F867002" w:rsidR="00E8233D">
              <w:rPr>
                <w:lang w:val="en-US"/>
              </w:rPr>
              <w:t xml:space="preserve"> </w:t>
            </w:r>
          </w:p>
        </w:tc>
      </w:tr>
    </w:tbl>
    <w:p w:rsidRPr="00AF74EB" w:rsidR="000759BE" w:rsidP="00FC4A11" w:rsidRDefault="000759BE" w14:paraId="434C7691" w14:textId="77777777">
      <w:pPr>
        <w:spacing w:line="300" w:lineRule="exact"/>
        <w:rPr>
          <w:bCs/>
          <w:lang w:val="en-GB"/>
        </w:rPr>
      </w:pPr>
    </w:p>
    <w:p w:rsidRPr="00AF74EB" w:rsidR="004E4361" w:rsidP="00CE1F57" w:rsidRDefault="004E4361" w14:paraId="5CAF378B" w14:textId="6B512E81">
      <w:pPr>
        <w:pStyle w:val="ListParagraph"/>
        <w:numPr>
          <w:ilvl w:val="0"/>
          <w:numId w:val="4"/>
        </w:numPr>
        <w:spacing w:line="300" w:lineRule="exact"/>
        <w:ind w:left="426"/>
        <w:rPr>
          <w:b/>
          <w:bCs/>
          <w:sz w:val="26"/>
          <w:szCs w:val="26"/>
          <w:lang w:val="en-GB"/>
        </w:rPr>
      </w:pPr>
      <w:r w:rsidRPr="00AF74EB">
        <w:rPr>
          <w:b/>
          <w:bCs/>
          <w:sz w:val="26"/>
          <w:szCs w:val="26"/>
          <w:lang w:val="en-GB"/>
        </w:rPr>
        <w:t xml:space="preserve">Current </w:t>
      </w:r>
      <w:r w:rsidRPr="00AF74EB" w:rsidR="00352AE9">
        <w:rPr>
          <w:b/>
          <w:bCs/>
          <w:sz w:val="26"/>
          <w:szCs w:val="26"/>
          <w:lang w:val="en-GB"/>
        </w:rPr>
        <w:t>TA needs</w:t>
      </w:r>
      <w:r w:rsidRPr="00AF74EB">
        <w:rPr>
          <w:b/>
          <w:bCs/>
          <w:sz w:val="26"/>
          <w:szCs w:val="26"/>
          <w:lang w:val="en-GB"/>
        </w:rPr>
        <w:t xml:space="preserve"> of </w:t>
      </w:r>
      <w:r w:rsidR="002C0392">
        <w:rPr>
          <w:b/>
          <w:bCs/>
          <w:sz w:val="26"/>
          <w:szCs w:val="26"/>
          <w:lang w:val="en-GB"/>
        </w:rPr>
        <w:t>Rwanda</w:t>
      </w:r>
      <w:r w:rsidRPr="00AF74EB" w:rsidR="002C0392">
        <w:rPr>
          <w:b/>
          <w:bCs/>
          <w:sz w:val="26"/>
          <w:szCs w:val="26"/>
          <w:lang w:val="en-GB"/>
        </w:rPr>
        <w:t xml:space="preserve"> </w:t>
      </w:r>
      <w:r w:rsidRPr="00AF74EB">
        <w:rPr>
          <w:b/>
          <w:bCs/>
          <w:sz w:val="26"/>
          <w:szCs w:val="26"/>
          <w:lang w:val="en-GB"/>
        </w:rPr>
        <w:t xml:space="preserve">immunisation system </w:t>
      </w:r>
      <w:r w:rsidRPr="00AF74EB" w:rsidR="006D5892">
        <w:rPr>
          <w:b/>
          <w:bCs/>
          <w:sz w:val="26"/>
          <w:szCs w:val="26"/>
          <w:lang w:val="en-GB"/>
        </w:rPr>
        <w:t>(</w:t>
      </w:r>
      <w:r w:rsidRPr="00AF74EB" w:rsidR="00301307">
        <w:rPr>
          <w:b/>
          <w:bCs/>
          <w:sz w:val="26"/>
          <w:szCs w:val="26"/>
          <w:lang w:val="en-GB"/>
        </w:rPr>
        <w:t xml:space="preserve">1-2 </w:t>
      </w:r>
      <w:r w:rsidRPr="00AF74EB" w:rsidR="006D5892">
        <w:rPr>
          <w:b/>
          <w:bCs/>
          <w:sz w:val="26"/>
          <w:szCs w:val="26"/>
          <w:lang w:val="en-GB"/>
        </w:rPr>
        <w:t>pages)</w:t>
      </w:r>
    </w:p>
    <w:p w:rsidRPr="00AF74EB" w:rsidR="0095370A" w:rsidP="00E50185" w:rsidRDefault="009643BF" w14:paraId="272993D5" w14:textId="48DD258B">
      <w:pPr>
        <w:pStyle w:val="ListParagraph"/>
        <w:spacing w:line="300" w:lineRule="exact"/>
        <w:ind w:left="142"/>
        <w:rPr>
          <w:b/>
          <w:i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The table below summarizes</w:t>
      </w:r>
      <w:r w:rsidRPr="00AF74EB">
        <w:rPr>
          <w:b/>
          <w:bCs/>
          <w:i/>
          <w:iCs/>
          <w:sz w:val="20"/>
          <w:szCs w:val="20"/>
        </w:rPr>
        <w:t xml:space="preserve"> </w:t>
      </w:r>
      <w:r w:rsidRPr="00AF74EB" w:rsidR="008B2F8A">
        <w:rPr>
          <w:b/>
          <w:bCs/>
          <w:i/>
          <w:iCs/>
          <w:sz w:val="20"/>
          <w:szCs w:val="20"/>
        </w:rPr>
        <w:t xml:space="preserve">the planned allocation of PEF TCA towards </w:t>
      </w:r>
      <w:r w:rsidRPr="00AF74EB" w:rsidR="004010B7">
        <w:rPr>
          <w:b/>
          <w:bCs/>
          <w:i/>
          <w:iCs/>
          <w:sz w:val="20"/>
          <w:szCs w:val="20"/>
        </w:rPr>
        <w:t>investments areas and hig</w:t>
      </w:r>
      <w:r w:rsidRPr="00AF74EB" w:rsidR="00107D9F">
        <w:rPr>
          <w:b/>
          <w:bCs/>
          <w:i/>
          <w:iCs/>
          <w:sz w:val="20"/>
          <w:szCs w:val="20"/>
        </w:rPr>
        <w:t>h</w:t>
      </w:r>
      <w:r w:rsidRPr="00AF74EB" w:rsidR="004010B7">
        <w:rPr>
          <w:b/>
          <w:bCs/>
          <w:i/>
          <w:iCs/>
          <w:sz w:val="20"/>
          <w:szCs w:val="20"/>
        </w:rPr>
        <w:t>-level objectives. Gavi-supported investment areas and a menu of objectives are available for refer</w:t>
      </w:r>
      <w:r w:rsidRPr="00AF74EB" w:rsidR="00107D9F">
        <w:rPr>
          <w:b/>
          <w:bCs/>
          <w:i/>
          <w:iCs/>
          <w:sz w:val="20"/>
          <w:szCs w:val="20"/>
        </w:rPr>
        <w:t>e</w:t>
      </w:r>
      <w:r w:rsidRPr="00AF74EB" w:rsidR="004010B7">
        <w:rPr>
          <w:b/>
          <w:bCs/>
          <w:i/>
          <w:iCs/>
          <w:sz w:val="20"/>
          <w:szCs w:val="20"/>
        </w:rPr>
        <w:t>nce in Gav</w:t>
      </w:r>
      <w:r w:rsidRPr="00AF74EB" w:rsidR="00107D9F">
        <w:rPr>
          <w:b/>
          <w:bCs/>
          <w:i/>
          <w:iCs/>
          <w:sz w:val="20"/>
          <w:szCs w:val="20"/>
        </w:rPr>
        <w:t>i</w:t>
      </w:r>
      <w:r w:rsidRPr="00AF74EB" w:rsidR="004010B7">
        <w:rPr>
          <w:b/>
          <w:bCs/>
          <w:i/>
          <w:iCs/>
          <w:sz w:val="20"/>
          <w:szCs w:val="20"/>
        </w:rPr>
        <w:t xml:space="preserve">’s </w:t>
      </w:r>
      <w:hyperlink w:history="1" r:id="rId13">
        <w:r w:rsidRPr="00AF74EB" w:rsidR="00270AE6">
          <w:rPr>
            <w:rStyle w:val="Hyperlink"/>
            <w:b/>
            <w:bCs/>
            <w:i/>
            <w:iCs/>
            <w:color w:val="auto"/>
            <w:sz w:val="20"/>
            <w:szCs w:val="20"/>
          </w:rPr>
          <w:t>Programme Funding Guidelines</w:t>
        </w:r>
      </w:hyperlink>
      <w:r w:rsidRPr="00AF74EB" w:rsidR="004010B7">
        <w:rPr>
          <w:b/>
          <w:bCs/>
          <w:i/>
          <w:iCs/>
          <w:sz w:val="20"/>
          <w:szCs w:val="20"/>
        </w:rPr>
        <w:t>.</w:t>
      </w:r>
      <w:r w:rsidRPr="00AF74EB" w:rsidR="00DD6A66">
        <w:rPr>
          <w:b/>
          <w:bCs/>
          <w:i/>
          <w:iCs/>
          <w:sz w:val="20"/>
          <w:szCs w:val="20"/>
        </w:rPr>
        <w:t xml:space="preserve"> </w:t>
      </w:r>
    </w:p>
    <w:p w:rsidRPr="00AF74EB" w:rsidR="007F2F8B" w:rsidP="00372D1F" w:rsidRDefault="007F2F8B" w14:paraId="6567DB8B" w14:textId="77777777">
      <w:pPr>
        <w:pStyle w:val="ListParagraph"/>
        <w:spacing w:line="300" w:lineRule="exact"/>
        <w:ind w:left="426"/>
        <w:rPr>
          <w:i/>
          <w:lang w:val="en-GB"/>
        </w:rPr>
      </w:pPr>
    </w:p>
    <w:p w:rsidRPr="00AF74EB" w:rsidR="00B063BE" w:rsidP="00372D1F" w:rsidRDefault="00B063BE" w14:paraId="6F525F87" w14:textId="4627BF72">
      <w:pPr>
        <w:pStyle w:val="ListParagraph"/>
        <w:spacing w:line="300" w:lineRule="exact"/>
        <w:ind w:left="426"/>
        <w:rPr>
          <w:i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3"/>
        <w:gridCol w:w="3566"/>
        <w:gridCol w:w="1560"/>
        <w:gridCol w:w="1423"/>
      </w:tblGrid>
      <w:tr w:rsidRPr="00AF74EB" w:rsidR="00AF74EB" w:rsidTr="7F867002" w14:paraId="4EB9773C" w14:textId="77777777">
        <w:trPr>
          <w:trHeight w:val="315"/>
        </w:trPr>
        <w:tc>
          <w:tcPr>
            <w:tcW w:w="6199" w:type="dxa"/>
            <w:gridSpan w:val="2"/>
            <w:tcMar/>
            <w:hideMark/>
          </w:tcPr>
          <w:p w:rsidRPr="00AF74EB" w:rsidR="00B063BE" w:rsidP="00774149" w:rsidRDefault="00B063BE" w14:paraId="21117EFB" w14:textId="77777777">
            <w:pPr>
              <w:pStyle w:val="ListParagraph"/>
              <w:spacing w:line="300" w:lineRule="exact"/>
              <w:ind w:left="426"/>
              <w:rPr>
                <w:b/>
                <w:bCs/>
                <w:iCs/>
                <w:lang w:val="en-US"/>
              </w:rPr>
            </w:pPr>
            <w:r w:rsidRPr="00AF74EB">
              <w:rPr>
                <w:b/>
                <w:bCs/>
                <w:iCs/>
                <w:lang w:val="en-GB"/>
              </w:rPr>
              <w:t>High-level Plan</w:t>
            </w:r>
          </w:p>
        </w:tc>
        <w:tc>
          <w:tcPr>
            <w:tcW w:w="1560" w:type="dxa"/>
            <w:tcMar/>
            <w:hideMark/>
          </w:tcPr>
          <w:p w:rsidRPr="00AF74EB" w:rsidR="00B063BE" w:rsidP="00774149" w:rsidRDefault="00B063BE" w14:paraId="374132FC" w14:textId="77777777">
            <w:pPr>
              <w:pStyle w:val="ListParagraph"/>
              <w:spacing w:line="300" w:lineRule="exact"/>
              <w:ind w:left="426"/>
              <w:rPr>
                <w:b/>
                <w:bCs/>
                <w:iCs/>
              </w:rPr>
            </w:pPr>
            <w:r w:rsidRPr="00AF74EB">
              <w:rPr>
                <w:b/>
                <w:bCs/>
                <w:iCs/>
                <w:lang w:val="en-GB"/>
              </w:rPr>
              <w:t>Budget (USD)</w:t>
            </w:r>
          </w:p>
        </w:tc>
        <w:tc>
          <w:tcPr>
            <w:tcW w:w="1423" w:type="dxa"/>
            <w:tcMar/>
            <w:hideMark/>
          </w:tcPr>
          <w:p w:rsidRPr="00AF74EB" w:rsidR="00B063BE" w:rsidP="00774149" w:rsidRDefault="00B063BE" w14:paraId="5B4DB22E" w14:textId="77777777">
            <w:pPr>
              <w:pStyle w:val="ListParagraph"/>
              <w:spacing w:line="300" w:lineRule="exact"/>
              <w:ind w:left="426"/>
              <w:rPr>
                <w:b/>
                <w:bCs/>
                <w:iCs/>
              </w:rPr>
            </w:pPr>
            <w:r w:rsidRPr="00AF74EB">
              <w:rPr>
                <w:b/>
                <w:bCs/>
                <w:iCs/>
                <w:lang w:val="en-GB"/>
              </w:rPr>
              <w:t>%</w:t>
            </w:r>
          </w:p>
        </w:tc>
      </w:tr>
      <w:tr w:rsidRPr="00AF74EB" w:rsidR="00AF74EB" w:rsidTr="7F867002" w14:paraId="32EA8534" w14:textId="77777777">
        <w:trPr>
          <w:trHeight w:val="300"/>
        </w:trPr>
        <w:tc>
          <w:tcPr>
            <w:tcW w:w="2633" w:type="dxa"/>
            <w:shd w:val="clear" w:color="auto" w:fill="E2EFD9" w:themeFill="accent6" w:themeFillTint="33"/>
            <w:tcMar/>
            <w:hideMark/>
          </w:tcPr>
          <w:p w:rsidRPr="008A3D4B" w:rsidR="00B063BE" w:rsidP="00774149" w:rsidRDefault="00B063BE" w14:paraId="3C20218C" w14:textId="77777777">
            <w:pPr>
              <w:pStyle w:val="ListParagraph"/>
              <w:spacing w:line="300" w:lineRule="exact"/>
              <w:ind w:left="426"/>
              <w:jc w:val="right"/>
              <w:rPr>
                <w:color w:val="000000"/>
              </w:rPr>
            </w:pPr>
            <w:r w:rsidRPr="008A3D4B">
              <w:rPr>
                <w:color w:val="000000"/>
              </w:rPr>
              <w:t> </w:t>
            </w:r>
          </w:p>
        </w:tc>
        <w:tc>
          <w:tcPr>
            <w:tcW w:w="3566" w:type="dxa"/>
            <w:shd w:val="clear" w:color="auto" w:fill="E2EFD9" w:themeFill="accent6" w:themeFillTint="33"/>
            <w:tcMar/>
            <w:hideMark/>
          </w:tcPr>
          <w:p w:rsidRPr="00AF74EB" w:rsidR="00B063BE" w:rsidP="00774149" w:rsidRDefault="00B063BE" w14:paraId="37B3CF27" w14:textId="77777777">
            <w:pPr>
              <w:pStyle w:val="ListParagraph"/>
              <w:spacing w:line="300" w:lineRule="exact"/>
              <w:ind w:left="426"/>
              <w:jc w:val="center"/>
              <w:rPr>
                <w:b/>
                <w:bCs/>
                <w:iCs/>
              </w:rPr>
            </w:pPr>
            <w:r w:rsidRPr="00AF74EB">
              <w:rPr>
                <w:b/>
                <w:bCs/>
                <w:iCs/>
              </w:rPr>
              <w:t>2022</w:t>
            </w:r>
          </w:p>
        </w:tc>
        <w:tc>
          <w:tcPr>
            <w:tcW w:w="1560" w:type="dxa"/>
            <w:shd w:val="clear" w:color="auto" w:fill="E2EFD9" w:themeFill="accent6" w:themeFillTint="33"/>
            <w:tcMar/>
            <w:hideMark/>
          </w:tcPr>
          <w:p w:rsidRPr="00AF74EB" w:rsidR="00B063BE" w:rsidP="7F867002" w:rsidRDefault="00B063BE" w14:paraId="7C25DE75" w14:textId="5F50247F">
            <w:pPr>
              <w:pStyle w:val="ListParagraph"/>
              <w:spacing w:line="300" w:lineRule="exact"/>
              <w:ind w:left="426"/>
              <w:jc w:val="right"/>
              <w:rPr>
                <w:b w:val="1"/>
                <w:bCs w:val="1"/>
              </w:rPr>
            </w:pPr>
            <w:r w:rsidRPr="7F867002" w:rsidR="7F867002">
              <w:rPr>
                <w:b w:val="1"/>
                <w:bCs w:val="1"/>
              </w:rPr>
              <w:t>322,283</w:t>
            </w:r>
          </w:p>
          <w:p w:rsidRPr="00AF74EB" w:rsidR="00B063BE" w:rsidP="7F867002" w:rsidRDefault="00B063BE" w14:paraId="081ED61A" w14:textId="678C432E">
            <w:pPr>
              <w:pStyle w:val="ListParagraph"/>
              <w:spacing w:line="300" w:lineRule="exact"/>
              <w:ind w:left="0"/>
              <w:jc w:val="right"/>
              <w:rPr>
                <w:b w:val="1"/>
                <w:bCs w:val="1"/>
              </w:rPr>
            </w:pPr>
            <w:r w:rsidRPr="7F867002" w:rsidR="00B063BE">
              <w:rPr>
                <w:b w:val="1"/>
                <w:bCs w:val="1"/>
              </w:rPr>
              <w:t> </w:t>
            </w:r>
          </w:p>
        </w:tc>
        <w:tc>
          <w:tcPr>
            <w:tcW w:w="1423" w:type="dxa"/>
            <w:shd w:val="clear" w:color="auto" w:fill="E2EFD9" w:themeFill="accent6" w:themeFillTint="33"/>
            <w:tcMar/>
            <w:hideMark/>
          </w:tcPr>
          <w:p w:rsidRPr="00AF74EB" w:rsidR="00B063BE" w:rsidP="00774149" w:rsidRDefault="00B063BE" w14:paraId="22084923" w14:textId="77777777">
            <w:pPr>
              <w:pStyle w:val="ListParagraph"/>
              <w:spacing w:line="300" w:lineRule="exact"/>
              <w:ind w:left="426"/>
              <w:jc w:val="right"/>
              <w:rPr>
                <w:b/>
                <w:bCs/>
                <w:iCs/>
              </w:rPr>
            </w:pPr>
            <w:r w:rsidRPr="00AF74EB">
              <w:rPr>
                <w:b/>
                <w:bCs/>
                <w:iCs/>
              </w:rPr>
              <w:t> </w:t>
            </w:r>
          </w:p>
        </w:tc>
      </w:tr>
      <w:tr w:rsidRPr="00AF74EB" w:rsidR="00B76B76" w:rsidTr="7F867002" w14:paraId="06F52907" w14:textId="77777777">
        <w:trPr>
          <w:trHeight w:val="870"/>
        </w:trPr>
        <w:tc>
          <w:tcPr>
            <w:tcW w:w="2633" w:type="dxa"/>
            <w:tcMar/>
            <w:vAlign w:val="bottom"/>
            <w:hideMark/>
          </w:tcPr>
          <w:p w:rsidRPr="00580CAC" w:rsidR="00B76B76" w:rsidP="00B76B76" w:rsidRDefault="00B76B76" w14:paraId="6A04EC49" w14:textId="318D0807">
            <w:pPr>
              <w:spacing w:line="300" w:lineRule="exact"/>
              <w:rPr>
                <w:color w:val="000000"/>
              </w:rPr>
            </w:pPr>
            <w:r w:rsidRPr="008A3D4B">
              <w:rPr>
                <w:color w:val="000000"/>
              </w:rPr>
              <w:t>Human resources for health</w:t>
            </w:r>
          </w:p>
        </w:tc>
        <w:tc>
          <w:tcPr>
            <w:tcW w:w="3566" w:type="dxa"/>
            <w:tcMar/>
            <w:vAlign w:val="center"/>
            <w:hideMark/>
          </w:tcPr>
          <w:p w:rsidRPr="00AF74EB" w:rsidR="00B76B76" w:rsidP="00B76B76" w:rsidRDefault="00B76B76" w14:paraId="59E9A8E6" w14:textId="0A79BE6D">
            <w:pPr>
              <w:spacing w:line="300" w:lineRule="exact"/>
              <w:rPr>
                <w:iCs/>
              </w:rPr>
            </w:pPr>
            <w:r>
              <w:rPr>
                <w:color w:val="000000"/>
              </w:rPr>
              <w:t>Strengthen the oversight functions of the Immunization Program for sustainability of quality immunization programme that can achieve and sustain a minimum of 96% coverage of the fully immunized by 2036</w:t>
            </w:r>
          </w:p>
        </w:tc>
        <w:tc>
          <w:tcPr>
            <w:tcW w:w="1560" w:type="dxa"/>
            <w:tcMar/>
            <w:vAlign w:val="bottom"/>
            <w:hideMark/>
          </w:tcPr>
          <w:p w:rsidRPr="00AF74EB" w:rsidR="00B76B76" w:rsidP="7F867002" w:rsidRDefault="00B76B76" w14:paraId="74016D79" w14:textId="7B8B12D1">
            <w:pPr>
              <w:pStyle w:val="ListParagraph"/>
              <w:spacing w:line="300" w:lineRule="exact"/>
              <w:ind w:left="426"/>
              <w:rPr>
                <w:rFonts w:ascii="Calibri" w:hAnsi="Calibri" w:cs="Calibri"/>
                <w:color w:val="000000" w:themeColor="text1" w:themeTint="FF" w:themeShade="FF"/>
              </w:rPr>
            </w:pPr>
            <w:r w:rsidRPr="7F867002" w:rsidR="00B76B76">
              <w:rPr>
                <w:rFonts w:ascii="Calibri" w:hAnsi="Calibri" w:cs="Calibri"/>
                <w:color w:val="000000" w:themeColor="text1" w:themeTint="FF" w:themeShade="FF"/>
              </w:rPr>
              <w:t xml:space="preserve">    70,000 </w:t>
            </w:r>
          </w:p>
        </w:tc>
        <w:tc>
          <w:tcPr>
            <w:tcW w:w="1423" w:type="dxa"/>
            <w:tcMar/>
            <w:vAlign w:val="bottom"/>
            <w:hideMark/>
          </w:tcPr>
          <w:p w:rsidRPr="00AF74EB" w:rsidR="00B76B76" w:rsidP="00B76B76" w:rsidRDefault="00B76B76" w14:paraId="75D1A6B3" w14:textId="215DD71C">
            <w:pPr>
              <w:pStyle w:val="ListParagraph"/>
              <w:spacing w:line="300" w:lineRule="exact"/>
              <w:ind w:left="426"/>
              <w:rPr>
                <w:iCs/>
              </w:rPr>
            </w:pPr>
            <w:r>
              <w:rPr>
                <w:rFonts w:ascii="Calibri" w:hAnsi="Calibri" w:cs="Calibri"/>
                <w:color w:val="000000"/>
              </w:rPr>
              <w:t>21.7</w:t>
            </w:r>
          </w:p>
        </w:tc>
      </w:tr>
      <w:tr w:rsidRPr="00AF74EB" w:rsidR="00B76B76" w:rsidTr="7F867002" w14:paraId="53F91244" w14:textId="77777777">
        <w:trPr>
          <w:trHeight w:val="870"/>
        </w:trPr>
        <w:tc>
          <w:tcPr>
            <w:tcW w:w="2633" w:type="dxa"/>
            <w:tcMar/>
            <w:vAlign w:val="bottom"/>
            <w:hideMark/>
          </w:tcPr>
          <w:p w:rsidRPr="00580CAC" w:rsidR="00B76B76" w:rsidP="00B76B76" w:rsidRDefault="00B76B76" w14:paraId="063398BC" w14:textId="593C091C">
            <w:pPr>
              <w:spacing w:line="300" w:lineRule="exact"/>
              <w:rPr>
                <w:color w:val="000000"/>
              </w:rPr>
            </w:pPr>
            <w:r w:rsidRPr="008A3D4B">
              <w:rPr>
                <w:color w:val="000000"/>
              </w:rPr>
              <w:t>Supply chain</w:t>
            </w:r>
          </w:p>
        </w:tc>
        <w:tc>
          <w:tcPr>
            <w:tcW w:w="3566" w:type="dxa"/>
            <w:tcMar/>
            <w:vAlign w:val="center"/>
            <w:hideMark/>
          </w:tcPr>
          <w:p w:rsidRPr="00AF74EB" w:rsidR="00B76B76" w:rsidP="00B76B76" w:rsidRDefault="00B76B76" w14:paraId="047717B4" w14:textId="120DEEEB">
            <w:pPr>
              <w:spacing w:line="300" w:lineRule="exact"/>
              <w:rPr>
                <w:iCs/>
              </w:rPr>
            </w:pPr>
            <w:r>
              <w:rPr>
                <w:color w:val="000000"/>
              </w:rPr>
              <w:t xml:space="preserve">Enhance performance of the logistics and supply chain system of the Immunization Programme to ensure availability of supplies and safeguard of vaccine potency </w:t>
            </w:r>
            <w:r>
              <w:rPr>
                <w:color w:val="000000"/>
              </w:rPr>
              <w:lastRenderedPageBreak/>
              <w:t>at all levels of immunization supply chain</w:t>
            </w:r>
          </w:p>
        </w:tc>
        <w:tc>
          <w:tcPr>
            <w:tcW w:w="1560" w:type="dxa"/>
            <w:tcMar/>
            <w:vAlign w:val="bottom"/>
            <w:hideMark/>
          </w:tcPr>
          <w:p w:rsidRPr="00AF74EB" w:rsidR="00B76B76" w:rsidP="00B76B76" w:rsidRDefault="00B76B76" w14:paraId="67D4F8BB" w14:textId="3B9378D3">
            <w:pPr>
              <w:pStyle w:val="ListParagraph"/>
              <w:spacing w:line="300" w:lineRule="exact"/>
              <w:ind w:left="426"/>
              <w:rPr>
                <w:iCs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    20,000 </w:t>
            </w:r>
          </w:p>
        </w:tc>
        <w:tc>
          <w:tcPr>
            <w:tcW w:w="1423" w:type="dxa"/>
            <w:tcMar/>
            <w:vAlign w:val="bottom"/>
            <w:hideMark/>
          </w:tcPr>
          <w:p w:rsidRPr="00AF74EB" w:rsidR="00B76B76" w:rsidP="00B76B76" w:rsidRDefault="00B76B76" w14:paraId="7056FB71" w14:textId="238F0D1F">
            <w:pPr>
              <w:pStyle w:val="ListParagraph"/>
              <w:spacing w:line="300" w:lineRule="exact"/>
              <w:ind w:left="426"/>
              <w:rPr>
                <w:iCs/>
              </w:rPr>
            </w:pPr>
            <w:r>
              <w:rPr>
                <w:rFonts w:ascii="Calibri" w:hAnsi="Calibri" w:cs="Calibri"/>
                <w:color w:val="000000"/>
              </w:rPr>
              <w:t>6.2</w:t>
            </w:r>
          </w:p>
        </w:tc>
      </w:tr>
      <w:tr w:rsidRPr="00AF74EB" w:rsidR="00B76B76" w:rsidTr="7F867002" w14:paraId="6519B984" w14:textId="77777777">
        <w:trPr>
          <w:trHeight w:val="870"/>
        </w:trPr>
        <w:tc>
          <w:tcPr>
            <w:tcW w:w="2633" w:type="dxa"/>
            <w:tcMar/>
            <w:vAlign w:val="bottom"/>
            <w:hideMark/>
          </w:tcPr>
          <w:p w:rsidRPr="00580CAC" w:rsidR="00B76B76" w:rsidP="00B76B76" w:rsidRDefault="00B76B76" w14:paraId="153E8A0E" w14:textId="41F72944">
            <w:pPr>
              <w:spacing w:line="300" w:lineRule="exact"/>
              <w:rPr>
                <w:color w:val="000000"/>
              </w:rPr>
            </w:pPr>
            <w:r w:rsidRPr="008A3D4B">
              <w:rPr>
                <w:color w:val="000000"/>
              </w:rPr>
              <w:t>Health information systems and monitoring and learning</w:t>
            </w:r>
          </w:p>
        </w:tc>
        <w:tc>
          <w:tcPr>
            <w:tcW w:w="3566" w:type="dxa"/>
            <w:tcMar/>
            <w:vAlign w:val="bottom"/>
            <w:hideMark/>
          </w:tcPr>
          <w:p w:rsidRPr="00AF74EB" w:rsidR="00B76B76" w:rsidP="00B76B76" w:rsidRDefault="00B76B76" w14:paraId="1B42FC47" w14:textId="41F6E8B9">
            <w:pPr>
              <w:spacing w:line="300" w:lineRule="exact"/>
              <w:rPr>
                <w:iCs/>
              </w:rPr>
            </w:pPr>
            <w:r>
              <w:rPr>
                <w:color w:val="000000"/>
              </w:rPr>
              <w:t>Promote immunization digitalisation, research and innovations</w:t>
            </w:r>
          </w:p>
        </w:tc>
        <w:tc>
          <w:tcPr>
            <w:tcW w:w="1560" w:type="dxa"/>
            <w:tcMar/>
            <w:vAlign w:val="bottom"/>
            <w:hideMark/>
          </w:tcPr>
          <w:p w:rsidRPr="00AF74EB" w:rsidR="00B76B76" w:rsidP="00B76B76" w:rsidRDefault="00B76B76" w14:paraId="73D4E451" w14:textId="384AE4F0">
            <w:pPr>
              <w:pStyle w:val="ListParagraph"/>
              <w:spacing w:line="300" w:lineRule="exact"/>
              <w:ind w:left="426"/>
              <w:rPr>
                <w:iCs/>
              </w:rPr>
            </w:pPr>
            <w:r>
              <w:rPr>
                <w:rFonts w:ascii="Calibri" w:hAnsi="Calibri" w:cs="Calibri"/>
                <w:color w:val="000000"/>
              </w:rPr>
              <w:t xml:space="preserve">  160,000 </w:t>
            </w:r>
          </w:p>
        </w:tc>
        <w:tc>
          <w:tcPr>
            <w:tcW w:w="1423" w:type="dxa"/>
            <w:tcMar/>
            <w:vAlign w:val="bottom"/>
            <w:hideMark/>
          </w:tcPr>
          <w:p w:rsidRPr="00AF74EB" w:rsidR="00B76B76" w:rsidP="00B76B76" w:rsidRDefault="00B76B76" w14:paraId="4947DDED" w14:textId="2C3D9BF6">
            <w:pPr>
              <w:pStyle w:val="ListParagraph"/>
              <w:spacing w:line="300" w:lineRule="exact"/>
              <w:ind w:left="426"/>
              <w:rPr>
                <w:iCs/>
              </w:rPr>
            </w:pPr>
            <w:r>
              <w:rPr>
                <w:rFonts w:ascii="Calibri" w:hAnsi="Calibri" w:cs="Calibri"/>
                <w:color w:val="000000"/>
              </w:rPr>
              <w:t>49.6</w:t>
            </w:r>
          </w:p>
        </w:tc>
      </w:tr>
      <w:tr w:rsidRPr="00AF74EB" w:rsidR="00B76B76" w:rsidTr="7F867002" w14:paraId="56E491FD" w14:textId="77777777">
        <w:trPr>
          <w:trHeight w:val="870"/>
        </w:trPr>
        <w:tc>
          <w:tcPr>
            <w:tcW w:w="2633" w:type="dxa"/>
            <w:tcMar/>
            <w:vAlign w:val="bottom"/>
            <w:hideMark/>
          </w:tcPr>
          <w:p w:rsidRPr="00580CAC" w:rsidR="00B76B76" w:rsidP="00B76B76" w:rsidRDefault="00B76B76" w14:paraId="26EEF6CA" w14:textId="5294FEDD">
            <w:pPr>
              <w:spacing w:line="300" w:lineRule="exact"/>
              <w:rPr>
                <w:color w:val="000000"/>
              </w:rPr>
            </w:pPr>
            <w:r w:rsidRPr="008A3D4B">
              <w:rPr>
                <w:color w:val="000000"/>
              </w:rPr>
              <w:t>Vaccine-preventable disease surveillance</w:t>
            </w:r>
          </w:p>
        </w:tc>
        <w:tc>
          <w:tcPr>
            <w:tcW w:w="3566" w:type="dxa"/>
            <w:tcMar/>
            <w:vAlign w:val="center"/>
            <w:hideMark/>
          </w:tcPr>
          <w:p w:rsidRPr="00580CAC" w:rsidR="00B76B76" w:rsidP="00B76B76" w:rsidRDefault="00B76B76" w14:paraId="387E6432" w14:textId="26020434">
            <w:pPr>
              <w:spacing w:line="300" w:lineRule="exact"/>
              <w:rPr>
                <w:iCs/>
                <w:color w:val="FF0000"/>
              </w:rPr>
            </w:pPr>
            <w:r>
              <w:rPr>
                <w:color w:val="000000"/>
              </w:rPr>
              <w:t>Enhance continuous data quality improvement and utilization of data for evidence-based decision making (EBDM) at all levels of the health system</w:t>
            </w:r>
          </w:p>
        </w:tc>
        <w:tc>
          <w:tcPr>
            <w:tcW w:w="1560" w:type="dxa"/>
            <w:tcMar/>
            <w:vAlign w:val="bottom"/>
            <w:hideMark/>
          </w:tcPr>
          <w:p w:rsidRPr="00580CAC" w:rsidR="00B76B76" w:rsidP="00B76B76" w:rsidRDefault="00B76B76" w14:paraId="63D6B092" w14:textId="36680EC4">
            <w:pPr>
              <w:pStyle w:val="ListParagraph"/>
              <w:spacing w:line="300" w:lineRule="exact"/>
              <w:ind w:left="426"/>
              <w:rPr>
                <w:iCs/>
                <w:color w:val="FF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8,309 </w:t>
            </w:r>
          </w:p>
        </w:tc>
        <w:tc>
          <w:tcPr>
            <w:tcW w:w="1423" w:type="dxa"/>
            <w:tcMar/>
            <w:vAlign w:val="bottom"/>
            <w:hideMark/>
          </w:tcPr>
          <w:p w:rsidRPr="00580CAC" w:rsidR="00B76B76" w:rsidP="00B76B76" w:rsidRDefault="00B76B76" w14:paraId="3E40CC26" w14:textId="510B40CE">
            <w:pPr>
              <w:pStyle w:val="ListParagraph"/>
              <w:spacing w:line="300" w:lineRule="exact"/>
              <w:ind w:left="426"/>
              <w:rPr>
                <w:iCs/>
                <w:color w:val="FF0000"/>
              </w:rPr>
            </w:pPr>
            <w:r>
              <w:rPr>
                <w:rFonts w:ascii="Calibri" w:hAnsi="Calibri" w:cs="Calibri"/>
                <w:color w:val="000000"/>
              </w:rPr>
              <w:t>2.6</w:t>
            </w:r>
          </w:p>
        </w:tc>
      </w:tr>
      <w:tr w:rsidRPr="00AF74EB" w:rsidR="00B76B76" w:rsidTr="7F867002" w14:paraId="55DCCCCC" w14:textId="77777777">
        <w:trPr>
          <w:trHeight w:val="870"/>
        </w:trPr>
        <w:tc>
          <w:tcPr>
            <w:tcW w:w="2633" w:type="dxa"/>
            <w:tcMar/>
            <w:vAlign w:val="bottom"/>
            <w:hideMark/>
          </w:tcPr>
          <w:p w:rsidRPr="00580CAC" w:rsidR="00B76B76" w:rsidP="00B76B76" w:rsidRDefault="00B76B76" w14:paraId="19C17BFE" w14:textId="37C2033E">
            <w:pPr>
              <w:spacing w:line="300" w:lineRule="exact"/>
              <w:rPr>
                <w:color w:val="000000"/>
              </w:rPr>
            </w:pPr>
            <w:r w:rsidRPr="008A3D4B">
              <w:rPr>
                <w:color w:val="000000"/>
              </w:rPr>
              <w:t>Demand generation and community development</w:t>
            </w:r>
          </w:p>
        </w:tc>
        <w:tc>
          <w:tcPr>
            <w:tcW w:w="3566" w:type="dxa"/>
            <w:tcMar/>
            <w:vAlign w:val="center"/>
            <w:hideMark/>
          </w:tcPr>
          <w:p w:rsidRPr="00AF74EB" w:rsidR="00B76B76" w:rsidP="00B76B76" w:rsidRDefault="00B76B76" w14:paraId="2EBE7406" w14:textId="7893D849">
            <w:pPr>
              <w:spacing w:line="300" w:lineRule="exact"/>
              <w:rPr>
                <w:iCs/>
              </w:rPr>
            </w:pPr>
            <w:r>
              <w:rPr>
                <w:color w:val="000000"/>
              </w:rPr>
              <w:t>Strengthen social and behavior change communication approaches that promote demand for and uptake of immunization services so as to achieve and sustain a minimum of 96 % coverage of the fully immunized by 2026</w:t>
            </w:r>
          </w:p>
        </w:tc>
        <w:tc>
          <w:tcPr>
            <w:tcW w:w="1560" w:type="dxa"/>
            <w:tcMar/>
            <w:vAlign w:val="bottom"/>
            <w:hideMark/>
          </w:tcPr>
          <w:p w:rsidRPr="00AF74EB" w:rsidR="00B76B76" w:rsidP="00B76B76" w:rsidRDefault="00B76B76" w14:paraId="5B75DF39" w14:textId="5ADD6B91">
            <w:pPr>
              <w:pStyle w:val="ListParagraph"/>
              <w:spacing w:line="300" w:lineRule="exact"/>
              <w:ind w:left="426"/>
              <w:rPr>
                <w:iCs/>
              </w:rPr>
            </w:pPr>
            <w:r>
              <w:rPr>
                <w:rFonts w:ascii="Calibri" w:hAnsi="Calibri" w:cs="Calibri"/>
                <w:color w:val="000000"/>
              </w:rPr>
              <w:t xml:space="preserve">    32,000 </w:t>
            </w:r>
          </w:p>
        </w:tc>
        <w:tc>
          <w:tcPr>
            <w:tcW w:w="1423" w:type="dxa"/>
            <w:tcMar/>
            <w:vAlign w:val="bottom"/>
            <w:hideMark/>
          </w:tcPr>
          <w:p w:rsidRPr="00AF74EB" w:rsidR="00B76B76" w:rsidP="00B76B76" w:rsidRDefault="00B76B76" w14:paraId="54016DC4" w14:textId="7B748E09">
            <w:pPr>
              <w:pStyle w:val="ListParagraph"/>
              <w:spacing w:line="300" w:lineRule="exact"/>
              <w:ind w:left="426"/>
              <w:rPr>
                <w:iCs/>
              </w:rPr>
            </w:pPr>
            <w:r>
              <w:rPr>
                <w:rFonts w:ascii="Calibri" w:hAnsi="Calibri" w:cs="Calibri"/>
                <w:color w:val="000000"/>
              </w:rPr>
              <w:t>9.9</w:t>
            </w:r>
          </w:p>
        </w:tc>
      </w:tr>
      <w:tr w:rsidRPr="00AF74EB" w:rsidR="00B76B76" w:rsidTr="7F867002" w14:paraId="478E31BD" w14:textId="77777777">
        <w:trPr>
          <w:trHeight w:val="1140"/>
        </w:trPr>
        <w:tc>
          <w:tcPr>
            <w:tcW w:w="2633" w:type="dxa"/>
            <w:tcMar/>
            <w:vAlign w:val="bottom"/>
            <w:hideMark/>
          </w:tcPr>
          <w:p w:rsidRPr="00580CAC" w:rsidR="00B76B76" w:rsidP="00B76B76" w:rsidRDefault="00B76B76" w14:paraId="12A98AB9" w14:textId="4179F2D8">
            <w:pPr>
              <w:spacing w:line="300" w:lineRule="exact"/>
              <w:rPr>
                <w:color w:val="000000"/>
              </w:rPr>
            </w:pPr>
            <w:r w:rsidRPr="008A3D4B">
              <w:rPr>
                <w:color w:val="000000"/>
              </w:rPr>
              <w:t>Governance, policy, strategic planning and programme management</w:t>
            </w:r>
          </w:p>
        </w:tc>
        <w:tc>
          <w:tcPr>
            <w:tcW w:w="3566" w:type="dxa"/>
            <w:tcMar/>
            <w:vAlign w:val="center"/>
            <w:hideMark/>
          </w:tcPr>
          <w:p w:rsidRPr="00AF74EB" w:rsidR="00B76B76" w:rsidP="00B76B76" w:rsidRDefault="00B76B76" w14:paraId="0D3BA22B" w14:textId="2F0584F5">
            <w:pPr>
              <w:spacing w:line="300" w:lineRule="exact"/>
              <w:rPr>
                <w:iCs/>
              </w:rPr>
            </w:pPr>
            <w:r>
              <w:rPr>
                <w:color w:val="000000"/>
              </w:rPr>
              <w:t>Strengthen the oversight functions of the Immunization Program for sustainability of quality immunization programme that can achieve and sustain a minimum of 96% coverage of the fully immunized by 2027</w:t>
            </w:r>
          </w:p>
        </w:tc>
        <w:tc>
          <w:tcPr>
            <w:tcW w:w="1560" w:type="dxa"/>
            <w:tcMar/>
            <w:vAlign w:val="bottom"/>
            <w:hideMark/>
          </w:tcPr>
          <w:p w:rsidRPr="00AF74EB" w:rsidR="00B76B76" w:rsidP="00B76B76" w:rsidRDefault="00B76B76" w14:paraId="43C8FF9F" w14:textId="01CA8A3E">
            <w:pPr>
              <w:pStyle w:val="ListParagraph"/>
              <w:spacing w:line="300" w:lineRule="exact"/>
              <w:ind w:left="426"/>
              <w:rPr>
                <w:iCs/>
              </w:rPr>
            </w:pPr>
            <w:r>
              <w:rPr>
                <w:rFonts w:ascii="Calibri" w:hAnsi="Calibri" w:cs="Calibri"/>
                <w:color w:val="000000"/>
              </w:rPr>
              <w:t xml:space="preserve">    31,974 </w:t>
            </w:r>
          </w:p>
        </w:tc>
        <w:tc>
          <w:tcPr>
            <w:tcW w:w="1423" w:type="dxa"/>
            <w:tcMar/>
            <w:vAlign w:val="bottom"/>
            <w:hideMark/>
          </w:tcPr>
          <w:p w:rsidRPr="00AF74EB" w:rsidR="00B76B76" w:rsidP="00B76B76" w:rsidRDefault="00B76B76" w14:paraId="110352DA" w14:textId="52261AD4">
            <w:pPr>
              <w:pStyle w:val="ListParagraph"/>
              <w:spacing w:line="300" w:lineRule="exact"/>
              <w:ind w:left="426"/>
              <w:rPr>
                <w:iCs/>
              </w:rPr>
            </w:pPr>
            <w:r>
              <w:rPr>
                <w:rFonts w:ascii="Calibri" w:hAnsi="Calibri" w:cs="Calibri"/>
                <w:color w:val="000000"/>
              </w:rPr>
              <w:t>9.9</w:t>
            </w:r>
          </w:p>
        </w:tc>
      </w:tr>
      <w:tr w:rsidRPr="00AF74EB" w:rsidR="00AF74EB" w:rsidTr="7F867002" w14:paraId="0B138BEC" w14:textId="77777777">
        <w:trPr>
          <w:trHeight w:val="300"/>
        </w:trPr>
        <w:tc>
          <w:tcPr>
            <w:tcW w:w="2633" w:type="dxa"/>
            <w:shd w:val="clear" w:color="auto" w:fill="E2EFD9" w:themeFill="accent6" w:themeFillTint="33"/>
            <w:tcMar/>
            <w:hideMark/>
          </w:tcPr>
          <w:p w:rsidRPr="00580CAC" w:rsidR="00B063BE" w:rsidP="00774149" w:rsidRDefault="00B063BE" w14:paraId="3516F082" w14:textId="77777777">
            <w:pPr>
              <w:pStyle w:val="ListParagraph"/>
              <w:spacing w:line="300" w:lineRule="exact"/>
              <w:ind w:left="426"/>
              <w:jc w:val="right"/>
              <w:rPr>
                <w:color w:val="000000"/>
              </w:rPr>
            </w:pPr>
            <w:r w:rsidRPr="00580CAC">
              <w:rPr>
                <w:color w:val="000000"/>
              </w:rPr>
              <w:t> </w:t>
            </w:r>
          </w:p>
        </w:tc>
        <w:tc>
          <w:tcPr>
            <w:tcW w:w="3566" w:type="dxa"/>
            <w:shd w:val="clear" w:color="auto" w:fill="E2EFD9" w:themeFill="accent6" w:themeFillTint="33"/>
            <w:tcMar/>
            <w:hideMark/>
          </w:tcPr>
          <w:p w:rsidRPr="00AF74EB" w:rsidR="00B063BE" w:rsidP="00774149" w:rsidRDefault="00B063BE" w14:paraId="4C1584B1" w14:textId="77777777">
            <w:pPr>
              <w:pStyle w:val="ListParagraph"/>
              <w:spacing w:line="300" w:lineRule="exact"/>
              <w:ind w:left="426"/>
              <w:jc w:val="center"/>
              <w:rPr>
                <w:b/>
                <w:bCs/>
                <w:iCs/>
              </w:rPr>
            </w:pPr>
            <w:r w:rsidRPr="00AF74EB">
              <w:rPr>
                <w:b/>
                <w:bCs/>
                <w:iCs/>
              </w:rPr>
              <w:t>2023</w:t>
            </w:r>
          </w:p>
        </w:tc>
        <w:tc>
          <w:tcPr>
            <w:tcW w:w="1560" w:type="dxa"/>
            <w:shd w:val="clear" w:color="auto" w:fill="E2EFD9" w:themeFill="accent6" w:themeFillTint="33"/>
            <w:tcMar/>
            <w:hideMark/>
          </w:tcPr>
          <w:p w:rsidRPr="00AF74EB" w:rsidR="00B063BE" w:rsidP="7F867002" w:rsidRDefault="00B063BE" w14:paraId="70904F7E" w14:textId="23157419">
            <w:pPr>
              <w:pStyle w:val="ListParagraph"/>
              <w:spacing w:line="300" w:lineRule="exact"/>
              <w:ind w:left="426"/>
              <w:jc w:val="right"/>
              <w:rPr>
                <w:b w:val="1"/>
                <w:bCs w:val="1"/>
              </w:rPr>
            </w:pPr>
            <w:r w:rsidRPr="7F867002" w:rsidR="7F867002">
              <w:rPr>
                <w:b w:val="1"/>
                <w:bCs w:val="1"/>
              </w:rPr>
              <w:t>951,244.00</w:t>
            </w:r>
          </w:p>
        </w:tc>
        <w:tc>
          <w:tcPr>
            <w:tcW w:w="1423" w:type="dxa"/>
            <w:shd w:val="clear" w:color="auto" w:fill="E2EFD9" w:themeFill="accent6" w:themeFillTint="33"/>
            <w:tcMar/>
            <w:hideMark/>
          </w:tcPr>
          <w:p w:rsidRPr="00AF74EB" w:rsidR="00B063BE" w:rsidP="00774149" w:rsidRDefault="00B063BE" w14:paraId="6B4682C4" w14:textId="77777777">
            <w:pPr>
              <w:pStyle w:val="ListParagraph"/>
              <w:spacing w:line="300" w:lineRule="exact"/>
              <w:ind w:left="426"/>
              <w:jc w:val="right"/>
              <w:rPr>
                <w:b/>
                <w:bCs/>
                <w:iCs/>
              </w:rPr>
            </w:pPr>
            <w:r w:rsidRPr="00AF74EB">
              <w:rPr>
                <w:b/>
                <w:bCs/>
                <w:iCs/>
              </w:rPr>
              <w:t> </w:t>
            </w:r>
          </w:p>
        </w:tc>
      </w:tr>
      <w:tr w:rsidRPr="00AF74EB" w:rsidR="00F23C60" w:rsidTr="7F867002" w14:paraId="4E96065E" w14:textId="77777777">
        <w:trPr>
          <w:trHeight w:val="1140"/>
        </w:trPr>
        <w:tc>
          <w:tcPr>
            <w:tcW w:w="2633" w:type="dxa"/>
            <w:tcMar/>
            <w:vAlign w:val="bottom"/>
            <w:hideMark/>
          </w:tcPr>
          <w:p w:rsidRPr="00580CAC" w:rsidR="00F23C60" w:rsidP="00F23C60" w:rsidRDefault="00F23C60" w14:paraId="07EB93CF" w14:textId="1AE01A9A">
            <w:pPr>
              <w:spacing w:line="300" w:lineRule="exact"/>
              <w:rPr>
                <w:color w:val="000000"/>
              </w:rPr>
            </w:pPr>
            <w:r w:rsidRPr="008A3D4B">
              <w:rPr>
                <w:color w:val="000000"/>
              </w:rPr>
              <w:t>Service delivery</w:t>
            </w:r>
          </w:p>
        </w:tc>
        <w:tc>
          <w:tcPr>
            <w:tcW w:w="3566" w:type="dxa"/>
            <w:tcMar/>
            <w:vAlign w:val="center"/>
            <w:hideMark/>
          </w:tcPr>
          <w:p w:rsidRPr="00AF74EB" w:rsidR="00F23C60" w:rsidP="00F23C60" w:rsidRDefault="00F23C60" w14:paraId="73923314" w14:textId="39CCB5E8">
            <w:pPr>
              <w:spacing w:line="300" w:lineRule="exact"/>
              <w:rPr>
                <w:iCs/>
              </w:rPr>
            </w:pPr>
            <w:r>
              <w:rPr>
                <w:color w:val="000000"/>
              </w:rPr>
              <w:t>Strengthen the Immunization Programme so as to increase immunization coverage for all-age appropriate coverage from 84.4% to 88% and sustain fully immunization coverage beyond the current 96% for the fully immunized children in all districts by 2025</w:t>
            </w:r>
          </w:p>
        </w:tc>
        <w:tc>
          <w:tcPr>
            <w:tcW w:w="1560" w:type="dxa"/>
            <w:tcMar/>
            <w:vAlign w:val="bottom"/>
            <w:hideMark/>
          </w:tcPr>
          <w:p w:rsidRPr="00AF74EB" w:rsidR="00F23C60" w:rsidP="00F23C60" w:rsidRDefault="00F23C60" w14:paraId="4ABE8006" w14:textId="7D6B5EAB">
            <w:pPr>
              <w:pStyle w:val="ListParagraph"/>
              <w:spacing w:line="300" w:lineRule="exact"/>
              <w:ind w:left="426"/>
              <w:rPr>
                <w:iCs/>
              </w:rPr>
            </w:pPr>
            <w:r>
              <w:rPr>
                <w:rFonts w:ascii="Calibri" w:hAnsi="Calibri" w:cs="Calibri"/>
                <w:color w:val="000000"/>
              </w:rPr>
              <w:t xml:space="preserve">    50,000 </w:t>
            </w:r>
          </w:p>
        </w:tc>
        <w:tc>
          <w:tcPr>
            <w:tcW w:w="1423" w:type="dxa"/>
            <w:tcMar/>
            <w:vAlign w:val="bottom"/>
            <w:hideMark/>
          </w:tcPr>
          <w:p w:rsidRPr="00AF74EB" w:rsidR="00F23C60" w:rsidP="00F23C60" w:rsidRDefault="00F23C60" w14:paraId="09424677" w14:textId="1B1BBAB6">
            <w:pPr>
              <w:pStyle w:val="ListParagraph"/>
              <w:spacing w:line="300" w:lineRule="exact"/>
              <w:ind w:left="426"/>
              <w:rPr>
                <w:iCs/>
              </w:rPr>
            </w:pPr>
            <w:r>
              <w:rPr>
                <w:rFonts w:ascii="Calibri" w:hAnsi="Calibri" w:cs="Calibri"/>
                <w:color w:val="000000"/>
              </w:rPr>
              <w:t>5.3</w:t>
            </w:r>
          </w:p>
        </w:tc>
      </w:tr>
      <w:tr w:rsidRPr="00AF74EB" w:rsidR="00F23C60" w:rsidTr="7F867002" w14:paraId="5B6DB9CC" w14:textId="77777777">
        <w:trPr>
          <w:trHeight w:val="1140"/>
        </w:trPr>
        <w:tc>
          <w:tcPr>
            <w:tcW w:w="2633" w:type="dxa"/>
            <w:tcMar/>
            <w:vAlign w:val="bottom"/>
            <w:hideMark/>
          </w:tcPr>
          <w:p w:rsidRPr="00580CAC" w:rsidR="00F23C60" w:rsidP="00F23C60" w:rsidRDefault="00F23C60" w14:paraId="6C7F1465" w14:textId="11D6A3DF">
            <w:pPr>
              <w:spacing w:line="300" w:lineRule="exact"/>
              <w:rPr>
                <w:color w:val="000000"/>
              </w:rPr>
            </w:pPr>
            <w:r w:rsidRPr="008A3D4B">
              <w:rPr>
                <w:color w:val="000000"/>
              </w:rPr>
              <w:t>Human resources for health</w:t>
            </w:r>
          </w:p>
        </w:tc>
        <w:tc>
          <w:tcPr>
            <w:tcW w:w="3566" w:type="dxa"/>
            <w:tcMar/>
            <w:vAlign w:val="center"/>
            <w:hideMark/>
          </w:tcPr>
          <w:p w:rsidRPr="00AF74EB" w:rsidR="00F23C60" w:rsidP="00F23C60" w:rsidRDefault="00F23C60" w14:paraId="623E5522" w14:textId="6BDD63CA">
            <w:pPr>
              <w:spacing w:line="300" w:lineRule="exact"/>
              <w:rPr>
                <w:iCs/>
              </w:rPr>
            </w:pPr>
            <w:r>
              <w:rPr>
                <w:color w:val="000000"/>
              </w:rPr>
              <w:t xml:space="preserve">Strengthen the Immunization Programme so as to increase immunization coverage for all-age appropriate coverage from 84.4% to 88% and sustain fully immunization coverage beyond the current 96% for the fully </w:t>
            </w:r>
            <w:r>
              <w:rPr>
                <w:color w:val="000000"/>
              </w:rPr>
              <w:lastRenderedPageBreak/>
              <w:t>immunized children in all districts by 2025</w:t>
            </w:r>
          </w:p>
        </w:tc>
        <w:tc>
          <w:tcPr>
            <w:tcW w:w="1560" w:type="dxa"/>
            <w:tcMar/>
            <w:vAlign w:val="bottom"/>
            <w:hideMark/>
          </w:tcPr>
          <w:p w:rsidRPr="00AF74EB" w:rsidR="00F23C60" w:rsidP="00F23C60" w:rsidRDefault="00F23C60" w14:paraId="0C54EFAB" w14:textId="274A3758">
            <w:pPr>
              <w:pStyle w:val="ListParagraph"/>
              <w:spacing w:line="300" w:lineRule="exact"/>
              <w:ind w:left="426"/>
              <w:rPr>
                <w:iCs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    93,500 </w:t>
            </w:r>
          </w:p>
        </w:tc>
        <w:tc>
          <w:tcPr>
            <w:tcW w:w="1423" w:type="dxa"/>
            <w:tcMar/>
            <w:vAlign w:val="bottom"/>
            <w:hideMark/>
          </w:tcPr>
          <w:p w:rsidRPr="00AF74EB" w:rsidR="00F23C60" w:rsidP="00F23C60" w:rsidRDefault="00F23C60" w14:paraId="317B1F54" w14:textId="6539E14A">
            <w:pPr>
              <w:pStyle w:val="ListParagraph"/>
              <w:spacing w:line="300" w:lineRule="exact"/>
              <w:ind w:left="426"/>
              <w:rPr>
                <w:iCs/>
              </w:rPr>
            </w:pPr>
            <w:r>
              <w:rPr>
                <w:rFonts w:ascii="Calibri" w:hAnsi="Calibri" w:cs="Calibri"/>
                <w:color w:val="000000"/>
              </w:rPr>
              <w:t>9.8</w:t>
            </w:r>
          </w:p>
        </w:tc>
      </w:tr>
      <w:tr w:rsidRPr="00AF74EB" w:rsidR="00F23C60" w:rsidTr="7F867002" w14:paraId="66D64E34" w14:textId="77777777">
        <w:trPr>
          <w:trHeight w:val="855"/>
        </w:trPr>
        <w:tc>
          <w:tcPr>
            <w:tcW w:w="2633" w:type="dxa"/>
            <w:tcMar/>
            <w:vAlign w:val="bottom"/>
            <w:hideMark/>
          </w:tcPr>
          <w:p w:rsidRPr="00580CAC" w:rsidR="00F23C60" w:rsidP="00F23C60" w:rsidRDefault="00F23C60" w14:paraId="1B7DB09C" w14:textId="1900163B">
            <w:pPr>
              <w:spacing w:line="300" w:lineRule="exact"/>
              <w:rPr>
                <w:color w:val="000000"/>
              </w:rPr>
            </w:pPr>
            <w:r w:rsidRPr="008A3D4B">
              <w:rPr>
                <w:color w:val="000000"/>
              </w:rPr>
              <w:t>Supply chain</w:t>
            </w:r>
          </w:p>
        </w:tc>
        <w:tc>
          <w:tcPr>
            <w:tcW w:w="3566" w:type="dxa"/>
            <w:tcMar/>
            <w:vAlign w:val="center"/>
            <w:hideMark/>
          </w:tcPr>
          <w:p w:rsidRPr="00AF74EB" w:rsidR="00F23C60" w:rsidP="00F23C60" w:rsidRDefault="00F23C60" w14:paraId="3FED20EC" w14:textId="40359FA9">
            <w:pPr>
              <w:spacing w:line="300" w:lineRule="exact"/>
              <w:rPr>
                <w:iCs/>
              </w:rPr>
            </w:pPr>
            <w:r>
              <w:rPr>
                <w:color w:val="000000"/>
              </w:rPr>
              <w:t>Enhance performance of the logistics and supply chain system of the Immunization Programme to ensure availability of supplies and safeguard of vaccine potency at all levels of immunization supply chain</w:t>
            </w:r>
          </w:p>
        </w:tc>
        <w:tc>
          <w:tcPr>
            <w:tcW w:w="1560" w:type="dxa"/>
            <w:tcMar/>
            <w:vAlign w:val="bottom"/>
            <w:hideMark/>
          </w:tcPr>
          <w:p w:rsidRPr="00AF74EB" w:rsidR="00F23C60" w:rsidP="00F23C60" w:rsidRDefault="00F23C60" w14:paraId="0714C5D2" w14:textId="643AF4E1">
            <w:pPr>
              <w:pStyle w:val="ListParagraph"/>
              <w:spacing w:line="300" w:lineRule="exact"/>
              <w:ind w:left="426"/>
              <w:rPr>
                <w:iCs/>
              </w:rPr>
            </w:pPr>
            <w:r>
              <w:rPr>
                <w:rFonts w:ascii="Calibri" w:hAnsi="Calibri" w:cs="Calibri"/>
                <w:color w:val="000000"/>
              </w:rPr>
              <w:t xml:space="preserve">  343,000 </w:t>
            </w:r>
          </w:p>
        </w:tc>
        <w:tc>
          <w:tcPr>
            <w:tcW w:w="1423" w:type="dxa"/>
            <w:tcMar/>
            <w:vAlign w:val="bottom"/>
            <w:hideMark/>
          </w:tcPr>
          <w:p w:rsidRPr="00AF74EB" w:rsidR="00F23C60" w:rsidP="00F23C60" w:rsidRDefault="00F23C60" w14:paraId="42F5B2B9" w14:textId="44D13773">
            <w:pPr>
              <w:pStyle w:val="ListParagraph"/>
              <w:spacing w:line="300" w:lineRule="exact"/>
              <w:ind w:left="426"/>
              <w:rPr>
                <w:iCs/>
              </w:rPr>
            </w:pPr>
            <w:r>
              <w:rPr>
                <w:rFonts w:ascii="Calibri" w:hAnsi="Calibri" w:cs="Calibri"/>
                <w:color w:val="000000"/>
              </w:rPr>
              <w:t>36.1</w:t>
            </w:r>
          </w:p>
        </w:tc>
      </w:tr>
      <w:tr w:rsidRPr="00AF74EB" w:rsidR="00F23C60" w:rsidTr="7F867002" w14:paraId="342922B1" w14:textId="77777777">
        <w:trPr>
          <w:trHeight w:val="1140"/>
        </w:trPr>
        <w:tc>
          <w:tcPr>
            <w:tcW w:w="2633" w:type="dxa"/>
            <w:tcMar/>
            <w:vAlign w:val="bottom"/>
            <w:hideMark/>
          </w:tcPr>
          <w:p w:rsidRPr="00580CAC" w:rsidR="00F23C60" w:rsidP="00F23C60" w:rsidRDefault="00F23C60" w14:paraId="4683096A" w14:textId="29491D35">
            <w:pPr>
              <w:spacing w:line="300" w:lineRule="exact"/>
              <w:rPr>
                <w:color w:val="000000"/>
              </w:rPr>
            </w:pPr>
            <w:r w:rsidRPr="008A3D4B">
              <w:rPr>
                <w:color w:val="000000"/>
              </w:rPr>
              <w:t>Health information systems and monitoring and learning</w:t>
            </w:r>
          </w:p>
        </w:tc>
        <w:tc>
          <w:tcPr>
            <w:tcW w:w="3566" w:type="dxa"/>
            <w:tcMar/>
            <w:vAlign w:val="center"/>
            <w:hideMark/>
          </w:tcPr>
          <w:p w:rsidRPr="00AF74EB" w:rsidR="00F23C60" w:rsidP="00F23C60" w:rsidRDefault="00F23C60" w14:paraId="2C0D1042" w14:textId="0B8EBC90">
            <w:pPr>
              <w:spacing w:line="300" w:lineRule="exact"/>
              <w:rPr>
                <w:iCs/>
              </w:rPr>
            </w:pPr>
            <w:r>
              <w:rPr>
                <w:color w:val="000000"/>
              </w:rPr>
              <w:t>Enhance continuous data quality improvement and utilization of data for evidence-based decision making (EBDM) at all levels of the health system</w:t>
            </w:r>
          </w:p>
        </w:tc>
        <w:tc>
          <w:tcPr>
            <w:tcW w:w="1560" w:type="dxa"/>
            <w:tcMar/>
            <w:vAlign w:val="bottom"/>
            <w:hideMark/>
          </w:tcPr>
          <w:p w:rsidRPr="00AF74EB" w:rsidR="00F23C60" w:rsidP="00F23C60" w:rsidRDefault="00F23C60" w14:paraId="0C358B46" w14:textId="7DE4A0D3">
            <w:pPr>
              <w:pStyle w:val="ListParagraph"/>
              <w:spacing w:line="300" w:lineRule="exact"/>
              <w:ind w:left="426"/>
              <w:rPr>
                <w:iCs/>
              </w:rPr>
            </w:pPr>
            <w:r>
              <w:rPr>
                <w:rFonts w:ascii="Calibri" w:hAnsi="Calibri" w:cs="Calibri"/>
                <w:color w:val="000000"/>
              </w:rPr>
              <w:t xml:space="preserve">  170,500 </w:t>
            </w:r>
          </w:p>
        </w:tc>
        <w:tc>
          <w:tcPr>
            <w:tcW w:w="1423" w:type="dxa"/>
            <w:tcMar/>
            <w:vAlign w:val="bottom"/>
            <w:hideMark/>
          </w:tcPr>
          <w:p w:rsidRPr="00AF74EB" w:rsidR="00F23C60" w:rsidP="00F23C60" w:rsidRDefault="00F23C60" w14:paraId="7D2CA0FE" w14:textId="46FAA78D">
            <w:pPr>
              <w:pStyle w:val="ListParagraph"/>
              <w:spacing w:line="300" w:lineRule="exact"/>
              <w:ind w:left="426"/>
              <w:rPr>
                <w:iCs/>
              </w:rPr>
            </w:pPr>
            <w:r>
              <w:rPr>
                <w:rFonts w:ascii="Calibri" w:hAnsi="Calibri" w:cs="Calibri"/>
                <w:color w:val="000000"/>
              </w:rPr>
              <w:t>17.9</w:t>
            </w:r>
          </w:p>
        </w:tc>
      </w:tr>
      <w:tr w:rsidRPr="00AF74EB" w:rsidR="00F23C60" w:rsidTr="7F867002" w14:paraId="51270E67" w14:textId="77777777">
        <w:trPr>
          <w:trHeight w:val="855"/>
        </w:trPr>
        <w:tc>
          <w:tcPr>
            <w:tcW w:w="2633" w:type="dxa"/>
            <w:tcMar/>
            <w:vAlign w:val="bottom"/>
            <w:hideMark/>
          </w:tcPr>
          <w:p w:rsidRPr="00580CAC" w:rsidR="00F23C60" w:rsidP="00F23C60" w:rsidRDefault="00F23C60" w14:paraId="2924A1DD" w14:textId="18FAB174">
            <w:pPr>
              <w:spacing w:line="300" w:lineRule="exact"/>
              <w:rPr>
                <w:color w:val="000000"/>
              </w:rPr>
            </w:pPr>
            <w:r w:rsidRPr="008A3D4B">
              <w:rPr>
                <w:color w:val="000000"/>
              </w:rPr>
              <w:t>Vaccine-preventable disease surveillance</w:t>
            </w:r>
          </w:p>
        </w:tc>
        <w:tc>
          <w:tcPr>
            <w:tcW w:w="3566" w:type="dxa"/>
            <w:tcMar/>
            <w:vAlign w:val="center"/>
            <w:hideMark/>
          </w:tcPr>
          <w:p w:rsidRPr="00AF74EB" w:rsidR="00F23C60" w:rsidP="00F23C60" w:rsidRDefault="00F23C60" w14:paraId="7D6272A6" w14:textId="647671D3">
            <w:pPr>
              <w:spacing w:line="300" w:lineRule="exact"/>
              <w:rPr>
                <w:iCs/>
              </w:rPr>
            </w:pPr>
            <w:r>
              <w:rPr>
                <w:color w:val="000000"/>
              </w:rPr>
              <w:t>Enhance continuous data quality improvement and utilization of data for evidence-based decision making (EBDM) at all levels of the health system</w:t>
            </w:r>
          </w:p>
        </w:tc>
        <w:tc>
          <w:tcPr>
            <w:tcW w:w="1560" w:type="dxa"/>
            <w:tcMar/>
            <w:vAlign w:val="bottom"/>
            <w:hideMark/>
          </w:tcPr>
          <w:p w:rsidRPr="00AF74EB" w:rsidR="00F23C60" w:rsidP="00F23C60" w:rsidRDefault="00F23C60" w14:paraId="44D54291" w14:textId="2EF99ED2">
            <w:pPr>
              <w:pStyle w:val="ListParagraph"/>
              <w:spacing w:line="300" w:lineRule="exact"/>
              <w:ind w:left="426"/>
              <w:rPr>
                <w:iCs/>
              </w:rPr>
            </w:pPr>
            <w:r>
              <w:rPr>
                <w:rFonts w:ascii="Calibri" w:hAnsi="Calibri" w:cs="Calibri"/>
                <w:color w:val="000000"/>
              </w:rPr>
              <w:t xml:space="preserve">    30,115 </w:t>
            </w:r>
          </w:p>
        </w:tc>
        <w:tc>
          <w:tcPr>
            <w:tcW w:w="1423" w:type="dxa"/>
            <w:tcMar/>
            <w:vAlign w:val="bottom"/>
            <w:hideMark/>
          </w:tcPr>
          <w:p w:rsidRPr="00AF74EB" w:rsidR="00F23C60" w:rsidP="00F23C60" w:rsidRDefault="00F23C60" w14:paraId="44677CAF" w14:textId="394E98BC">
            <w:pPr>
              <w:pStyle w:val="ListParagraph"/>
              <w:spacing w:line="300" w:lineRule="exact"/>
              <w:ind w:left="426"/>
              <w:rPr>
                <w:iCs/>
              </w:rPr>
            </w:pPr>
            <w:r>
              <w:rPr>
                <w:rFonts w:ascii="Calibri" w:hAnsi="Calibri" w:cs="Calibri"/>
                <w:color w:val="000000"/>
              </w:rPr>
              <w:t>3.2</w:t>
            </w:r>
          </w:p>
        </w:tc>
      </w:tr>
      <w:tr w:rsidRPr="00AF74EB" w:rsidR="00F23C60" w:rsidTr="7F867002" w14:paraId="4B048E60" w14:textId="77777777">
        <w:trPr>
          <w:trHeight w:val="870"/>
        </w:trPr>
        <w:tc>
          <w:tcPr>
            <w:tcW w:w="2633" w:type="dxa"/>
            <w:tcMar/>
            <w:vAlign w:val="bottom"/>
            <w:hideMark/>
          </w:tcPr>
          <w:p w:rsidRPr="00580CAC" w:rsidR="00F23C60" w:rsidP="00F23C60" w:rsidRDefault="00F23C60" w14:paraId="62607489" w14:textId="174631DA">
            <w:pPr>
              <w:spacing w:line="300" w:lineRule="exact"/>
              <w:rPr>
                <w:color w:val="000000"/>
              </w:rPr>
            </w:pPr>
            <w:r w:rsidRPr="008A3D4B">
              <w:rPr>
                <w:color w:val="000000"/>
              </w:rPr>
              <w:t>Demand generation and community development</w:t>
            </w:r>
          </w:p>
        </w:tc>
        <w:tc>
          <w:tcPr>
            <w:tcW w:w="3566" w:type="dxa"/>
            <w:tcMar/>
            <w:vAlign w:val="center"/>
            <w:hideMark/>
          </w:tcPr>
          <w:p w:rsidRPr="00AF74EB" w:rsidR="00F23C60" w:rsidP="00F23C60" w:rsidRDefault="00F23C60" w14:paraId="296393EC" w14:textId="428605A1">
            <w:pPr>
              <w:spacing w:line="300" w:lineRule="exact"/>
              <w:rPr>
                <w:iCs/>
              </w:rPr>
            </w:pPr>
            <w:r>
              <w:rPr>
                <w:color w:val="000000"/>
              </w:rPr>
              <w:t>Strengthen social and behavior change communication approaches that promote demand for and uptake of immunization services so as to achieve and sustain a minimum of 96 % coverage of the fully immunized by 2027</w:t>
            </w:r>
          </w:p>
        </w:tc>
        <w:tc>
          <w:tcPr>
            <w:tcW w:w="1560" w:type="dxa"/>
            <w:noWrap/>
            <w:tcMar/>
            <w:vAlign w:val="bottom"/>
            <w:hideMark/>
          </w:tcPr>
          <w:p w:rsidRPr="00B76B76" w:rsidR="00F23C60" w:rsidP="00580CAC" w:rsidRDefault="00F23C60" w14:paraId="6C2E8AA4" w14:textId="2A92BCA5">
            <w:pPr>
              <w:spacing w:line="300" w:lineRule="exact"/>
              <w:rPr>
                <w:iCs/>
              </w:rPr>
            </w:pPr>
            <w:r>
              <w:rPr>
                <w:rFonts w:ascii="Calibri" w:hAnsi="Calibri" w:cs="Calibri"/>
                <w:color w:val="000000"/>
              </w:rPr>
              <w:t xml:space="preserve">    98,000 </w:t>
            </w:r>
          </w:p>
        </w:tc>
        <w:tc>
          <w:tcPr>
            <w:tcW w:w="1423" w:type="dxa"/>
            <w:noWrap/>
            <w:tcMar/>
            <w:vAlign w:val="bottom"/>
            <w:hideMark/>
          </w:tcPr>
          <w:p w:rsidRPr="00AF74EB" w:rsidR="00F23C60" w:rsidP="00F23C60" w:rsidRDefault="00F23C60" w14:paraId="5089A179" w14:textId="5A5BC089">
            <w:pPr>
              <w:pStyle w:val="ListParagraph"/>
              <w:spacing w:line="300" w:lineRule="exact"/>
              <w:ind w:left="426"/>
              <w:rPr>
                <w:iCs/>
              </w:rPr>
            </w:pPr>
            <w:r>
              <w:rPr>
                <w:rFonts w:ascii="Calibri" w:hAnsi="Calibri" w:cs="Calibri"/>
                <w:color w:val="000000"/>
              </w:rPr>
              <w:t>10.3</w:t>
            </w:r>
          </w:p>
        </w:tc>
      </w:tr>
      <w:tr w:rsidRPr="00AF74EB" w:rsidR="00F23C60" w:rsidTr="7F867002" w14:paraId="72E8DEEB" w14:textId="77777777">
        <w:trPr>
          <w:trHeight w:val="1140"/>
        </w:trPr>
        <w:tc>
          <w:tcPr>
            <w:tcW w:w="2633" w:type="dxa"/>
            <w:tcMar/>
            <w:vAlign w:val="bottom"/>
            <w:hideMark/>
          </w:tcPr>
          <w:p w:rsidRPr="00580CAC" w:rsidR="00F23C60" w:rsidP="00F23C60" w:rsidRDefault="00F23C60" w14:paraId="08D6D68A" w14:textId="0CF62343">
            <w:pPr>
              <w:spacing w:line="300" w:lineRule="exact"/>
              <w:rPr>
                <w:color w:val="000000"/>
              </w:rPr>
            </w:pPr>
            <w:r w:rsidRPr="008A3D4B">
              <w:rPr>
                <w:color w:val="000000"/>
              </w:rPr>
              <w:t>Governance, policy, strategic planning and programme management</w:t>
            </w:r>
          </w:p>
        </w:tc>
        <w:tc>
          <w:tcPr>
            <w:tcW w:w="3566" w:type="dxa"/>
            <w:tcMar/>
            <w:vAlign w:val="center"/>
            <w:hideMark/>
          </w:tcPr>
          <w:p w:rsidRPr="00AF74EB" w:rsidR="00F23C60" w:rsidP="00F23C60" w:rsidRDefault="00F23C60" w14:paraId="34F1218F" w14:textId="535635F4">
            <w:pPr>
              <w:spacing w:line="300" w:lineRule="exact"/>
              <w:rPr>
                <w:iCs/>
              </w:rPr>
            </w:pPr>
            <w:r>
              <w:rPr>
                <w:color w:val="000000"/>
              </w:rPr>
              <w:t>Enhance continuous data quality improvement and utilization of data for evidence-based decision making (EBDM) at all levels of the health system</w:t>
            </w:r>
          </w:p>
        </w:tc>
        <w:tc>
          <w:tcPr>
            <w:tcW w:w="1560" w:type="dxa"/>
            <w:tcMar/>
            <w:vAlign w:val="bottom"/>
            <w:hideMark/>
          </w:tcPr>
          <w:p w:rsidRPr="00B76B76" w:rsidR="00F23C60" w:rsidP="00580CAC" w:rsidRDefault="00F23C60" w14:paraId="21A131FC" w14:textId="2D60A81C">
            <w:pPr>
              <w:spacing w:line="300" w:lineRule="exact"/>
              <w:rPr>
                <w:iCs/>
              </w:rPr>
            </w:pPr>
            <w:r>
              <w:rPr>
                <w:rFonts w:ascii="Calibri" w:hAnsi="Calibri" w:cs="Calibri"/>
                <w:color w:val="000000"/>
              </w:rPr>
              <w:t xml:space="preserve">  166,129 </w:t>
            </w:r>
          </w:p>
        </w:tc>
        <w:tc>
          <w:tcPr>
            <w:tcW w:w="1423" w:type="dxa"/>
            <w:tcMar/>
            <w:vAlign w:val="bottom"/>
            <w:hideMark/>
          </w:tcPr>
          <w:p w:rsidRPr="00AF74EB" w:rsidR="00F23C60" w:rsidP="00F23C60" w:rsidRDefault="00F23C60" w14:paraId="40074B84" w14:textId="701E052C">
            <w:pPr>
              <w:pStyle w:val="ListParagraph"/>
              <w:spacing w:line="300" w:lineRule="exact"/>
              <w:ind w:left="426"/>
              <w:rPr>
                <w:iCs/>
              </w:rPr>
            </w:pPr>
            <w:r>
              <w:rPr>
                <w:rFonts w:ascii="Calibri" w:hAnsi="Calibri" w:cs="Calibri"/>
                <w:color w:val="000000"/>
              </w:rPr>
              <w:t>17.5</w:t>
            </w:r>
          </w:p>
        </w:tc>
      </w:tr>
      <w:tr w:rsidRPr="00AF74EB" w:rsidR="00AF74EB" w:rsidTr="7F867002" w14:paraId="0A52EC8F" w14:textId="77777777">
        <w:trPr>
          <w:trHeight w:val="300"/>
        </w:trPr>
        <w:tc>
          <w:tcPr>
            <w:tcW w:w="2633" w:type="dxa"/>
            <w:shd w:val="clear" w:color="auto" w:fill="E2EFD9" w:themeFill="accent6" w:themeFillTint="33"/>
            <w:tcMar/>
            <w:hideMark/>
          </w:tcPr>
          <w:p w:rsidRPr="00580CAC" w:rsidR="00B063BE" w:rsidP="00774149" w:rsidRDefault="00B063BE" w14:paraId="6ABCC0A6" w14:textId="77777777">
            <w:pPr>
              <w:pStyle w:val="ListParagraph"/>
              <w:spacing w:line="300" w:lineRule="exact"/>
              <w:ind w:left="426"/>
              <w:jc w:val="right"/>
              <w:rPr>
                <w:color w:val="000000"/>
              </w:rPr>
            </w:pPr>
            <w:r w:rsidRPr="00580CAC">
              <w:rPr>
                <w:color w:val="000000"/>
              </w:rPr>
              <w:t> </w:t>
            </w:r>
          </w:p>
        </w:tc>
        <w:tc>
          <w:tcPr>
            <w:tcW w:w="3566" w:type="dxa"/>
            <w:shd w:val="clear" w:color="auto" w:fill="E2EFD9" w:themeFill="accent6" w:themeFillTint="33"/>
            <w:tcMar/>
            <w:hideMark/>
          </w:tcPr>
          <w:p w:rsidRPr="00AF74EB" w:rsidR="00B063BE" w:rsidP="00774149" w:rsidRDefault="00B063BE" w14:paraId="66379411" w14:textId="77777777">
            <w:pPr>
              <w:pStyle w:val="ListParagraph"/>
              <w:spacing w:line="300" w:lineRule="exact"/>
              <w:ind w:left="426"/>
              <w:jc w:val="center"/>
              <w:rPr>
                <w:b/>
                <w:bCs/>
                <w:iCs/>
              </w:rPr>
            </w:pPr>
            <w:r w:rsidRPr="00AF74EB">
              <w:rPr>
                <w:b/>
                <w:bCs/>
                <w:iCs/>
              </w:rPr>
              <w:t>2024</w:t>
            </w:r>
          </w:p>
        </w:tc>
        <w:tc>
          <w:tcPr>
            <w:tcW w:w="1560" w:type="dxa"/>
            <w:shd w:val="clear" w:color="auto" w:fill="E2EFD9" w:themeFill="accent6" w:themeFillTint="33"/>
            <w:tcMar/>
            <w:hideMark/>
          </w:tcPr>
          <w:p w:rsidRPr="00AF74EB" w:rsidR="00B063BE" w:rsidP="7F867002" w:rsidRDefault="00B063BE" w14:paraId="7D38425D" w14:textId="2628C806">
            <w:pPr>
              <w:pStyle w:val="ListParagraph"/>
              <w:spacing w:line="300" w:lineRule="exact"/>
              <w:ind w:left="426"/>
              <w:jc w:val="right"/>
              <w:rPr>
                <w:b w:val="1"/>
                <w:bCs w:val="1"/>
              </w:rPr>
            </w:pPr>
            <w:r w:rsidRPr="7F867002" w:rsidR="00B063BE">
              <w:rPr>
                <w:b w:val="1"/>
                <w:bCs w:val="1"/>
              </w:rPr>
              <w:t>993,553 </w:t>
            </w:r>
          </w:p>
        </w:tc>
        <w:tc>
          <w:tcPr>
            <w:tcW w:w="1423" w:type="dxa"/>
            <w:shd w:val="clear" w:color="auto" w:fill="E2EFD9" w:themeFill="accent6" w:themeFillTint="33"/>
            <w:tcMar/>
            <w:hideMark/>
          </w:tcPr>
          <w:p w:rsidRPr="00AF74EB" w:rsidR="00B063BE" w:rsidP="00774149" w:rsidRDefault="00B063BE" w14:paraId="7256E317" w14:textId="77777777">
            <w:pPr>
              <w:pStyle w:val="ListParagraph"/>
              <w:spacing w:line="300" w:lineRule="exact"/>
              <w:ind w:left="426"/>
              <w:jc w:val="right"/>
              <w:rPr>
                <w:b/>
                <w:bCs/>
                <w:iCs/>
              </w:rPr>
            </w:pPr>
            <w:r w:rsidRPr="00AF74EB">
              <w:rPr>
                <w:b/>
                <w:bCs/>
                <w:iCs/>
              </w:rPr>
              <w:t> </w:t>
            </w:r>
          </w:p>
        </w:tc>
      </w:tr>
      <w:tr w:rsidRPr="00AF74EB" w:rsidR="000F650B" w:rsidTr="7F867002" w14:paraId="200B2E17" w14:textId="77777777">
        <w:trPr>
          <w:trHeight w:val="300"/>
        </w:trPr>
        <w:tc>
          <w:tcPr>
            <w:tcW w:w="2633" w:type="dxa"/>
            <w:shd w:val="clear" w:color="auto" w:fill="auto"/>
            <w:tcMar/>
            <w:vAlign w:val="bottom"/>
          </w:tcPr>
          <w:p w:rsidRPr="00580CAC" w:rsidR="000F650B" w:rsidP="000F650B" w:rsidRDefault="000F650B" w14:paraId="5059BD8B" w14:textId="0D2260A4">
            <w:pPr>
              <w:spacing w:line="300" w:lineRule="exact"/>
              <w:rPr>
                <w:color w:val="000000"/>
              </w:rPr>
            </w:pPr>
            <w:r w:rsidRPr="008A3D4B">
              <w:rPr>
                <w:color w:val="000000"/>
              </w:rPr>
              <w:t>Service delivery</w:t>
            </w:r>
          </w:p>
        </w:tc>
        <w:tc>
          <w:tcPr>
            <w:tcW w:w="3566" w:type="dxa"/>
            <w:shd w:val="clear" w:color="auto" w:fill="auto"/>
            <w:tcMar/>
            <w:vAlign w:val="center"/>
          </w:tcPr>
          <w:p w:rsidRPr="006F6E89" w:rsidR="000F650B" w:rsidP="000F650B" w:rsidRDefault="000F650B" w14:paraId="1DC9625A" w14:textId="4F016CC7">
            <w:pPr>
              <w:spacing w:line="300" w:lineRule="exact"/>
              <w:rPr>
                <w:b/>
                <w:bCs/>
                <w:iCs/>
              </w:rPr>
            </w:pPr>
            <w:r>
              <w:rPr>
                <w:color w:val="000000"/>
              </w:rPr>
              <w:t>Strengthen the Immunization Programme so as to increase immunization coverage for all-age appropriate coverage from 84.4% to 88% and sustain fully immunization coverage beyond the current 96% for the fully immunized children in all districts by 2025</w:t>
            </w:r>
          </w:p>
        </w:tc>
        <w:tc>
          <w:tcPr>
            <w:tcW w:w="1560" w:type="dxa"/>
            <w:shd w:val="clear" w:color="auto" w:fill="auto"/>
            <w:tcMar/>
            <w:vAlign w:val="bottom"/>
          </w:tcPr>
          <w:p w:rsidRPr="00AF74EB" w:rsidR="000F650B" w:rsidP="000F650B" w:rsidRDefault="000F650B" w14:paraId="51CEDCE7" w14:textId="04B6EC55">
            <w:pPr>
              <w:pStyle w:val="ListParagraph"/>
              <w:spacing w:line="300" w:lineRule="exact"/>
              <w:ind w:left="426"/>
              <w:jc w:val="right"/>
              <w:rPr>
                <w:b/>
                <w:bCs/>
                <w:iCs/>
              </w:rPr>
            </w:pPr>
            <w:r>
              <w:rPr>
                <w:rFonts w:ascii="Calibri" w:hAnsi="Calibri" w:cs="Calibri"/>
                <w:color w:val="000000"/>
              </w:rPr>
              <w:t xml:space="preserve">  277,050 </w:t>
            </w:r>
          </w:p>
        </w:tc>
        <w:tc>
          <w:tcPr>
            <w:tcW w:w="1423" w:type="dxa"/>
            <w:shd w:val="clear" w:color="auto" w:fill="auto"/>
            <w:tcMar/>
            <w:vAlign w:val="bottom"/>
          </w:tcPr>
          <w:p w:rsidRPr="00AF74EB" w:rsidR="000F650B" w:rsidP="000F650B" w:rsidRDefault="000F650B" w14:paraId="07FD6B54" w14:textId="78952AC7">
            <w:pPr>
              <w:pStyle w:val="ListParagraph"/>
              <w:spacing w:line="300" w:lineRule="exact"/>
              <w:ind w:left="426"/>
              <w:jc w:val="right"/>
              <w:rPr>
                <w:b/>
                <w:bCs/>
                <w:iCs/>
              </w:rPr>
            </w:pPr>
            <w:r>
              <w:rPr>
                <w:rFonts w:ascii="Calibri" w:hAnsi="Calibri" w:cs="Calibri"/>
                <w:color w:val="000000"/>
              </w:rPr>
              <w:t>27.9</w:t>
            </w:r>
          </w:p>
        </w:tc>
      </w:tr>
      <w:tr w:rsidRPr="00AF74EB" w:rsidR="000F650B" w:rsidTr="7F867002" w14:paraId="0CB41B0E" w14:textId="77777777">
        <w:trPr>
          <w:trHeight w:val="1140"/>
        </w:trPr>
        <w:tc>
          <w:tcPr>
            <w:tcW w:w="2633" w:type="dxa"/>
            <w:tcMar/>
            <w:vAlign w:val="bottom"/>
          </w:tcPr>
          <w:p w:rsidRPr="00580CAC" w:rsidR="000F650B" w:rsidP="000F650B" w:rsidRDefault="000F650B" w14:paraId="5CE946BE" w14:textId="0D971373">
            <w:pPr>
              <w:spacing w:line="300" w:lineRule="exact"/>
              <w:rPr>
                <w:color w:val="000000"/>
              </w:rPr>
            </w:pPr>
            <w:r w:rsidRPr="008A3D4B">
              <w:rPr>
                <w:color w:val="000000"/>
              </w:rPr>
              <w:lastRenderedPageBreak/>
              <w:t>Human resources for health</w:t>
            </w:r>
          </w:p>
        </w:tc>
        <w:tc>
          <w:tcPr>
            <w:tcW w:w="3566" w:type="dxa"/>
            <w:tcMar/>
            <w:vAlign w:val="center"/>
          </w:tcPr>
          <w:p w:rsidR="000F650B" w:rsidP="000F650B" w:rsidRDefault="000F650B" w14:paraId="7C4BDF94" w14:textId="497F7CFD">
            <w:pPr>
              <w:spacing w:line="300" w:lineRule="exact"/>
              <w:rPr>
                <w:color w:val="000000"/>
              </w:rPr>
            </w:pPr>
            <w:r>
              <w:rPr>
                <w:color w:val="000000"/>
              </w:rPr>
              <w:t>Strengthen the Immunization Programme so as to increase immunization coverage for all-age appropriate coverage from 84.4% to 88% and sustain fully immunization coverage beyond the current 96% for the fully immunized children in all districts by 2025</w:t>
            </w:r>
          </w:p>
        </w:tc>
        <w:tc>
          <w:tcPr>
            <w:tcW w:w="1560" w:type="dxa"/>
            <w:tcMar/>
            <w:vAlign w:val="bottom"/>
          </w:tcPr>
          <w:p w:rsidR="000F650B" w:rsidP="000F650B" w:rsidRDefault="000F650B" w14:paraId="05CD3AF0" w14:textId="3AEAE122">
            <w:pPr>
              <w:pStyle w:val="ListParagraph"/>
              <w:spacing w:line="300" w:lineRule="exact"/>
              <w:ind w:left="426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97,500 </w:t>
            </w:r>
          </w:p>
        </w:tc>
        <w:tc>
          <w:tcPr>
            <w:tcW w:w="1423" w:type="dxa"/>
            <w:tcMar/>
            <w:vAlign w:val="bottom"/>
          </w:tcPr>
          <w:p w:rsidRPr="00AF74EB" w:rsidR="000F650B" w:rsidP="000F650B" w:rsidRDefault="000F650B" w14:paraId="2D5ABA91" w14:textId="5FCBAC6B">
            <w:pPr>
              <w:pStyle w:val="ListParagraph"/>
              <w:spacing w:line="300" w:lineRule="exact"/>
              <w:ind w:left="426"/>
              <w:rPr>
                <w:iCs/>
              </w:rPr>
            </w:pPr>
            <w:r>
              <w:rPr>
                <w:rFonts w:ascii="Calibri" w:hAnsi="Calibri" w:cs="Calibri"/>
                <w:color w:val="000000"/>
              </w:rPr>
              <w:t>9.8</w:t>
            </w:r>
          </w:p>
        </w:tc>
      </w:tr>
      <w:tr w:rsidRPr="00AF74EB" w:rsidR="000F650B" w:rsidTr="7F867002" w14:paraId="399C8B46" w14:textId="77777777">
        <w:trPr>
          <w:trHeight w:val="855"/>
        </w:trPr>
        <w:tc>
          <w:tcPr>
            <w:tcW w:w="2633" w:type="dxa"/>
            <w:tcMar/>
            <w:vAlign w:val="bottom"/>
            <w:hideMark/>
          </w:tcPr>
          <w:p w:rsidRPr="00580CAC" w:rsidR="000F650B" w:rsidP="000F650B" w:rsidRDefault="000F650B" w14:paraId="48E89A0E" w14:textId="2779F965">
            <w:pPr>
              <w:spacing w:line="300" w:lineRule="exact"/>
              <w:rPr>
                <w:color w:val="000000"/>
              </w:rPr>
            </w:pPr>
            <w:r w:rsidRPr="008A3D4B">
              <w:rPr>
                <w:color w:val="000000"/>
              </w:rPr>
              <w:t>Supply chain</w:t>
            </w:r>
          </w:p>
        </w:tc>
        <w:tc>
          <w:tcPr>
            <w:tcW w:w="3566" w:type="dxa"/>
            <w:tcMar/>
            <w:vAlign w:val="center"/>
            <w:hideMark/>
          </w:tcPr>
          <w:p w:rsidRPr="00AF74EB" w:rsidR="000F650B" w:rsidP="000F650B" w:rsidRDefault="000F650B" w14:paraId="1E6AF650" w14:textId="6A7BEC0C">
            <w:pPr>
              <w:spacing w:line="300" w:lineRule="exact"/>
              <w:rPr>
                <w:iCs/>
              </w:rPr>
            </w:pPr>
            <w:r>
              <w:rPr>
                <w:color w:val="000000"/>
              </w:rPr>
              <w:t>Enhance performance of the logistics and supply chain system of the Immunization Programme to ensure availability of supplies and safeguard of vaccine potency at all levels of immunization supply chain</w:t>
            </w:r>
          </w:p>
        </w:tc>
        <w:tc>
          <w:tcPr>
            <w:tcW w:w="1560" w:type="dxa"/>
            <w:tcMar/>
            <w:vAlign w:val="bottom"/>
            <w:hideMark/>
          </w:tcPr>
          <w:p w:rsidRPr="00AF74EB" w:rsidR="000F650B" w:rsidP="000F650B" w:rsidRDefault="000F650B" w14:paraId="08780BC5" w14:textId="2F1B75D5">
            <w:pPr>
              <w:pStyle w:val="ListParagraph"/>
              <w:spacing w:line="300" w:lineRule="exact"/>
              <w:ind w:left="426"/>
              <w:rPr>
                <w:iCs/>
              </w:rPr>
            </w:pPr>
            <w:r>
              <w:rPr>
                <w:rFonts w:ascii="Calibri" w:hAnsi="Calibri" w:cs="Calibri"/>
                <w:color w:val="000000"/>
              </w:rPr>
              <w:t xml:space="preserve">  110,000 </w:t>
            </w:r>
          </w:p>
        </w:tc>
        <w:tc>
          <w:tcPr>
            <w:tcW w:w="1423" w:type="dxa"/>
            <w:tcMar/>
            <w:vAlign w:val="bottom"/>
            <w:hideMark/>
          </w:tcPr>
          <w:p w:rsidRPr="00AF74EB" w:rsidR="000F650B" w:rsidP="000F650B" w:rsidRDefault="000F650B" w14:paraId="00683A98" w14:textId="4B842E51">
            <w:pPr>
              <w:pStyle w:val="ListParagraph"/>
              <w:spacing w:line="300" w:lineRule="exact"/>
              <w:ind w:left="426"/>
              <w:rPr>
                <w:iCs/>
              </w:rPr>
            </w:pPr>
            <w:r>
              <w:rPr>
                <w:rFonts w:ascii="Calibri" w:hAnsi="Calibri" w:cs="Calibri"/>
                <w:color w:val="000000"/>
              </w:rPr>
              <w:t>11.1</w:t>
            </w:r>
          </w:p>
        </w:tc>
      </w:tr>
      <w:tr w:rsidRPr="00AF74EB" w:rsidR="000F650B" w:rsidTr="7F867002" w14:paraId="173E1D81" w14:textId="77777777">
        <w:trPr>
          <w:trHeight w:val="570"/>
        </w:trPr>
        <w:tc>
          <w:tcPr>
            <w:tcW w:w="2633" w:type="dxa"/>
            <w:tcMar/>
            <w:vAlign w:val="bottom"/>
            <w:hideMark/>
          </w:tcPr>
          <w:p w:rsidRPr="00580CAC" w:rsidR="000F650B" w:rsidP="000F650B" w:rsidRDefault="000F650B" w14:paraId="4597BCCB" w14:textId="28F1AD46">
            <w:pPr>
              <w:spacing w:line="300" w:lineRule="exact"/>
              <w:rPr>
                <w:color w:val="000000"/>
              </w:rPr>
            </w:pPr>
            <w:r w:rsidRPr="008A3D4B">
              <w:rPr>
                <w:color w:val="000000"/>
              </w:rPr>
              <w:t>Demand generation and community development</w:t>
            </w:r>
          </w:p>
        </w:tc>
        <w:tc>
          <w:tcPr>
            <w:tcW w:w="3566" w:type="dxa"/>
            <w:tcMar/>
            <w:vAlign w:val="center"/>
            <w:hideMark/>
          </w:tcPr>
          <w:p w:rsidRPr="00580CAC" w:rsidR="000F650B" w:rsidP="000F650B" w:rsidRDefault="000F650B" w14:paraId="6932A118" w14:textId="5A9113B8">
            <w:pPr>
              <w:spacing w:line="300" w:lineRule="exact"/>
              <w:rPr>
                <w:iCs/>
                <w:color w:val="FF0000"/>
              </w:rPr>
            </w:pPr>
            <w:r>
              <w:rPr>
                <w:color w:val="000000"/>
              </w:rPr>
              <w:t>Strengthen social and behavior change communication approaches that promote demand for and uptake of immunization services so as to achieve and sustain a minimum of 96 % coverage of the fully immunized by 2025</w:t>
            </w:r>
          </w:p>
        </w:tc>
        <w:tc>
          <w:tcPr>
            <w:tcW w:w="1560" w:type="dxa"/>
            <w:tcMar/>
            <w:vAlign w:val="bottom"/>
            <w:hideMark/>
          </w:tcPr>
          <w:p w:rsidRPr="00AF74EB" w:rsidR="000F650B" w:rsidP="000F650B" w:rsidRDefault="000F650B" w14:paraId="565AFE64" w14:textId="0AAE6A04">
            <w:pPr>
              <w:pStyle w:val="ListParagraph"/>
              <w:spacing w:line="300" w:lineRule="exact"/>
              <w:ind w:left="426"/>
              <w:rPr>
                <w:iCs/>
              </w:rPr>
            </w:pPr>
            <w:r>
              <w:rPr>
                <w:rFonts w:ascii="Calibri" w:hAnsi="Calibri" w:cs="Calibri"/>
                <w:color w:val="000000"/>
              </w:rPr>
              <w:t xml:space="preserve">  201,449 </w:t>
            </w:r>
          </w:p>
        </w:tc>
        <w:tc>
          <w:tcPr>
            <w:tcW w:w="1423" w:type="dxa"/>
            <w:tcMar/>
            <w:vAlign w:val="bottom"/>
            <w:hideMark/>
          </w:tcPr>
          <w:p w:rsidRPr="00AF74EB" w:rsidR="000F650B" w:rsidP="000F650B" w:rsidRDefault="000F650B" w14:paraId="7BDE3903" w14:textId="6025CBB5">
            <w:pPr>
              <w:pStyle w:val="ListParagraph"/>
              <w:spacing w:line="300" w:lineRule="exact"/>
              <w:ind w:left="426"/>
              <w:rPr>
                <w:iCs/>
              </w:rPr>
            </w:pPr>
            <w:r>
              <w:rPr>
                <w:rFonts w:ascii="Calibri" w:hAnsi="Calibri" w:cs="Calibri"/>
                <w:color w:val="000000"/>
              </w:rPr>
              <w:t>20.3</w:t>
            </w:r>
          </w:p>
        </w:tc>
      </w:tr>
      <w:tr w:rsidRPr="00AF74EB" w:rsidR="000F650B" w:rsidTr="7F867002" w14:paraId="42966B27" w14:textId="77777777">
        <w:trPr>
          <w:trHeight w:val="870"/>
        </w:trPr>
        <w:tc>
          <w:tcPr>
            <w:tcW w:w="2633" w:type="dxa"/>
            <w:tcMar/>
            <w:vAlign w:val="bottom"/>
            <w:hideMark/>
          </w:tcPr>
          <w:p w:rsidRPr="00580CAC" w:rsidR="000F650B" w:rsidP="000F650B" w:rsidRDefault="000F650B" w14:paraId="44FEA99E" w14:textId="2504B7B2">
            <w:pPr>
              <w:spacing w:line="300" w:lineRule="exact"/>
              <w:rPr>
                <w:color w:val="000000"/>
              </w:rPr>
            </w:pPr>
            <w:r w:rsidRPr="008A3D4B">
              <w:rPr>
                <w:color w:val="000000"/>
              </w:rPr>
              <w:t>Health information systems and monitoring and learning</w:t>
            </w:r>
          </w:p>
        </w:tc>
        <w:tc>
          <w:tcPr>
            <w:tcW w:w="3566" w:type="dxa"/>
            <w:tcMar/>
            <w:vAlign w:val="bottom"/>
            <w:hideMark/>
          </w:tcPr>
          <w:p w:rsidRPr="00AF74EB" w:rsidR="000F650B" w:rsidP="000F650B" w:rsidRDefault="000F650B" w14:paraId="78BDDE5F" w14:textId="4107F271">
            <w:pPr>
              <w:spacing w:line="300" w:lineRule="exact"/>
              <w:rPr>
                <w:iCs/>
              </w:rPr>
            </w:pPr>
            <w:r>
              <w:rPr>
                <w:color w:val="000000"/>
              </w:rPr>
              <w:t>Promote immunization digitalisation, research and innovations</w:t>
            </w:r>
          </w:p>
        </w:tc>
        <w:tc>
          <w:tcPr>
            <w:tcW w:w="1560" w:type="dxa"/>
            <w:noWrap/>
            <w:tcMar/>
            <w:vAlign w:val="bottom"/>
            <w:hideMark/>
          </w:tcPr>
          <w:p w:rsidRPr="00AF74EB" w:rsidR="000F650B" w:rsidP="000F650B" w:rsidRDefault="000F650B" w14:paraId="2708E9C2" w14:textId="68ECBD87">
            <w:pPr>
              <w:pStyle w:val="ListParagraph"/>
              <w:spacing w:line="300" w:lineRule="exact"/>
              <w:ind w:left="426"/>
              <w:rPr>
                <w:iCs/>
              </w:rPr>
            </w:pPr>
            <w:r>
              <w:rPr>
                <w:rFonts w:ascii="Calibri" w:hAnsi="Calibri" w:cs="Calibri"/>
                <w:color w:val="000000"/>
              </w:rPr>
              <w:t xml:space="preserve">    73,500 </w:t>
            </w:r>
          </w:p>
        </w:tc>
        <w:tc>
          <w:tcPr>
            <w:tcW w:w="1423" w:type="dxa"/>
            <w:noWrap/>
            <w:tcMar/>
            <w:vAlign w:val="bottom"/>
            <w:hideMark/>
          </w:tcPr>
          <w:p w:rsidRPr="00AF74EB" w:rsidR="000F650B" w:rsidP="000F650B" w:rsidRDefault="000F650B" w14:paraId="1BFC8C13" w14:textId="5D2FD422">
            <w:pPr>
              <w:pStyle w:val="ListParagraph"/>
              <w:spacing w:line="300" w:lineRule="exact"/>
              <w:ind w:left="426"/>
              <w:rPr>
                <w:iCs/>
              </w:rPr>
            </w:pPr>
            <w:r>
              <w:rPr>
                <w:rFonts w:ascii="Calibri" w:hAnsi="Calibri" w:cs="Calibri"/>
                <w:color w:val="000000"/>
              </w:rPr>
              <w:t>7.4</w:t>
            </w:r>
          </w:p>
        </w:tc>
      </w:tr>
      <w:tr w:rsidRPr="00AF74EB" w:rsidR="000F650B" w:rsidTr="7F867002" w14:paraId="00F77E59" w14:textId="77777777">
        <w:trPr>
          <w:trHeight w:val="1140"/>
        </w:trPr>
        <w:tc>
          <w:tcPr>
            <w:tcW w:w="2633" w:type="dxa"/>
            <w:tcMar/>
            <w:vAlign w:val="bottom"/>
            <w:hideMark/>
          </w:tcPr>
          <w:p w:rsidRPr="00580CAC" w:rsidR="000F650B" w:rsidP="000F650B" w:rsidRDefault="000F650B" w14:paraId="1F997E21" w14:textId="44CF56D9">
            <w:pPr>
              <w:spacing w:line="300" w:lineRule="exact"/>
              <w:rPr>
                <w:color w:val="000000"/>
              </w:rPr>
            </w:pPr>
            <w:r w:rsidRPr="008A3D4B">
              <w:rPr>
                <w:color w:val="000000"/>
              </w:rPr>
              <w:t>Vaccine-preventable disease surveillance</w:t>
            </w:r>
          </w:p>
        </w:tc>
        <w:tc>
          <w:tcPr>
            <w:tcW w:w="3566" w:type="dxa"/>
            <w:tcMar/>
            <w:vAlign w:val="center"/>
            <w:hideMark/>
          </w:tcPr>
          <w:p w:rsidRPr="00AF74EB" w:rsidR="000F650B" w:rsidP="000F650B" w:rsidRDefault="000F650B" w14:paraId="5E886BFD" w14:textId="778E1ECB">
            <w:pPr>
              <w:spacing w:line="300" w:lineRule="exact"/>
              <w:rPr>
                <w:iCs/>
              </w:rPr>
            </w:pPr>
            <w:r>
              <w:rPr>
                <w:color w:val="000000"/>
              </w:rPr>
              <w:t>Enhance continuous data quality improvement and utilization of data for evidence-based decision making (EBDM) at all levels of the health system</w:t>
            </w:r>
          </w:p>
        </w:tc>
        <w:tc>
          <w:tcPr>
            <w:tcW w:w="1560" w:type="dxa"/>
            <w:tcMar/>
            <w:vAlign w:val="bottom"/>
            <w:hideMark/>
          </w:tcPr>
          <w:p w:rsidRPr="00AF74EB" w:rsidR="000F650B" w:rsidP="000F650B" w:rsidRDefault="000F650B" w14:paraId="32A3A500" w14:textId="22405672">
            <w:pPr>
              <w:pStyle w:val="ListParagraph"/>
              <w:spacing w:line="300" w:lineRule="exact"/>
              <w:ind w:left="426"/>
              <w:rPr>
                <w:iCs/>
              </w:rPr>
            </w:pPr>
            <w:r>
              <w:rPr>
                <w:rFonts w:ascii="Calibri" w:hAnsi="Calibri" w:cs="Calibri"/>
                <w:color w:val="000000"/>
              </w:rPr>
              <w:t xml:space="preserve">    30,115 </w:t>
            </w:r>
          </w:p>
        </w:tc>
        <w:tc>
          <w:tcPr>
            <w:tcW w:w="1423" w:type="dxa"/>
            <w:tcMar/>
            <w:vAlign w:val="bottom"/>
            <w:hideMark/>
          </w:tcPr>
          <w:p w:rsidRPr="00AF74EB" w:rsidR="000F650B" w:rsidP="000F650B" w:rsidRDefault="000F650B" w14:paraId="4AFDAD8B" w14:textId="19412144">
            <w:pPr>
              <w:pStyle w:val="ListParagraph"/>
              <w:spacing w:line="300" w:lineRule="exact"/>
              <w:ind w:left="426"/>
              <w:rPr>
                <w:iCs/>
              </w:rPr>
            </w:pPr>
            <w:r>
              <w:rPr>
                <w:rFonts w:ascii="Calibri" w:hAnsi="Calibri" w:cs="Calibri"/>
                <w:color w:val="000000"/>
              </w:rPr>
              <w:t>3.0</w:t>
            </w:r>
          </w:p>
        </w:tc>
      </w:tr>
      <w:tr w:rsidRPr="00AF74EB" w:rsidR="000F650B" w:rsidTr="7F867002" w14:paraId="0BA31922" w14:textId="77777777">
        <w:trPr>
          <w:trHeight w:val="1140"/>
        </w:trPr>
        <w:tc>
          <w:tcPr>
            <w:tcW w:w="2633" w:type="dxa"/>
            <w:tcMar/>
            <w:vAlign w:val="bottom"/>
            <w:hideMark/>
          </w:tcPr>
          <w:p w:rsidRPr="00580CAC" w:rsidR="000F650B" w:rsidP="000F650B" w:rsidRDefault="000F650B" w14:paraId="31B6CF6F" w14:textId="72A5FCF9">
            <w:pPr>
              <w:spacing w:line="300" w:lineRule="exact"/>
              <w:rPr>
                <w:color w:val="000000"/>
              </w:rPr>
            </w:pPr>
            <w:r w:rsidRPr="008A3D4B">
              <w:rPr>
                <w:color w:val="000000"/>
              </w:rPr>
              <w:t>Governance, policy, strategic planning and programme management</w:t>
            </w:r>
          </w:p>
        </w:tc>
        <w:tc>
          <w:tcPr>
            <w:tcW w:w="3566" w:type="dxa"/>
            <w:tcMar/>
            <w:vAlign w:val="center"/>
            <w:hideMark/>
          </w:tcPr>
          <w:p w:rsidRPr="00AF74EB" w:rsidR="000F650B" w:rsidP="000F650B" w:rsidRDefault="000F650B" w14:paraId="4D40AA85" w14:textId="08AEC581">
            <w:pPr>
              <w:spacing w:line="300" w:lineRule="exact"/>
              <w:rPr>
                <w:iCs/>
              </w:rPr>
            </w:pPr>
            <w:r>
              <w:rPr>
                <w:color w:val="000000"/>
              </w:rPr>
              <w:t>Strengthen the oversight functions of the Immunization Program for sustainability of quality immunization programme that can achieve and sustain a minimum of 96% coverage of the fully immunized by 2029</w:t>
            </w:r>
          </w:p>
        </w:tc>
        <w:tc>
          <w:tcPr>
            <w:tcW w:w="1560" w:type="dxa"/>
            <w:tcMar/>
            <w:vAlign w:val="bottom"/>
            <w:hideMark/>
          </w:tcPr>
          <w:p w:rsidRPr="00AF74EB" w:rsidR="000F650B" w:rsidP="000F650B" w:rsidRDefault="000F650B" w14:paraId="44DA8373" w14:textId="33DBAC99">
            <w:pPr>
              <w:pStyle w:val="ListParagraph"/>
              <w:spacing w:line="300" w:lineRule="exact"/>
              <w:ind w:left="426"/>
              <w:rPr>
                <w:iCs/>
              </w:rPr>
            </w:pPr>
            <w:r>
              <w:rPr>
                <w:rFonts w:ascii="Calibri" w:hAnsi="Calibri" w:cs="Calibri"/>
                <w:color w:val="000000"/>
              </w:rPr>
              <w:t xml:space="preserve">  190,939 </w:t>
            </w:r>
          </w:p>
        </w:tc>
        <w:tc>
          <w:tcPr>
            <w:tcW w:w="1423" w:type="dxa"/>
            <w:tcMar/>
            <w:vAlign w:val="bottom"/>
            <w:hideMark/>
          </w:tcPr>
          <w:p w:rsidRPr="00AF74EB" w:rsidR="000F650B" w:rsidP="000F650B" w:rsidRDefault="000F650B" w14:paraId="0DF1ADBE" w14:textId="0D792F0B">
            <w:pPr>
              <w:pStyle w:val="ListParagraph"/>
              <w:spacing w:line="300" w:lineRule="exact"/>
              <w:ind w:left="426"/>
              <w:rPr>
                <w:iCs/>
              </w:rPr>
            </w:pPr>
            <w:r>
              <w:rPr>
                <w:rFonts w:ascii="Calibri" w:hAnsi="Calibri" w:cs="Calibri"/>
                <w:color w:val="000000"/>
              </w:rPr>
              <w:t>19.2</w:t>
            </w:r>
          </w:p>
        </w:tc>
      </w:tr>
      <w:tr w:rsidRPr="00AF74EB" w:rsidR="000F650B" w:rsidTr="7F867002" w14:paraId="7EA48B9B" w14:textId="77777777">
        <w:trPr>
          <w:trHeight w:val="1140"/>
        </w:trPr>
        <w:tc>
          <w:tcPr>
            <w:tcW w:w="2633" w:type="dxa"/>
            <w:tcMar/>
            <w:vAlign w:val="bottom"/>
          </w:tcPr>
          <w:p w:rsidRPr="008A3D4B" w:rsidR="000F650B" w:rsidP="000F650B" w:rsidRDefault="000F650B" w14:paraId="21554A61" w14:textId="3C8809E0">
            <w:pPr>
              <w:spacing w:line="300" w:lineRule="exact"/>
              <w:rPr>
                <w:color w:val="000000"/>
              </w:rPr>
            </w:pPr>
            <w:r w:rsidRPr="008A3D4B">
              <w:rPr>
                <w:color w:val="000000"/>
              </w:rPr>
              <w:t>Health financing</w:t>
            </w:r>
          </w:p>
        </w:tc>
        <w:tc>
          <w:tcPr>
            <w:tcW w:w="3566" w:type="dxa"/>
            <w:tcMar/>
            <w:vAlign w:val="center"/>
          </w:tcPr>
          <w:p w:rsidR="000F650B" w:rsidP="000F650B" w:rsidRDefault="000F650B" w14:paraId="60132FDF" w14:textId="49EFA8CC">
            <w:pPr>
              <w:spacing w:line="300" w:lineRule="exact"/>
              <w:rPr>
                <w:color w:val="000000"/>
              </w:rPr>
            </w:pPr>
            <w:r>
              <w:rPr>
                <w:color w:val="000000"/>
              </w:rPr>
              <w:t xml:space="preserve">Strengthen the Immunization Programme so as to increase immunization coverage for all-age appropriate coverage from 84.4% </w:t>
            </w:r>
            <w:r>
              <w:rPr>
                <w:color w:val="000000"/>
              </w:rPr>
              <w:lastRenderedPageBreak/>
              <w:t>to 88% and sustain fully immunization coverage beyond the current 96% for the fully immunized children in all districts by 2025</w:t>
            </w:r>
          </w:p>
        </w:tc>
        <w:tc>
          <w:tcPr>
            <w:tcW w:w="1560" w:type="dxa"/>
            <w:tcMar/>
            <w:vAlign w:val="bottom"/>
          </w:tcPr>
          <w:p w:rsidR="000F650B" w:rsidP="000F650B" w:rsidRDefault="000F650B" w14:paraId="5B206689" w14:textId="0A2B6C76">
            <w:pPr>
              <w:pStyle w:val="ListParagraph"/>
              <w:spacing w:line="300" w:lineRule="exact"/>
              <w:ind w:left="426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    13,000 </w:t>
            </w:r>
          </w:p>
        </w:tc>
        <w:tc>
          <w:tcPr>
            <w:tcW w:w="1423" w:type="dxa"/>
            <w:tcMar/>
            <w:vAlign w:val="bottom"/>
          </w:tcPr>
          <w:p w:rsidR="000F650B" w:rsidP="000F650B" w:rsidRDefault="000F650B" w14:paraId="050A7E86" w14:textId="3EEC8FE2">
            <w:pPr>
              <w:pStyle w:val="ListParagraph"/>
              <w:spacing w:line="300" w:lineRule="exact"/>
              <w:ind w:left="426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</w:t>
            </w:r>
          </w:p>
        </w:tc>
      </w:tr>
      <w:tr w:rsidRPr="00AF74EB" w:rsidR="006F6E89" w:rsidTr="7F867002" w14:paraId="30FA85FE" w14:textId="77777777">
        <w:trPr>
          <w:trHeight w:val="300"/>
        </w:trPr>
        <w:tc>
          <w:tcPr>
            <w:tcW w:w="2633" w:type="dxa"/>
            <w:shd w:val="clear" w:color="auto" w:fill="E2EFD9" w:themeFill="accent6" w:themeFillTint="33"/>
            <w:tcMar/>
            <w:hideMark/>
          </w:tcPr>
          <w:p w:rsidRPr="00580CAC" w:rsidR="006F6E89" w:rsidP="006F6E89" w:rsidRDefault="006F6E89" w14:paraId="0B07EF4B" w14:textId="77777777">
            <w:pPr>
              <w:pStyle w:val="ListParagraph"/>
              <w:spacing w:line="300" w:lineRule="exact"/>
              <w:ind w:left="426"/>
              <w:rPr>
                <w:color w:val="000000"/>
              </w:rPr>
            </w:pPr>
            <w:r w:rsidRPr="00580CAC">
              <w:rPr>
                <w:color w:val="000000"/>
              </w:rPr>
              <w:t> </w:t>
            </w:r>
          </w:p>
        </w:tc>
        <w:tc>
          <w:tcPr>
            <w:tcW w:w="3566" w:type="dxa"/>
            <w:shd w:val="clear" w:color="auto" w:fill="E2EFD9" w:themeFill="accent6" w:themeFillTint="33"/>
            <w:tcMar/>
            <w:hideMark/>
          </w:tcPr>
          <w:p w:rsidRPr="00AF74EB" w:rsidR="006F6E89" w:rsidP="006F6E89" w:rsidRDefault="006F6E89" w14:paraId="4A73BDBA" w14:textId="77777777">
            <w:pPr>
              <w:pStyle w:val="ListParagraph"/>
              <w:spacing w:line="300" w:lineRule="exact"/>
              <w:ind w:left="426"/>
              <w:jc w:val="center"/>
              <w:rPr>
                <w:b/>
                <w:bCs/>
                <w:iCs/>
              </w:rPr>
            </w:pPr>
            <w:r w:rsidRPr="00AF74EB">
              <w:rPr>
                <w:b/>
                <w:bCs/>
                <w:iCs/>
                <w:lang w:val="en-GB"/>
              </w:rPr>
              <w:t>2025</w:t>
            </w:r>
          </w:p>
        </w:tc>
        <w:tc>
          <w:tcPr>
            <w:tcW w:w="1560" w:type="dxa"/>
            <w:shd w:val="clear" w:color="auto" w:fill="E2EFD9" w:themeFill="accent6" w:themeFillTint="33"/>
            <w:tcMar/>
            <w:hideMark/>
          </w:tcPr>
          <w:p w:rsidRPr="00AF74EB" w:rsidR="006F6E89" w:rsidP="7F867002" w:rsidRDefault="006F6E89" w14:paraId="55426C39" w14:textId="082C0E4D">
            <w:pPr>
              <w:pStyle w:val="ListParagraph"/>
              <w:spacing w:line="300" w:lineRule="exact"/>
              <w:ind w:left="426"/>
              <w:rPr>
                <w:b w:val="1"/>
                <w:bCs w:val="1"/>
              </w:rPr>
            </w:pPr>
            <w:r w:rsidRPr="7F867002" w:rsidR="006F6E89">
              <w:rPr>
                <w:b w:val="1"/>
                <w:bCs w:val="1"/>
                <w:lang w:val="en-GB"/>
              </w:rPr>
              <w:t> 552,294</w:t>
            </w:r>
          </w:p>
        </w:tc>
        <w:tc>
          <w:tcPr>
            <w:tcW w:w="1423" w:type="dxa"/>
            <w:shd w:val="clear" w:color="auto" w:fill="E2EFD9" w:themeFill="accent6" w:themeFillTint="33"/>
            <w:tcMar/>
            <w:hideMark/>
          </w:tcPr>
          <w:p w:rsidRPr="00AF74EB" w:rsidR="006F6E89" w:rsidP="006F6E89" w:rsidRDefault="006F6E89" w14:paraId="703EB6DF" w14:textId="77777777">
            <w:pPr>
              <w:pStyle w:val="ListParagraph"/>
              <w:spacing w:line="300" w:lineRule="exact"/>
              <w:ind w:left="426"/>
              <w:rPr>
                <w:b/>
                <w:bCs/>
                <w:iCs/>
              </w:rPr>
            </w:pPr>
            <w:r w:rsidRPr="00AF74EB">
              <w:rPr>
                <w:b/>
                <w:bCs/>
                <w:iCs/>
                <w:lang w:val="en-GB"/>
              </w:rPr>
              <w:t> </w:t>
            </w:r>
          </w:p>
        </w:tc>
      </w:tr>
      <w:tr w:rsidRPr="00AF74EB" w:rsidR="00F23C60" w:rsidTr="7F867002" w14:paraId="434623F2" w14:textId="77777777">
        <w:trPr>
          <w:trHeight w:val="1140"/>
        </w:trPr>
        <w:tc>
          <w:tcPr>
            <w:tcW w:w="2633" w:type="dxa"/>
            <w:tcMar/>
            <w:vAlign w:val="bottom"/>
            <w:hideMark/>
          </w:tcPr>
          <w:p w:rsidRPr="00580CAC" w:rsidR="00F23C60" w:rsidP="00F23C60" w:rsidRDefault="00F23C60" w14:paraId="15F33A37" w14:textId="1662FD45">
            <w:pPr>
              <w:spacing w:line="300" w:lineRule="exact"/>
              <w:rPr>
                <w:color w:val="000000"/>
              </w:rPr>
            </w:pPr>
            <w:r w:rsidRPr="008A3D4B">
              <w:rPr>
                <w:color w:val="000000"/>
              </w:rPr>
              <w:t>Service delivery</w:t>
            </w:r>
          </w:p>
        </w:tc>
        <w:tc>
          <w:tcPr>
            <w:tcW w:w="3566" w:type="dxa"/>
            <w:tcMar/>
            <w:vAlign w:val="center"/>
            <w:hideMark/>
          </w:tcPr>
          <w:p w:rsidRPr="00AF74EB" w:rsidR="00F23C60" w:rsidP="00F23C60" w:rsidRDefault="00F23C60" w14:paraId="2F0D1AC3" w14:textId="4D2FA29F">
            <w:pPr>
              <w:spacing w:line="300" w:lineRule="exact"/>
              <w:rPr>
                <w:iCs/>
              </w:rPr>
            </w:pPr>
            <w:r>
              <w:rPr>
                <w:color w:val="000000"/>
              </w:rPr>
              <w:t>Strengthen the Immunization Programme so as to increase immunization coverage for all-age appropriate coverage from 84.4% to 88% and sustain fully immunization coverage beyond the current 96% for the fully immunized children in all districts by 2025</w:t>
            </w:r>
          </w:p>
        </w:tc>
        <w:tc>
          <w:tcPr>
            <w:tcW w:w="1560" w:type="dxa"/>
            <w:tcMar/>
            <w:vAlign w:val="bottom"/>
            <w:hideMark/>
          </w:tcPr>
          <w:p w:rsidRPr="00AF74EB" w:rsidR="00F23C60" w:rsidP="00F23C60" w:rsidRDefault="00F23C60" w14:paraId="24C868F5" w14:textId="377E7A1D">
            <w:pPr>
              <w:pStyle w:val="ListParagraph"/>
              <w:spacing w:line="300" w:lineRule="exact"/>
              <w:ind w:left="426"/>
              <w:rPr>
                <w:iCs/>
              </w:rPr>
            </w:pPr>
            <w:r>
              <w:rPr>
                <w:rFonts w:ascii="Calibri" w:hAnsi="Calibri" w:cs="Calibri"/>
                <w:color w:val="000000"/>
              </w:rPr>
              <w:t xml:space="preserve">    24,550 </w:t>
            </w:r>
          </w:p>
        </w:tc>
        <w:tc>
          <w:tcPr>
            <w:tcW w:w="1423" w:type="dxa"/>
            <w:tcMar/>
            <w:vAlign w:val="bottom"/>
            <w:hideMark/>
          </w:tcPr>
          <w:p w:rsidRPr="00AF74EB" w:rsidR="00F23C60" w:rsidP="00F23C60" w:rsidRDefault="00F23C60" w14:paraId="376F48BC" w14:textId="0A1F87E6">
            <w:pPr>
              <w:pStyle w:val="ListParagraph"/>
              <w:spacing w:line="300" w:lineRule="exact"/>
              <w:ind w:left="426"/>
              <w:rPr>
                <w:iCs/>
              </w:rPr>
            </w:pPr>
            <w:r>
              <w:rPr>
                <w:rFonts w:ascii="Calibri" w:hAnsi="Calibri" w:cs="Calibri"/>
                <w:color w:val="000000"/>
              </w:rPr>
              <w:t>4.4</w:t>
            </w:r>
          </w:p>
        </w:tc>
      </w:tr>
      <w:tr w:rsidRPr="00AF74EB" w:rsidR="00F23C60" w:rsidTr="7F867002" w14:paraId="342DDAC1" w14:textId="77777777">
        <w:trPr>
          <w:trHeight w:val="1140"/>
        </w:trPr>
        <w:tc>
          <w:tcPr>
            <w:tcW w:w="2633" w:type="dxa"/>
            <w:tcMar/>
            <w:vAlign w:val="bottom"/>
          </w:tcPr>
          <w:p w:rsidRPr="00580CAC" w:rsidR="00F23C60" w:rsidP="00F23C60" w:rsidRDefault="00F23C60" w14:paraId="596BDF81" w14:textId="706B1C21">
            <w:pPr>
              <w:spacing w:line="300" w:lineRule="exact"/>
              <w:rPr>
                <w:color w:val="000000"/>
              </w:rPr>
            </w:pPr>
            <w:r w:rsidRPr="008A3D4B">
              <w:rPr>
                <w:color w:val="000000"/>
              </w:rPr>
              <w:t>Human resources for health</w:t>
            </w:r>
          </w:p>
        </w:tc>
        <w:tc>
          <w:tcPr>
            <w:tcW w:w="3566" w:type="dxa"/>
            <w:tcMar/>
            <w:vAlign w:val="center"/>
          </w:tcPr>
          <w:p w:rsidRPr="00AF74EB" w:rsidR="00F23C60" w:rsidP="00F23C60" w:rsidRDefault="00F23C60" w14:paraId="1A6A4BC8" w14:textId="4B1E971B">
            <w:pPr>
              <w:spacing w:line="300" w:lineRule="exact"/>
              <w:rPr>
                <w:iCs/>
              </w:rPr>
            </w:pPr>
            <w:r>
              <w:rPr>
                <w:color w:val="000000"/>
              </w:rPr>
              <w:t>Strengthen the Immunization Programme so as to increase immunization coverage for all-age appropriate coverage from 84.4% to 88% and sustain fully immunization coverage beyond the current 96% for the fully immunized children in all districts by 2025</w:t>
            </w:r>
          </w:p>
        </w:tc>
        <w:tc>
          <w:tcPr>
            <w:tcW w:w="1560" w:type="dxa"/>
            <w:tcMar/>
            <w:vAlign w:val="bottom"/>
          </w:tcPr>
          <w:p w:rsidRPr="00AF74EB" w:rsidR="00F23C60" w:rsidDel="00CA5EF4" w:rsidP="00F23C60" w:rsidRDefault="00F23C60" w14:paraId="7AE9EB0E" w14:textId="2DF418E4">
            <w:pPr>
              <w:pStyle w:val="ListParagraph"/>
              <w:spacing w:line="300" w:lineRule="exact"/>
              <w:ind w:left="426"/>
              <w:rPr>
                <w:iCs/>
              </w:rPr>
            </w:pPr>
            <w:r>
              <w:rPr>
                <w:rFonts w:ascii="Calibri" w:hAnsi="Calibri" w:cs="Calibri"/>
                <w:color w:val="000000"/>
              </w:rPr>
              <w:t xml:space="preserve">  104,500 </w:t>
            </w:r>
          </w:p>
        </w:tc>
        <w:tc>
          <w:tcPr>
            <w:tcW w:w="1423" w:type="dxa"/>
            <w:tcMar/>
            <w:vAlign w:val="bottom"/>
          </w:tcPr>
          <w:p w:rsidRPr="00AF74EB" w:rsidR="00F23C60" w:rsidP="00F23C60" w:rsidRDefault="00F23C60" w14:paraId="7AEB6926" w14:textId="234C762E">
            <w:pPr>
              <w:pStyle w:val="ListParagraph"/>
              <w:spacing w:line="300" w:lineRule="exact"/>
              <w:ind w:left="426"/>
              <w:rPr>
                <w:iCs/>
              </w:rPr>
            </w:pPr>
            <w:r>
              <w:rPr>
                <w:rFonts w:ascii="Calibri" w:hAnsi="Calibri" w:cs="Calibri"/>
                <w:color w:val="000000"/>
              </w:rPr>
              <w:t>18.9</w:t>
            </w:r>
          </w:p>
        </w:tc>
      </w:tr>
      <w:tr w:rsidRPr="00AF74EB" w:rsidR="00F23C60" w:rsidTr="7F867002" w14:paraId="65F61DE4" w14:textId="77777777">
        <w:trPr>
          <w:trHeight w:val="855"/>
        </w:trPr>
        <w:tc>
          <w:tcPr>
            <w:tcW w:w="2633" w:type="dxa"/>
            <w:tcMar/>
            <w:vAlign w:val="bottom"/>
            <w:hideMark/>
          </w:tcPr>
          <w:p w:rsidRPr="00580CAC" w:rsidR="00F23C60" w:rsidP="00F23C60" w:rsidRDefault="00F23C60" w14:paraId="74DDD7F9" w14:textId="76AD4277">
            <w:pPr>
              <w:spacing w:line="300" w:lineRule="exact"/>
              <w:rPr>
                <w:color w:val="000000"/>
              </w:rPr>
            </w:pPr>
            <w:r w:rsidRPr="008A3D4B">
              <w:rPr>
                <w:color w:val="000000"/>
              </w:rPr>
              <w:t>Supply chain</w:t>
            </w:r>
          </w:p>
        </w:tc>
        <w:tc>
          <w:tcPr>
            <w:tcW w:w="3566" w:type="dxa"/>
            <w:tcMar/>
            <w:vAlign w:val="center"/>
            <w:hideMark/>
          </w:tcPr>
          <w:p w:rsidRPr="00AF74EB" w:rsidR="00F23C60" w:rsidP="00F23C60" w:rsidRDefault="00F23C60" w14:paraId="7DB35C38" w14:textId="05D98B7F">
            <w:pPr>
              <w:spacing w:line="300" w:lineRule="exact"/>
              <w:rPr>
                <w:iCs/>
              </w:rPr>
            </w:pPr>
            <w:r>
              <w:rPr>
                <w:color w:val="000000"/>
              </w:rPr>
              <w:t>Enhance performance of the logistics and supply chain system of the Immunization Programme to ensure availability of supplies and safeguard of vaccine potency at all levels of immunization supply chain</w:t>
            </w:r>
          </w:p>
        </w:tc>
        <w:tc>
          <w:tcPr>
            <w:tcW w:w="1560" w:type="dxa"/>
            <w:tcMar/>
            <w:vAlign w:val="bottom"/>
            <w:hideMark/>
          </w:tcPr>
          <w:p w:rsidRPr="00AF74EB" w:rsidR="00F23C60" w:rsidP="00F23C60" w:rsidRDefault="00F23C60" w14:paraId="64E5DEC8" w14:textId="05C92A5B">
            <w:pPr>
              <w:pStyle w:val="ListParagraph"/>
              <w:spacing w:line="300" w:lineRule="exact"/>
              <w:ind w:left="426"/>
              <w:rPr>
                <w:iCs/>
              </w:rPr>
            </w:pPr>
            <w:r>
              <w:rPr>
                <w:rFonts w:ascii="Calibri" w:hAnsi="Calibri" w:cs="Calibri"/>
                <w:color w:val="000000"/>
              </w:rPr>
              <w:t xml:space="preserve">  125,000 </w:t>
            </w:r>
          </w:p>
        </w:tc>
        <w:tc>
          <w:tcPr>
            <w:tcW w:w="1423" w:type="dxa"/>
            <w:tcMar/>
            <w:vAlign w:val="bottom"/>
            <w:hideMark/>
          </w:tcPr>
          <w:p w:rsidRPr="00AF74EB" w:rsidR="00F23C60" w:rsidP="00F23C60" w:rsidRDefault="00F23C60" w14:paraId="61A08408" w14:textId="116AA6C6">
            <w:pPr>
              <w:pStyle w:val="ListParagraph"/>
              <w:spacing w:line="300" w:lineRule="exact"/>
              <w:ind w:left="426"/>
              <w:rPr>
                <w:iCs/>
              </w:rPr>
            </w:pPr>
            <w:r>
              <w:rPr>
                <w:rFonts w:ascii="Calibri" w:hAnsi="Calibri" w:cs="Calibri"/>
                <w:color w:val="000000"/>
              </w:rPr>
              <w:t>22.6</w:t>
            </w:r>
          </w:p>
        </w:tc>
      </w:tr>
      <w:tr w:rsidRPr="00AF74EB" w:rsidR="00F23C60" w:rsidTr="7F867002" w14:paraId="6EDC946F" w14:textId="77777777">
        <w:trPr>
          <w:trHeight w:val="1140"/>
        </w:trPr>
        <w:tc>
          <w:tcPr>
            <w:tcW w:w="2633" w:type="dxa"/>
            <w:tcMar/>
            <w:vAlign w:val="bottom"/>
            <w:hideMark/>
          </w:tcPr>
          <w:p w:rsidRPr="00580CAC" w:rsidR="00F23C60" w:rsidP="00F23C60" w:rsidRDefault="00F23C60" w14:paraId="2DE59EC1" w14:textId="438CB8DF">
            <w:pPr>
              <w:spacing w:line="300" w:lineRule="exact"/>
              <w:rPr>
                <w:color w:val="000000"/>
              </w:rPr>
            </w:pPr>
            <w:r w:rsidRPr="008A3D4B">
              <w:rPr>
                <w:color w:val="000000"/>
              </w:rPr>
              <w:t>Health information systems and monitoring and learning</w:t>
            </w:r>
          </w:p>
        </w:tc>
        <w:tc>
          <w:tcPr>
            <w:tcW w:w="3566" w:type="dxa"/>
            <w:tcMar/>
            <w:vAlign w:val="center"/>
            <w:hideMark/>
          </w:tcPr>
          <w:p w:rsidRPr="00580CAC" w:rsidR="00F23C60" w:rsidP="00F23C60" w:rsidRDefault="00F23C60" w14:paraId="5D080D4E" w14:textId="089D0CAC">
            <w:pPr>
              <w:spacing w:line="300" w:lineRule="exact"/>
              <w:rPr>
                <w:iCs/>
                <w:highlight w:val="yellow"/>
              </w:rPr>
            </w:pPr>
            <w:r>
              <w:rPr>
                <w:color w:val="000000"/>
              </w:rPr>
              <w:t>Enhance continuous data quality improvement and utilization of data for evidence-based decision making (EBDM) at all levels of the health system</w:t>
            </w:r>
          </w:p>
        </w:tc>
        <w:tc>
          <w:tcPr>
            <w:tcW w:w="1560" w:type="dxa"/>
            <w:tcMar/>
            <w:vAlign w:val="bottom"/>
            <w:hideMark/>
          </w:tcPr>
          <w:p w:rsidRPr="00580CAC" w:rsidR="00F23C60" w:rsidP="00F23C60" w:rsidRDefault="00F23C60" w14:paraId="18F35636" w14:textId="0BFBC4CE">
            <w:pPr>
              <w:pStyle w:val="ListParagraph"/>
              <w:spacing w:line="300" w:lineRule="exact"/>
              <w:ind w:left="426"/>
              <w:rPr>
                <w:iCs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       9,500 </w:t>
            </w:r>
          </w:p>
        </w:tc>
        <w:tc>
          <w:tcPr>
            <w:tcW w:w="1423" w:type="dxa"/>
            <w:tcMar/>
            <w:vAlign w:val="bottom"/>
            <w:hideMark/>
          </w:tcPr>
          <w:p w:rsidRPr="00AF74EB" w:rsidR="00F23C60" w:rsidP="00F23C60" w:rsidRDefault="00F23C60" w14:paraId="4A3F062C" w14:textId="54B9CDA7">
            <w:pPr>
              <w:pStyle w:val="ListParagraph"/>
              <w:spacing w:line="300" w:lineRule="exact"/>
              <w:ind w:left="426"/>
              <w:rPr>
                <w:iCs/>
              </w:rPr>
            </w:pPr>
            <w:r>
              <w:rPr>
                <w:rFonts w:ascii="Calibri" w:hAnsi="Calibri" w:cs="Calibri"/>
                <w:color w:val="000000"/>
              </w:rPr>
              <w:t>1.7</w:t>
            </w:r>
          </w:p>
        </w:tc>
      </w:tr>
      <w:tr w:rsidRPr="00AF74EB" w:rsidR="00F23C60" w:rsidTr="7F867002" w14:paraId="4345C5F9" w14:textId="77777777">
        <w:trPr>
          <w:trHeight w:val="855"/>
        </w:trPr>
        <w:tc>
          <w:tcPr>
            <w:tcW w:w="2633" w:type="dxa"/>
            <w:tcMar/>
            <w:vAlign w:val="bottom"/>
            <w:hideMark/>
          </w:tcPr>
          <w:p w:rsidRPr="00580CAC" w:rsidR="00F23C60" w:rsidP="00F23C60" w:rsidRDefault="00F23C60" w14:paraId="1F3746FC" w14:textId="7713700F">
            <w:pPr>
              <w:spacing w:line="300" w:lineRule="exact"/>
              <w:rPr>
                <w:color w:val="000000"/>
              </w:rPr>
            </w:pPr>
            <w:r w:rsidRPr="008A3D4B">
              <w:rPr>
                <w:color w:val="000000"/>
              </w:rPr>
              <w:t>Vaccine-preventable disease surveillance</w:t>
            </w:r>
          </w:p>
        </w:tc>
        <w:tc>
          <w:tcPr>
            <w:tcW w:w="3566" w:type="dxa"/>
            <w:tcMar/>
            <w:vAlign w:val="center"/>
            <w:hideMark/>
          </w:tcPr>
          <w:p w:rsidRPr="00AF74EB" w:rsidR="00F23C60" w:rsidP="00F23C60" w:rsidRDefault="00F23C60" w14:paraId="26AAF150" w14:textId="17E34F1D">
            <w:pPr>
              <w:spacing w:line="300" w:lineRule="exact"/>
              <w:rPr>
                <w:iCs/>
              </w:rPr>
            </w:pPr>
            <w:r>
              <w:rPr>
                <w:color w:val="000000"/>
              </w:rPr>
              <w:t>Enhance continuous data quality improvement and utilization of data for evidence-based decision making (EBDM) at all levels of the health system</w:t>
            </w:r>
          </w:p>
        </w:tc>
        <w:tc>
          <w:tcPr>
            <w:tcW w:w="1560" w:type="dxa"/>
            <w:tcMar/>
            <w:vAlign w:val="bottom"/>
            <w:hideMark/>
          </w:tcPr>
          <w:p w:rsidRPr="00AF74EB" w:rsidR="00F23C60" w:rsidP="00F23C60" w:rsidRDefault="00F23C60" w14:paraId="06F853A5" w14:textId="065EB80C">
            <w:pPr>
              <w:pStyle w:val="ListParagraph"/>
              <w:spacing w:line="300" w:lineRule="exact"/>
              <w:ind w:left="426"/>
              <w:rPr>
                <w:iCs/>
              </w:rPr>
            </w:pPr>
            <w:r>
              <w:rPr>
                <w:rFonts w:ascii="Calibri" w:hAnsi="Calibri" w:cs="Calibri"/>
                <w:color w:val="000000"/>
              </w:rPr>
              <w:t xml:space="preserve">    30,115 </w:t>
            </w:r>
          </w:p>
        </w:tc>
        <w:tc>
          <w:tcPr>
            <w:tcW w:w="1423" w:type="dxa"/>
            <w:tcMar/>
            <w:vAlign w:val="bottom"/>
            <w:hideMark/>
          </w:tcPr>
          <w:p w:rsidRPr="00AF74EB" w:rsidR="00F23C60" w:rsidP="00F23C60" w:rsidRDefault="00F23C60" w14:paraId="7FADA2A6" w14:textId="7AC753C9">
            <w:pPr>
              <w:pStyle w:val="ListParagraph"/>
              <w:spacing w:line="300" w:lineRule="exact"/>
              <w:ind w:left="426"/>
              <w:rPr>
                <w:iCs/>
              </w:rPr>
            </w:pPr>
            <w:r>
              <w:rPr>
                <w:rFonts w:ascii="Calibri" w:hAnsi="Calibri" w:cs="Calibri"/>
                <w:color w:val="000000"/>
              </w:rPr>
              <w:t>5.5</w:t>
            </w:r>
          </w:p>
        </w:tc>
      </w:tr>
      <w:tr w:rsidRPr="00AF74EB" w:rsidR="00F23C60" w:rsidTr="7F867002" w14:paraId="655B140A" w14:textId="77777777">
        <w:trPr>
          <w:trHeight w:val="570"/>
        </w:trPr>
        <w:tc>
          <w:tcPr>
            <w:tcW w:w="2633" w:type="dxa"/>
            <w:tcMar/>
            <w:vAlign w:val="bottom"/>
            <w:hideMark/>
          </w:tcPr>
          <w:p w:rsidRPr="00580CAC" w:rsidR="00F23C60" w:rsidP="00F23C60" w:rsidRDefault="00F23C60" w14:paraId="66C8AB1C" w14:textId="4BE64566">
            <w:pPr>
              <w:spacing w:line="300" w:lineRule="exact"/>
              <w:rPr>
                <w:color w:val="000000"/>
              </w:rPr>
            </w:pPr>
            <w:r w:rsidRPr="008A3D4B">
              <w:rPr>
                <w:color w:val="000000"/>
              </w:rPr>
              <w:t>Demand generation and community development</w:t>
            </w:r>
          </w:p>
        </w:tc>
        <w:tc>
          <w:tcPr>
            <w:tcW w:w="3566" w:type="dxa"/>
            <w:tcMar/>
            <w:vAlign w:val="center"/>
            <w:hideMark/>
          </w:tcPr>
          <w:p w:rsidRPr="00AF74EB" w:rsidR="00F23C60" w:rsidP="00F23C60" w:rsidRDefault="00F23C60" w14:paraId="3B594037" w14:textId="5C012BCD">
            <w:pPr>
              <w:spacing w:line="300" w:lineRule="exact"/>
              <w:rPr>
                <w:iCs/>
              </w:rPr>
            </w:pPr>
            <w:r>
              <w:rPr>
                <w:color w:val="000000"/>
              </w:rPr>
              <w:t xml:space="preserve">Strengthen social and behavior change communication </w:t>
            </w:r>
            <w:r>
              <w:rPr>
                <w:color w:val="000000"/>
              </w:rPr>
              <w:lastRenderedPageBreak/>
              <w:t>approaches that promote demand for and uptake of immunization services so as to achieve and sustain a minimum of 96 % coverage of the fully immunized by 2029</w:t>
            </w:r>
          </w:p>
        </w:tc>
        <w:tc>
          <w:tcPr>
            <w:tcW w:w="1560" w:type="dxa"/>
            <w:tcMar/>
            <w:vAlign w:val="bottom"/>
            <w:hideMark/>
          </w:tcPr>
          <w:p w:rsidRPr="00AF74EB" w:rsidR="00F23C60" w:rsidP="00F23C60" w:rsidRDefault="00F23C60" w14:paraId="6A015F29" w14:textId="33FA37D5">
            <w:pPr>
              <w:pStyle w:val="ListParagraph"/>
              <w:spacing w:line="300" w:lineRule="exact"/>
              <w:ind w:left="426"/>
              <w:rPr>
                <w:iCs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  100,000 </w:t>
            </w:r>
          </w:p>
        </w:tc>
        <w:tc>
          <w:tcPr>
            <w:tcW w:w="1423" w:type="dxa"/>
            <w:tcMar/>
            <w:vAlign w:val="bottom"/>
            <w:hideMark/>
          </w:tcPr>
          <w:p w:rsidRPr="00AF74EB" w:rsidR="00F23C60" w:rsidP="00F23C60" w:rsidRDefault="00F23C60" w14:paraId="51AC9849" w14:textId="213CB07C">
            <w:pPr>
              <w:pStyle w:val="ListParagraph"/>
              <w:spacing w:line="300" w:lineRule="exact"/>
              <w:ind w:left="426"/>
              <w:rPr>
                <w:iCs/>
              </w:rPr>
            </w:pPr>
            <w:r>
              <w:rPr>
                <w:rFonts w:ascii="Calibri" w:hAnsi="Calibri" w:cs="Calibri"/>
                <w:color w:val="000000"/>
              </w:rPr>
              <w:t>18.1</w:t>
            </w:r>
          </w:p>
        </w:tc>
      </w:tr>
      <w:tr w:rsidRPr="00AF74EB" w:rsidR="00F23C60" w:rsidTr="7F867002" w14:paraId="2B6CCBFD" w14:textId="77777777">
        <w:trPr>
          <w:trHeight w:val="1140"/>
        </w:trPr>
        <w:tc>
          <w:tcPr>
            <w:tcW w:w="2633" w:type="dxa"/>
            <w:tcMar/>
            <w:vAlign w:val="bottom"/>
            <w:hideMark/>
          </w:tcPr>
          <w:p w:rsidRPr="00580CAC" w:rsidR="00F23C60" w:rsidP="00F23C60" w:rsidRDefault="00F23C60" w14:paraId="721CB692" w14:textId="304B512D">
            <w:pPr>
              <w:spacing w:line="300" w:lineRule="exact"/>
              <w:rPr>
                <w:color w:val="000000"/>
              </w:rPr>
            </w:pPr>
            <w:r w:rsidRPr="008A3D4B">
              <w:rPr>
                <w:color w:val="000000"/>
              </w:rPr>
              <w:t>Governance, policy, strategic planning and programme management</w:t>
            </w:r>
          </w:p>
        </w:tc>
        <w:tc>
          <w:tcPr>
            <w:tcW w:w="3566" w:type="dxa"/>
            <w:tcMar/>
            <w:vAlign w:val="center"/>
            <w:hideMark/>
          </w:tcPr>
          <w:p w:rsidRPr="00AF74EB" w:rsidR="00F23C60" w:rsidP="00F23C60" w:rsidRDefault="00F23C60" w14:paraId="5294F14E" w14:textId="5475F3CD">
            <w:pPr>
              <w:spacing w:line="300" w:lineRule="exact"/>
              <w:rPr>
                <w:iCs/>
              </w:rPr>
            </w:pPr>
            <w:r>
              <w:rPr>
                <w:color w:val="000000"/>
              </w:rPr>
              <w:t>Strengthen the oversight functions of the Immunization Program for sustainability of quality immunization programme that can achieve and sustain a minimum of 96% coverage of the fully immunized by 2030</w:t>
            </w:r>
          </w:p>
        </w:tc>
        <w:tc>
          <w:tcPr>
            <w:tcW w:w="1560" w:type="dxa"/>
            <w:tcMar/>
            <w:vAlign w:val="bottom"/>
            <w:hideMark/>
          </w:tcPr>
          <w:p w:rsidRPr="00AF74EB" w:rsidR="00F23C60" w:rsidP="00F23C60" w:rsidRDefault="00F23C60" w14:paraId="36FA1753" w14:textId="4C16F21D">
            <w:pPr>
              <w:pStyle w:val="ListParagraph"/>
              <w:spacing w:line="300" w:lineRule="exact"/>
              <w:ind w:left="426"/>
              <w:rPr>
                <w:iCs/>
              </w:rPr>
            </w:pPr>
            <w:r>
              <w:rPr>
                <w:rFonts w:ascii="Calibri" w:hAnsi="Calibri" w:cs="Calibri"/>
                <w:color w:val="000000"/>
              </w:rPr>
              <w:t xml:space="preserve">  146,129 </w:t>
            </w:r>
          </w:p>
        </w:tc>
        <w:tc>
          <w:tcPr>
            <w:tcW w:w="1423" w:type="dxa"/>
            <w:tcMar/>
            <w:vAlign w:val="bottom"/>
            <w:hideMark/>
          </w:tcPr>
          <w:p w:rsidRPr="00AF74EB" w:rsidR="00F23C60" w:rsidP="00F23C60" w:rsidRDefault="00F23C60" w14:paraId="335DAAC3" w14:textId="275318EE">
            <w:pPr>
              <w:pStyle w:val="ListParagraph"/>
              <w:spacing w:line="300" w:lineRule="exact"/>
              <w:ind w:left="426"/>
              <w:rPr>
                <w:iCs/>
              </w:rPr>
            </w:pPr>
            <w:r>
              <w:rPr>
                <w:rFonts w:ascii="Calibri" w:hAnsi="Calibri" w:cs="Calibri"/>
                <w:color w:val="000000"/>
              </w:rPr>
              <w:t>26.5</w:t>
            </w:r>
          </w:p>
        </w:tc>
      </w:tr>
      <w:tr w:rsidRPr="00AF74EB" w:rsidR="00F23C60" w:rsidTr="7F867002" w14:paraId="6B3A50F1" w14:textId="77777777">
        <w:trPr>
          <w:trHeight w:val="855"/>
        </w:trPr>
        <w:tc>
          <w:tcPr>
            <w:tcW w:w="2633" w:type="dxa"/>
            <w:tcMar/>
            <w:vAlign w:val="bottom"/>
            <w:hideMark/>
          </w:tcPr>
          <w:p w:rsidRPr="00580CAC" w:rsidR="00F23C60" w:rsidP="00F23C60" w:rsidRDefault="00F23C60" w14:paraId="07DA77E3" w14:textId="39F0267F">
            <w:pPr>
              <w:spacing w:line="300" w:lineRule="exact"/>
              <w:rPr>
                <w:color w:val="000000"/>
              </w:rPr>
            </w:pPr>
            <w:r w:rsidRPr="008A3D4B">
              <w:rPr>
                <w:color w:val="000000"/>
              </w:rPr>
              <w:t>Health financing</w:t>
            </w:r>
          </w:p>
        </w:tc>
        <w:tc>
          <w:tcPr>
            <w:tcW w:w="3566" w:type="dxa"/>
            <w:tcMar/>
            <w:vAlign w:val="center"/>
            <w:hideMark/>
          </w:tcPr>
          <w:p w:rsidRPr="00AF74EB" w:rsidR="00F23C60" w:rsidP="00F23C60" w:rsidRDefault="00F23C60" w14:paraId="6336042C" w14:textId="4D01AD47">
            <w:pPr>
              <w:spacing w:line="300" w:lineRule="exact"/>
              <w:rPr>
                <w:iCs/>
              </w:rPr>
            </w:pPr>
            <w:r>
              <w:rPr>
                <w:color w:val="000000"/>
              </w:rPr>
              <w:t>Strengthen the Immunization Programme so as to increase immunization coverage for all-age appropriate coverage from 84.4% to 88% and sustain fully immunization coverage beyond the current 96% for the fully immunized children in all districts by 2025</w:t>
            </w:r>
          </w:p>
        </w:tc>
        <w:tc>
          <w:tcPr>
            <w:tcW w:w="1560" w:type="dxa"/>
            <w:tcMar/>
            <w:vAlign w:val="bottom"/>
            <w:hideMark/>
          </w:tcPr>
          <w:p w:rsidRPr="00AF74EB" w:rsidR="00F23C60" w:rsidP="00F23C60" w:rsidRDefault="00F23C60" w14:paraId="2A4AFB7B" w14:textId="54616026">
            <w:pPr>
              <w:pStyle w:val="ListParagraph"/>
              <w:spacing w:line="300" w:lineRule="exact"/>
              <w:ind w:left="426"/>
              <w:rPr>
                <w:iCs/>
              </w:rPr>
            </w:pPr>
            <w:r>
              <w:rPr>
                <w:rFonts w:ascii="Calibri" w:hAnsi="Calibri" w:cs="Calibri"/>
                <w:color w:val="000000"/>
              </w:rPr>
              <w:t xml:space="preserve">    12,500 </w:t>
            </w:r>
          </w:p>
        </w:tc>
        <w:tc>
          <w:tcPr>
            <w:tcW w:w="1423" w:type="dxa"/>
            <w:tcMar/>
            <w:vAlign w:val="bottom"/>
            <w:hideMark/>
          </w:tcPr>
          <w:p w:rsidRPr="00AF74EB" w:rsidR="00F23C60" w:rsidP="00F23C60" w:rsidRDefault="00F23C60" w14:paraId="199E5BF4" w14:textId="36B2661A">
            <w:pPr>
              <w:pStyle w:val="ListParagraph"/>
              <w:spacing w:line="300" w:lineRule="exact"/>
              <w:ind w:left="426"/>
              <w:rPr>
                <w:iCs/>
              </w:rPr>
            </w:pPr>
            <w:r>
              <w:rPr>
                <w:rFonts w:ascii="Calibri" w:hAnsi="Calibri" w:cs="Calibri"/>
                <w:color w:val="000000"/>
              </w:rPr>
              <w:t>2.3</w:t>
            </w:r>
          </w:p>
        </w:tc>
      </w:tr>
    </w:tbl>
    <w:p w:rsidRPr="00AF74EB" w:rsidR="00B063BE" w:rsidP="00372D1F" w:rsidRDefault="00B063BE" w14:paraId="7DE84690" w14:textId="77777777">
      <w:pPr>
        <w:pStyle w:val="ListParagraph"/>
        <w:spacing w:line="300" w:lineRule="exact"/>
        <w:ind w:left="426"/>
        <w:rPr>
          <w:iCs/>
          <w:lang w:val="en-GB"/>
        </w:rPr>
      </w:pPr>
    </w:p>
    <w:p w:rsidRPr="00AF74EB" w:rsidR="00FF06AF" w:rsidP="00372D1F" w:rsidRDefault="00FF06AF" w14:paraId="76164232" w14:textId="77777777">
      <w:pPr>
        <w:pStyle w:val="ListParagraph"/>
        <w:spacing w:line="300" w:lineRule="exact"/>
        <w:ind w:left="426"/>
        <w:rPr>
          <w:i/>
          <w:lang w:val="en-GB"/>
        </w:rPr>
      </w:pPr>
    </w:p>
    <w:p w:rsidRPr="00AF74EB" w:rsidR="00372D1F" w:rsidRDefault="00372D1F" w14:paraId="62A44A29" w14:textId="04DFFE13"/>
    <w:p w:rsidRPr="00AF74EB" w:rsidR="00656E48" w:rsidRDefault="00656E48" w14:paraId="2022CEA2" w14:textId="77777777"/>
    <w:tbl>
      <w:tblPr>
        <w:tblStyle w:val="TableGrid"/>
        <w:tblW w:w="91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192"/>
      </w:tblGrid>
      <w:tr w:rsidRPr="00AF74EB" w:rsidR="00AF74EB" w:rsidTr="7F867002" w14:paraId="42B6E5C8" w14:textId="77777777">
        <w:tc>
          <w:tcPr>
            <w:tcW w:w="9192" w:type="dxa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</w:tcPr>
          <w:p w:rsidRPr="00AF74EB" w:rsidR="00372D1F" w:rsidP="00372D1F" w:rsidRDefault="00372D1F" w14:paraId="5594A626" w14:textId="06689130">
            <w:pPr>
              <w:spacing w:line="300" w:lineRule="exact"/>
              <w:rPr>
                <w:b/>
                <w:bCs/>
                <w:i/>
                <w:iCs/>
                <w:sz w:val="20"/>
                <w:szCs w:val="20"/>
              </w:rPr>
            </w:pPr>
            <w:r w:rsidRPr="00AF74EB">
              <w:rPr>
                <w:b/>
                <w:bCs/>
                <w:i/>
                <w:iCs/>
                <w:sz w:val="20"/>
                <w:szCs w:val="20"/>
              </w:rPr>
              <w:t>2.1 Please reflect and describe your immunisation system</w:t>
            </w:r>
            <w:r w:rsidRPr="00AF74EB" w:rsidR="008447E6">
              <w:rPr>
                <w:b/>
                <w:bCs/>
                <w:i/>
                <w:iCs/>
                <w:sz w:val="20"/>
                <w:szCs w:val="20"/>
              </w:rPr>
              <w:t>'</w:t>
            </w:r>
            <w:r w:rsidRPr="00AF74EB">
              <w:rPr>
                <w:b/>
                <w:bCs/>
                <w:i/>
                <w:iCs/>
                <w:sz w:val="20"/>
                <w:szCs w:val="20"/>
              </w:rPr>
              <w:t xml:space="preserve">s current TA needs as they are aligned with investments made by Government, Gavi and bilateral/multilateral donors. Your answers shall provide the context of and rationale for </w:t>
            </w:r>
            <w:r w:rsidRPr="00AF74EB" w:rsidR="0076309A">
              <w:rPr>
                <w:b/>
                <w:bCs/>
                <w:i/>
                <w:iCs/>
                <w:sz w:val="20"/>
                <w:szCs w:val="20"/>
              </w:rPr>
              <w:t>the requeste</w:t>
            </w:r>
            <w:r w:rsidRPr="00AF74EB" w:rsidR="007203BA">
              <w:rPr>
                <w:b/>
                <w:bCs/>
                <w:i/>
                <w:iCs/>
                <w:sz w:val="20"/>
                <w:szCs w:val="20"/>
              </w:rPr>
              <w:t>d TCA support from Gavi.</w:t>
            </w:r>
            <w:r w:rsidRPr="00AF74EB">
              <w:rPr>
                <w:b/>
                <w:bCs/>
                <w:sz w:val="20"/>
                <w:szCs w:val="20"/>
              </w:rPr>
              <w:t xml:space="preserve"> </w:t>
            </w:r>
            <w:r w:rsidRPr="00AF74EB">
              <w:rPr>
                <w:b/>
                <w:bCs/>
                <w:i/>
                <w:iCs/>
                <w:sz w:val="20"/>
                <w:szCs w:val="20"/>
              </w:rPr>
              <w:t xml:space="preserve">Please explicitly note the duration of </w:t>
            </w:r>
            <w:r w:rsidRPr="00AF74EB" w:rsidR="007203BA">
              <w:rPr>
                <w:b/>
                <w:bCs/>
                <w:i/>
                <w:iCs/>
                <w:sz w:val="20"/>
                <w:szCs w:val="20"/>
              </w:rPr>
              <w:t>the requested support</w:t>
            </w:r>
            <w:r w:rsidRPr="00AF74EB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Pr="00AF74EB" w:rsidR="00AF74EB" w:rsidTr="7F867002" w14:paraId="19BE42B7" w14:textId="77777777">
        <w:tc>
          <w:tcPr>
            <w:tcW w:w="9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F74EB" w:rsidR="00B063BE" w:rsidP="000B716C" w:rsidRDefault="00B063BE" w14:paraId="7D9A0BA9" w14:textId="344D3C0D">
            <w:pPr>
              <w:spacing w:line="300" w:lineRule="exact"/>
              <w:jc w:val="both"/>
              <w:rPr>
                <w:lang w:val="en-GB"/>
              </w:rPr>
            </w:pPr>
            <w:r w:rsidRPr="7F867002" w:rsidR="00B063BE">
              <w:rPr/>
              <w:t>The immunization program has been</w:t>
            </w:r>
            <w:r w:rsidR="00E8233D">
              <w:rPr>
                <w:iCs/>
              </w:rPr>
              <w:t xml:space="preserve"> </w:t>
            </w:r>
            <w:r w:rsidRPr="7F867002" w:rsidR="00B063BE">
              <w:rPr/>
              <w:t>strengthening</w:t>
            </w:r>
            <w:r w:rsidR="00E8233D">
              <w:rPr>
                <w:iCs/>
              </w:rPr>
              <w:t xml:space="preserve"> </w:t>
            </w:r>
            <w:r w:rsidRPr="7F867002" w:rsidR="00B063BE">
              <w:rPr/>
              <w:t>the</w:t>
            </w:r>
            <w:r w:rsidR="00E8233D">
              <w:rPr>
                <w:iCs/>
              </w:rPr>
              <w:t xml:space="preserve"> </w:t>
            </w:r>
            <w:r w:rsidRPr="7F867002" w:rsidR="00B063BE">
              <w:rPr/>
              <w:t>service</w:t>
            </w:r>
            <w:r w:rsidR="00E8233D">
              <w:rPr>
                <w:iCs/>
              </w:rPr>
              <w:t xml:space="preserve"> </w:t>
            </w:r>
            <w:r w:rsidRPr="7F867002" w:rsidR="00B063BE">
              <w:rPr/>
              <w:t>delivery system</w:t>
            </w:r>
            <w:r w:rsidR="00E8233D">
              <w:rPr>
                <w:iCs/>
              </w:rPr>
              <w:t xml:space="preserve">  </w:t>
            </w:r>
            <w:r w:rsidRPr="7F867002" w:rsidR="00B063BE">
              <w:rPr/>
              <w:t>to</w:t>
            </w:r>
            <w:r w:rsidR="00E8233D">
              <w:rPr>
                <w:iCs/>
              </w:rPr>
              <w:t xml:space="preserve"> </w:t>
            </w:r>
            <w:r w:rsidRPr="7F867002" w:rsidR="00B063BE">
              <w:rPr/>
              <w:t xml:space="preserve">ensure </w:t>
            </w:r>
            <w:r w:rsidRPr="7F867002" w:rsidR="0F9C86BB">
              <w:rPr/>
              <w:t xml:space="preserve">the </w:t>
            </w:r>
            <w:r w:rsidRPr="7F867002" w:rsidR="00B063BE">
              <w:rPr/>
              <w:t>eligible population</w:t>
            </w:r>
            <w:r w:rsidR="0F9C86BB">
              <w:rPr>
                <w:iCs/>
              </w:rPr>
              <w:t xml:space="preserve">, </w:t>
            </w:r>
            <w:r w:rsidRPr="7F867002" w:rsidR="00B063BE">
              <w:rPr/>
              <w:t>mainly children</w:t>
            </w:r>
            <w:r w:rsidR="0F9C86BB">
              <w:rPr>
                <w:iCs/>
              </w:rPr>
              <w:t>,</w:t>
            </w:r>
            <w:r w:rsidRPr="7F867002" w:rsidR="00B063BE">
              <w:rPr/>
              <w:t xml:space="preserve"> is reached with all the vaccines in the national schedule. Invesment have been made in regards to cold chain capacity at all level of the health system, vaccine supply chain management,</w:t>
            </w:r>
            <w:r w:rsidR="00E8233D">
              <w:rPr>
                <w:iCs/>
              </w:rPr>
              <w:t xml:space="preserve"> </w:t>
            </w:r>
            <w:r w:rsidRPr="7F867002" w:rsidR="00B063BE">
              <w:rPr/>
              <w:t>capacity of health professional for the service provision and</w:t>
            </w:r>
            <w:r w:rsidR="00E8233D">
              <w:rPr>
                <w:iCs/>
              </w:rPr>
              <w:t xml:space="preserve"> </w:t>
            </w:r>
            <w:r w:rsidRPr="7F867002" w:rsidR="00B063BE">
              <w:rPr/>
              <w:t>data management infrastructure. Although efforts were made to minimize the number of children missing vaccinations, 4% of children remained unreached and 16% did not receive their vaccine doses at appropriate age. In addition, COVID-19 affected</w:t>
            </w:r>
            <w:r w:rsidR="00E8233D">
              <w:rPr>
                <w:iCs/>
              </w:rPr>
              <w:t xml:space="preserve"> </w:t>
            </w:r>
            <w:r w:rsidRPr="7F867002" w:rsidR="00B063BE">
              <w:rPr/>
              <w:t xml:space="preserve">the provision of vaccination services as reported by </w:t>
            </w:r>
            <w:r w:rsidRPr="7F867002" w:rsidR="00B063BE">
              <w:rPr/>
              <w:t>administrative</w:t>
            </w:r>
            <w:r w:rsidRPr="7F867002" w:rsidR="00B063BE">
              <w:rPr/>
              <w:t xml:space="preserve"> coverage which evidenced the decrease of 8.3% and 7.9%</w:t>
            </w:r>
            <w:r w:rsidR="00E8233D">
              <w:rPr>
                <w:iCs/>
              </w:rPr>
              <w:t xml:space="preserve"> </w:t>
            </w:r>
            <w:r w:rsidRPr="7F867002" w:rsidR="00B063BE">
              <w:rPr/>
              <w:t>of</w:t>
            </w:r>
            <w:r w:rsidR="00E8233D">
              <w:rPr>
                <w:iCs/>
              </w:rPr>
              <w:t xml:space="preserve"> </w:t>
            </w:r>
            <w:r w:rsidRPr="7F867002" w:rsidR="00B063BE">
              <w:rPr/>
              <w:t>Penta3 and MCV2 respectively in 2021</w:t>
            </w:r>
            <w:r w:rsidR="00E8233D">
              <w:rPr>
                <w:iCs/>
              </w:rPr>
              <w:t xml:space="preserve"> </w:t>
            </w:r>
            <w:r w:rsidRPr="7F867002" w:rsidR="00B063BE">
              <w:rPr/>
              <w:t>compared with</w:t>
            </w:r>
            <w:r w:rsidR="00E8233D">
              <w:rPr>
                <w:iCs/>
              </w:rPr>
              <w:t xml:space="preserve"> </w:t>
            </w:r>
            <w:r w:rsidRPr="7F867002" w:rsidR="00B063BE">
              <w:rPr/>
              <w:t>2019, and the increase of district</w:t>
            </w:r>
            <w:r w:rsidR="00E8233D">
              <w:rPr>
                <w:iCs/>
              </w:rPr>
              <w:t xml:space="preserve"> </w:t>
            </w:r>
            <w:r w:rsidRPr="7F867002" w:rsidR="00B063BE">
              <w:rPr/>
              <w:t>reporting coverage below</w:t>
            </w:r>
            <w:r w:rsidR="00E8233D">
              <w:rPr>
                <w:iCs/>
              </w:rPr>
              <w:t xml:space="preserve"> </w:t>
            </w:r>
            <w:r w:rsidRPr="7F867002" w:rsidR="00B063BE">
              <w:rPr/>
              <w:t>80%. Addressing the remaining needs is critical to build a resilient immunization system able to deliver services and contribute to the achievement</w:t>
            </w:r>
            <w:r w:rsidR="00E8233D">
              <w:rPr>
                <w:iCs/>
              </w:rPr>
              <w:t xml:space="preserve"> </w:t>
            </w:r>
            <w:r w:rsidRPr="7F867002" w:rsidR="00B063BE">
              <w:rPr/>
              <w:t>of people’s</w:t>
            </w:r>
            <w:r w:rsidR="00E8233D">
              <w:rPr>
                <w:iCs/>
              </w:rPr>
              <w:t xml:space="preserve"> </w:t>
            </w:r>
            <w:r w:rsidRPr="7F867002" w:rsidR="00B063BE">
              <w:rPr/>
              <w:t>enjoyment of the highest attainable physical and mental health, but also an investment for a future</w:t>
            </w:r>
            <w:r w:rsidR="00E8233D">
              <w:rPr>
                <w:iCs/>
              </w:rPr>
              <w:t xml:space="preserve"> </w:t>
            </w:r>
            <w:r w:rsidRPr="7F867002" w:rsidR="00B063BE">
              <w:rPr/>
              <w:t>healthier, safer and more prosperous country</w:t>
            </w:r>
            <w:r w:rsidRPr="7F867002" w:rsidR="2325BE6B">
              <w:rPr/>
              <w:t xml:space="preserve"> as highlighted </w:t>
            </w:r>
            <w:r w:rsidRPr="7F867002" w:rsidR="2325BE6B">
              <w:rPr/>
              <w:lastRenderedPageBreak/>
              <w:t>by</w:t>
            </w:r>
            <w:r w:rsidR="00E8233D">
              <w:rPr>
                <w:iCs/>
              </w:rPr>
              <w:t xml:space="preserve"> </w:t>
            </w:r>
            <w:r w:rsidRPr="7F867002" w:rsidR="2325BE6B">
              <w:rPr/>
              <w:t>Rwanda</w:t>
            </w:r>
            <w:r w:rsidR="00E8233D">
              <w:rPr>
                <w:iCs/>
              </w:rPr>
              <w:t xml:space="preserve"> </w:t>
            </w:r>
            <w:r w:rsidRPr="7F867002" w:rsidR="2325BE6B">
              <w:rPr/>
              <w:t>National Transformation Strategy and Vision 2050</w:t>
            </w:r>
            <w:r w:rsidRPr="7F867002" w:rsidR="00BD1E43">
              <w:rPr>
                <w:rStyle w:val="FootnoteReference"/>
              </w:rPr>
              <w:footnoteReference w:id="4"/>
            </w:r>
            <w:r w:rsidRPr="7F867002" w:rsidR="1E3D1AA3">
              <w:rPr>
                <w:vertAlign w:val="superscript"/>
              </w:rPr>
              <w:t>,</w:t>
            </w:r>
            <w:r w:rsidRPr="7F867002" w:rsidR="005361AE">
              <w:rPr>
                <w:rStyle w:val="FootnoteReference"/>
              </w:rPr>
              <w:footnoteReference w:id="5"/>
            </w:r>
            <w:r w:rsidR="2325BE6B">
              <w:rPr>
                <w:iCs/>
              </w:rPr>
              <w:t xml:space="preserve"> </w:t>
            </w:r>
            <w:r w:rsidR="0E60DD31">
              <w:rPr>
                <w:iCs/>
              </w:rPr>
              <w:t xml:space="preserve">. </w:t>
            </w:r>
            <w:r w:rsidRPr="7F867002" w:rsidR="00B063BE">
              <w:rPr/>
              <w:t>The current TA</w:t>
            </w:r>
            <w:r w:rsidR="00E8233D">
              <w:rPr>
                <w:iCs/>
              </w:rPr>
              <w:t xml:space="preserve"> </w:t>
            </w:r>
            <w:r w:rsidRPr="7F867002" w:rsidR="00B063BE">
              <w:rPr/>
              <w:t>will</w:t>
            </w:r>
            <w:r w:rsidR="00E8233D">
              <w:rPr>
                <w:iCs/>
              </w:rPr>
              <w:t xml:space="preserve"> </w:t>
            </w:r>
            <w:r w:rsidRPr="7F867002" w:rsidR="00B063BE">
              <w:rPr/>
              <w:t>support to strengthening and sustaining the program capacity to ensure</w:t>
            </w:r>
            <w:r w:rsidR="00E8233D">
              <w:rPr>
                <w:iCs/>
              </w:rPr>
              <w:t xml:space="preserve">  </w:t>
            </w:r>
            <w:r w:rsidRPr="7F867002" w:rsidR="00B063BE">
              <w:rPr/>
              <w:t xml:space="preserve">every eligible person is reached with </w:t>
            </w:r>
            <w:r w:rsidRPr="00AF74EB" w:rsidR="00B063BE">
              <w:rPr>
                <w:rFonts w:eastAsia="Times New Roman"/>
                <w:lang w:val="en-US"/>
              </w:rPr>
              <w:t>immunization</w:t>
            </w:r>
            <w:r w:rsidRPr="7F867002" w:rsidR="00B063BE">
              <w:rPr/>
              <w:t xml:space="preserve"> services and therefore protected against VPDs.</w:t>
            </w:r>
          </w:p>
        </w:tc>
      </w:tr>
      <w:tr w:rsidRPr="00AF74EB" w:rsidR="00AF74EB" w:rsidTr="7F867002" w14:paraId="0D9AF231" w14:textId="77777777">
        <w:tc>
          <w:tcPr>
            <w:tcW w:w="9192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tcMar/>
          </w:tcPr>
          <w:p w:rsidRPr="00AF74EB" w:rsidR="00B063BE" w:rsidP="00B063BE" w:rsidRDefault="00B063BE" w14:paraId="14533925" w14:textId="50C71BD7">
            <w:pPr>
              <w:pStyle w:val="ListParagraph"/>
              <w:numPr>
                <w:ilvl w:val="1"/>
                <w:numId w:val="4"/>
              </w:numPr>
              <w:spacing w:line="300" w:lineRule="exact"/>
              <w:ind w:left="316" w:hanging="316"/>
              <w:rPr>
                <w:b/>
                <w:bCs/>
                <w:i/>
                <w:iCs/>
                <w:sz w:val="20"/>
                <w:szCs w:val="20"/>
              </w:rPr>
            </w:pPr>
            <w:r w:rsidRPr="00AF74EB">
              <w:rPr>
                <w:b/>
                <w:bCs/>
                <w:i/>
                <w:iCs/>
                <w:sz w:val="20"/>
                <w:szCs w:val="20"/>
              </w:rPr>
              <w:lastRenderedPageBreak/>
              <w:t>How will the requested TCA support advance Gavi's 5.0 mission per the country's context with focus on:</w:t>
            </w:r>
          </w:p>
          <w:p w:rsidRPr="00AF74EB" w:rsidR="00B063BE" w:rsidP="00B063BE" w:rsidRDefault="00B063BE" w14:paraId="2112DA8C" w14:textId="70899CF5">
            <w:pPr>
              <w:pStyle w:val="ListParagraph"/>
              <w:numPr>
                <w:ilvl w:val="0"/>
                <w:numId w:val="5"/>
              </w:numPr>
              <w:spacing w:line="300" w:lineRule="exact"/>
              <w:ind w:left="741"/>
              <w:rPr>
                <w:b/>
                <w:bCs/>
                <w:i/>
                <w:iCs/>
                <w:sz w:val="20"/>
                <w:szCs w:val="20"/>
              </w:rPr>
            </w:pPr>
            <w:r w:rsidRPr="00AF74EB">
              <w:rPr>
                <w:b/>
                <w:bCs/>
                <w:i/>
                <w:iCs/>
                <w:sz w:val="20"/>
                <w:szCs w:val="20"/>
              </w:rPr>
              <w:t xml:space="preserve">identifying and reaching zero-dose and consistently missed children and communities: microplanning, </w:t>
            </w:r>
          </w:p>
          <w:p w:rsidRPr="00AF74EB" w:rsidR="00B063BE" w:rsidP="00B063BE" w:rsidRDefault="00B063BE" w14:paraId="6B56EB6C" w14:textId="77777777">
            <w:pPr>
              <w:pStyle w:val="ListParagraph"/>
              <w:numPr>
                <w:ilvl w:val="0"/>
                <w:numId w:val="5"/>
              </w:numPr>
              <w:spacing w:line="300" w:lineRule="exact"/>
              <w:ind w:left="741"/>
              <w:rPr>
                <w:b/>
                <w:bCs/>
                <w:i/>
                <w:iCs/>
                <w:sz w:val="20"/>
                <w:szCs w:val="20"/>
              </w:rPr>
            </w:pPr>
            <w:r w:rsidRPr="00AF74EB">
              <w:rPr>
                <w:b/>
                <w:bCs/>
                <w:i/>
                <w:iCs/>
                <w:sz w:val="20"/>
                <w:szCs w:val="20"/>
              </w:rPr>
              <w:t>improving stock reporting and vaccine management at sub-national level;</w:t>
            </w:r>
          </w:p>
          <w:p w:rsidRPr="00AF74EB" w:rsidR="00B063BE" w:rsidP="00B063BE" w:rsidRDefault="00B063BE" w14:paraId="009281C7" w14:textId="77777777">
            <w:pPr>
              <w:pStyle w:val="ListParagraph"/>
              <w:numPr>
                <w:ilvl w:val="0"/>
                <w:numId w:val="5"/>
              </w:numPr>
              <w:spacing w:line="300" w:lineRule="exact"/>
              <w:ind w:left="741"/>
              <w:rPr>
                <w:b/>
                <w:bCs/>
                <w:i/>
                <w:iCs/>
                <w:sz w:val="20"/>
                <w:szCs w:val="20"/>
              </w:rPr>
            </w:pPr>
            <w:r w:rsidRPr="00AF74EB">
              <w:rPr>
                <w:b/>
                <w:bCs/>
                <w:i/>
                <w:iCs/>
                <w:sz w:val="20"/>
                <w:szCs w:val="20"/>
              </w:rPr>
              <w:t>enhancing strong leadership, management and coordination, including use of data for decision-making;</w:t>
            </w:r>
          </w:p>
          <w:p w:rsidRPr="00AF74EB" w:rsidR="00B063BE" w:rsidP="00B063BE" w:rsidRDefault="00B063BE" w14:paraId="35EE3F38" w14:textId="2426627E">
            <w:pPr>
              <w:pStyle w:val="ListParagraph"/>
              <w:numPr>
                <w:ilvl w:val="0"/>
                <w:numId w:val="5"/>
              </w:numPr>
              <w:spacing w:line="300" w:lineRule="exact"/>
              <w:ind w:left="741"/>
              <w:rPr>
                <w:b/>
                <w:i/>
                <w:sz w:val="20"/>
                <w:szCs w:val="20"/>
              </w:rPr>
            </w:pPr>
            <w:r w:rsidRPr="00AF74EB">
              <w:rPr>
                <w:b/>
                <w:bCs/>
                <w:i/>
                <w:iCs/>
                <w:sz w:val="20"/>
                <w:szCs w:val="20"/>
              </w:rPr>
              <w:t>introduction and scale up of vacciness;</w:t>
            </w:r>
          </w:p>
          <w:p w:rsidRPr="00AF74EB" w:rsidR="00B063BE" w:rsidP="00B063BE" w:rsidRDefault="00B063BE" w14:paraId="1DC79B3B" w14:textId="2E55360D">
            <w:pPr>
              <w:pStyle w:val="ListParagraph"/>
              <w:numPr>
                <w:ilvl w:val="0"/>
                <w:numId w:val="5"/>
              </w:numPr>
              <w:spacing w:line="300" w:lineRule="exact"/>
              <w:ind w:left="741"/>
              <w:rPr>
                <w:b/>
                <w:i/>
                <w:sz w:val="20"/>
                <w:szCs w:val="20"/>
              </w:rPr>
            </w:pPr>
            <w:r w:rsidRPr="00AF74EB">
              <w:rPr>
                <w:b/>
                <w:bCs/>
                <w:i/>
                <w:iCs/>
                <w:sz w:val="20"/>
                <w:szCs w:val="20"/>
              </w:rPr>
              <w:t>programmatic sustainability.</w:t>
            </w:r>
          </w:p>
        </w:tc>
      </w:tr>
      <w:tr w:rsidRPr="00AF74EB" w:rsidR="00AF74EB" w:rsidTr="7F867002" w14:paraId="0A3FAE65" w14:textId="77777777">
        <w:tc>
          <w:tcPr>
            <w:tcW w:w="9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F74EB" w:rsidR="00B063BE" w:rsidP="00AE7257" w:rsidRDefault="00AF74EB" w14:paraId="0C49E76B" w14:textId="68680F97">
            <w:pPr>
              <w:spacing w:line="300" w:lineRule="exact"/>
              <w:jc w:val="both"/>
              <w:rPr>
                <w:lang w:val="en-GB"/>
              </w:rPr>
            </w:pPr>
            <w:r w:rsidRPr="7F867002" w:rsidR="63F60001">
              <w:rPr>
                <w:lang w:val="en-GB"/>
              </w:rPr>
              <w:t xml:space="preserve">Rwanda is among the country reporting the highest immunisation coverage for all antigens. However, there are still eligible children who </w:t>
            </w:r>
            <w:r w:rsidRPr="7F867002" w:rsidR="4C00070D">
              <w:rPr>
                <w:lang w:val="en-GB"/>
              </w:rPr>
              <w:t xml:space="preserve">are missed </w:t>
            </w:r>
            <w:r w:rsidRPr="7F867002" w:rsidR="63F60001">
              <w:rPr>
                <w:lang w:val="en-GB"/>
              </w:rPr>
              <w:t xml:space="preserve">every year and </w:t>
            </w:r>
            <w:r w:rsidRPr="7F867002" w:rsidR="0F9C86BB">
              <w:rPr>
                <w:lang w:val="en-GB"/>
              </w:rPr>
              <w:t xml:space="preserve">those who get </w:t>
            </w:r>
            <w:r w:rsidRPr="7F867002" w:rsidR="63F60001">
              <w:rPr>
                <w:lang w:val="en-GB"/>
              </w:rPr>
              <w:t>vaccin</w:t>
            </w:r>
            <w:r w:rsidRPr="7F867002" w:rsidR="0F9C86BB">
              <w:rPr>
                <w:lang w:val="en-GB"/>
              </w:rPr>
              <w:t>es late. Although we have good records of n</w:t>
            </w:r>
            <w:r w:rsidRPr="7F867002" w:rsidR="08B8342A">
              <w:rPr>
                <w:lang w:val="en-GB"/>
              </w:rPr>
              <w:t>ational coverages for years, subnational data analysis shows substandard</w:t>
            </w:r>
            <w:r w:rsidRPr="7F867002" w:rsidR="0F9C86BB">
              <w:rPr>
                <w:lang w:val="en-GB"/>
              </w:rPr>
              <w:t xml:space="preserve"> </w:t>
            </w:r>
            <w:r w:rsidRPr="7F867002" w:rsidR="08B8342A">
              <w:rPr>
                <w:lang w:val="en-GB"/>
              </w:rPr>
              <w:t xml:space="preserve">coverages in </w:t>
            </w:r>
            <w:r w:rsidRPr="7F867002" w:rsidR="38979761">
              <w:rPr>
                <w:lang w:val="en-GB"/>
              </w:rPr>
              <w:t xml:space="preserve">some districts. The assessment and prioritization of TCA needs </w:t>
            </w:r>
            <w:r w:rsidRPr="7F867002" w:rsidR="02AD78E7">
              <w:rPr>
                <w:lang w:val="en-GB"/>
              </w:rPr>
              <w:t xml:space="preserve">focus on </w:t>
            </w:r>
            <w:r w:rsidRPr="7F867002" w:rsidR="6DB4D4C5">
              <w:rPr>
                <w:lang w:val="en-GB"/>
              </w:rPr>
              <w:t>identifying and reaching zero-dose children and missed communities, by</w:t>
            </w:r>
            <w:r w:rsidRPr="7F867002" w:rsidR="7BB9E4B9">
              <w:rPr>
                <w:lang w:val="en-GB"/>
              </w:rPr>
              <w:t xml:space="preserve"> </w:t>
            </w:r>
            <w:r w:rsidRPr="7F867002" w:rsidR="6DB4D4C5">
              <w:rPr>
                <w:lang w:val="en-GB"/>
              </w:rPr>
              <w:t>strengthening</w:t>
            </w:r>
            <w:r w:rsidRPr="7F867002" w:rsidR="7BB9E4B9">
              <w:rPr>
                <w:lang w:val="en-GB"/>
              </w:rPr>
              <w:t xml:space="preserve"> program management</w:t>
            </w:r>
            <w:r w:rsidRPr="7F867002" w:rsidR="06B8A94A">
              <w:rPr>
                <w:lang w:val="en-GB"/>
              </w:rPr>
              <w:t xml:space="preserve"> </w:t>
            </w:r>
            <w:r w:rsidRPr="7F867002" w:rsidR="7BB9E4B9">
              <w:rPr>
                <w:lang w:val="en-GB"/>
              </w:rPr>
              <w:t>and oversight</w:t>
            </w:r>
            <w:r w:rsidRPr="7F867002" w:rsidR="06B8A94A">
              <w:rPr>
                <w:lang w:val="en-GB"/>
              </w:rPr>
              <w:t xml:space="preserve"> at national and sub-national levels</w:t>
            </w:r>
            <w:r w:rsidRPr="7F867002" w:rsidR="7BB9E4B9">
              <w:rPr>
                <w:lang w:val="en-GB"/>
              </w:rPr>
              <w:t>,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6DB4D4C5">
              <w:rPr>
                <w:lang w:val="en-GB"/>
              </w:rPr>
              <w:t>planning and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6DB4D4C5">
              <w:rPr>
                <w:lang w:val="en-GB"/>
              </w:rPr>
              <w:t>monitoring, data generation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6DB4D4C5">
              <w:rPr>
                <w:lang w:val="en-GB"/>
              </w:rPr>
              <w:t>and use</w:t>
            </w:r>
            <w:r w:rsidRPr="7F867002" w:rsidR="7BB9E4B9">
              <w:rPr>
                <w:lang w:val="en-GB"/>
              </w:rPr>
              <w:t>, ensuring continuous improvement of vaccine supply and cold chain</w:t>
            </w:r>
            <w:r w:rsidRPr="7F867002" w:rsidR="44F78668">
              <w:rPr>
                <w:lang w:val="en-GB"/>
              </w:rPr>
              <w:t xml:space="preserve"> at all levels of the health system</w:t>
            </w:r>
            <w:r w:rsidRPr="7F867002" w:rsidR="06B8A94A">
              <w:rPr>
                <w:lang w:val="en-GB"/>
              </w:rPr>
              <w:t>. As vaccination evolve</w:t>
            </w:r>
            <w:r w:rsidRPr="7F867002" w:rsidR="44F78668">
              <w:rPr>
                <w:lang w:val="en-GB"/>
              </w:rPr>
              <w:t>s</w:t>
            </w:r>
            <w:r w:rsidRPr="7F867002" w:rsidR="06B8A94A">
              <w:rPr>
                <w:lang w:val="en-GB"/>
              </w:rPr>
              <w:t xml:space="preserve"> </w:t>
            </w:r>
            <w:r w:rsidRPr="7F867002" w:rsidR="7CDEA010">
              <w:rPr>
                <w:lang w:val="en-GB"/>
              </w:rPr>
              <w:t>and new vaccines</w:t>
            </w:r>
            <w:r w:rsidRPr="7F867002" w:rsidR="44F78668">
              <w:rPr>
                <w:lang w:val="en-GB"/>
              </w:rPr>
              <w:t xml:space="preserve"> became available,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28EF55AB">
              <w:rPr>
                <w:lang w:val="en-GB"/>
              </w:rPr>
              <w:t>Rwanda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44F78668">
              <w:rPr>
                <w:lang w:val="en-GB"/>
              </w:rPr>
              <w:t>immunization program</w:t>
            </w:r>
            <w:r w:rsidRPr="7F867002" w:rsidR="28EF55AB">
              <w:rPr>
                <w:lang w:val="en-GB"/>
              </w:rPr>
              <w:t xml:space="preserve"> prioritizes the </w:t>
            </w:r>
            <w:r w:rsidRPr="7F867002" w:rsidR="44F78668">
              <w:rPr>
                <w:lang w:val="en-GB"/>
              </w:rPr>
              <w:t>introduction of new vaccines</w:t>
            </w:r>
            <w:r w:rsidRPr="7F867002" w:rsidR="28EF55AB">
              <w:rPr>
                <w:lang w:val="en-GB"/>
              </w:rPr>
              <w:t xml:space="preserve"> to </w:t>
            </w:r>
            <w:r w:rsidRPr="7F867002" w:rsidR="5BDED3B8">
              <w:rPr>
                <w:lang w:val="en-GB"/>
              </w:rPr>
              <w:t xml:space="preserve">make access to vaccines a fundamental right. The requested TCA </w:t>
            </w:r>
            <w:r w:rsidRPr="7F867002" w:rsidR="26BCCF28">
              <w:rPr>
                <w:lang w:val="en-GB"/>
              </w:rPr>
              <w:t>priority</w:t>
            </w:r>
            <w:r w:rsidRPr="7F867002" w:rsidR="4CACF8F0">
              <w:rPr>
                <w:lang w:val="en-GB"/>
              </w:rPr>
              <w:t xml:space="preserve"> interventions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26BCCF28">
              <w:rPr>
                <w:lang w:val="en-GB"/>
              </w:rPr>
              <w:t>will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26BCCF28">
              <w:rPr>
                <w:lang w:val="en-GB"/>
              </w:rPr>
              <w:t>support the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26BCCF28">
              <w:rPr>
                <w:lang w:val="en-GB"/>
              </w:rPr>
              <w:t>program</w:t>
            </w:r>
            <w:r w:rsidRPr="7F867002" w:rsidR="4CACF8F0">
              <w:rPr>
                <w:lang w:val="en-GB"/>
              </w:rPr>
              <w:t xml:space="preserve"> to implement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51B1F3F8">
              <w:rPr>
                <w:lang w:val="en-GB"/>
              </w:rPr>
              <w:t xml:space="preserve">cost-effective </w:t>
            </w:r>
            <w:r w:rsidRPr="7F867002" w:rsidR="26BCCF28">
              <w:rPr>
                <w:lang w:val="en-GB"/>
              </w:rPr>
              <w:t xml:space="preserve">initiatives intending to </w:t>
            </w:r>
            <w:r w:rsidRPr="7F867002" w:rsidR="51B1F3F8">
              <w:rPr>
                <w:lang w:val="en-GB"/>
              </w:rPr>
              <w:t>continuously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26BCCF28">
              <w:rPr>
                <w:lang w:val="en-GB"/>
              </w:rPr>
              <w:t>build capacity for services delivery</w:t>
            </w:r>
            <w:r w:rsidRPr="7F867002" w:rsidR="4CACF8F0">
              <w:rPr>
                <w:lang w:val="en-GB"/>
              </w:rPr>
              <w:t xml:space="preserve"> such as strengthening e-learning platforms for immunization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26BCCF28">
              <w:rPr>
                <w:lang w:val="en-GB"/>
              </w:rPr>
              <w:t>and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26BCCF28">
              <w:rPr>
                <w:lang w:val="en-GB"/>
              </w:rPr>
              <w:t>establish</w:t>
            </w:r>
            <w:r w:rsidRPr="7F867002" w:rsidR="4CACF8F0">
              <w:rPr>
                <w:lang w:val="en-GB"/>
              </w:rPr>
              <w:t>ing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26BCCF28">
              <w:rPr>
                <w:lang w:val="en-GB"/>
              </w:rPr>
              <w:t>mechanism</w:t>
            </w:r>
            <w:r w:rsidRPr="7F867002" w:rsidR="4CACF8F0">
              <w:rPr>
                <w:lang w:val="en-GB"/>
              </w:rPr>
              <w:t xml:space="preserve"> such as public private partnership framework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26BCCF28">
              <w:rPr>
                <w:lang w:val="en-GB"/>
              </w:rPr>
              <w:t xml:space="preserve">to increase domestic funding </w:t>
            </w:r>
            <w:r w:rsidRPr="7F867002" w:rsidR="02AD78E7">
              <w:rPr>
                <w:lang w:val="en-GB"/>
              </w:rPr>
              <w:t xml:space="preserve">for </w:t>
            </w:r>
            <w:r w:rsidRPr="7F867002" w:rsidR="6381C313">
              <w:rPr>
                <w:lang w:val="en-GB"/>
              </w:rPr>
              <w:t xml:space="preserve">financial sustainability </w:t>
            </w:r>
            <w:r w:rsidRPr="7F867002" w:rsidR="02AD78E7">
              <w:rPr>
                <w:lang w:val="en-GB"/>
              </w:rPr>
              <w:t xml:space="preserve">of </w:t>
            </w:r>
            <w:r w:rsidRPr="7F867002" w:rsidR="26BCCF28">
              <w:rPr>
                <w:lang w:val="en-GB"/>
              </w:rPr>
              <w:t>the</w:t>
            </w:r>
            <w:r w:rsidRPr="7F867002" w:rsidR="4CACF8F0">
              <w:rPr>
                <w:lang w:val="en-GB"/>
              </w:rPr>
              <w:t xml:space="preserve"> immunization</w:t>
            </w:r>
            <w:r w:rsidRPr="7F867002" w:rsidR="26BCCF28">
              <w:rPr>
                <w:lang w:val="en-GB"/>
              </w:rPr>
              <w:t xml:space="preserve"> program. </w:t>
            </w:r>
            <w:r w:rsidRPr="7F867002" w:rsidR="7795E54F">
              <w:rPr>
                <w:lang w:val="en-GB"/>
              </w:rPr>
              <w:t xml:space="preserve">New technologies will be used to enhance vaccines management, reduce </w:t>
            </w:r>
            <w:r w:rsidRPr="7F867002" w:rsidR="7795E54F">
              <w:rPr>
                <w:lang w:val="en-GB"/>
              </w:rPr>
              <w:t>paper-based</w:t>
            </w:r>
            <w:r w:rsidRPr="7F867002" w:rsidR="7795E54F">
              <w:rPr>
                <w:lang w:val="en-GB"/>
              </w:rPr>
              <w:t xml:space="preserve"> tools by digitizing vaccine service </w:t>
            </w:r>
            <w:r w:rsidRPr="7F867002" w:rsidR="7795E54F">
              <w:rPr>
                <w:lang w:val="en-GB"/>
              </w:rPr>
              <w:t>delivery, logistics</w:t>
            </w:r>
            <w:r w:rsidRPr="7F867002" w:rsidR="7795E54F">
              <w:rPr>
                <w:lang w:val="en-GB"/>
              </w:rPr>
              <w:t xml:space="preserve"> and data monitoring.</w:t>
            </w:r>
            <w:r w:rsidRPr="7F867002" w:rsidR="00E8233D">
              <w:rPr>
                <w:lang w:val="en-GB"/>
              </w:rPr>
              <w:t xml:space="preserve">  </w:t>
            </w:r>
          </w:p>
        </w:tc>
      </w:tr>
      <w:tr w:rsidRPr="00AF74EB" w:rsidR="00AF74EB" w:rsidTr="7F867002" w14:paraId="733DCE72" w14:textId="77777777">
        <w:tc>
          <w:tcPr>
            <w:tcW w:w="9192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tcMar/>
          </w:tcPr>
          <w:p w:rsidRPr="00AF74EB" w:rsidR="00B063BE" w:rsidP="00B063BE" w:rsidRDefault="00B063BE" w14:paraId="39970F96" w14:textId="10171CA4">
            <w:pPr>
              <w:pStyle w:val="ListParagraph"/>
              <w:spacing w:line="300" w:lineRule="exact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 w:rsidRPr="00AF74EB">
              <w:rPr>
                <w:b/>
                <w:bCs/>
                <w:i/>
                <w:iCs/>
                <w:sz w:val="20"/>
                <w:szCs w:val="20"/>
              </w:rPr>
              <w:t xml:space="preserve">2.3 </w:t>
            </w:r>
            <w:r w:rsidR="00AE7257">
              <w:rPr>
                <w:b/>
                <w:bCs/>
                <w:i/>
                <w:iCs/>
                <w:sz w:val="20"/>
                <w:szCs w:val="20"/>
              </w:rPr>
              <w:t>U</w:t>
            </w:r>
            <w:r w:rsidRPr="00AF74EB">
              <w:rPr>
                <w:b/>
                <w:bCs/>
                <w:i/>
                <w:iCs/>
                <w:sz w:val="20"/>
                <w:szCs w:val="20"/>
              </w:rPr>
              <w:t xml:space="preserve">se </w:t>
            </w:r>
            <w:r w:rsidR="00AE7257">
              <w:rPr>
                <w:b/>
                <w:bCs/>
                <w:i/>
                <w:iCs/>
                <w:sz w:val="20"/>
                <w:szCs w:val="20"/>
              </w:rPr>
              <w:t xml:space="preserve">of </w:t>
            </w:r>
            <w:r w:rsidRPr="00AF74EB">
              <w:rPr>
                <w:b/>
                <w:bCs/>
                <w:i/>
                <w:iCs/>
                <w:sz w:val="20"/>
                <w:szCs w:val="20"/>
              </w:rPr>
              <w:t xml:space="preserve">new vaccine introductions and campaigns planned during this period to further strengthen the areas indicated under question 2.2 </w:t>
            </w:r>
          </w:p>
        </w:tc>
      </w:tr>
      <w:tr w:rsidRPr="00AF74EB" w:rsidR="00AF74EB" w:rsidTr="7F867002" w14:paraId="3B0C1B4D" w14:textId="77777777">
        <w:tc>
          <w:tcPr>
            <w:tcW w:w="9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F74EB" w:rsidR="00B063BE" w:rsidP="00BC6254" w:rsidRDefault="00FA6FF2" w14:paraId="2525ED44" w14:textId="22265CC3">
            <w:pPr>
              <w:spacing w:line="300" w:lineRule="exact"/>
              <w:rPr>
                <w:lang w:val="en-GB"/>
              </w:rPr>
            </w:pPr>
            <w:r w:rsidRPr="7F867002" w:rsidR="142457E5">
              <w:rPr>
                <w:lang w:val="en-GB"/>
              </w:rPr>
              <w:t>The</w:t>
            </w:r>
            <w:r w:rsidRPr="7F867002" w:rsidR="266D62F9">
              <w:rPr>
                <w:lang w:val="en-GB"/>
              </w:rPr>
              <w:t xml:space="preserve"> planning for the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142457E5">
              <w:rPr>
                <w:lang w:val="en-GB"/>
              </w:rPr>
              <w:t>introduction of new vaccines</w:t>
            </w:r>
            <w:r w:rsidRPr="7F867002" w:rsidR="266D62F9">
              <w:rPr>
                <w:lang w:val="en-GB"/>
              </w:rPr>
              <w:t xml:space="preserve"> and high quality SIAs offer opportunities to assess the readiness and </w:t>
            </w:r>
            <w:r w:rsidRPr="7F867002" w:rsidR="266D62F9">
              <w:rPr>
                <w:lang w:val="en-GB"/>
              </w:rPr>
              <w:t>capacity</w:t>
            </w:r>
            <w:r w:rsidRPr="7F867002" w:rsidR="266D62F9">
              <w:rPr>
                <w:lang w:val="en-GB"/>
              </w:rPr>
              <w:t xml:space="preserve"> of the immunization program to manage</w:t>
            </w:r>
            <w:r w:rsidRPr="7F867002" w:rsidR="1DB21B36">
              <w:rPr>
                <w:lang w:val="en-GB"/>
              </w:rPr>
              <w:t xml:space="preserve"> the program</w:t>
            </w:r>
            <w:r w:rsidRPr="7F867002" w:rsidR="6647543E">
              <w:rPr>
                <w:lang w:val="en-GB"/>
              </w:rPr>
              <w:t xml:space="preserve">, deliver and </w:t>
            </w:r>
            <w:r w:rsidRPr="7F867002" w:rsidR="6647543E">
              <w:rPr>
                <w:lang w:val="en-GB"/>
              </w:rPr>
              <w:t>monitor</w:t>
            </w:r>
            <w:r w:rsidRPr="7F867002" w:rsidR="6647543E">
              <w:rPr>
                <w:lang w:val="en-GB"/>
              </w:rPr>
              <w:t xml:space="preserve"> the uptake of the vaccine</w:t>
            </w:r>
            <w:r w:rsidRPr="7F867002" w:rsidR="5F4582A4">
              <w:rPr>
                <w:lang w:val="en-GB"/>
              </w:rPr>
              <w:t>s</w:t>
            </w:r>
            <w:r w:rsidRPr="7F867002" w:rsidR="6647543E">
              <w:rPr>
                <w:lang w:val="en-GB"/>
              </w:rPr>
              <w:t xml:space="preserve">. This readiness assessment will be </w:t>
            </w:r>
            <w:r w:rsidRPr="7F867002" w:rsidR="6AA9C1E3">
              <w:rPr>
                <w:lang w:val="en-GB"/>
              </w:rPr>
              <w:t>u</w:t>
            </w:r>
            <w:r w:rsidRPr="7F867002" w:rsidR="6647543E">
              <w:rPr>
                <w:lang w:val="en-GB"/>
              </w:rPr>
              <w:t>tilized</w:t>
            </w:r>
            <w:r w:rsidRPr="7F867002" w:rsidR="6647543E">
              <w:rPr>
                <w:lang w:val="en-GB"/>
              </w:rPr>
              <w:t xml:space="preserve"> to </w:t>
            </w:r>
            <w:r w:rsidRPr="7F867002" w:rsidR="6647543E">
              <w:rPr>
                <w:lang w:val="en-GB"/>
              </w:rPr>
              <w:t>identify</w:t>
            </w:r>
            <w:r w:rsidRPr="7F867002" w:rsidR="6647543E">
              <w:rPr>
                <w:lang w:val="en-GB"/>
              </w:rPr>
              <w:t xml:space="preserve"> </w:t>
            </w:r>
            <w:r w:rsidRPr="7F867002" w:rsidR="6AA9C1E3">
              <w:rPr>
                <w:lang w:val="en-GB"/>
              </w:rPr>
              <w:t>and address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6647543E">
              <w:rPr>
                <w:lang w:val="en-GB"/>
              </w:rPr>
              <w:t>gaps</w:t>
            </w:r>
            <w:r w:rsidRPr="7F867002" w:rsidR="6AA9C1E3">
              <w:rPr>
                <w:lang w:val="en-GB"/>
              </w:rPr>
              <w:t xml:space="preserve"> in the immunization delivery </w:t>
            </w:r>
            <w:r w:rsidRPr="7F867002" w:rsidR="6AA9C1E3">
              <w:rPr>
                <w:lang w:val="en-GB"/>
              </w:rPr>
              <w:t>system. The</w:t>
            </w:r>
            <w:r w:rsidRPr="7F867002" w:rsidR="6AA9C1E3">
              <w:rPr>
                <w:lang w:val="en-GB"/>
              </w:rPr>
              <w:t xml:space="preserve"> identif</w:t>
            </w:r>
            <w:r w:rsidRPr="7F867002" w:rsidR="4D0F67D6">
              <w:rPr>
                <w:lang w:val="en-GB"/>
              </w:rPr>
              <w:t>ication of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6AA9C1E3">
              <w:rPr>
                <w:lang w:val="en-GB"/>
              </w:rPr>
              <w:t>the target</w:t>
            </w:r>
            <w:r w:rsidRPr="7F867002" w:rsidR="5F4582A4">
              <w:rPr>
                <w:lang w:val="en-GB"/>
              </w:rPr>
              <w:t xml:space="preserve"> population </w:t>
            </w:r>
            <w:r w:rsidRPr="7F867002" w:rsidR="203ABD0C">
              <w:rPr>
                <w:lang w:val="en-GB"/>
              </w:rPr>
              <w:t xml:space="preserve">for </w:t>
            </w:r>
            <w:r w:rsidRPr="7F867002" w:rsidR="5F4582A4">
              <w:rPr>
                <w:lang w:val="en-GB"/>
              </w:rPr>
              <w:t>the SIAs and new vaccine</w:t>
            </w:r>
            <w:r w:rsidRPr="7F867002" w:rsidR="4D0F67D6">
              <w:rPr>
                <w:lang w:val="en-GB"/>
              </w:rPr>
              <w:t>s</w:t>
            </w:r>
            <w:r w:rsidRPr="7F867002" w:rsidR="5F4582A4">
              <w:rPr>
                <w:lang w:val="en-GB"/>
              </w:rPr>
              <w:t xml:space="preserve"> will </w:t>
            </w:r>
            <w:r w:rsidRPr="7F867002" w:rsidR="583A30AC">
              <w:rPr>
                <w:lang w:val="en-GB"/>
              </w:rPr>
              <w:t xml:space="preserve">also </w:t>
            </w:r>
            <w:r w:rsidRPr="7F867002" w:rsidR="5F4582A4">
              <w:rPr>
                <w:lang w:val="en-GB"/>
              </w:rPr>
              <w:t xml:space="preserve">be used to </w:t>
            </w:r>
            <w:r w:rsidRPr="7F867002" w:rsidR="5F4582A4">
              <w:rPr>
                <w:lang w:val="en-GB"/>
              </w:rPr>
              <w:t>identify</w:t>
            </w:r>
            <w:r w:rsidRPr="7F867002" w:rsidR="5F4582A4">
              <w:rPr>
                <w:lang w:val="en-GB"/>
              </w:rPr>
              <w:t xml:space="preserve"> zero-dose children and missed communities for </w:t>
            </w:r>
            <w:r w:rsidRPr="7F867002" w:rsidR="5B4171DE">
              <w:rPr>
                <w:lang w:val="en-GB"/>
              </w:rPr>
              <w:t xml:space="preserve">other </w:t>
            </w:r>
            <w:r w:rsidRPr="7F867002" w:rsidR="5F4582A4">
              <w:rPr>
                <w:lang w:val="en-GB"/>
              </w:rPr>
              <w:t>vaccine</w:t>
            </w:r>
            <w:r w:rsidRPr="7F867002" w:rsidR="583A30AC">
              <w:rPr>
                <w:lang w:val="en-GB"/>
              </w:rPr>
              <w:t>s</w:t>
            </w:r>
            <w:r w:rsidRPr="7F867002" w:rsidR="5F4582A4">
              <w:rPr>
                <w:lang w:val="en-GB"/>
              </w:rPr>
              <w:t xml:space="preserve"> </w:t>
            </w:r>
            <w:r w:rsidRPr="7F867002" w:rsidR="583A30AC">
              <w:rPr>
                <w:lang w:val="en-GB"/>
              </w:rPr>
              <w:t>and will reduce costs by reaching them</w:t>
            </w:r>
            <w:r w:rsidRPr="7F867002" w:rsidR="5F4582A4">
              <w:rPr>
                <w:lang w:val="en-GB"/>
              </w:rPr>
              <w:t xml:space="preserve"> during the campaign</w:t>
            </w:r>
            <w:r w:rsidRPr="7F867002" w:rsidR="5B4171DE">
              <w:rPr>
                <w:lang w:val="en-GB"/>
              </w:rPr>
              <w:t>s</w:t>
            </w:r>
            <w:r w:rsidRPr="7F867002" w:rsidR="203ABD0C">
              <w:rPr>
                <w:lang w:val="en-GB"/>
              </w:rPr>
              <w:t xml:space="preserve"> or at the occasion of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203ABD0C">
              <w:rPr>
                <w:lang w:val="en-GB"/>
              </w:rPr>
              <w:t>introduction of new vaccines</w:t>
            </w:r>
            <w:r w:rsidRPr="7F867002" w:rsidR="4D0F67D6">
              <w:rPr>
                <w:lang w:val="en-GB"/>
              </w:rPr>
              <w:t>.</w:t>
            </w:r>
            <w:r w:rsidRPr="7F867002" w:rsidR="1DB21B36">
              <w:rPr>
                <w:lang w:val="en-GB"/>
              </w:rPr>
              <w:t xml:space="preserve"> Increased awareness and risk communication activities during campaigns and new vaccine introduction will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1DB21B36">
              <w:rPr>
                <w:lang w:val="en-GB"/>
              </w:rPr>
              <w:t>help to enhance awareness and community engagement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1DB21B36">
              <w:rPr>
                <w:lang w:val="en-GB"/>
              </w:rPr>
              <w:t>and improve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17F60270">
              <w:rPr>
                <w:lang w:val="en-GB"/>
              </w:rPr>
              <w:t>demand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17F60270">
              <w:rPr>
                <w:lang w:val="en-GB"/>
              </w:rPr>
              <w:t xml:space="preserve">and </w:t>
            </w:r>
            <w:r w:rsidRPr="7F867002" w:rsidR="1DB21B36">
              <w:rPr>
                <w:lang w:val="en-GB"/>
              </w:rPr>
              <w:t>uptake</w:t>
            </w:r>
            <w:r w:rsidRPr="7F867002" w:rsidR="17F60270">
              <w:rPr>
                <w:lang w:val="en-GB"/>
              </w:rPr>
              <w:t xml:space="preserve"> for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1DB21B36">
              <w:rPr>
                <w:lang w:val="en-GB"/>
              </w:rPr>
              <w:t>vaccines already in use</w:t>
            </w:r>
            <w:r w:rsidRPr="7F867002" w:rsidR="17F60270">
              <w:rPr>
                <w:lang w:val="en-GB"/>
              </w:rPr>
              <w:t>.</w:t>
            </w:r>
          </w:p>
        </w:tc>
      </w:tr>
      <w:tr w:rsidRPr="00AF74EB" w:rsidR="00AF74EB" w:rsidTr="7F867002" w14:paraId="124CC764" w14:textId="77777777">
        <w:tc>
          <w:tcPr>
            <w:tcW w:w="9192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tcMar/>
          </w:tcPr>
          <w:p w:rsidRPr="00AF74EB" w:rsidR="00B063BE" w:rsidP="00B063BE" w:rsidRDefault="00B063BE" w14:paraId="374B434F" w14:textId="56886AD9">
            <w:pPr>
              <w:spacing w:line="300" w:lineRule="exact"/>
              <w:rPr>
                <w:b/>
                <w:i/>
                <w:iCs/>
                <w:sz w:val="20"/>
                <w:szCs w:val="20"/>
                <w:lang w:val="en-GB"/>
              </w:rPr>
            </w:pPr>
            <w:r w:rsidRPr="00AF74EB">
              <w:rPr>
                <w:b/>
                <w:i/>
                <w:iCs/>
                <w:sz w:val="20"/>
                <w:szCs w:val="20"/>
                <w:lang w:val="en-GB"/>
              </w:rPr>
              <w:lastRenderedPageBreak/>
              <w:t xml:space="preserve">2.4 Describe how the TCA support will help re-establish routine immunisation services and any other COVID-19 related recovery activities. </w:t>
            </w:r>
          </w:p>
          <w:p w:rsidRPr="00AF74EB" w:rsidR="00B063BE" w:rsidP="00B063BE" w:rsidRDefault="00B063BE" w14:paraId="5D61F6FA" w14:textId="77777777">
            <w:pPr>
              <w:spacing w:line="300" w:lineRule="exact"/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AF74EB">
              <w:rPr>
                <w:bCs/>
                <w:i/>
                <w:iCs/>
                <w:sz w:val="20"/>
                <w:szCs w:val="20"/>
                <w:lang w:val="en-GB"/>
              </w:rPr>
              <w:t>Please indicate any COVID-19 related reallocation that may have occurred for previous TCA funds (if applicable); does this reallocation remain relevant for this proposal.</w:t>
            </w:r>
          </w:p>
        </w:tc>
      </w:tr>
      <w:tr w:rsidRPr="00AF74EB" w:rsidR="00AF74EB" w:rsidTr="7F867002" w14:paraId="14D7F47D" w14:textId="77777777">
        <w:tc>
          <w:tcPr>
            <w:tcW w:w="9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70B3A" w:rsidP="00C04F59" w:rsidRDefault="00F52EB4" w14:paraId="5C365C26" w14:textId="2986AB98">
            <w:pPr>
              <w:spacing w:line="300" w:lineRule="exact"/>
              <w:jc w:val="both"/>
              <w:rPr>
                <w:lang w:val="en-GB"/>
              </w:rPr>
            </w:pPr>
            <w:r w:rsidRPr="7F867002" w:rsidR="2F465F80">
              <w:rPr>
                <w:lang w:val="en-GB"/>
              </w:rPr>
              <w:t>The weak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2F465F80">
              <w:rPr>
                <w:lang w:val="en-GB"/>
              </w:rPr>
              <w:t>microplanning</w:t>
            </w:r>
            <w:r w:rsidRPr="7F867002" w:rsidR="4F9BB792">
              <w:rPr>
                <w:lang w:val="en-GB"/>
              </w:rPr>
              <w:t xml:space="preserve"> and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2F465F80">
              <w:rPr>
                <w:lang w:val="en-GB"/>
              </w:rPr>
              <w:t xml:space="preserve">low capacity </w:t>
            </w:r>
            <w:r w:rsidRPr="7F867002" w:rsidR="6E9F6AE5">
              <w:rPr>
                <w:lang w:val="en-GB"/>
              </w:rPr>
              <w:t>for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2F465F80">
              <w:rPr>
                <w:lang w:val="en-GB"/>
              </w:rPr>
              <w:t xml:space="preserve">data analysis and utilization </w:t>
            </w:r>
            <w:r w:rsidRPr="7F867002" w:rsidR="729628D7">
              <w:rPr>
                <w:lang w:val="en-GB"/>
              </w:rPr>
              <w:t>are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2F465F80">
              <w:rPr>
                <w:lang w:val="en-GB"/>
              </w:rPr>
              <w:t>the</w:t>
            </w:r>
            <w:r w:rsidRPr="7F867002" w:rsidR="6E9F6AE5">
              <w:rPr>
                <w:lang w:val="en-GB"/>
              </w:rPr>
              <w:t xml:space="preserve"> factors that </w:t>
            </w:r>
            <w:r w:rsidRPr="7F867002" w:rsidR="4F9BB792">
              <w:rPr>
                <w:lang w:val="en-GB"/>
              </w:rPr>
              <w:t xml:space="preserve">hindered decision making </w:t>
            </w:r>
            <w:r w:rsidRPr="7F867002" w:rsidR="729628D7">
              <w:rPr>
                <w:lang w:val="en-GB"/>
              </w:rPr>
              <w:t xml:space="preserve">at </w:t>
            </w:r>
            <w:r w:rsidRPr="7F867002" w:rsidR="729628D7">
              <w:rPr>
                <w:lang w:val="en-GB"/>
              </w:rPr>
              <w:t xml:space="preserve">subnational levels. </w:t>
            </w:r>
            <w:r w:rsidRPr="7F867002" w:rsidR="73543D50">
              <w:rPr>
                <w:lang w:val="en-GB"/>
              </w:rPr>
              <w:t>The data management and quality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73543D50">
              <w:rPr>
                <w:lang w:val="en-GB"/>
              </w:rPr>
              <w:t>have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2355CA92">
              <w:rPr>
                <w:lang w:val="en-GB"/>
              </w:rPr>
              <w:t xml:space="preserve">also </w:t>
            </w:r>
            <w:r w:rsidRPr="7F867002" w:rsidR="73543D50">
              <w:rPr>
                <w:lang w:val="en-GB"/>
              </w:rPr>
              <w:t>been an issue during COVID-19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73543D50">
              <w:rPr>
                <w:lang w:val="en-GB"/>
              </w:rPr>
              <w:t>where the newly established e-Tracker system was not fully operationalized in all health centres.</w:t>
            </w:r>
            <w:r w:rsidRPr="7F867002" w:rsidR="00E8233D">
              <w:rPr>
                <w:lang w:val="en-GB"/>
              </w:rPr>
              <w:t xml:space="preserve">  </w:t>
            </w:r>
            <w:r w:rsidRPr="7F867002" w:rsidR="729628D7">
              <w:rPr>
                <w:lang w:val="en-GB"/>
              </w:rPr>
              <w:t>The</w:t>
            </w:r>
            <w:r w:rsidRPr="7F867002" w:rsidR="708C8E6D">
              <w:rPr>
                <w:lang w:val="en-GB"/>
              </w:rPr>
              <w:t xml:space="preserve"> current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729628D7">
              <w:rPr>
                <w:lang w:val="en-GB"/>
              </w:rPr>
              <w:t>TCA will support the capacity building for planning</w:t>
            </w:r>
            <w:r w:rsidRPr="7F867002" w:rsidR="1D949FA3">
              <w:rPr>
                <w:lang w:val="en-GB"/>
              </w:rPr>
              <w:t>,</w:t>
            </w:r>
            <w:r w:rsidRPr="7F867002" w:rsidR="729628D7">
              <w:rPr>
                <w:lang w:val="en-GB"/>
              </w:rPr>
              <w:t xml:space="preserve"> monitoring and evaluation at all levels</w:t>
            </w:r>
            <w:r w:rsidRPr="7F867002" w:rsidR="708C8E6D">
              <w:rPr>
                <w:lang w:val="en-GB"/>
              </w:rPr>
              <w:t>, improving the data management and utilization</w:t>
            </w:r>
            <w:r w:rsidRPr="7F867002" w:rsidR="1D949FA3">
              <w:rPr>
                <w:lang w:val="en-GB"/>
              </w:rPr>
              <w:t xml:space="preserve">. This will help to identify children who missed vaccination, where they are, factors which prevent them </w:t>
            </w:r>
            <w:r w:rsidRPr="7F867002" w:rsidR="2355CA92">
              <w:rPr>
                <w:lang w:val="en-GB"/>
              </w:rPr>
              <w:t xml:space="preserve">from </w:t>
            </w:r>
            <w:r w:rsidRPr="7F867002" w:rsidR="1D949FA3">
              <w:rPr>
                <w:lang w:val="en-GB"/>
              </w:rPr>
              <w:t>get</w:t>
            </w:r>
            <w:r w:rsidRPr="7F867002" w:rsidR="2355CA92">
              <w:rPr>
                <w:lang w:val="en-GB"/>
              </w:rPr>
              <w:t>ting</w:t>
            </w:r>
            <w:r w:rsidRPr="7F867002" w:rsidR="1D949FA3">
              <w:rPr>
                <w:lang w:val="en-GB"/>
              </w:rPr>
              <w:t xml:space="preserve"> </w:t>
            </w:r>
            <w:r w:rsidRPr="7F867002" w:rsidR="1D949FA3">
              <w:rPr>
                <w:lang w:val="en-GB"/>
              </w:rPr>
              <w:t>vaccination</w:t>
            </w:r>
            <w:r w:rsidRPr="7F867002" w:rsidR="1D949FA3">
              <w:rPr>
                <w:lang w:val="en-GB"/>
              </w:rPr>
              <w:t>,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1D949FA3">
              <w:rPr>
                <w:lang w:val="en-GB"/>
              </w:rPr>
              <w:t xml:space="preserve">and define tailored actions needed to reach all those eligible children and adolescents. </w:t>
            </w:r>
          </w:p>
          <w:p w:rsidRPr="00301EEA" w:rsidR="00403531" w:rsidP="009E70C8" w:rsidRDefault="00EE312A" w14:paraId="2689F064" w14:textId="060360A4">
            <w:pPr>
              <w:spacing w:line="300" w:lineRule="exact"/>
              <w:jc w:val="both"/>
              <w:rPr>
                <w:lang w:val="en-GB"/>
              </w:rPr>
            </w:pPr>
            <w:r w:rsidRPr="7F867002" w:rsidR="14F2B8E4">
              <w:rPr>
                <w:lang w:val="en-GB"/>
              </w:rPr>
              <w:t xml:space="preserve">The lessons learnt from COVID-19 vaccination will be </w:t>
            </w:r>
            <w:r w:rsidRPr="7F867002" w:rsidR="14F2B8E4">
              <w:rPr>
                <w:lang w:val="en-GB"/>
              </w:rPr>
              <w:t>utilized</w:t>
            </w:r>
            <w:r w:rsidRPr="7F867002" w:rsidR="14F2B8E4">
              <w:rPr>
                <w:lang w:val="en-GB"/>
              </w:rPr>
              <w:t xml:space="preserve"> to improve and sustain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14F2B8E4">
              <w:rPr>
                <w:lang w:val="en-GB"/>
              </w:rPr>
              <w:t>the delivery of routine immunization services</w:t>
            </w:r>
            <w:r w:rsidRPr="7F867002" w:rsidR="5DEDA842">
              <w:rPr>
                <w:lang w:val="en-GB"/>
              </w:rPr>
              <w:t xml:space="preserve"> to the most vulnerable and remote communities. In </w:t>
            </w:r>
            <w:r w:rsidRPr="7F867002" w:rsidR="5DEDA842">
              <w:rPr>
                <w:lang w:val="en-GB"/>
              </w:rPr>
              <w:t>addition,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5DEDA842">
              <w:rPr>
                <w:lang w:val="en-GB"/>
              </w:rPr>
              <w:t>the identification of zero-dose children and missed communities will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5DEDA842">
              <w:rPr>
                <w:lang w:val="en-GB"/>
              </w:rPr>
              <w:t xml:space="preserve">help to trace all the children who missed vaccination during COVID-19 and will be embedded </w:t>
            </w:r>
            <w:r w:rsidRPr="7F867002" w:rsidR="2355CA92">
              <w:rPr>
                <w:lang w:val="en-GB"/>
              </w:rPr>
              <w:t xml:space="preserve">in </w:t>
            </w:r>
            <w:r w:rsidRPr="7F867002" w:rsidR="5DEDA842">
              <w:rPr>
                <w:lang w:val="en-GB"/>
              </w:rPr>
              <w:t>routine intervention to regular</w:t>
            </w:r>
            <w:r w:rsidRPr="7F867002" w:rsidR="2355CA92">
              <w:rPr>
                <w:lang w:val="en-GB"/>
              </w:rPr>
              <w:t>l</w:t>
            </w:r>
            <w:r w:rsidRPr="7F867002" w:rsidR="5DEDA842">
              <w:rPr>
                <w:lang w:val="en-GB"/>
              </w:rPr>
              <w:t>y</w:t>
            </w:r>
            <w:r w:rsidRPr="7F867002" w:rsidR="73543D50">
              <w:rPr>
                <w:lang w:val="en-GB"/>
              </w:rPr>
              <w:t xml:space="preserve"> trace and vaccinate children</w:t>
            </w:r>
            <w:r w:rsidRPr="7F867002" w:rsidR="708C8E6D">
              <w:rPr>
                <w:lang w:val="en-GB"/>
              </w:rPr>
              <w:t>.</w:t>
            </w:r>
          </w:p>
        </w:tc>
      </w:tr>
      <w:tr w:rsidRPr="00AF74EB" w:rsidR="00AF74EB" w:rsidTr="7F867002" w14:paraId="7CB90E66" w14:textId="77777777">
        <w:tc>
          <w:tcPr>
            <w:tcW w:w="9192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tcMar/>
          </w:tcPr>
          <w:p w:rsidRPr="00AF74EB" w:rsidR="00B063BE" w:rsidP="00B063BE" w:rsidRDefault="00B063BE" w14:paraId="341DF7D2" w14:textId="20697518">
            <w:pPr>
              <w:spacing w:line="300" w:lineRule="exact"/>
              <w:rPr>
                <w:bCs/>
                <w:i/>
                <w:iCs/>
                <w:sz w:val="20"/>
                <w:szCs w:val="20"/>
                <w:lang w:val="en-GB"/>
              </w:rPr>
            </w:pPr>
            <w:r w:rsidRPr="00AF74EB">
              <w:rPr>
                <w:b/>
                <w:i/>
                <w:iCs/>
                <w:sz w:val="20"/>
                <w:szCs w:val="20"/>
                <w:lang w:val="en-GB"/>
              </w:rPr>
              <w:t>2.5 Describe how the TCA support will identify and/or overcome already known gender-related or other barriers to immunisation activities. Please respond to how each partner can help address this.</w:t>
            </w:r>
          </w:p>
        </w:tc>
      </w:tr>
      <w:tr w:rsidRPr="00AF74EB" w:rsidR="00AF74EB" w:rsidTr="7F867002" w14:paraId="251D4101" w14:textId="77777777">
        <w:trPr>
          <w:trHeight w:val="103"/>
        </w:trPr>
        <w:tc>
          <w:tcPr>
            <w:tcW w:w="9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7B12C4" w:rsidP="7F867002" w:rsidRDefault="000D10AE" w14:paraId="044FB104" w14:textId="4DFD534D">
            <w:pPr>
              <w:spacing w:line="300" w:lineRule="exact"/>
              <w:jc w:val="both"/>
              <w:rPr>
                <w:sz w:val="22"/>
                <w:szCs w:val="22"/>
              </w:rPr>
            </w:pPr>
            <w:r w:rsidRPr="7F867002" w:rsidR="696703B0">
              <w:rPr>
                <w:sz w:val="22"/>
                <w:szCs w:val="22"/>
              </w:rPr>
              <w:t>The TCA support</w:t>
            </w:r>
            <w:r w:rsidRPr="7F867002" w:rsidR="00E8233D">
              <w:rPr>
                <w:sz w:val="22"/>
                <w:szCs w:val="22"/>
              </w:rPr>
              <w:t xml:space="preserve"> </w:t>
            </w:r>
            <w:r w:rsidRPr="7F867002" w:rsidR="7B12E11A">
              <w:rPr>
                <w:sz w:val="22"/>
                <w:szCs w:val="22"/>
              </w:rPr>
              <w:t>focus</w:t>
            </w:r>
            <w:r w:rsidRPr="7F867002" w:rsidR="00E8233D">
              <w:rPr>
                <w:sz w:val="22"/>
                <w:szCs w:val="22"/>
              </w:rPr>
              <w:t xml:space="preserve"> </w:t>
            </w:r>
            <w:r w:rsidRPr="7F867002" w:rsidR="0CCE6709">
              <w:rPr>
                <w:sz w:val="22"/>
                <w:szCs w:val="22"/>
              </w:rPr>
              <w:t>on</w:t>
            </w:r>
            <w:r w:rsidRPr="7F867002" w:rsidR="00E8233D">
              <w:rPr>
                <w:sz w:val="22"/>
                <w:szCs w:val="22"/>
              </w:rPr>
              <w:t xml:space="preserve"> </w:t>
            </w:r>
            <w:r w:rsidRPr="7F867002" w:rsidR="696703B0">
              <w:rPr>
                <w:sz w:val="22"/>
                <w:szCs w:val="22"/>
              </w:rPr>
              <w:t>i</w:t>
            </w:r>
            <w:r w:rsidRPr="7F867002" w:rsidR="089A5ECE">
              <w:rPr>
                <w:sz w:val="22"/>
                <w:szCs w:val="22"/>
              </w:rPr>
              <w:t>dentification of zero dose children and missed communities</w:t>
            </w:r>
            <w:r w:rsidRPr="7F867002" w:rsidR="7B12E11A">
              <w:rPr>
                <w:sz w:val="22"/>
                <w:szCs w:val="22"/>
              </w:rPr>
              <w:t>, microplanning, data management and use for decision making, capacity building for vaccination service delivery, leadership and coordination at all levels, introduction and scale up of vaccines</w:t>
            </w:r>
            <w:r w:rsidRPr="7F867002" w:rsidR="0CCE6709">
              <w:rPr>
                <w:sz w:val="22"/>
                <w:szCs w:val="22"/>
              </w:rPr>
              <w:t xml:space="preserve"> and program sustainability. </w:t>
            </w:r>
            <w:r w:rsidRPr="7F867002" w:rsidR="02A44B27">
              <w:rPr>
                <w:sz w:val="22"/>
                <w:szCs w:val="22"/>
              </w:rPr>
              <w:t>Nationa</w:t>
            </w:r>
            <w:r w:rsidRPr="7F867002" w:rsidR="27CB04EA">
              <w:rPr>
                <w:sz w:val="22"/>
                <w:szCs w:val="22"/>
              </w:rPr>
              <w:t>l</w:t>
            </w:r>
            <w:r w:rsidRPr="7F867002" w:rsidR="02A44B27">
              <w:rPr>
                <w:sz w:val="22"/>
                <w:szCs w:val="22"/>
              </w:rPr>
              <w:t xml:space="preserve"> and sub</w:t>
            </w:r>
            <w:r w:rsidRPr="7F867002" w:rsidR="27CB04EA">
              <w:rPr>
                <w:sz w:val="22"/>
                <w:szCs w:val="22"/>
              </w:rPr>
              <w:t>-na</w:t>
            </w:r>
            <w:r w:rsidRPr="7F867002" w:rsidR="02A44B27">
              <w:rPr>
                <w:sz w:val="22"/>
                <w:szCs w:val="22"/>
              </w:rPr>
              <w:t>tion</w:t>
            </w:r>
            <w:r w:rsidRPr="7F867002" w:rsidR="27CB04EA">
              <w:rPr>
                <w:sz w:val="22"/>
                <w:szCs w:val="22"/>
              </w:rPr>
              <w:t>al</w:t>
            </w:r>
            <w:r w:rsidRPr="7F867002" w:rsidR="02A44B27">
              <w:rPr>
                <w:sz w:val="22"/>
                <w:szCs w:val="22"/>
              </w:rPr>
              <w:t xml:space="preserve"> s</w:t>
            </w:r>
            <w:r w:rsidRPr="7F867002" w:rsidR="0CCE6709">
              <w:rPr>
                <w:sz w:val="22"/>
                <w:szCs w:val="22"/>
              </w:rPr>
              <w:t>urveys such as immunization</w:t>
            </w:r>
            <w:r w:rsidRPr="7F867002" w:rsidR="00E8233D">
              <w:rPr>
                <w:sz w:val="22"/>
                <w:szCs w:val="22"/>
              </w:rPr>
              <w:t xml:space="preserve"> </w:t>
            </w:r>
            <w:r w:rsidRPr="7F867002" w:rsidR="0CCE6709">
              <w:rPr>
                <w:sz w:val="22"/>
                <w:szCs w:val="22"/>
              </w:rPr>
              <w:t>coverage survey</w:t>
            </w:r>
            <w:r w:rsidRPr="7F867002" w:rsidR="02A44B27">
              <w:rPr>
                <w:sz w:val="22"/>
                <w:szCs w:val="22"/>
              </w:rPr>
              <w:t>s</w:t>
            </w:r>
            <w:r w:rsidRPr="7F867002" w:rsidR="0CCE6709">
              <w:rPr>
                <w:sz w:val="22"/>
                <w:szCs w:val="22"/>
              </w:rPr>
              <w:t xml:space="preserve">, </w:t>
            </w:r>
            <w:r w:rsidRPr="7F867002" w:rsidR="2FC75BF3">
              <w:rPr>
                <w:sz w:val="22"/>
                <w:szCs w:val="22"/>
              </w:rPr>
              <w:t>coverage and equity analysis</w:t>
            </w:r>
            <w:r w:rsidRPr="7F867002" w:rsidR="466F8751">
              <w:rPr>
                <w:sz w:val="22"/>
                <w:szCs w:val="22"/>
              </w:rPr>
              <w:t xml:space="preserve"> and</w:t>
            </w:r>
            <w:r w:rsidRPr="7F867002" w:rsidR="00E8233D">
              <w:rPr>
                <w:sz w:val="22"/>
                <w:szCs w:val="22"/>
              </w:rPr>
              <w:t xml:space="preserve"> </w:t>
            </w:r>
            <w:r w:rsidRPr="7F867002" w:rsidR="466F8751">
              <w:rPr>
                <w:sz w:val="22"/>
                <w:szCs w:val="22"/>
              </w:rPr>
              <w:t xml:space="preserve">KAP </w:t>
            </w:r>
            <w:r w:rsidRPr="7F867002" w:rsidR="2FC75BF3">
              <w:rPr>
                <w:sz w:val="22"/>
                <w:szCs w:val="22"/>
              </w:rPr>
              <w:t>stud</w:t>
            </w:r>
            <w:r w:rsidRPr="7F867002" w:rsidR="466F8751">
              <w:rPr>
                <w:sz w:val="22"/>
                <w:szCs w:val="22"/>
              </w:rPr>
              <w:t>ies</w:t>
            </w:r>
            <w:r w:rsidRPr="7F867002" w:rsidR="2FC75BF3">
              <w:rPr>
                <w:sz w:val="22"/>
                <w:szCs w:val="22"/>
              </w:rPr>
              <w:t xml:space="preserve">, </w:t>
            </w:r>
            <w:r w:rsidRPr="7F867002" w:rsidR="5F04A1AF">
              <w:rPr>
                <w:sz w:val="22"/>
                <w:szCs w:val="22"/>
              </w:rPr>
              <w:t>in addition to the analysis of routine</w:t>
            </w:r>
            <w:r w:rsidRPr="7F867002" w:rsidR="466F8751">
              <w:rPr>
                <w:sz w:val="22"/>
                <w:szCs w:val="22"/>
              </w:rPr>
              <w:t xml:space="preserve"> </w:t>
            </w:r>
            <w:r w:rsidRPr="7F867002" w:rsidR="5F04A1AF">
              <w:rPr>
                <w:sz w:val="22"/>
                <w:szCs w:val="22"/>
              </w:rPr>
              <w:t>data will help to identify and address barriers to immunization.</w:t>
            </w:r>
            <w:r w:rsidRPr="7F867002" w:rsidR="00E8233D">
              <w:rPr>
                <w:sz w:val="22"/>
                <w:szCs w:val="22"/>
              </w:rPr>
              <w:t xml:space="preserve"> </w:t>
            </w:r>
          </w:p>
          <w:p w:rsidRPr="00403531" w:rsidR="00403531" w:rsidP="7F867002" w:rsidRDefault="007B12C4" w14:paraId="626A5A76" w14:textId="2A39B471">
            <w:pPr>
              <w:spacing w:line="300" w:lineRule="exact"/>
              <w:jc w:val="both"/>
              <w:rPr>
                <w:sz w:val="22"/>
                <w:szCs w:val="22"/>
              </w:rPr>
            </w:pPr>
            <w:r w:rsidRPr="7F867002" w:rsidR="0CCE6709">
              <w:rPr>
                <w:sz w:val="22"/>
                <w:szCs w:val="22"/>
              </w:rPr>
              <w:t>All the</w:t>
            </w:r>
            <w:r w:rsidRPr="7F867002" w:rsidR="466F8751">
              <w:rPr>
                <w:sz w:val="22"/>
                <w:szCs w:val="22"/>
              </w:rPr>
              <w:t xml:space="preserve"> TCA supported</w:t>
            </w:r>
            <w:r w:rsidRPr="7F867002" w:rsidR="00E8233D">
              <w:rPr>
                <w:sz w:val="22"/>
                <w:szCs w:val="22"/>
              </w:rPr>
              <w:t xml:space="preserve"> </w:t>
            </w:r>
            <w:r w:rsidRPr="7F867002" w:rsidR="0CCE6709">
              <w:rPr>
                <w:sz w:val="22"/>
                <w:szCs w:val="22"/>
              </w:rPr>
              <w:t xml:space="preserve">interventions </w:t>
            </w:r>
            <w:r w:rsidRPr="7F867002" w:rsidR="2355CA92">
              <w:rPr>
                <w:sz w:val="22"/>
                <w:szCs w:val="22"/>
              </w:rPr>
              <w:t xml:space="preserve">contribute </w:t>
            </w:r>
            <w:r w:rsidRPr="7F867002" w:rsidR="0CCE6709">
              <w:rPr>
                <w:sz w:val="22"/>
                <w:szCs w:val="22"/>
              </w:rPr>
              <w:t>to</w:t>
            </w:r>
            <w:r w:rsidRPr="7F867002" w:rsidR="164D8FCE">
              <w:rPr>
                <w:sz w:val="22"/>
                <w:szCs w:val="22"/>
              </w:rPr>
              <w:t xml:space="preserve"> the</w:t>
            </w:r>
            <w:r w:rsidRPr="7F867002" w:rsidR="00E8233D">
              <w:rPr>
                <w:sz w:val="22"/>
                <w:szCs w:val="22"/>
              </w:rPr>
              <w:t xml:space="preserve"> </w:t>
            </w:r>
            <w:r w:rsidRPr="7F867002" w:rsidR="2C14123D">
              <w:rPr>
                <w:sz w:val="22"/>
                <w:szCs w:val="22"/>
              </w:rPr>
              <w:t xml:space="preserve">achievement of </w:t>
            </w:r>
            <w:r w:rsidRPr="7F867002" w:rsidR="2355CA92">
              <w:rPr>
                <w:sz w:val="22"/>
                <w:szCs w:val="22"/>
              </w:rPr>
              <w:t xml:space="preserve">one </w:t>
            </w:r>
            <w:r w:rsidRPr="7F867002" w:rsidR="2C14123D">
              <w:rPr>
                <w:sz w:val="22"/>
                <w:szCs w:val="22"/>
              </w:rPr>
              <w:t>overall</w:t>
            </w:r>
            <w:r w:rsidRPr="7F867002" w:rsidR="00E8233D">
              <w:rPr>
                <w:sz w:val="22"/>
                <w:szCs w:val="22"/>
              </w:rPr>
              <w:t xml:space="preserve"> </w:t>
            </w:r>
            <w:r w:rsidRPr="7F867002" w:rsidR="652CCF84">
              <w:rPr>
                <w:sz w:val="22"/>
                <w:szCs w:val="22"/>
              </w:rPr>
              <w:t>objective</w:t>
            </w:r>
            <w:r w:rsidRPr="7F867002" w:rsidR="2C14123D">
              <w:rPr>
                <w:sz w:val="22"/>
                <w:szCs w:val="22"/>
              </w:rPr>
              <w:t xml:space="preserve"> which is to s</w:t>
            </w:r>
            <w:r w:rsidRPr="7F867002" w:rsidR="2C14123D">
              <w:rPr>
                <w:sz w:val="22"/>
                <w:szCs w:val="22"/>
              </w:rPr>
              <w:t>trengthen immunization program and sustain capacity at all levels of the health system</w:t>
            </w:r>
            <w:r w:rsidRPr="7F867002" w:rsidR="00E8233D">
              <w:rPr>
                <w:sz w:val="22"/>
                <w:szCs w:val="22"/>
              </w:rPr>
              <w:t xml:space="preserve"> </w:t>
            </w:r>
            <w:r w:rsidRPr="7F867002" w:rsidR="2C14123D">
              <w:rPr>
                <w:sz w:val="22"/>
                <w:szCs w:val="22"/>
              </w:rPr>
              <w:t>to ensure vaccines delivery system reaches zero-dose children and missed communities with equity lens in a sustainable manner</w:t>
            </w:r>
            <w:r w:rsidRPr="7F867002" w:rsidR="6EB34C72">
              <w:rPr>
                <w:sz w:val="22"/>
                <w:szCs w:val="22"/>
              </w:rPr>
              <w:t xml:space="preserve">. Under the coordination of </w:t>
            </w:r>
            <w:r w:rsidRPr="7F867002" w:rsidR="652CCF84">
              <w:rPr>
                <w:sz w:val="22"/>
                <w:szCs w:val="22"/>
              </w:rPr>
              <w:t>Ministry of Health/</w:t>
            </w:r>
            <w:r w:rsidRPr="7F867002" w:rsidR="6EB34C72">
              <w:rPr>
                <w:sz w:val="22"/>
                <w:szCs w:val="22"/>
              </w:rPr>
              <w:t>EPI,</w:t>
            </w:r>
            <w:r w:rsidRPr="7F867002" w:rsidR="00E8233D">
              <w:rPr>
                <w:sz w:val="22"/>
                <w:szCs w:val="22"/>
              </w:rPr>
              <w:t xml:space="preserve"> </w:t>
            </w:r>
            <w:r w:rsidRPr="7F867002" w:rsidR="6EB34C72">
              <w:rPr>
                <w:sz w:val="22"/>
                <w:szCs w:val="22"/>
              </w:rPr>
              <w:t>Core and Expanded partners</w:t>
            </w:r>
            <w:r w:rsidRPr="7F867002" w:rsidR="00E8233D">
              <w:rPr>
                <w:sz w:val="22"/>
                <w:szCs w:val="22"/>
              </w:rPr>
              <w:t xml:space="preserve"> </w:t>
            </w:r>
            <w:r w:rsidRPr="7F867002" w:rsidR="466F8751">
              <w:rPr>
                <w:sz w:val="22"/>
                <w:szCs w:val="22"/>
              </w:rPr>
              <w:t xml:space="preserve">will be involved </w:t>
            </w:r>
            <w:r w:rsidRPr="7F867002" w:rsidR="2355CA92">
              <w:rPr>
                <w:sz w:val="22"/>
                <w:szCs w:val="22"/>
              </w:rPr>
              <w:t xml:space="preserve">in </w:t>
            </w:r>
            <w:r w:rsidRPr="7F867002" w:rsidR="466F8751">
              <w:rPr>
                <w:sz w:val="22"/>
                <w:szCs w:val="22"/>
              </w:rPr>
              <w:t>the implementation</w:t>
            </w:r>
            <w:r w:rsidRPr="7F867002" w:rsidR="1FE12AE8">
              <w:rPr>
                <w:sz w:val="22"/>
                <w:szCs w:val="22"/>
              </w:rPr>
              <w:t>, ensuring that</w:t>
            </w:r>
            <w:r w:rsidRPr="7F867002" w:rsidR="00E8233D">
              <w:rPr>
                <w:sz w:val="22"/>
                <w:szCs w:val="22"/>
              </w:rPr>
              <w:t xml:space="preserve"> </w:t>
            </w:r>
            <w:r w:rsidRPr="7F867002" w:rsidR="466F8751">
              <w:rPr>
                <w:sz w:val="22"/>
                <w:szCs w:val="22"/>
              </w:rPr>
              <w:t>comparative advantages</w:t>
            </w:r>
            <w:r w:rsidRPr="7F867002" w:rsidR="1FE12AE8">
              <w:rPr>
                <w:sz w:val="22"/>
                <w:szCs w:val="22"/>
              </w:rPr>
              <w:t xml:space="preserve"> are leveraged to achieve the common </w:t>
            </w:r>
            <w:r w:rsidRPr="7F867002" w:rsidR="2C14123D">
              <w:rPr>
                <w:sz w:val="22"/>
                <w:szCs w:val="22"/>
              </w:rPr>
              <w:t>objective</w:t>
            </w:r>
            <w:r w:rsidRPr="7F867002" w:rsidR="0CCE6709">
              <w:rPr>
                <w:sz w:val="22"/>
                <w:szCs w:val="22"/>
              </w:rPr>
              <w:t>.</w:t>
            </w:r>
            <w:r w:rsidRPr="7F867002" w:rsidR="6EB34C72">
              <w:rPr>
                <w:sz w:val="22"/>
                <w:szCs w:val="22"/>
              </w:rPr>
              <w:t xml:space="preserve"> </w:t>
            </w:r>
            <w:r w:rsidRPr="7F867002" w:rsidR="164D8FCE">
              <w:rPr>
                <w:sz w:val="22"/>
                <w:szCs w:val="22"/>
              </w:rPr>
              <w:t>Some</w:t>
            </w:r>
            <w:r w:rsidRPr="7F867002" w:rsidR="00E8233D">
              <w:rPr>
                <w:sz w:val="22"/>
                <w:szCs w:val="22"/>
              </w:rPr>
              <w:t xml:space="preserve"> </w:t>
            </w:r>
            <w:r w:rsidRPr="7F867002" w:rsidR="1A1C133F">
              <w:rPr>
                <w:sz w:val="22"/>
                <w:szCs w:val="22"/>
              </w:rPr>
              <w:t xml:space="preserve">TCA </w:t>
            </w:r>
            <w:r w:rsidRPr="7F867002" w:rsidR="164D8FCE">
              <w:rPr>
                <w:sz w:val="22"/>
                <w:szCs w:val="22"/>
              </w:rPr>
              <w:t>activities will be impl</w:t>
            </w:r>
            <w:r w:rsidRPr="7F867002" w:rsidR="1A1C133F">
              <w:rPr>
                <w:sz w:val="22"/>
                <w:szCs w:val="22"/>
              </w:rPr>
              <w:t>e</w:t>
            </w:r>
            <w:r w:rsidRPr="7F867002" w:rsidR="164D8FCE">
              <w:rPr>
                <w:sz w:val="22"/>
                <w:szCs w:val="22"/>
              </w:rPr>
              <w:t xml:space="preserve">mented at </w:t>
            </w:r>
            <w:r w:rsidRPr="7F867002" w:rsidR="164D8FCE">
              <w:rPr>
                <w:sz w:val="22"/>
                <w:szCs w:val="22"/>
              </w:rPr>
              <w:t>subnational</w:t>
            </w:r>
            <w:r w:rsidRPr="7F867002" w:rsidR="164D8FCE">
              <w:rPr>
                <w:sz w:val="22"/>
                <w:szCs w:val="22"/>
              </w:rPr>
              <w:t xml:space="preserve"> level including</w:t>
            </w:r>
            <w:r w:rsidRPr="7F867002" w:rsidR="00E8233D">
              <w:rPr>
                <w:sz w:val="22"/>
                <w:szCs w:val="22"/>
              </w:rPr>
              <w:t xml:space="preserve"> </w:t>
            </w:r>
            <w:r w:rsidRPr="7F867002" w:rsidR="164D8FCE">
              <w:rPr>
                <w:sz w:val="22"/>
                <w:szCs w:val="22"/>
              </w:rPr>
              <w:t xml:space="preserve">district hospitals, health center and community levels to maximize efforts for reach all children </w:t>
            </w:r>
            <w:r w:rsidRPr="7F867002" w:rsidR="1A1C133F">
              <w:rPr>
                <w:sz w:val="22"/>
                <w:szCs w:val="22"/>
              </w:rPr>
              <w:t>wherever they are</w:t>
            </w:r>
            <w:r w:rsidRPr="7F867002" w:rsidR="164D8FCE">
              <w:rPr>
                <w:sz w:val="22"/>
                <w:szCs w:val="22"/>
              </w:rPr>
              <w:t xml:space="preserve"> </w:t>
            </w:r>
            <w:r w:rsidRPr="7F867002" w:rsidR="1A1C133F">
              <w:rPr>
                <w:sz w:val="22"/>
                <w:szCs w:val="22"/>
              </w:rPr>
              <w:t xml:space="preserve">at the appropriate age, and expanded partners will play an important role to ensure TCA interventions reach </w:t>
            </w:r>
            <w:r w:rsidRPr="7F867002" w:rsidR="722CAE4D">
              <w:rPr>
                <w:sz w:val="22"/>
                <w:szCs w:val="22"/>
              </w:rPr>
              <w:t>the lowest level of immunization</w:t>
            </w:r>
            <w:r w:rsidRPr="7F867002" w:rsidR="00E8233D">
              <w:rPr>
                <w:sz w:val="22"/>
                <w:szCs w:val="22"/>
              </w:rPr>
              <w:t xml:space="preserve"> </w:t>
            </w:r>
            <w:r w:rsidRPr="7F867002" w:rsidR="722CAE4D">
              <w:rPr>
                <w:sz w:val="22"/>
                <w:szCs w:val="22"/>
              </w:rPr>
              <w:t>service delivery to maximize the coverage.</w:t>
            </w:r>
          </w:p>
        </w:tc>
      </w:tr>
      <w:tr w:rsidRPr="00AF74EB" w:rsidR="00AF74EB" w:rsidTr="7F867002" w14:paraId="2605CFC3" w14:textId="77777777">
        <w:tc>
          <w:tcPr>
            <w:tcW w:w="9192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tcMar/>
          </w:tcPr>
          <w:p w:rsidRPr="00AF74EB" w:rsidR="00B063BE" w:rsidP="00B063BE" w:rsidRDefault="00B063BE" w14:paraId="71D225EC" w14:textId="23CD8FD6">
            <w:pPr>
              <w:spacing w:line="300" w:lineRule="exact"/>
              <w:rPr>
                <w:b/>
                <w:bCs/>
                <w:lang w:val="en-GB"/>
              </w:rPr>
            </w:pPr>
            <w:r w:rsidRPr="00AF74EB">
              <w:rPr>
                <w:b/>
                <w:bCs/>
                <w:i/>
                <w:iCs/>
                <w:sz w:val="20"/>
                <w:szCs w:val="20"/>
              </w:rPr>
              <w:t>2.6 Describe how you prioritised the interventions to be supported by Gavi under requested TCA support.</w:t>
            </w:r>
          </w:p>
        </w:tc>
      </w:tr>
      <w:tr w:rsidRPr="00AF74EB" w:rsidR="00AF74EB" w:rsidTr="7F867002" w14:paraId="4C4783D9" w14:textId="77777777">
        <w:tc>
          <w:tcPr>
            <w:tcW w:w="9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F74EB" w:rsidR="00B063BE" w:rsidP="00785208" w:rsidRDefault="00785208" w14:paraId="48003D96" w14:textId="6E9C0617">
            <w:pPr>
              <w:spacing w:line="300" w:lineRule="exact"/>
              <w:jc w:val="both"/>
              <w:rPr>
                <w:lang w:val="en-GB"/>
              </w:rPr>
            </w:pPr>
            <w:r w:rsidRPr="7F867002" w:rsidR="4CBB77BB">
              <w:rPr>
                <w:lang w:val="en-GB"/>
              </w:rPr>
              <w:t xml:space="preserve">A </w:t>
            </w:r>
            <w:r w:rsidRPr="7F867002" w:rsidR="4CBB77BB">
              <w:rPr>
                <w:lang w:val="en-GB"/>
              </w:rPr>
              <w:t>two-day</w:t>
            </w:r>
            <w:r w:rsidRPr="7F867002" w:rsidR="0DD3DB37">
              <w:rPr>
                <w:lang w:val="en-GB"/>
              </w:rPr>
              <w:t xml:space="preserve"> meeting </w:t>
            </w:r>
            <w:r w:rsidRPr="7F867002" w:rsidR="0DD3DB37">
              <w:rPr>
                <w:lang w:val="en-GB"/>
              </w:rPr>
              <w:t>convened</w:t>
            </w:r>
            <w:r w:rsidRPr="7F867002" w:rsidR="0DD3DB37">
              <w:rPr>
                <w:lang w:val="en-GB"/>
              </w:rPr>
              <w:t xml:space="preserve"> which involved MOH/EPI and</w:t>
            </w:r>
            <w:r w:rsidRPr="7F867002" w:rsidR="6558FF28">
              <w:rPr>
                <w:lang w:val="en-GB"/>
              </w:rPr>
              <w:t xml:space="preserve"> in country immunization</w:t>
            </w:r>
            <w:r w:rsidRPr="7F867002" w:rsidR="3B8476BF">
              <w:rPr>
                <w:lang w:val="en-GB"/>
              </w:rPr>
              <w:t xml:space="preserve"> partner</w:t>
            </w:r>
            <w:r w:rsidRPr="7F867002" w:rsidR="6558FF28">
              <w:rPr>
                <w:lang w:val="en-GB"/>
              </w:rPr>
              <w:t xml:space="preserve"> members of ICC</w:t>
            </w:r>
            <w:r w:rsidRPr="7F867002" w:rsidR="0DD3DB37">
              <w:rPr>
                <w:lang w:val="en-GB"/>
              </w:rPr>
              <w:t>. Need assessment was conducted based on the progress of HSS3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0DD3DB37">
              <w:rPr>
                <w:lang w:val="en-GB"/>
              </w:rPr>
              <w:t>implementation,</w:t>
            </w:r>
            <w:r w:rsidRPr="7F867002" w:rsidR="1592C066">
              <w:rPr>
                <w:lang w:val="en-GB"/>
              </w:rPr>
              <w:t xml:space="preserve"> CCEOP,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0DD3DB37">
              <w:rPr>
                <w:lang w:val="en-GB"/>
              </w:rPr>
              <w:t>situation analysis, assessment</w:t>
            </w:r>
            <w:r w:rsidRPr="7F867002" w:rsidR="1592C066">
              <w:rPr>
                <w:lang w:val="en-GB"/>
              </w:rPr>
              <w:t xml:space="preserve"> report on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0DD3DB37">
              <w:rPr>
                <w:lang w:val="en-GB"/>
              </w:rPr>
              <w:t>the effect of COVID-19 on the immunization services delivery system, recommendations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1592C066">
              <w:rPr>
                <w:lang w:val="en-GB"/>
              </w:rPr>
              <w:t>from</w:t>
            </w:r>
            <w:r w:rsidRPr="7F867002" w:rsidR="0DD3DB37">
              <w:rPr>
                <w:lang w:val="en-GB"/>
              </w:rPr>
              <w:t xml:space="preserve"> ICC meetings</w:t>
            </w:r>
            <w:r w:rsidRPr="7F867002" w:rsidR="1592C066">
              <w:rPr>
                <w:lang w:val="en-GB"/>
              </w:rPr>
              <w:t xml:space="preserve"> and draft National Immunization Strategy which is still under development. </w:t>
            </w:r>
            <w:r w:rsidRPr="7F867002" w:rsidR="7F9CC9AF">
              <w:rPr>
                <w:lang w:val="en-GB"/>
              </w:rPr>
              <w:t>The year of implementation was defined according to the urgency of the intervention, commitment already made</w:t>
            </w:r>
            <w:r w:rsidRPr="7F867002" w:rsidR="5F14530E">
              <w:rPr>
                <w:lang w:val="en-GB"/>
              </w:rPr>
              <w:t xml:space="preserve">, the </w:t>
            </w:r>
            <w:r w:rsidRPr="7F867002" w:rsidR="5F14530E">
              <w:rPr>
                <w:lang w:val="en-GB"/>
              </w:rPr>
              <w:t>requirements for the completion of the activities and pre-established timelines for the activities</w:t>
            </w:r>
            <w:r w:rsidRPr="7F867002" w:rsidR="26293F45">
              <w:rPr>
                <w:lang w:val="en-GB"/>
              </w:rPr>
              <w:t xml:space="preserve"> which are associated with funding allocation by year</w:t>
            </w:r>
            <w:r w:rsidRPr="7F867002" w:rsidR="5F14530E">
              <w:rPr>
                <w:lang w:val="en-GB"/>
              </w:rPr>
              <w:t>.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26293F45">
              <w:rPr>
                <w:lang w:val="en-GB"/>
              </w:rPr>
              <w:t xml:space="preserve"> </w:t>
            </w:r>
            <w:bookmarkStart w:name="_GoBack" w:id="0"/>
            <w:bookmarkEnd w:id="0"/>
          </w:p>
        </w:tc>
      </w:tr>
    </w:tbl>
    <w:p w:rsidRPr="00AF74EB" w:rsidR="0097094F" w:rsidRDefault="0097094F" w14:paraId="6DBB0EFD" w14:textId="77777777"/>
    <w:p w:rsidRPr="00AF74EB" w:rsidR="007172E8" w:rsidP="00CE1F57" w:rsidRDefault="007172E8" w14:paraId="058C1B7B" w14:textId="4CE56EFB">
      <w:pPr>
        <w:pStyle w:val="ListParagraph"/>
        <w:numPr>
          <w:ilvl w:val="0"/>
          <w:numId w:val="4"/>
        </w:numPr>
        <w:spacing w:line="300" w:lineRule="exact"/>
        <w:ind w:left="426"/>
        <w:rPr>
          <w:b/>
          <w:bCs/>
          <w:sz w:val="26"/>
          <w:szCs w:val="26"/>
          <w:lang w:val="en-GB"/>
        </w:rPr>
      </w:pPr>
      <w:r w:rsidRPr="00AF74EB">
        <w:rPr>
          <w:b/>
          <w:bCs/>
          <w:sz w:val="26"/>
          <w:szCs w:val="26"/>
          <w:lang w:val="en-GB"/>
        </w:rPr>
        <w:t>Partner di</w:t>
      </w:r>
      <w:r w:rsidRPr="00AF74EB" w:rsidR="00067D86">
        <w:rPr>
          <w:b/>
          <w:bCs/>
          <w:sz w:val="26"/>
          <w:szCs w:val="26"/>
          <w:lang w:val="en-GB"/>
        </w:rPr>
        <w:t>versification</w:t>
      </w:r>
      <w:r w:rsidRPr="00AF74EB" w:rsidR="0033192A">
        <w:rPr>
          <w:b/>
          <w:bCs/>
          <w:sz w:val="26"/>
          <w:szCs w:val="26"/>
          <w:lang w:val="en-GB"/>
        </w:rPr>
        <w:t xml:space="preserve"> (0.5 page)</w:t>
      </w:r>
    </w:p>
    <w:tbl>
      <w:tblPr>
        <w:tblStyle w:val="TableGrid"/>
        <w:tblW w:w="91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170"/>
        <w:gridCol w:w="22"/>
      </w:tblGrid>
      <w:tr w:rsidRPr="00AF74EB" w:rsidR="00AF74EB" w:rsidTr="7F867002" w14:paraId="3D086D68" w14:textId="77777777">
        <w:trPr>
          <w:gridAfter w:val="1"/>
          <w:wAfter w:w="22" w:type="dxa"/>
          <w:trHeight w:val="846"/>
        </w:trPr>
        <w:tc>
          <w:tcPr>
            <w:tcW w:w="9170" w:type="dxa"/>
            <w:shd w:val="clear" w:color="auto" w:fill="F2F2F2" w:themeFill="background1" w:themeFillShade="F2"/>
            <w:tcMar/>
          </w:tcPr>
          <w:p w:rsidRPr="00AF74EB" w:rsidR="00E80A44" w:rsidP="00E80A44" w:rsidRDefault="006D3657" w14:paraId="642D6855" w14:textId="41AD1608">
            <w:pPr>
              <w:spacing w:line="300" w:lineRule="exact"/>
              <w:rPr>
                <w:lang w:val="en-GB"/>
              </w:rPr>
            </w:pPr>
            <w:r w:rsidRPr="00AF74EB">
              <w:rPr>
                <w:b/>
                <w:i/>
                <w:iCs/>
                <w:sz w:val="20"/>
                <w:szCs w:val="20"/>
                <w:lang w:val="en-GB"/>
              </w:rPr>
              <w:t>3.1</w:t>
            </w:r>
            <w:r w:rsidRPr="00AF74EB" w:rsidR="00E80A44">
              <w:rPr>
                <w:b/>
                <w:i/>
                <w:iCs/>
                <w:sz w:val="20"/>
                <w:szCs w:val="20"/>
                <w:lang w:val="en-GB"/>
              </w:rPr>
              <w:t xml:space="preserve"> Describe which partners you have already </w:t>
            </w:r>
            <w:r w:rsidRPr="00AF74EB" w:rsidR="005E728F">
              <w:rPr>
                <w:b/>
                <w:i/>
                <w:iCs/>
                <w:sz w:val="20"/>
                <w:szCs w:val="20"/>
                <w:lang w:val="en-GB"/>
              </w:rPr>
              <w:t>mapped</w:t>
            </w:r>
            <w:r w:rsidRPr="00AF74EB" w:rsidR="00E80A44">
              <w:rPr>
                <w:b/>
                <w:i/>
                <w:iCs/>
                <w:sz w:val="20"/>
                <w:szCs w:val="20"/>
                <w:lang w:val="en-GB"/>
              </w:rPr>
              <w:t xml:space="preserve">, including Alliance and </w:t>
            </w:r>
            <w:r w:rsidRPr="00AF74EB" w:rsidR="00E80A44">
              <w:rPr>
                <w:b/>
                <w:bCs/>
                <w:i/>
                <w:iCs/>
                <w:sz w:val="20"/>
                <w:szCs w:val="20"/>
                <w:lang w:val="en-GB"/>
              </w:rPr>
              <w:t>Expanded</w:t>
            </w:r>
            <w:r w:rsidRPr="00AF74EB" w:rsidR="00E80A44">
              <w:rPr>
                <w:b/>
                <w:i/>
                <w:iCs/>
                <w:sz w:val="20"/>
                <w:szCs w:val="20"/>
                <w:lang w:val="en-GB"/>
              </w:rPr>
              <w:t xml:space="preserve"> partners </w:t>
            </w:r>
            <w:r w:rsidRPr="00AF74EB" w:rsidR="00FD6F4C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(including </w:t>
            </w:r>
            <w:r w:rsidRPr="00AF74EB" w:rsidR="009A2D50">
              <w:rPr>
                <w:b/>
                <w:bCs/>
                <w:i/>
                <w:iCs/>
                <w:sz w:val="20"/>
                <w:szCs w:val="20"/>
                <w:lang w:val="en-GB"/>
              </w:rPr>
              <w:t>Global Partners,</w:t>
            </w:r>
            <w:r w:rsidRPr="00AF74EB" w:rsidR="00FD6F4C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AF74EB" w:rsidR="00E80A44">
              <w:rPr>
                <w:b/>
                <w:bCs/>
                <w:i/>
                <w:iCs/>
                <w:sz w:val="20"/>
                <w:szCs w:val="20"/>
                <w:lang w:val="en-GB"/>
              </w:rPr>
              <w:t>Local Partners</w:t>
            </w:r>
            <w:r w:rsidRPr="00AF74EB" w:rsidR="00FD6F4C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 and</w:t>
            </w:r>
            <w:r w:rsidRPr="00AF74EB" w:rsidR="00E80A44">
              <w:rPr>
                <w:b/>
                <w:i/>
                <w:iCs/>
                <w:sz w:val="20"/>
                <w:szCs w:val="20"/>
                <w:lang w:val="en-GB"/>
              </w:rPr>
              <w:t xml:space="preserve"> CSOs</w:t>
            </w:r>
            <w:r w:rsidRPr="00AF74EB" w:rsidR="00FD6F4C">
              <w:rPr>
                <w:b/>
                <w:i/>
                <w:iCs/>
                <w:sz w:val="20"/>
                <w:szCs w:val="20"/>
                <w:lang w:val="en-GB"/>
              </w:rPr>
              <w:t>)</w:t>
            </w:r>
            <w:r w:rsidRPr="00AF74EB" w:rsidR="00E80A44">
              <w:rPr>
                <w:b/>
                <w:i/>
                <w:iCs/>
                <w:sz w:val="20"/>
                <w:szCs w:val="20"/>
                <w:lang w:val="en-GB"/>
              </w:rPr>
              <w:t xml:space="preserve"> to support the activit</w:t>
            </w:r>
            <w:r w:rsidRPr="00AF74EB" w:rsidR="00EB769C">
              <w:rPr>
                <w:b/>
                <w:i/>
                <w:iCs/>
                <w:sz w:val="20"/>
                <w:szCs w:val="20"/>
                <w:lang w:val="en-GB"/>
              </w:rPr>
              <w:t>ies</w:t>
            </w:r>
            <w:r w:rsidRPr="00AF74EB" w:rsidR="00E80A44">
              <w:rPr>
                <w:b/>
                <w:i/>
                <w:iCs/>
                <w:sz w:val="20"/>
                <w:szCs w:val="20"/>
                <w:lang w:val="en-GB"/>
              </w:rPr>
              <w:t xml:space="preserve"> implementation?</w:t>
            </w:r>
            <w:r w:rsidRPr="00AF74EB" w:rsidR="005D0F9E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 (Refer to the</w:t>
            </w:r>
            <w:r w:rsidRPr="00AF74EB" w:rsidR="007F2F8B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hyperlink w:history="1" r:id="rId14">
              <w:r w:rsidRPr="00AF74EB" w:rsidR="007F2F8B">
                <w:rPr>
                  <w:rStyle w:val="Hyperlink"/>
                  <w:b/>
                  <w:bCs/>
                  <w:i/>
                  <w:iCs/>
                  <w:color w:val="auto"/>
                  <w:sz w:val="20"/>
                  <w:szCs w:val="20"/>
                  <w:lang w:val="en-GB"/>
                </w:rPr>
                <w:t>PEF Targeted Country Assistance (TCA) Guidance for 2022-2025 Multi-Year Planning</w:t>
              </w:r>
            </w:hyperlink>
            <w:r w:rsidRPr="00AF74EB" w:rsidR="005D0F9E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 for the type of institutions considered global versus local partners and CSOs.)</w:t>
            </w:r>
          </w:p>
        </w:tc>
      </w:tr>
      <w:tr w:rsidRPr="004A3A07" w:rsidR="004A3A07" w:rsidTr="7F867002" w14:paraId="62BDF2A5" w14:textId="77777777">
        <w:tc>
          <w:tcPr>
            <w:tcW w:w="9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A3A07" w:rsidR="00520598" w:rsidP="00F26B40" w:rsidRDefault="00B60306" w14:paraId="18AA925F" w14:textId="45C27DFE">
            <w:pPr>
              <w:spacing w:line="300" w:lineRule="exact"/>
              <w:rPr>
                <w:color w:val="000000" w:themeColor="text1"/>
                <w:lang w:val="en-GB"/>
              </w:rPr>
            </w:pPr>
            <w:r w:rsidRPr="7F867002" w:rsidR="2E9086AA">
              <w:rPr>
                <w:color w:val="000000" w:themeColor="text1" w:themeTint="FF" w:themeShade="FF"/>
                <w:lang w:val="en-GB"/>
              </w:rPr>
              <w:t>Alliance partners include WHO and UNICEF. Expanded partners include</w:t>
            </w:r>
            <w:r w:rsidRPr="7F867002" w:rsidR="00E8233D">
              <w:rPr>
                <w:color w:val="000000" w:themeColor="text1" w:themeTint="FF" w:themeShade="FF"/>
                <w:lang w:val="en-GB"/>
              </w:rPr>
              <w:t xml:space="preserve"> </w:t>
            </w:r>
            <w:r w:rsidRPr="7F867002" w:rsidR="2E9086AA">
              <w:rPr>
                <w:color w:val="000000" w:themeColor="text1" w:themeTint="FF" w:themeShade="FF"/>
                <w:lang w:val="en-GB"/>
              </w:rPr>
              <w:t xml:space="preserve">JPHIEGO, HISP Rwanda </w:t>
            </w:r>
            <w:r w:rsidRPr="7F867002" w:rsidR="34176B66">
              <w:rPr>
                <w:color w:val="000000" w:themeColor="text1" w:themeTint="FF" w:themeShade="FF"/>
                <w:lang w:val="en-GB"/>
              </w:rPr>
              <w:t>by University of Oslo</w:t>
            </w:r>
            <w:r w:rsidRPr="7F867002" w:rsidR="6BDA1B97">
              <w:rPr>
                <w:color w:val="000000" w:themeColor="text1" w:themeTint="FF" w:themeShade="FF"/>
                <w:lang w:val="en-GB"/>
              </w:rPr>
              <w:t xml:space="preserve">. CSOs which are part of ICC membership include URUNANA D.C, Pro-Femmes </w:t>
            </w:r>
            <w:proofErr w:type="spellStart"/>
            <w:r w:rsidRPr="7F867002" w:rsidR="6BDA1B97">
              <w:rPr>
                <w:color w:val="000000" w:themeColor="text1" w:themeTint="FF" w:themeShade="FF"/>
                <w:lang w:val="en-GB"/>
              </w:rPr>
              <w:t>Twese</w:t>
            </w:r>
            <w:proofErr w:type="spellEnd"/>
            <w:r w:rsidRPr="7F867002" w:rsidR="6BDA1B97">
              <w:rPr>
                <w:color w:val="000000" w:themeColor="text1" w:themeTint="FF" w:themeShade="FF"/>
                <w:lang w:val="en-GB"/>
              </w:rPr>
              <w:t xml:space="preserve"> </w:t>
            </w:r>
            <w:proofErr w:type="spellStart"/>
            <w:r w:rsidRPr="7F867002" w:rsidR="6BDA1B97">
              <w:rPr>
                <w:color w:val="000000" w:themeColor="text1" w:themeTint="FF" w:themeShade="FF"/>
                <w:lang w:val="en-GB"/>
              </w:rPr>
              <w:t>hamwe</w:t>
            </w:r>
            <w:proofErr w:type="spellEnd"/>
            <w:r w:rsidRPr="7F867002" w:rsidR="6BDA1B97">
              <w:rPr>
                <w:color w:val="000000" w:themeColor="text1" w:themeTint="FF" w:themeShade="FF"/>
                <w:lang w:val="en-GB"/>
              </w:rPr>
              <w:t xml:space="preserve"> </w:t>
            </w:r>
            <w:r w:rsidRPr="7F867002" w:rsidR="02E20DCF">
              <w:rPr>
                <w:color w:val="000000" w:themeColor="text1" w:themeTint="FF" w:themeShade="FF"/>
                <w:lang w:val="en-GB"/>
              </w:rPr>
              <w:t xml:space="preserve">and </w:t>
            </w:r>
            <w:r w:rsidRPr="7F867002" w:rsidR="6BDA1B97">
              <w:rPr>
                <w:color w:val="000000" w:themeColor="text1" w:themeTint="FF" w:themeShade="FF"/>
                <w:lang w:val="en-GB"/>
              </w:rPr>
              <w:t xml:space="preserve">will play a role in the implementation of the TCA Plan. </w:t>
            </w:r>
            <w:r w:rsidRPr="7F867002" w:rsidR="02E20DCF">
              <w:rPr>
                <w:color w:val="000000" w:themeColor="text1" w:themeTint="FF" w:themeShade="FF"/>
                <w:lang w:val="en-GB"/>
              </w:rPr>
              <w:t>Rotary Club I</w:t>
            </w:r>
            <w:r w:rsidRPr="7F867002" w:rsidR="343BE6D8">
              <w:rPr>
                <w:color w:val="000000" w:themeColor="text1" w:themeTint="FF" w:themeShade="FF"/>
                <w:lang w:val="en-GB"/>
              </w:rPr>
              <w:t>nternational</w:t>
            </w:r>
            <w:r w:rsidRPr="7F867002" w:rsidR="0A36332C">
              <w:rPr>
                <w:color w:val="000000" w:themeColor="text1" w:themeTint="FF" w:themeShade="FF"/>
                <w:lang w:val="en-GB"/>
              </w:rPr>
              <w:t xml:space="preserve">, CHAI and </w:t>
            </w:r>
            <w:r w:rsidRPr="7F867002" w:rsidR="6BDA1B97">
              <w:rPr>
                <w:color w:val="000000" w:themeColor="text1" w:themeTint="FF" w:themeShade="FF"/>
                <w:lang w:val="en-GB"/>
              </w:rPr>
              <w:t>Girl Effect</w:t>
            </w:r>
            <w:r w:rsidRPr="7F867002" w:rsidR="02E20DCF">
              <w:rPr>
                <w:color w:val="000000" w:themeColor="text1" w:themeTint="FF" w:themeShade="FF"/>
                <w:lang w:val="en-GB"/>
              </w:rPr>
              <w:t xml:space="preserve"> are</w:t>
            </w:r>
            <w:r w:rsidRPr="7F867002" w:rsidR="0A36332C">
              <w:rPr>
                <w:color w:val="000000" w:themeColor="text1" w:themeTint="FF" w:themeShade="FF"/>
                <w:lang w:val="en-GB"/>
              </w:rPr>
              <w:t xml:space="preserve"> among</w:t>
            </w:r>
            <w:r w:rsidRPr="7F867002" w:rsidR="02E20DCF">
              <w:rPr>
                <w:color w:val="000000" w:themeColor="text1" w:themeTint="FF" w:themeShade="FF"/>
                <w:lang w:val="en-GB"/>
              </w:rPr>
              <w:t xml:space="preserve"> </w:t>
            </w:r>
            <w:r w:rsidRPr="7F867002" w:rsidR="02E20DCF">
              <w:rPr>
                <w:color w:val="000000" w:themeColor="text1" w:themeTint="FF" w:themeShade="FF"/>
                <w:lang w:val="en-GB"/>
              </w:rPr>
              <w:t>in country</w:t>
            </w:r>
            <w:r w:rsidRPr="7F867002" w:rsidR="02E20DCF">
              <w:rPr>
                <w:color w:val="000000" w:themeColor="text1" w:themeTint="FF" w:themeShade="FF"/>
                <w:lang w:val="en-GB"/>
              </w:rPr>
              <w:t xml:space="preserve"> immunization partners. </w:t>
            </w:r>
          </w:p>
        </w:tc>
      </w:tr>
      <w:tr w:rsidRPr="00AF74EB" w:rsidR="00AF74EB" w:rsidTr="7F867002" w14:paraId="72481A8B" w14:textId="77777777">
        <w:trPr>
          <w:trHeight w:val="260"/>
        </w:trPr>
        <w:tc>
          <w:tcPr>
            <w:tcW w:w="9170" w:type="dxa"/>
            <w:gridSpan w:val="2"/>
            <w:shd w:val="clear" w:color="auto" w:fill="F2F2F2" w:themeFill="background1" w:themeFillShade="F2"/>
            <w:tcMar/>
          </w:tcPr>
          <w:p w:rsidRPr="00AF74EB" w:rsidR="00520598" w:rsidP="57C08CD4" w:rsidRDefault="00520598" w14:paraId="29991F07" w14:textId="1F1D70C3">
            <w:pPr>
              <w:spacing w:line="300" w:lineRule="exact"/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AF74EB">
              <w:rPr>
                <w:b/>
                <w:bCs/>
                <w:i/>
                <w:iCs/>
                <w:sz w:val="20"/>
                <w:szCs w:val="20"/>
                <w:lang w:val="en-GB"/>
              </w:rPr>
              <w:t>3.2 Please indicate how exactly you plan to collaborate with Local Partners</w:t>
            </w:r>
            <w:r w:rsidRPr="00AF74EB" w:rsidR="0097094F">
              <w:rPr>
                <w:b/>
                <w:bCs/>
                <w:i/>
                <w:iCs/>
                <w:sz w:val="20"/>
                <w:szCs w:val="20"/>
                <w:lang w:val="en-GB"/>
              </w:rPr>
              <w:t>.</w:t>
            </w:r>
          </w:p>
        </w:tc>
      </w:tr>
      <w:tr w:rsidRPr="00AF74EB" w:rsidR="00AF74EB" w:rsidTr="7F867002" w14:paraId="5B4D7083" w14:textId="77777777">
        <w:trPr>
          <w:gridAfter w:val="1"/>
          <w:wAfter w:w="22" w:type="dxa"/>
        </w:trPr>
        <w:tc>
          <w:tcPr>
            <w:tcW w:w="9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F74EB" w:rsidR="00E80A44" w:rsidP="00E558DB" w:rsidRDefault="006F19C8" w14:paraId="6420D9B9" w14:textId="72986639">
            <w:pPr>
              <w:spacing w:line="300" w:lineRule="exact"/>
              <w:jc w:val="both"/>
              <w:rPr>
                <w:lang w:val="en-GB"/>
              </w:rPr>
            </w:pPr>
            <w:r w:rsidRPr="7F867002" w:rsidR="34176B66">
              <w:rPr>
                <w:lang w:val="en-GB"/>
              </w:rPr>
              <w:t xml:space="preserve">The ministry of Health/EPI will coordinate all </w:t>
            </w:r>
            <w:r w:rsidRPr="7F867002" w:rsidR="437C9EFB">
              <w:rPr>
                <w:lang w:val="en-GB"/>
              </w:rPr>
              <w:t xml:space="preserve">the </w:t>
            </w:r>
            <w:r w:rsidRPr="7F867002" w:rsidR="34176B66">
              <w:rPr>
                <w:lang w:val="en-GB"/>
              </w:rPr>
              <w:t xml:space="preserve">partners and stakeholders. </w:t>
            </w:r>
            <w:r w:rsidRPr="7F867002" w:rsidR="437C9EFB">
              <w:rPr>
                <w:lang w:val="en-GB"/>
              </w:rPr>
              <w:t>Regular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34176B66">
              <w:rPr>
                <w:lang w:val="en-GB"/>
              </w:rPr>
              <w:t>meeting</w:t>
            </w:r>
            <w:r w:rsidRPr="7F867002" w:rsidR="437C9EFB">
              <w:rPr>
                <w:lang w:val="en-GB"/>
              </w:rPr>
              <w:t>s</w:t>
            </w:r>
            <w:r w:rsidRPr="7F867002" w:rsidR="34176B66">
              <w:rPr>
                <w:lang w:val="en-GB"/>
              </w:rPr>
              <w:t xml:space="preserve"> will be organized to </w:t>
            </w:r>
            <w:r w:rsidRPr="7F867002" w:rsidR="437C9EFB">
              <w:rPr>
                <w:lang w:val="en-GB"/>
              </w:rPr>
              <w:t>review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34176B66">
              <w:rPr>
                <w:lang w:val="en-GB"/>
              </w:rPr>
              <w:t>the TCA implementation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34176B66">
              <w:rPr>
                <w:lang w:val="en-GB"/>
              </w:rPr>
              <w:t>progress, identify and address challenges</w:t>
            </w:r>
            <w:r w:rsidRPr="7F867002" w:rsidR="437C9EFB">
              <w:rPr>
                <w:lang w:val="en-GB"/>
              </w:rPr>
              <w:t xml:space="preserve">, and ensure partners are delivering to their </w:t>
            </w:r>
            <w:r w:rsidRPr="7F867002" w:rsidR="3ED5D82E">
              <w:rPr>
                <w:lang w:val="en-GB"/>
              </w:rPr>
              <w:t>commitments as per their signed contract</w:t>
            </w:r>
            <w:r w:rsidRPr="7F867002" w:rsidR="34176B66">
              <w:rPr>
                <w:lang w:val="en-GB"/>
              </w:rPr>
              <w:t>.</w:t>
            </w:r>
            <w:r w:rsidRPr="7F867002" w:rsidR="3ED5D82E">
              <w:rPr>
                <w:lang w:val="en-GB"/>
              </w:rPr>
              <w:t xml:space="preserve"> The MOH/EPI will facilitate the partners at all levels for the implementation of TCA activities, and regular communication will be essential to ensure challenges are timely identified and </w:t>
            </w:r>
            <w:r w:rsidRPr="7F867002" w:rsidR="3ED5D82E">
              <w:rPr>
                <w:lang w:val="en-GB"/>
              </w:rPr>
              <w:t>responded</w:t>
            </w:r>
            <w:r w:rsidRPr="7F867002" w:rsidR="3ED5D82E">
              <w:rPr>
                <w:lang w:val="en-GB"/>
              </w:rPr>
              <w:t xml:space="preserve"> to for a smooth implementation.</w:t>
            </w:r>
            <w:r w:rsidRPr="7F867002" w:rsidR="00E8233D">
              <w:rPr>
                <w:lang w:val="en-GB"/>
              </w:rPr>
              <w:t xml:space="preserve">  </w:t>
            </w:r>
            <w:r w:rsidRPr="7F867002" w:rsidR="2F496F19">
              <w:rPr>
                <w:lang w:val="en-GB"/>
              </w:rPr>
              <w:t xml:space="preserve">Regular report </w:t>
            </w:r>
            <w:r w:rsidRPr="7F867002" w:rsidR="7E982601">
              <w:rPr>
                <w:lang w:val="en-GB"/>
              </w:rPr>
              <w:t>will be provided to the ICC which is usually chaired by the Minister of Health for comments and approvals where necessary.</w:t>
            </w:r>
          </w:p>
        </w:tc>
      </w:tr>
      <w:tr w:rsidRPr="00AF74EB" w:rsidR="00AF74EB" w:rsidTr="7F867002" w14:paraId="5D1DCA18" w14:textId="77777777">
        <w:tc>
          <w:tcPr>
            <w:tcW w:w="9192" w:type="dxa"/>
            <w:gridSpan w:val="2"/>
            <w:tcBorders>
              <w:top w:val="single" w:color="FFFFFF" w:themeColor="background1" w:sz="4" w:space="0"/>
              <w:left w:val="none" w:color="FFFFFF" w:themeColor="background1" w:sz="4" w:space="0"/>
              <w:bottom w:val="single" w:color="auto" w:sz="4" w:space="0"/>
              <w:right w:val="none" w:color="FFFFFF" w:themeColor="background1" w:sz="4" w:space="0"/>
            </w:tcBorders>
            <w:shd w:val="clear" w:color="auto" w:fill="F2F2F2" w:themeFill="background1" w:themeFillShade="F2"/>
            <w:tcMar/>
          </w:tcPr>
          <w:p w:rsidRPr="00AF74EB" w:rsidR="2F92698C" w:rsidP="704B32F1" w:rsidRDefault="3D5C2947" w14:paraId="59D43D0B" w14:textId="2AE6E4DA">
            <w:pPr>
              <w:spacing w:line="300" w:lineRule="exact"/>
              <w:rPr>
                <w:b/>
                <w:bCs/>
                <w:i/>
                <w:iCs/>
                <w:sz w:val="20"/>
                <w:szCs w:val="20"/>
              </w:rPr>
            </w:pPr>
            <w:r w:rsidRPr="00AF74EB">
              <w:rPr>
                <w:b/>
                <w:bCs/>
                <w:i/>
                <w:iCs/>
                <w:sz w:val="20"/>
                <w:szCs w:val="20"/>
              </w:rPr>
              <w:t>3.</w:t>
            </w:r>
            <w:r w:rsidRPr="00AF74EB" w:rsidR="00520598">
              <w:rPr>
                <w:b/>
                <w:bCs/>
                <w:i/>
                <w:iCs/>
                <w:sz w:val="20"/>
                <w:szCs w:val="20"/>
              </w:rPr>
              <w:t>3</w:t>
            </w:r>
            <w:r w:rsidRPr="00AF74E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AF74EB" w:rsidR="64431148">
              <w:rPr>
                <w:b/>
                <w:bCs/>
                <w:i/>
                <w:iCs/>
                <w:sz w:val="20"/>
                <w:szCs w:val="20"/>
              </w:rPr>
              <w:t xml:space="preserve">Please note the allocation of TCA to </w:t>
            </w:r>
            <w:r w:rsidRPr="00AF74EB" w:rsidR="009F19F8">
              <w:rPr>
                <w:b/>
                <w:bCs/>
                <w:i/>
                <w:iCs/>
                <w:sz w:val="20"/>
                <w:szCs w:val="20"/>
              </w:rPr>
              <w:t>Local Partners</w:t>
            </w:r>
            <w:r w:rsidRPr="00AF74EB" w:rsidR="00B664EF">
              <w:rPr>
                <w:b/>
                <w:bCs/>
                <w:i/>
                <w:iCs/>
                <w:sz w:val="20"/>
                <w:szCs w:val="20"/>
              </w:rPr>
              <w:t xml:space="preserve"> (only)</w:t>
            </w:r>
            <w:r w:rsidRPr="00AF74EB" w:rsidR="64431148">
              <w:rPr>
                <w:b/>
                <w:bCs/>
                <w:i/>
                <w:iCs/>
                <w:sz w:val="20"/>
                <w:szCs w:val="20"/>
              </w:rPr>
              <w:t xml:space="preserve"> and describe the approach you will use to comply with the </w:t>
            </w:r>
            <w:r w:rsidRPr="00AF74EB" w:rsidR="004E2955">
              <w:rPr>
                <w:b/>
                <w:bCs/>
                <w:i/>
                <w:iCs/>
                <w:sz w:val="20"/>
                <w:szCs w:val="20"/>
              </w:rPr>
              <w:t>recommendation</w:t>
            </w:r>
            <w:r w:rsidRPr="00AF74EB" w:rsidR="64431148">
              <w:rPr>
                <w:b/>
                <w:bCs/>
                <w:i/>
                <w:iCs/>
                <w:sz w:val="20"/>
                <w:szCs w:val="20"/>
              </w:rPr>
              <w:t xml:space="preserve"> of allocating </w:t>
            </w:r>
            <w:r w:rsidRPr="00AF74EB" w:rsidR="004E2955">
              <w:rPr>
                <w:b/>
                <w:bCs/>
                <w:i/>
                <w:iCs/>
                <w:sz w:val="20"/>
                <w:szCs w:val="20"/>
              </w:rPr>
              <w:t>30</w:t>
            </w:r>
            <w:r w:rsidRPr="00AF74EB" w:rsidR="64431148">
              <w:rPr>
                <w:b/>
                <w:bCs/>
                <w:i/>
                <w:iCs/>
                <w:sz w:val="20"/>
                <w:szCs w:val="20"/>
              </w:rPr>
              <w:t xml:space="preserve">% of TCA </w:t>
            </w:r>
            <w:r w:rsidRPr="00AF74EB" w:rsidR="004E2955">
              <w:rPr>
                <w:b/>
                <w:bCs/>
                <w:i/>
                <w:iCs/>
                <w:sz w:val="20"/>
                <w:szCs w:val="20"/>
              </w:rPr>
              <w:t>to Local Partners</w:t>
            </w:r>
            <w:r w:rsidRPr="00AF74EB" w:rsidR="00D603BC">
              <w:rPr>
                <w:b/>
                <w:bCs/>
                <w:i/>
                <w:iCs/>
                <w:sz w:val="20"/>
                <w:szCs w:val="20"/>
              </w:rPr>
              <w:t xml:space="preserve"> over the course of 2022-25</w:t>
            </w:r>
            <w:r w:rsidRPr="00AF74EB" w:rsidR="00704813">
              <w:rPr>
                <w:b/>
                <w:bCs/>
                <w:i/>
                <w:iCs/>
                <w:sz w:val="20"/>
                <w:szCs w:val="20"/>
              </w:rPr>
              <w:t>.</w:t>
            </w:r>
            <w:r w:rsidRPr="00AF74EB" w:rsidR="00025BBE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AF74EB" w:rsidR="00025BBE">
              <w:rPr>
                <w:i/>
                <w:sz w:val="20"/>
                <w:szCs w:val="20"/>
                <w:lang w:val="en-GB"/>
              </w:rPr>
              <w:t>Please refer to section 2.3 (3. Partner Mapping) of the PEF TCA Planning Guidelines for more information.</w:t>
            </w:r>
          </w:p>
        </w:tc>
      </w:tr>
      <w:tr w:rsidRPr="00AF74EB" w:rsidR="00AF74EB" w:rsidTr="7F867002" w14:paraId="094E7639" w14:textId="77777777">
        <w:tc>
          <w:tcPr>
            <w:tcW w:w="9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F74EB" w:rsidR="38F5364C" w:rsidP="004A3A07" w:rsidRDefault="002A7B5D" w14:paraId="64958F87" w14:textId="7ADCD035">
            <w:pPr>
              <w:spacing w:line="300" w:lineRule="exact"/>
              <w:jc w:val="both"/>
              <w:rPr>
                <w:lang w:val="en-GB"/>
              </w:rPr>
            </w:pPr>
            <w:r w:rsidR="34EF0408">
              <w:rPr>
                <w:lang w:val="en-GB"/>
              </w:rPr>
              <w:t>Local partners will be selected upon verification of all the requirements</w:t>
            </w:r>
            <w:r w:rsidR="39806F5B">
              <w:rPr>
                <w:lang w:val="en-GB"/>
              </w:rPr>
              <w:t xml:space="preserve">. </w:t>
            </w:r>
            <w:r w:rsidR="7E982601">
              <w:rPr>
                <w:lang w:val="en-GB"/>
              </w:rPr>
              <w:t xml:space="preserve">With EPI manager the team recommend the 2 </w:t>
            </w:r>
            <w:r w:rsidR="7E982601">
              <w:rPr>
                <w:lang w:val="en-GB"/>
              </w:rPr>
              <w:t>partners</w:t>
            </w:r>
            <w:r w:rsidR="7E982601">
              <w:rPr>
                <w:lang w:val="en-GB"/>
              </w:rPr>
              <w:t xml:space="preserve"> already working with the</w:t>
            </w:r>
            <w:r w:rsidR="00E8233D">
              <w:rPr>
                <w:lang w:val="en-GB"/>
              </w:rPr>
              <w:t xml:space="preserve"> </w:t>
            </w:r>
            <w:r w:rsidR="7E982601">
              <w:rPr>
                <w:lang w:val="en-GB"/>
              </w:rPr>
              <w:t>M</w:t>
            </w:r>
            <w:r w:rsidR="73D36954">
              <w:rPr>
                <w:lang w:val="en-GB"/>
              </w:rPr>
              <w:t xml:space="preserve">inistry of Health </w:t>
            </w:r>
            <w:r w:rsidR="7E982601">
              <w:rPr>
                <w:lang w:val="en-GB"/>
              </w:rPr>
              <w:t xml:space="preserve"> </w:t>
            </w:r>
            <w:r w:rsidR="1BDDF201">
              <w:rPr>
                <w:b w:val="1"/>
                <w:bCs w:val="1"/>
                <w:color w:val="202124"/>
                <w:shd w:val="clear" w:color="auto" w:fill="FFFFFF"/>
              </w:rPr>
              <w:t>—</w:t>
            </w:r>
            <w:r w:rsidR="7E982601">
              <w:rPr>
                <w:lang w:val="en-GB"/>
              </w:rPr>
              <w:t xml:space="preserve"> HISP and JHPIEGO.</w:t>
            </w:r>
            <w:r w:rsidR="1BDDF201">
              <w:rPr>
                <w:lang w:val="en-GB"/>
              </w:rPr>
              <w:t xml:space="preserve"> </w:t>
            </w:r>
            <w:r w:rsidR="39806F5B">
              <w:rPr>
                <w:lang w:val="en-GB"/>
              </w:rPr>
              <w:t xml:space="preserve">A call for interest </w:t>
            </w:r>
            <w:r w:rsidR="31105444">
              <w:rPr>
                <w:lang w:val="en-GB"/>
              </w:rPr>
              <w:t xml:space="preserve">will </w:t>
            </w:r>
            <w:r w:rsidR="39806F5B">
              <w:rPr>
                <w:lang w:val="en-GB"/>
              </w:rPr>
              <w:t>be organized with Gavi secretariat support</w:t>
            </w:r>
            <w:r w:rsidR="00E8233D">
              <w:rPr>
                <w:lang w:val="en-GB"/>
              </w:rPr>
              <w:t xml:space="preserve"> </w:t>
            </w:r>
            <w:r w:rsidR="39806F5B">
              <w:rPr>
                <w:lang w:val="en-GB"/>
              </w:rPr>
              <w:t>and application will be carefully examined to identify and allocate 30% of the TCA to</w:t>
            </w:r>
            <w:r w:rsidR="00E8233D">
              <w:rPr>
                <w:lang w:val="en-GB"/>
              </w:rPr>
              <w:t xml:space="preserve"> </w:t>
            </w:r>
            <w:r w:rsidR="39806F5B">
              <w:rPr>
                <w:lang w:val="en-GB"/>
              </w:rPr>
              <w:t xml:space="preserve">partners who fulfil the requirements</w:t>
            </w:r>
            <w:r w:rsidR="00E8233D">
              <w:rPr>
                <w:lang w:val="en-GB"/>
              </w:rPr>
              <w:t xml:space="preserve"> </w:t>
            </w:r>
            <w:r w:rsidR="34EF0408">
              <w:rPr>
                <w:lang w:val="en-GB"/>
              </w:rPr>
              <w:t xml:space="preserve">defined in the section 2.3 </w:t>
            </w:r>
            <w:r w:rsidR="39806F5B">
              <w:rPr>
                <w:lang w:val="en-GB"/>
              </w:rPr>
              <w:t>of</w:t>
            </w:r>
            <w:r w:rsidR="00E8233D">
              <w:rPr>
                <w:lang w:val="en-GB"/>
              </w:rPr>
              <w:t xml:space="preserve"> </w:t>
            </w:r>
            <w:r w:rsidR="34EF0408">
              <w:rPr>
                <w:lang w:val="en-GB"/>
              </w:rPr>
              <w:t>the Gavi</w:t>
            </w:r>
            <w:r w:rsidR="00E8233D">
              <w:rPr/>
              <w:t xml:space="preserve"> </w:t>
            </w:r>
            <w:r w:rsidRPr="002A7B5D" w:rsidR="34EF0408">
              <w:rPr>
                <w:lang w:val="en-GB"/>
              </w:rPr>
              <w:t>PEF TCA Planning Guidelines</w:t>
            </w:r>
            <w:r w:rsidR="34EF0408">
              <w:rPr>
                <w:lang w:val="en-GB"/>
              </w:rPr>
              <w:t>.</w:t>
            </w:r>
            <w:r w:rsidR="00E8233D">
              <w:rPr>
                <w:lang w:val="en-GB"/>
              </w:rPr>
              <w:t xml:space="preserve"> </w:t>
            </w:r>
          </w:p>
        </w:tc>
      </w:tr>
      <w:tr w:rsidRPr="00AF74EB" w:rsidR="00AF74EB" w:rsidTr="7F867002" w14:paraId="3821C077" w14:textId="77777777">
        <w:tc>
          <w:tcPr>
            <w:tcW w:w="9192" w:type="dxa"/>
            <w:gridSpan w:val="2"/>
            <w:tcBorders>
              <w:top w:val="single" w:color="FFFFFF" w:themeColor="background1" w:sz="4" w:space="0"/>
              <w:left w:val="none" w:color="FFFFFF" w:themeColor="background1" w:sz="4" w:space="0"/>
              <w:bottom w:val="single" w:color="auto" w:sz="4" w:space="0"/>
              <w:right w:val="none" w:color="FFFFFF" w:themeColor="background1" w:sz="4" w:space="0"/>
            </w:tcBorders>
            <w:shd w:val="clear" w:color="auto" w:fill="F2F2F2" w:themeFill="background1" w:themeFillShade="F2"/>
            <w:tcMar/>
          </w:tcPr>
          <w:p w:rsidRPr="00AF74EB" w:rsidR="009F19F8" w:rsidP="00752CEA" w:rsidRDefault="009F19F8" w14:paraId="7F609ADB" w14:textId="799CFD5C">
            <w:pPr>
              <w:spacing w:line="300" w:lineRule="exact"/>
              <w:rPr>
                <w:b/>
                <w:bCs/>
                <w:i/>
                <w:iCs/>
                <w:sz w:val="20"/>
                <w:szCs w:val="20"/>
              </w:rPr>
            </w:pPr>
            <w:r w:rsidRPr="00AF74EB">
              <w:rPr>
                <w:b/>
                <w:bCs/>
                <w:i/>
                <w:iCs/>
                <w:sz w:val="20"/>
                <w:szCs w:val="20"/>
              </w:rPr>
              <w:t>3.</w:t>
            </w:r>
            <w:r w:rsidRPr="00AF74EB" w:rsidR="00520598">
              <w:rPr>
                <w:b/>
                <w:bCs/>
                <w:i/>
                <w:iCs/>
                <w:sz w:val="20"/>
                <w:szCs w:val="20"/>
              </w:rPr>
              <w:t>4</w:t>
            </w:r>
            <w:r w:rsidRPr="00AF74EB">
              <w:rPr>
                <w:b/>
                <w:bCs/>
                <w:i/>
                <w:iCs/>
                <w:sz w:val="20"/>
                <w:szCs w:val="20"/>
              </w:rPr>
              <w:t xml:space="preserve"> Please note the allocation of TCA to CSOs</w:t>
            </w:r>
            <w:r w:rsidRPr="00AF74EB" w:rsidR="008F50F8">
              <w:rPr>
                <w:b/>
                <w:bCs/>
                <w:i/>
                <w:iCs/>
                <w:sz w:val="20"/>
                <w:szCs w:val="20"/>
              </w:rPr>
              <w:t xml:space="preserve"> only</w:t>
            </w:r>
            <w:r w:rsidRPr="00AF74EB">
              <w:rPr>
                <w:b/>
                <w:bCs/>
                <w:i/>
                <w:iCs/>
                <w:sz w:val="20"/>
                <w:szCs w:val="20"/>
              </w:rPr>
              <w:t xml:space="preserve"> (either Global or Local Expanded Partners) and describe the approach you will use to comply with the requirement of allocating 10% of combined TCA, EAF and HSS ceilings for CSO implementation (e.g</w:t>
            </w:r>
            <w:r w:rsidRPr="00AF74EB" w:rsidR="00A733BF">
              <w:rPr>
                <w:b/>
                <w:bCs/>
                <w:i/>
                <w:iCs/>
                <w:sz w:val="20"/>
                <w:szCs w:val="20"/>
              </w:rPr>
              <w:t>.</w:t>
            </w:r>
            <w:r w:rsidRPr="00AF74EB">
              <w:rPr>
                <w:b/>
                <w:bCs/>
                <w:i/>
                <w:iCs/>
                <w:sz w:val="20"/>
                <w:szCs w:val="20"/>
              </w:rPr>
              <w:t xml:space="preserve"> if less than 10% of TCA funding is allocated to CSOs, please indicate how this will be compensated through </w:t>
            </w:r>
            <w:r w:rsidRPr="00AF74EB" w:rsidR="00A733BF">
              <w:rPr>
                <w:b/>
                <w:bCs/>
                <w:i/>
                <w:iCs/>
                <w:sz w:val="20"/>
                <w:szCs w:val="20"/>
              </w:rPr>
              <w:t xml:space="preserve">the </w:t>
            </w:r>
            <w:r w:rsidRPr="00AF74EB">
              <w:rPr>
                <w:b/>
                <w:bCs/>
                <w:i/>
                <w:iCs/>
                <w:sz w:val="20"/>
                <w:szCs w:val="20"/>
              </w:rPr>
              <w:t>allocation of HSS and EAF funding to CSOs).</w:t>
            </w:r>
            <w:r w:rsidRPr="00AF74EB" w:rsidR="00025BBE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AF74EB" w:rsidR="00025BBE">
              <w:rPr>
                <w:i/>
                <w:sz w:val="20"/>
                <w:szCs w:val="20"/>
                <w:lang w:val="en-GB"/>
              </w:rPr>
              <w:t>Please refer to section 2.3 (3. Partner Mapping) of the PEF TCA Planning Guidelines for more information.</w:t>
            </w:r>
          </w:p>
        </w:tc>
      </w:tr>
      <w:tr w:rsidRPr="004A3A07" w:rsidR="004A3A07" w:rsidTr="7F867002" w14:paraId="3F43E4A9" w14:textId="77777777">
        <w:tc>
          <w:tcPr>
            <w:tcW w:w="9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A3A07" w:rsidR="009F19F8" w:rsidP="004A3A07" w:rsidRDefault="00AA3DE9" w14:paraId="01E16748" w14:textId="4040BD26">
            <w:pPr>
              <w:spacing w:line="300" w:lineRule="exact"/>
              <w:rPr>
                <w:color w:val="000000" w:themeColor="text1"/>
                <w:lang w:val="en-GB"/>
              </w:rPr>
            </w:pPr>
            <w:r w:rsidRPr="004A3A07">
              <w:rPr>
                <w:color w:val="000000" w:themeColor="text1"/>
                <w:lang w:val="en-GB"/>
              </w:rPr>
              <w:t>TCA Plan</w:t>
            </w:r>
            <w:r w:rsidRPr="004A3A07" w:rsidR="00537547">
              <w:rPr>
                <w:color w:val="000000" w:themeColor="text1"/>
                <w:lang w:val="en-GB"/>
              </w:rPr>
              <w:t>ning</w:t>
            </w:r>
            <w:r w:rsidRPr="004A3A07">
              <w:rPr>
                <w:color w:val="000000" w:themeColor="text1"/>
                <w:lang w:val="en-GB"/>
              </w:rPr>
              <w:t xml:space="preserve"> and budgeting will </w:t>
            </w:r>
            <w:r w:rsidRPr="004A3A07" w:rsidR="009B3D4D">
              <w:rPr>
                <w:color w:val="000000" w:themeColor="text1"/>
                <w:lang w:val="en-GB"/>
              </w:rPr>
              <w:t xml:space="preserve">ensure allocating 10% of the total budget for CSOs. </w:t>
            </w:r>
            <w:r w:rsidRPr="004A3A07">
              <w:rPr>
                <w:color w:val="000000" w:themeColor="text1"/>
                <w:lang w:val="en-GB"/>
              </w:rPr>
              <w:t xml:space="preserve">A call for interest will be organized to identify </w:t>
            </w:r>
            <w:r w:rsidRPr="004A3A07" w:rsidR="00537547">
              <w:rPr>
                <w:color w:val="000000" w:themeColor="text1"/>
                <w:lang w:val="en-GB"/>
              </w:rPr>
              <w:t>CSOs</w:t>
            </w:r>
            <w:r w:rsidRPr="004A3A07">
              <w:rPr>
                <w:color w:val="000000" w:themeColor="text1"/>
                <w:lang w:val="en-GB"/>
              </w:rPr>
              <w:t xml:space="preserve"> who fulfil the requirements</w:t>
            </w:r>
            <w:r w:rsidRPr="004A3A07" w:rsidR="00537547">
              <w:rPr>
                <w:color w:val="000000" w:themeColor="text1"/>
                <w:lang w:val="en-GB"/>
              </w:rPr>
              <w:t xml:space="preserve"> and selected </w:t>
            </w:r>
            <w:r w:rsidRPr="004A3A07">
              <w:rPr>
                <w:color w:val="000000" w:themeColor="text1"/>
                <w:lang w:val="en-GB"/>
              </w:rPr>
              <w:t>based on criteria defined under 2.3 of the Gavi</w:t>
            </w:r>
            <w:r w:rsidRPr="004A3A07">
              <w:rPr>
                <w:color w:val="000000" w:themeColor="text1"/>
              </w:rPr>
              <w:t xml:space="preserve"> </w:t>
            </w:r>
            <w:r w:rsidRPr="004A3A07">
              <w:rPr>
                <w:color w:val="000000" w:themeColor="text1"/>
                <w:lang w:val="en-GB"/>
              </w:rPr>
              <w:t xml:space="preserve">PEF TCA Planning Guidelines and in compliance with government policy on recruitment of CSOs. </w:t>
            </w:r>
          </w:p>
        </w:tc>
      </w:tr>
    </w:tbl>
    <w:p w:rsidR="00372D1F" w:rsidP="00372D1F" w:rsidRDefault="00372D1F" w14:paraId="0FF1AB89" w14:textId="60D4A0FF">
      <w:pPr>
        <w:pStyle w:val="ListParagraph"/>
        <w:spacing w:line="300" w:lineRule="exact"/>
        <w:ind w:left="0"/>
        <w:jc w:val="right"/>
        <w:rPr>
          <w:b/>
          <w:sz w:val="26"/>
          <w:szCs w:val="26"/>
        </w:rPr>
      </w:pPr>
    </w:p>
    <w:p w:rsidRPr="00AF74EB" w:rsidR="004A3A07" w:rsidP="00372D1F" w:rsidRDefault="004A3A07" w14:paraId="58314B86" w14:textId="77777777">
      <w:pPr>
        <w:pStyle w:val="ListParagraph"/>
        <w:spacing w:line="300" w:lineRule="exact"/>
        <w:ind w:left="0"/>
        <w:jc w:val="right"/>
        <w:rPr>
          <w:b/>
          <w:sz w:val="26"/>
          <w:szCs w:val="26"/>
        </w:rPr>
      </w:pPr>
    </w:p>
    <w:p w:rsidRPr="00AF74EB" w:rsidR="009F0292" w:rsidP="00CE1F57" w:rsidRDefault="009F0292" w14:paraId="79848434" w14:textId="5CA61DE4">
      <w:pPr>
        <w:pStyle w:val="ListParagraph"/>
        <w:numPr>
          <w:ilvl w:val="0"/>
          <w:numId w:val="4"/>
        </w:numPr>
        <w:spacing w:line="300" w:lineRule="exact"/>
        <w:rPr>
          <w:b/>
          <w:sz w:val="26"/>
          <w:szCs w:val="26"/>
          <w:lang w:val="en-GB"/>
        </w:rPr>
      </w:pPr>
      <w:r w:rsidRPr="00AF74EB">
        <w:rPr>
          <w:b/>
          <w:sz w:val="26"/>
          <w:szCs w:val="26"/>
          <w:lang w:val="en-GB"/>
        </w:rPr>
        <w:lastRenderedPageBreak/>
        <w:t>Lessons learnt from past TA experience (0.5 page)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192"/>
      </w:tblGrid>
      <w:tr w:rsidRPr="00AF74EB" w:rsidR="00AF74EB" w:rsidTr="7F867002" w14:paraId="3F8B0CB5" w14:textId="77777777">
        <w:tc>
          <w:tcPr>
            <w:tcW w:w="9192" w:type="dxa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</w:tcPr>
          <w:p w:rsidRPr="00AF74EB" w:rsidR="009F0292" w:rsidP="00871FCF" w:rsidRDefault="0033192A" w14:paraId="6BD0AD08" w14:textId="766FB679">
            <w:pPr>
              <w:spacing w:line="300" w:lineRule="exact"/>
              <w:rPr>
                <w:b/>
                <w:bCs/>
                <w:lang w:val="en-GB"/>
              </w:rPr>
            </w:pPr>
            <w:r w:rsidRPr="00AF74EB">
              <w:rPr>
                <w:b/>
                <w:bCs/>
                <w:i/>
                <w:iCs/>
                <w:sz w:val="20"/>
                <w:szCs w:val="20"/>
                <w:lang w:val="en-GB"/>
              </w:rPr>
              <w:t>4.</w:t>
            </w:r>
            <w:r w:rsidRPr="00AF74EB" w:rsidR="009F0292">
              <w:rPr>
                <w:b/>
                <w:bCs/>
                <w:i/>
                <w:iCs/>
                <w:sz w:val="20"/>
                <w:szCs w:val="20"/>
                <w:lang w:val="en-GB"/>
              </w:rPr>
              <w:t>1 Please explain how the TCA plan will build on previous performance, lessons learned, and best practices of TCA activities from your previous TCA plan</w:t>
            </w:r>
            <w:r w:rsidRPr="00AF74EB" w:rsidR="0048676E">
              <w:rPr>
                <w:b/>
                <w:bCs/>
                <w:i/>
                <w:iCs/>
                <w:sz w:val="20"/>
                <w:szCs w:val="20"/>
                <w:lang w:val="en-GB"/>
              </w:rPr>
              <w:t>, including</w:t>
            </w:r>
            <w:r w:rsidRPr="00AF74EB" w:rsidR="009D07BA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AF74EB" w:rsidR="006E0314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contributions to the national programme and </w:t>
            </w:r>
            <w:r w:rsidRPr="00AF74EB" w:rsidR="00C9453B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knowledge/skill </w:t>
            </w:r>
            <w:r w:rsidRPr="00AF74EB" w:rsidR="009C20B6">
              <w:rPr>
                <w:b/>
                <w:bCs/>
                <w:i/>
                <w:iCs/>
                <w:sz w:val="20"/>
                <w:szCs w:val="20"/>
                <w:lang w:val="en-GB"/>
              </w:rPr>
              <w:t>building,</w:t>
            </w:r>
            <w:r w:rsidRPr="00AF74EB" w:rsidR="00652E87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 and how this has been taken into account in </w:t>
            </w:r>
            <w:r w:rsidRPr="00AF74EB" w:rsidR="00FA04B1">
              <w:rPr>
                <w:b/>
                <w:bCs/>
                <w:i/>
                <w:iCs/>
                <w:sz w:val="20"/>
                <w:szCs w:val="20"/>
                <w:lang w:val="en-GB"/>
              </w:rPr>
              <w:t>this TCA planning and prioritisation</w:t>
            </w:r>
            <w:r w:rsidRPr="00AF74EB" w:rsidR="009F0292">
              <w:rPr>
                <w:b/>
                <w:bCs/>
                <w:i/>
                <w:iCs/>
                <w:sz w:val="20"/>
                <w:szCs w:val="20"/>
                <w:lang w:val="en-GB"/>
              </w:rPr>
              <w:t>.</w:t>
            </w:r>
            <w:r w:rsidR="00E8233D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</w:tr>
      <w:tr w:rsidRPr="00AF74EB" w:rsidR="009F0292" w:rsidTr="7F867002" w14:paraId="690BE9DA" w14:textId="77777777">
        <w:tc>
          <w:tcPr>
            <w:tcW w:w="9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A0313" w:rsidP="006A0313" w:rsidRDefault="00F508D1" w14:paraId="480D726D" w14:textId="326878DE">
            <w:pPr>
              <w:spacing w:line="300" w:lineRule="exact"/>
              <w:jc w:val="both"/>
              <w:rPr>
                <w:lang w:val="en-GB"/>
              </w:rPr>
            </w:pPr>
            <w:r w:rsidRPr="7F867002" w:rsidR="2563EC5F">
              <w:rPr>
                <w:lang w:val="en-GB"/>
              </w:rPr>
              <w:t>Lessons learned and best practices from the previous TCA implementation have been taken into consideration in this planning and prioritization. For example,</w:t>
            </w:r>
            <w:r w:rsidRPr="7F867002" w:rsidR="4BD586B3">
              <w:rPr>
                <w:lang w:val="en-GB"/>
              </w:rPr>
              <w:t xml:space="preserve"> it was observed that</w:t>
            </w:r>
            <w:r w:rsidRPr="7F867002" w:rsidR="2563EC5F">
              <w:rPr>
                <w:lang w:val="en-GB"/>
              </w:rPr>
              <w:t xml:space="preserve">, regular </w:t>
            </w:r>
            <w:r w:rsidRPr="7F867002" w:rsidR="4BD586B3">
              <w:rPr>
                <w:lang w:val="en-GB"/>
              </w:rPr>
              <w:t>review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2563EC5F">
              <w:rPr>
                <w:lang w:val="en-GB"/>
              </w:rPr>
              <w:t>meetings</w:t>
            </w:r>
            <w:r w:rsidRPr="7F867002" w:rsidR="4BD586B3">
              <w:rPr>
                <w:lang w:val="en-GB"/>
              </w:rPr>
              <w:t xml:space="preserve"> were essential to ensure the progress of TCA</w:t>
            </w:r>
            <w:r w:rsidRPr="7F867002" w:rsidR="272192A6">
              <w:rPr>
                <w:lang w:val="en-GB"/>
              </w:rPr>
              <w:t xml:space="preserve"> and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4BD586B3">
              <w:rPr>
                <w:lang w:val="en-GB"/>
              </w:rPr>
              <w:t>timely address issues</w:t>
            </w:r>
            <w:r w:rsidRPr="7F867002" w:rsidR="272192A6">
              <w:rPr>
                <w:lang w:val="en-GB"/>
              </w:rPr>
              <w:t>. This will be reinforced during the TCA implementation to ensure milestones are timely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272192A6">
              <w:rPr>
                <w:lang w:val="en-GB"/>
              </w:rPr>
              <w:t>achieved</w:t>
            </w:r>
            <w:r w:rsidRPr="7F867002" w:rsidR="272192A6">
              <w:rPr>
                <w:lang w:val="en-GB"/>
              </w:rPr>
              <w:t xml:space="preserve"> and reported. </w:t>
            </w:r>
          </w:p>
          <w:p w:rsidR="006A0313" w:rsidP="006A0313" w:rsidRDefault="0095143D" w14:paraId="56CAC0F7" w14:textId="452211C3">
            <w:pPr>
              <w:spacing w:line="300" w:lineRule="exact"/>
              <w:jc w:val="both"/>
              <w:rPr>
                <w:lang w:val="en-GB"/>
              </w:rPr>
            </w:pPr>
            <w:r>
              <w:rPr>
                <w:lang w:val="en-GB"/>
              </w:rPr>
              <w:t>The current TCA is more flexible as it can be extended beyond one year for the milestones not achieved, however</w:t>
            </w:r>
            <w:r w:rsidR="006A0313">
              <w:rPr>
                <w:lang w:val="en-GB"/>
              </w:rPr>
              <w:t xml:space="preserve"> more</w:t>
            </w:r>
            <w:r w:rsidR="00E8233D">
              <w:rPr>
                <w:lang w:val="en-GB"/>
              </w:rPr>
              <w:t xml:space="preserve"> </w:t>
            </w:r>
            <w:r>
              <w:rPr>
                <w:lang w:val="en-GB"/>
              </w:rPr>
              <w:t>accountability for timely</w:t>
            </w:r>
            <w:r w:rsidR="00E8233D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delivering will be required </w:t>
            </w:r>
            <w:r w:rsidR="006A0313">
              <w:rPr>
                <w:lang w:val="en-GB"/>
              </w:rPr>
              <w:t>to ensure TCA support the achievements of</w:t>
            </w:r>
            <w:r w:rsidR="00E8233D">
              <w:rPr>
                <w:lang w:val="en-GB"/>
              </w:rPr>
              <w:t xml:space="preserve"> </w:t>
            </w:r>
            <w:r w:rsidR="006A0313">
              <w:rPr>
                <w:lang w:val="en-GB"/>
              </w:rPr>
              <w:t xml:space="preserve">the program objectives. </w:t>
            </w:r>
          </w:p>
          <w:p w:rsidR="005160E6" w:rsidP="006A0313" w:rsidRDefault="006A0313" w14:paraId="77210A64" w14:textId="471044A0">
            <w:pPr>
              <w:spacing w:line="300" w:lineRule="exact"/>
              <w:jc w:val="both"/>
              <w:rPr>
                <w:lang w:val="en-GB"/>
              </w:rPr>
            </w:pPr>
            <w:r>
              <w:rPr>
                <w:lang w:val="en-GB"/>
              </w:rPr>
              <w:t>More ownership and accountability</w:t>
            </w:r>
            <w:r w:rsidR="00E8233D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at all levels of the health system will be required to ensure </w:t>
            </w:r>
            <w:r w:rsidR="00125930">
              <w:rPr>
                <w:lang w:val="en-GB"/>
              </w:rPr>
              <w:t xml:space="preserve">smooth TCA implementation and ensure </w:t>
            </w:r>
            <w:r>
              <w:rPr>
                <w:lang w:val="en-GB"/>
              </w:rPr>
              <w:t>sustainability of the gains</w:t>
            </w:r>
            <w:r w:rsidR="005160E6">
              <w:rPr>
                <w:lang w:val="en-GB"/>
              </w:rPr>
              <w:t>.</w:t>
            </w:r>
          </w:p>
          <w:p w:rsidRPr="00AF74EB" w:rsidR="009F0292" w:rsidP="006A0313" w:rsidRDefault="005160E6" w14:paraId="54735EE2" w14:textId="56257F59">
            <w:pPr>
              <w:spacing w:line="300" w:lineRule="exact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The use of data will be critical to assess the performance </w:t>
            </w:r>
            <w:r w:rsidR="00125930">
              <w:rPr>
                <w:lang w:val="en-GB"/>
              </w:rPr>
              <w:t>of TCA interventions through annual and</w:t>
            </w:r>
            <w:r w:rsidR="00E8233D">
              <w:rPr>
                <w:lang w:val="en-GB"/>
              </w:rPr>
              <w:t xml:space="preserve"> </w:t>
            </w:r>
            <w:r w:rsidR="00125930">
              <w:rPr>
                <w:lang w:val="en-GB"/>
              </w:rPr>
              <w:t>mid-term reviews and revise the plans as necessary.</w:t>
            </w:r>
          </w:p>
        </w:tc>
      </w:tr>
    </w:tbl>
    <w:p w:rsidRPr="00AF74EB" w:rsidR="009F0292" w:rsidP="00372D1F" w:rsidRDefault="009F0292" w14:paraId="4B96F6BD" w14:textId="77777777">
      <w:pPr>
        <w:pStyle w:val="ListParagraph"/>
        <w:spacing w:line="300" w:lineRule="exact"/>
        <w:ind w:left="0"/>
        <w:jc w:val="right"/>
        <w:rPr>
          <w:b/>
          <w:sz w:val="26"/>
          <w:szCs w:val="26"/>
          <w:lang w:val="en-GB"/>
        </w:rPr>
      </w:pPr>
    </w:p>
    <w:p w:rsidRPr="00AF74EB" w:rsidR="00610D71" w:rsidP="00CE1F57" w:rsidRDefault="003F0221" w14:paraId="11BFC6A9" w14:textId="753345FA">
      <w:pPr>
        <w:pStyle w:val="ListParagraph"/>
        <w:numPr>
          <w:ilvl w:val="0"/>
          <w:numId w:val="4"/>
        </w:numPr>
        <w:spacing w:line="300" w:lineRule="exact"/>
        <w:rPr>
          <w:b/>
          <w:bCs/>
          <w:sz w:val="26"/>
          <w:szCs w:val="26"/>
          <w:lang w:val="en-GB"/>
        </w:rPr>
      </w:pPr>
      <w:r w:rsidRPr="00AF74EB">
        <w:rPr>
          <w:b/>
          <w:bCs/>
          <w:sz w:val="26"/>
          <w:szCs w:val="26"/>
          <w:lang w:val="en-GB"/>
        </w:rPr>
        <w:t>Align</w:t>
      </w:r>
      <w:r w:rsidRPr="00AF74EB" w:rsidR="000A3F37">
        <w:rPr>
          <w:b/>
          <w:bCs/>
          <w:sz w:val="26"/>
          <w:szCs w:val="26"/>
          <w:lang w:val="en-GB"/>
        </w:rPr>
        <w:t xml:space="preserve">ment of </w:t>
      </w:r>
      <w:r w:rsidRPr="00AF74EB" w:rsidR="000A6AC3">
        <w:rPr>
          <w:b/>
          <w:bCs/>
          <w:sz w:val="26"/>
          <w:szCs w:val="26"/>
          <w:lang w:val="en-GB"/>
        </w:rPr>
        <w:t>the</w:t>
      </w:r>
      <w:r w:rsidRPr="00AF74EB" w:rsidR="000A3F37">
        <w:rPr>
          <w:b/>
          <w:bCs/>
          <w:sz w:val="26"/>
          <w:szCs w:val="26"/>
          <w:lang w:val="en-GB"/>
        </w:rPr>
        <w:t xml:space="preserve"> One T</w:t>
      </w:r>
      <w:r w:rsidRPr="00AF74EB" w:rsidR="002510AA">
        <w:rPr>
          <w:b/>
          <w:bCs/>
          <w:sz w:val="26"/>
          <w:szCs w:val="26"/>
          <w:lang w:val="en-GB"/>
        </w:rPr>
        <w:t>C</w:t>
      </w:r>
      <w:r w:rsidRPr="00AF74EB" w:rsidR="000A3F37">
        <w:rPr>
          <w:b/>
          <w:bCs/>
          <w:sz w:val="26"/>
          <w:szCs w:val="26"/>
          <w:lang w:val="en-GB"/>
        </w:rPr>
        <w:t xml:space="preserve">A plan with </w:t>
      </w:r>
      <w:r w:rsidRPr="00AF74EB" w:rsidR="00106608">
        <w:rPr>
          <w:b/>
          <w:bCs/>
          <w:sz w:val="26"/>
          <w:szCs w:val="26"/>
          <w:lang w:val="en-GB"/>
        </w:rPr>
        <w:t xml:space="preserve">future </w:t>
      </w:r>
      <w:r w:rsidRPr="00AF74EB" w:rsidR="00600378">
        <w:rPr>
          <w:b/>
          <w:bCs/>
          <w:sz w:val="26"/>
          <w:szCs w:val="26"/>
          <w:lang w:val="en-GB"/>
        </w:rPr>
        <w:t xml:space="preserve">Gavi </w:t>
      </w:r>
      <w:r w:rsidRPr="00AF74EB" w:rsidR="00106608">
        <w:rPr>
          <w:b/>
          <w:bCs/>
          <w:sz w:val="26"/>
          <w:szCs w:val="26"/>
          <w:lang w:val="en-GB"/>
        </w:rPr>
        <w:t>planned investments</w:t>
      </w:r>
      <w:r w:rsidRPr="00AF74EB" w:rsidR="005747F6">
        <w:rPr>
          <w:b/>
          <w:bCs/>
          <w:sz w:val="26"/>
          <w:szCs w:val="26"/>
          <w:lang w:val="en-GB"/>
        </w:rPr>
        <w:t xml:space="preserve"> (0.5 page)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192"/>
      </w:tblGrid>
      <w:tr w:rsidRPr="00AF74EB" w:rsidR="00AF74EB" w:rsidTr="7F867002" w14:paraId="3F6BA8B3" w14:textId="77777777">
        <w:tc>
          <w:tcPr>
            <w:tcW w:w="9192" w:type="dxa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</w:tcPr>
          <w:p w:rsidRPr="00AF74EB" w:rsidR="00A957C9" w:rsidP="00FC4A11" w:rsidRDefault="007476F9" w14:paraId="518A3DA4" w14:textId="77934F46">
            <w:pPr>
              <w:pStyle w:val="ListParagraph"/>
              <w:spacing w:line="300" w:lineRule="exact"/>
              <w:ind w:left="0"/>
              <w:rPr>
                <w:b/>
                <w:bCs/>
                <w:i/>
                <w:iCs/>
                <w:sz w:val="26"/>
                <w:szCs w:val="26"/>
                <w:lang w:val="en-GB"/>
              </w:rPr>
            </w:pPr>
            <w:r w:rsidRPr="00AF74EB">
              <w:rPr>
                <w:b/>
                <w:bCs/>
                <w:i/>
                <w:iCs/>
                <w:sz w:val="20"/>
                <w:szCs w:val="20"/>
              </w:rPr>
              <w:t>5</w:t>
            </w:r>
            <w:r w:rsidRPr="00AF74EB" w:rsidR="00B80406">
              <w:rPr>
                <w:b/>
                <w:bCs/>
                <w:i/>
                <w:iCs/>
                <w:sz w:val="20"/>
                <w:szCs w:val="20"/>
              </w:rPr>
              <w:t xml:space="preserve">.1 </w:t>
            </w:r>
            <w:r w:rsidRPr="00AF74EB" w:rsidR="00A957C9">
              <w:rPr>
                <w:b/>
                <w:bCs/>
                <w:i/>
                <w:iCs/>
                <w:sz w:val="20"/>
                <w:szCs w:val="20"/>
              </w:rPr>
              <w:t>Please list all planned upcoming Gavi investments (e.g.</w:t>
            </w:r>
            <w:r w:rsidR="00E8233D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AF74EB" w:rsidR="00016A9B">
              <w:rPr>
                <w:b/>
                <w:bCs/>
                <w:i/>
                <w:iCs/>
                <w:sz w:val="20"/>
                <w:szCs w:val="20"/>
              </w:rPr>
              <w:t>new vaccine support</w:t>
            </w:r>
            <w:r w:rsidRPr="00AF74EB" w:rsidR="00A957C9">
              <w:rPr>
                <w:b/>
                <w:bCs/>
                <w:i/>
                <w:iCs/>
                <w:sz w:val="20"/>
                <w:szCs w:val="20"/>
              </w:rPr>
              <w:t xml:space="preserve">, CCEOP) that would require TA support within the planned period, including Full Portfolio Planning process and describe how the </w:t>
            </w:r>
            <w:r w:rsidRPr="00AF74EB" w:rsidR="00372D1F">
              <w:rPr>
                <w:b/>
                <w:bCs/>
                <w:i/>
                <w:iCs/>
                <w:sz w:val="20"/>
                <w:szCs w:val="20"/>
              </w:rPr>
              <w:t>TCA</w:t>
            </w:r>
            <w:r w:rsidRPr="00AF74EB" w:rsidR="00A957C9">
              <w:rPr>
                <w:b/>
                <w:bCs/>
                <w:i/>
                <w:iCs/>
                <w:sz w:val="20"/>
                <w:szCs w:val="20"/>
              </w:rPr>
              <w:t xml:space="preserve"> plan will be aligned with the ongoing and/or planned investments made by Gavi</w:t>
            </w:r>
            <w:r w:rsidRPr="00AF74EB" w:rsidR="005F6AD5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Pr="00AF74EB" w:rsidR="00A957C9" w:rsidTr="7F867002" w14:paraId="7B4C9334" w14:textId="77777777">
        <w:trPr>
          <w:trHeight w:val="50"/>
        </w:trPr>
        <w:tc>
          <w:tcPr>
            <w:tcW w:w="9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957C9" w:rsidP="00B915A7" w:rsidRDefault="00B915A7" w14:paraId="58C7C029" w14:textId="4F4DA3E7">
            <w:pPr>
              <w:pStyle w:val="ListParagraph"/>
              <w:numPr>
                <w:ilvl w:val="0"/>
                <w:numId w:val="8"/>
              </w:numPr>
              <w:spacing w:line="300" w:lineRule="exact"/>
              <w:rPr>
                <w:lang w:val="en-GB"/>
              </w:rPr>
            </w:pPr>
            <w:r w:rsidRPr="7F867002" w:rsidR="64B5CCB6">
              <w:rPr>
                <w:lang w:val="en-GB"/>
              </w:rPr>
              <w:t xml:space="preserve">CCEOP: cold chain </w:t>
            </w:r>
            <w:r w:rsidRPr="7F867002" w:rsidR="64B5CCB6">
              <w:rPr>
                <w:lang w:val="en-GB"/>
              </w:rPr>
              <w:t>equipment, improvement</w:t>
            </w:r>
            <w:r w:rsidRPr="7F867002" w:rsidR="64B5CCB6">
              <w:rPr>
                <w:lang w:val="en-GB"/>
              </w:rPr>
              <w:t xml:space="preserve"> planning tool and CCEOP application</w:t>
            </w:r>
          </w:p>
          <w:p w:rsidR="00B915A7" w:rsidP="00B915A7" w:rsidRDefault="00B915A7" w14:paraId="17F301AF" w14:textId="77777777">
            <w:pPr>
              <w:pStyle w:val="ListParagraph"/>
              <w:numPr>
                <w:ilvl w:val="0"/>
                <w:numId w:val="8"/>
              </w:numPr>
              <w:spacing w:line="300" w:lineRule="exact"/>
              <w:rPr>
                <w:lang w:val="en-GB"/>
              </w:rPr>
            </w:pPr>
            <w:r>
              <w:rPr>
                <w:lang w:val="en-GB"/>
              </w:rPr>
              <w:t>Zero-dose children and missed communities: demand generation activities including media campaign</w:t>
            </w:r>
          </w:p>
          <w:p w:rsidR="00B915A7" w:rsidP="00B915A7" w:rsidRDefault="00B915A7" w14:paraId="2400697F" w14:textId="77777777">
            <w:pPr>
              <w:pStyle w:val="ListParagraph"/>
              <w:numPr>
                <w:ilvl w:val="0"/>
                <w:numId w:val="8"/>
              </w:numPr>
              <w:spacing w:line="300" w:lineRule="exact"/>
              <w:rPr>
                <w:lang w:val="en-GB"/>
              </w:rPr>
            </w:pPr>
            <w:r>
              <w:rPr>
                <w:lang w:val="en-GB"/>
              </w:rPr>
              <w:t>FPP: all listed priorities are linked to the HSS3</w:t>
            </w:r>
          </w:p>
          <w:p w:rsidRPr="00B915A7" w:rsidR="00B915A7" w:rsidP="00AE6766" w:rsidRDefault="00B915A7" w14:paraId="2033B8FD" w14:textId="6B85B1DE">
            <w:pPr>
              <w:pStyle w:val="ListParagraph"/>
              <w:numPr>
                <w:ilvl w:val="0"/>
                <w:numId w:val="8"/>
              </w:numPr>
              <w:spacing w:line="300" w:lineRule="exact"/>
              <w:rPr>
                <w:lang w:val="en-GB"/>
              </w:rPr>
            </w:pPr>
            <w:r>
              <w:rPr>
                <w:lang w:val="en-GB"/>
              </w:rPr>
              <w:t xml:space="preserve">New vaccine support: activities related to services deliveries, demand generation, supply chain and cold chain </w:t>
            </w:r>
          </w:p>
        </w:tc>
      </w:tr>
    </w:tbl>
    <w:p w:rsidRPr="00AF74EB" w:rsidR="0090123D" w:rsidP="00FC4A11" w:rsidRDefault="0090123D" w14:paraId="658606AB" w14:textId="77777777">
      <w:pPr>
        <w:spacing w:line="300" w:lineRule="exact"/>
        <w:rPr>
          <w:b/>
          <w:sz w:val="26"/>
          <w:szCs w:val="26"/>
          <w:lang w:val="en-GB"/>
        </w:rPr>
      </w:pPr>
    </w:p>
    <w:p w:rsidRPr="00AF74EB" w:rsidR="00603CB9" w:rsidP="00CE1F57" w:rsidRDefault="00672E21" w14:paraId="1A7FCC98" w14:textId="47F91448">
      <w:pPr>
        <w:pStyle w:val="ListParagraph"/>
        <w:numPr>
          <w:ilvl w:val="0"/>
          <w:numId w:val="4"/>
        </w:numPr>
        <w:spacing w:line="300" w:lineRule="exact"/>
        <w:ind w:left="426"/>
        <w:rPr>
          <w:lang w:val="en-GB"/>
        </w:rPr>
      </w:pPr>
      <w:r w:rsidRPr="00AF74EB">
        <w:rPr>
          <w:b/>
          <w:bCs/>
          <w:sz w:val="26"/>
          <w:szCs w:val="26"/>
          <w:lang w:val="en-GB"/>
        </w:rPr>
        <w:t>TCA Monitoring</w:t>
      </w:r>
      <w:r w:rsidRPr="00AF74EB" w:rsidR="00D14702">
        <w:rPr>
          <w:b/>
          <w:bCs/>
          <w:sz w:val="26"/>
          <w:szCs w:val="26"/>
          <w:lang w:val="en-GB"/>
        </w:rPr>
        <w:t xml:space="preserve"> (</w:t>
      </w:r>
      <w:r w:rsidRPr="00AF74EB" w:rsidR="0023395F">
        <w:rPr>
          <w:b/>
          <w:bCs/>
          <w:sz w:val="26"/>
          <w:szCs w:val="26"/>
          <w:lang w:val="en-GB"/>
        </w:rPr>
        <w:t>1</w:t>
      </w:r>
      <w:r w:rsidRPr="00AF74EB" w:rsidR="00D14702">
        <w:rPr>
          <w:b/>
          <w:bCs/>
          <w:sz w:val="26"/>
          <w:szCs w:val="26"/>
          <w:lang w:val="en-GB"/>
        </w:rPr>
        <w:t xml:space="preserve"> page)</w:t>
      </w:r>
    </w:p>
    <w:p w:rsidRPr="00AF74EB" w:rsidR="00AB4B2D" w:rsidP="00FC4A11" w:rsidRDefault="00AB4B2D" w14:paraId="603C9386" w14:textId="77777777">
      <w:pPr>
        <w:pStyle w:val="ListParagraph"/>
        <w:spacing w:line="300" w:lineRule="exact"/>
        <w:ind w:left="0"/>
        <w:rPr>
          <w:lang w:val="en-GB"/>
        </w:rPr>
      </w:pPr>
    </w:p>
    <w:tbl>
      <w:tblPr>
        <w:tblStyle w:val="TableGrid"/>
        <w:tblW w:w="92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214"/>
      </w:tblGrid>
      <w:tr w:rsidRPr="00AF74EB" w:rsidR="00AF74EB" w:rsidTr="7F867002" w14:paraId="4BFA7B74" w14:textId="77777777">
        <w:tc>
          <w:tcPr>
            <w:tcW w:w="9214" w:type="dxa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</w:tcPr>
          <w:p w:rsidRPr="00AF74EB" w:rsidR="00AB4B2D" w:rsidP="00FC4A11" w:rsidRDefault="0023395F" w14:paraId="4522328F" w14:textId="69551761">
            <w:pPr>
              <w:pStyle w:val="ListParagraph"/>
              <w:spacing w:line="300" w:lineRule="exact"/>
              <w:ind w:left="0"/>
              <w:rPr>
                <w:b/>
                <w:sz w:val="26"/>
                <w:szCs w:val="26"/>
              </w:rPr>
            </w:pPr>
            <w:r w:rsidRPr="00AF74EB">
              <w:rPr>
                <w:b/>
                <w:bCs/>
                <w:i/>
                <w:iCs/>
                <w:sz w:val="20"/>
                <w:szCs w:val="20"/>
              </w:rPr>
              <w:t>6</w:t>
            </w:r>
            <w:r w:rsidRPr="00AF74EB" w:rsidR="005876B5">
              <w:rPr>
                <w:b/>
                <w:bCs/>
                <w:i/>
                <w:iCs/>
                <w:sz w:val="20"/>
                <w:szCs w:val="20"/>
              </w:rPr>
              <w:t xml:space="preserve">.1 </w:t>
            </w:r>
            <w:r w:rsidRPr="00AF74EB" w:rsidR="00C47384">
              <w:rPr>
                <w:b/>
                <w:bCs/>
                <w:i/>
                <w:iCs/>
                <w:sz w:val="20"/>
                <w:szCs w:val="20"/>
              </w:rPr>
              <w:t>Please provide an outline of the TCA</w:t>
            </w:r>
            <w:r w:rsidR="00E8233D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AF74EB" w:rsidR="0023057A">
              <w:rPr>
                <w:b/>
                <w:bCs/>
                <w:i/>
                <w:iCs/>
                <w:sz w:val="20"/>
                <w:szCs w:val="20"/>
              </w:rPr>
              <w:t>in-country</w:t>
            </w:r>
            <w:r w:rsidRPr="00AF74EB" w:rsidR="00C47384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AF74EB" w:rsidR="00D57494">
              <w:rPr>
                <w:b/>
                <w:bCs/>
                <w:i/>
                <w:iCs/>
                <w:sz w:val="20"/>
                <w:szCs w:val="20"/>
              </w:rPr>
              <w:t xml:space="preserve">mechanism </w:t>
            </w:r>
            <w:r w:rsidRPr="00AF74EB" w:rsidR="00C47384">
              <w:rPr>
                <w:b/>
                <w:bCs/>
                <w:i/>
                <w:iCs/>
                <w:sz w:val="20"/>
                <w:szCs w:val="20"/>
              </w:rPr>
              <w:t xml:space="preserve">to jointly monitor and track implementation progress and generation of results of the </w:t>
            </w:r>
            <w:r w:rsidRPr="00AF74EB" w:rsidR="00372D1F">
              <w:rPr>
                <w:b/>
                <w:bCs/>
                <w:i/>
                <w:iCs/>
                <w:sz w:val="20"/>
                <w:szCs w:val="20"/>
              </w:rPr>
              <w:t>TCA</w:t>
            </w:r>
            <w:r w:rsidRPr="00AF74EB" w:rsidR="00C47384">
              <w:rPr>
                <w:b/>
                <w:bCs/>
                <w:i/>
                <w:iCs/>
                <w:sz w:val="20"/>
                <w:szCs w:val="20"/>
              </w:rPr>
              <w:t xml:space="preserve"> plan as a whole</w:t>
            </w:r>
            <w:r w:rsidRPr="00AF74EB" w:rsidR="00564856">
              <w:rPr>
                <w:b/>
                <w:bCs/>
                <w:i/>
                <w:iCs/>
                <w:sz w:val="20"/>
                <w:szCs w:val="20"/>
              </w:rPr>
              <w:t>. How will that information be used to adjust and improve programme implementation?</w:t>
            </w:r>
            <w:r w:rsidRPr="00AF74EB" w:rsidR="00DD391A">
              <w:rPr>
                <w:b/>
                <w:bCs/>
                <w:i/>
                <w:iCs/>
                <w:sz w:val="20"/>
                <w:szCs w:val="20"/>
              </w:rPr>
              <w:t xml:space="preserve"> How frequently are data reviewed and used and who will be responsible to ensure that review and learning occurs?</w:t>
            </w:r>
          </w:p>
        </w:tc>
      </w:tr>
      <w:tr w:rsidRPr="00AF74EB" w:rsidR="00A957C9" w:rsidTr="7F867002" w14:paraId="4CAB625F" w14:textId="77777777">
        <w:tc>
          <w:tcPr>
            <w:tcW w:w="9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74149" w:rsidP="00B45E4F" w:rsidRDefault="0069467F" w14:paraId="6DA21279" w14:textId="4A890EED">
            <w:pPr>
              <w:spacing w:line="300" w:lineRule="exact"/>
              <w:jc w:val="both"/>
              <w:rPr>
                <w:lang w:val="en-GB"/>
              </w:rPr>
            </w:pPr>
            <w:r w:rsidRPr="7F867002" w:rsidR="0C150728">
              <w:rPr>
                <w:lang w:val="en-GB"/>
              </w:rPr>
              <w:t xml:space="preserve">During the TCA planning process, the MOH/EPI in collaboration with Core and Expanded partners will define milestones </w:t>
            </w:r>
            <w:r w:rsidRPr="7F867002" w:rsidR="2D6E9DF2">
              <w:rPr>
                <w:lang w:val="en-GB"/>
              </w:rPr>
              <w:t xml:space="preserve">that can be </w:t>
            </w:r>
            <w:r w:rsidRPr="7F867002" w:rsidR="7771B161">
              <w:rPr>
                <w:lang w:val="en-GB"/>
              </w:rPr>
              <w:t>bi-annual</w:t>
            </w:r>
            <w:r w:rsidRPr="7F867002" w:rsidR="2D6E9DF2">
              <w:rPr>
                <w:lang w:val="en-GB"/>
              </w:rPr>
              <w:t>, annual and midterm milestones. Before the implementation, the defined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2D6E9DF2">
              <w:rPr>
                <w:lang w:val="en-GB"/>
              </w:rPr>
              <w:t xml:space="preserve">milestones will need to be agreed between Gavi, the MOH/EPI and partners to ensure a common </w:t>
            </w:r>
            <w:r w:rsidRPr="7F867002" w:rsidR="2D6E9DF2">
              <w:rPr>
                <w:lang w:val="en-GB"/>
              </w:rPr>
              <w:t>understanding</w:t>
            </w:r>
            <w:r w:rsidRPr="7F867002" w:rsidR="2D6E9DF2">
              <w:rPr>
                <w:lang w:val="en-GB"/>
              </w:rPr>
              <w:t xml:space="preserve"> on what will be delivered by TCA support. These milestones will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2D6E9DF2">
              <w:rPr>
                <w:lang w:val="en-GB"/>
              </w:rPr>
              <w:t>have to be SMART (</w:t>
            </w:r>
            <w:r w:rsidRPr="7F867002" w:rsidR="2D6E9DF2">
              <w:rPr>
                <w:lang w:val="en-GB"/>
              </w:rPr>
              <w:t>specific, measurable, achievable, relevant and time-bound)</w:t>
            </w:r>
            <w:r w:rsidRPr="7F867002" w:rsidR="2D6E9DF2">
              <w:rPr>
                <w:lang w:val="en-GB"/>
              </w:rPr>
              <w:t xml:space="preserve">. It </w:t>
            </w:r>
            <w:r w:rsidRPr="7F867002" w:rsidR="544EA980">
              <w:rPr>
                <w:lang w:val="en-GB"/>
              </w:rPr>
              <w:t>will be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2D6E9DF2">
              <w:rPr>
                <w:lang w:val="en-GB"/>
              </w:rPr>
              <w:t>important</w:t>
            </w:r>
            <w:r w:rsidRPr="7F867002" w:rsidR="544EA980">
              <w:rPr>
                <w:lang w:val="en-GB"/>
              </w:rPr>
              <w:t>,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2D6E9DF2">
              <w:rPr>
                <w:lang w:val="en-GB"/>
              </w:rPr>
              <w:t>with Gavi support</w:t>
            </w:r>
            <w:r w:rsidRPr="7F867002" w:rsidR="544EA980">
              <w:rPr>
                <w:lang w:val="en-GB"/>
              </w:rPr>
              <w:t xml:space="preserve"> that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2D6E9DF2">
              <w:rPr>
                <w:lang w:val="en-GB"/>
              </w:rPr>
              <w:t>MOH</w:t>
            </w:r>
            <w:r w:rsidRPr="7F867002" w:rsidR="544EA980">
              <w:rPr>
                <w:lang w:val="en-GB"/>
              </w:rPr>
              <w:t>/EPI and partners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544EA980">
              <w:rPr>
                <w:lang w:val="en-GB"/>
              </w:rPr>
              <w:t xml:space="preserve">determine </w:t>
            </w:r>
            <w:r w:rsidRPr="7F867002" w:rsidR="544EA980">
              <w:rPr>
                <w:lang w:val="en-GB"/>
              </w:rPr>
              <w:t>a set of indicators that will help to measure the outcomes and impact of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544EA980">
              <w:rPr>
                <w:lang w:val="en-GB"/>
              </w:rPr>
              <w:t xml:space="preserve">Gavi TCA support, and the contribution of TCA to the achievement of immunization program. </w:t>
            </w:r>
            <w:r w:rsidRPr="7F867002" w:rsidR="7771B161">
              <w:rPr>
                <w:lang w:val="en-GB"/>
              </w:rPr>
              <w:t>A roadmap of TCA implementation will be developed and shared with partners and stakeholders.</w:t>
            </w:r>
          </w:p>
          <w:p w:rsidR="00AB4B2D" w:rsidP="00351161" w:rsidRDefault="00644EDE" w14:paraId="03D007C6" w14:textId="2FB3216F">
            <w:pPr>
              <w:spacing w:line="300" w:lineRule="exact"/>
              <w:jc w:val="both"/>
              <w:rPr>
                <w:lang w:val="en-GB"/>
              </w:rPr>
            </w:pPr>
            <w:r w:rsidRPr="7F867002" w:rsidR="4B6E99FC">
              <w:rPr>
                <w:lang w:val="en-GB"/>
              </w:rPr>
              <w:t>Bi-annual, joint appraisals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4B6E99FC">
              <w:rPr>
                <w:lang w:val="en-GB"/>
              </w:rPr>
              <w:t>and mid-term reviews will be organized to evaluate the progress of TCA implementation, discuss the changes needed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4B6E99FC">
              <w:rPr>
                <w:lang w:val="en-GB"/>
              </w:rPr>
              <w:t>for a smooth implementation and measure progress towards reaching and maintaining the targets that TCA will be contributing to.</w:t>
            </w:r>
            <w:r w:rsidRPr="7F867002" w:rsidR="7C7C2076">
              <w:rPr>
                <w:lang w:val="en-GB"/>
              </w:rPr>
              <w:t xml:space="preserve"> At National level</w:t>
            </w:r>
            <w:r w:rsidRPr="7F867002" w:rsidR="15047246">
              <w:rPr>
                <w:lang w:val="en-GB"/>
              </w:rPr>
              <w:t xml:space="preserve">, </w:t>
            </w:r>
            <w:r w:rsidRPr="7F867002" w:rsidR="4BAF04DA">
              <w:rPr>
                <w:lang w:val="en-GB"/>
              </w:rPr>
              <w:t xml:space="preserve">EPI, Core and Expanded </w:t>
            </w:r>
            <w:r w:rsidRPr="7F867002" w:rsidR="4BAF04DA">
              <w:rPr>
                <w:lang w:val="en-GB"/>
              </w:rPr>
              <w:t>Partners will</w:t>
            </w:r>
            <w:r w:rsidRPr="7F867002" w:rsidR="4BAF04DA">
              <w:rPr>
                <w:lang w:val="en-GB"/>
              </w:rPr>
              <w:t xml:space="preserve"> be meeting on quarterly basis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7C7C2076">
              <w:rPr>
                <w:lang w:val="en-GB"/>
              </w:rPr>
              <w:t xml:space="preserve">to </w:t>
            </w:r>
            <w:r w:rsidRPr="7F867002" w:rsidR="7C7C2076">
              <w:rPr>
                <w:lang w:val="en-GB"/>
              </w:rPr>
              <w:t>discuss</w:t>
            </w:r>
            <w:r w:rsidRPr="7F867002" w:rsidR="7C7C2076">
              <w:rPr>
                <w:lang w:val="en-GB"/>
              </w:rPr>
              <w:t xml:space="preserve"> the</w:t>
            </w:r>
            <w:r w:rsidRPr="7F867002" w:rsidR="4BAF04DA">
              <w:rPr>
                <w:lang w:val="en-GB"/>
              </w:rPr>
              <w:t xml:space="preserve"> </w:t>
            </w:r>
            <w:r w:rsidRPr="7F867002" w:rsidR="7D659936">
              <w:rPr>
                <w:lang w:val="en-GB"/>
              </w:rPr>
              <w:t xml:space="preserve">progress of </w:t>
            </w:r>
            <w:r w:rsidRPr="7F867002" w:rsidR="7C7C2076">
              <w:rPr>
                <w:lang w:val="en-GB"/>
              </w:rPr>
              <w:t>TCA</w:t>
            </w:r>
            <w:r w:rsidRPr="7F867002" w:rsidR="4BAF04DA">
              <w:rPr>
                <w:lang w:val="en-GB"/>
              </w:rPr>
              <w:t xml:space="preserve"> activities</w:t>
            </w:r>
            <w:r w:rsidRPr="7F867002" w:rsidR="15047246">
              <w:rPr>
                <w:lang w:val="en-GB"/>
              </w:rPr>
              <w:t>, identify and respond to issues that will be arising during the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7C7C2076">
              <w:rPr>
                <w:lang w:val="en-GB"/>
              </w:rPr>
              <w:t>implementatio</w:t>
            </w:r>
            <w:r w:rsidRPr="7F867002" w:rsidR="4BAF04DA">
              <w:rPr>
                <w:lang w:val="en-GB"/>
              </w:rPr>
              <w:t xml:space="preserve">n. Twice a year, </w:t>
            </w:r>
            <w:r w:rsidRPr="7F867002" w:rsidR="15047246">
              <w:rPr>
                <w:lang w:val="en-GB"/>
              </w:rPr>
              <w:t xml:space="preserve">EPI and partners </w:t>
            </w:r>
            <w:r w:rsidRPr="7F867002" w:rsidR="4F6D92FE">
              <w:rPr>
                <w:lang w:val="en-GB"/>
              </w:rPr>
              <w:t>will evaluate the performance of immunization program and achievement of predefined milestones. On yearly basis, a joint review of the performance of TCA will be organized and a joint</w:t>
            </w:r>
            <w:r w:rsidRPr="7F867002" w:rsidR="00E8233D">
              <w:rPr>
                <w:lang w:val="en-GB"/>
              </w:rPr>
              <w:t xml:space="preserve"> </w:t>
            </w:r>
            <w:r w:rsidRPr="7F867002" w:rsidR="4F6D92FE">
              <w:rPr>
                <w:lang w:val="en-GB"/>
              </w:rPr>
              <w:t>appraisal report will be produced and submitted to GAVI.</w:t>
            </w:r>
            <w:r w:rsidRPr="7F867002" w:rsidR="00E8233D">
              <w:rPr>
                <w:lang w:val="en-GB"/>
              </w:rPr>
              <w:t xml:space="preserve"> </w:t>
            </w:r>
          </w:p>
          <w:p w:rsidRPr="00AF74EB" w:rsidR="00EB7C86" w:rsidP="00516B20" w:rsidRDefault="00516B20" w14:paraId="635EF35F" w14:textId="308FFF79">
            <w:pPr>
              <w:spacing w:line="300" w:lineRule="exact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</w:tr>
    </w:tbl>
    <w:p w:rsidRPr="00AF74EB" w:rsidR="007612C6" w:rsidP="00FC4A11" w:rsidRDefault="007612C6" w14:paraId="146AE6CC" w14:textId="77777777">
      <w:pPr>
        <w:spacing w:line="300" w:lineRule="exact"/>
        <w:rPr>
          <w:lang w:val="en-GB"/>
        </w:rPr>
      </w:pPr>
    </w:p>
    <w:sectPr w:rsidRPr="00AF74EB" w:rsidR="007612C6" w:rsidSect="007612C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orient="portrait"/>
      <w:pgMar w:top="1440" w:right="1608" w:bottom="1134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6276E70" w16cex:dateUtc="2022-05-12T09:30:00Z"/>
  <w16cex:commentExtensible w16cex:durableId="26276FEB" w16cex:dateUtc="2022-05-12T09:37:00Z"/>
  <w16cex:commentExtensible w16cex:durableId="26277557" w16cex:dateUtc="2022-05-12T10:00:00Z"/>
  <w16cex:commentExtensible w16cex:durableId="26277B3B" w16cex:dateUtc="2022-05-12T10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51F44FD" w16cid:durableId="26276E70"/>
  <w16cid:commentId w16cid:paraId="763F8E8D" w16cid:durableId="26276FEB"/>
  <w16cid:commentId w16cid:paraId="52E92838" w16cid:durableId="26277557"/>
  <w16cid:commentId w16cid:paraId="320CB40E" w16cid:durableId="26277B3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14F" w:rsidP="00431CA9" w:rsidRDefault="002F714F" w14:paraId="2536BDFA" w14:textId="77777777">
      <w:pPr>
        <w:spacing w:line="240" w:lineRule="auto"/>
      </w:pPr>
      <w:r>
        <w:separator/>
      </w:r>
    </w:p>
  </w:endnote>
  <w:endnote w:type="continuationSeparator" w:id="0">
    <w:p w:rsidR="002F714F" w:rsidP="00431CA9" w:rsidRDefault="002F714F" w14:paraId="154442F0" w14:textId="77777777">
      <w:pPr>
        <w:spacing w:line="240" w:lineRule="auto"/>
      </w:pPr>
      <w:r>
        <w:continuationSeparator/>
      </w:r>
    </w:p>
  </w:endnote>
  <w:endnote w:type="continuationNotice" w:id="1">
    <w:p w:rsidR="002F714F" w:rsidRDefault="002F714F" w14:paraId="0A0023D5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201" w:rsidRDefault="00CE2201" w14:paraId="3CCE247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7692794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2201" w:rsidRDefault="00CE2201" w14:paraId="25F050AA" w14:textId="30D37B5A">
        <w:pPr>
          <w:pStyle w:val="Footer"/>
        </w:pPr>
        <w:r w:rsidRPr="00DA777C">
          <w:rPr>
            <w:sz w:val="20"/>
            <w:szCs w:val="20"/>
          </w:rPr>
          <w:fldChar w:fldCharType="begin"/>
        </w:r>
        <w:r w:rsidRPr="00DA777C">
          <w:rPr>
            <w:sz w:val="20"/>
            <w:szCs w:val="20"/>
          </w:rPr>
          <w:instrText xml:space="preserve"> PAGE   \* MERGEFORMAT </w:instrText>
        </w:r>
        <w:r w:rsidRPr="00DA777C">
          <w:rPr>
            <w:sz w:val="20"/>
            <w:szCs w:val="20"/>
          </w:rPr>
          <w:fldChar w:fldCharType="separate"/>
        </w:r>
        <w:r w:rsidR="0030679E">
          <w:rPr>
            <w:noProof/>
            <w:sz w:val="20"/>
            <w:szCs w:val="20"/>
          </w:rPr>
          <w:t>10</w:t>
        </w:r>
        <w:r w:rsidRPr="00DA777C">
          <w:rPr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201" w:rsidRDefault="00CE2201" w14:paraId="17AAD56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14F" w:rsidP="00431CA9" w:rsidRDefault="002F714F" w14:paraId="3000C1E2" w14:textId="77777777">
      <w:pPr>
        <w:spacing w:line="240" w:lineRule="auto"/>
      </w:pPr>
      <w:r>
        <w:separator/>
      </w:r>
    </w:p>
  </w:footnote>
  <w:footnote w:type="continuationSeparator" w:id="0">
    <w:p w:rsidR="002F714F" w:rsidP="00431CA9" w:rsidRDefault="002F714F" w14:paraId="239F6A51" w14:textId="77777777">
      <w:pPr>
        <w:spacing w:line="240" w:lineRule="auto"/>
      </w:pPr>
      <w:r>
        <w:continuationSeparator/>
      </w:r>
    </w:p>
  </w:footnote>
  <w:footnote w:type="continuationNotice" w:id="1">
    <w:p w:rsidR="002F714F" w:rsidRDefault="002F714F" w14:paraId="66B535ED" w14:textId="77777777">
      <w:pPr>
        <w:spacing w:line="240" w:lineRule="auto"/>
      </w:pPr>
    </w:p>
  </w:footnote>
  <w:footnote w:id="2">
    <w:p w:rsidRPr="005361AE" w:rsidR="00CE2201" w:rsidRDefault="00CE2201" w14:paraId="2023791F" w14:textId="3CC81C08">
      <w:pPr>
        <w:pStyle w:val="FootnoteText"/>
        <w:rPr>
          <w:sz w:val="18"/>
          <w:szCs w:val="18"/>
          <w:lang w:val="en-US"/>
        </w:rPr>
      </w:pPr>
      <w:r w:rsidRPr="005361AE">
        <w:rPr>
          <w:rStyle w:val="FootnoteReference"/>
          <w:sz w:val="18"/>
          <w:szCs w:val="18"/>
        </w:rPr>
        <w:footnoteRef/>
      </w:r>
      <w:r w:rsidRPr="005361AE">
        <w:rPr>
          <w:sz w:val="18"/>
          <w:szCs w:val="18"/>
        </w:rPr>
        <w:t xml:space="preserve"> Bobo, F. T., Asante, A., Woldie, M., Dawson, A., &amp; Hayen, A. (2022). Child vaccination in sub-Saharan Africa: Increasing coverage addresses inequalities. </w:t>
      </w:r>
      <w:r w:rsidRPr="005361AE">
        <w:rPr>
          <w:i/>
          <w:iCs/>
          <w:sz w:val="18"/>
          <w:szCs w:val="18"/>
        </w:rPr>
        <w:t>Vaccine</w:t>
      </w:r>
      <w:r w:rsidRPr="005361AE">
        <w:rPr>
          <w:sz w:val="18"/>
          <w:szCs w:val="18"/>
        </w:rPr>
        <w:t xml:space="preserve">, </w:t>
      </w:r>
      <w:r w:rsidRPr="005361AE">
        <w:rPr>
          <w:i/>
          <w:iCs/>
          <w:sz w:val="18"/>
          <w:szCs w:val="18"/>
        </w:rPr>
        <w:t>40</w:t>
      </w:r>
      <w:r w:rsidRPr="005361AE">
        <w:rPr>
          <w:sz w:val="18"/>
          <w:szCs w:val="18"/>
        </w:rPr>
        <w:t>(1), 141-150.</w:t>
      </w:r>
    </w:p>
  </w:footnote>
  <w:footnote w:id="3">
    <w:p w:rsidRPr="00FD59E5" w:rsidR="00CE2201" w:rsidP="00E141C8" w:rsidRDefault="00CE2201" w14:paraId="3DF4F568" w14:textId="3165F056">
      <w:pPr>
        <w:pStyle w:val="FootnoteText"/>
        <w:rPr>
          <w:lang w:val="en-US"/>
        </w:rPr>
      </w:pPr>
      <w:r w:rsidRPr="005361AE">
        <w:rPr>
          <w:rStyle w:val="FootnoteReference"/>
          <w:sz w:val="18"/>
          <w:szCs w:val="18"/>
        </w:rPr>
        <w:footnoteRef/>
      </w:r>
      <w:r w:rsidRPr="005361AE">
        <w:rPr>
          <w:sz w:val="18"/>
          <w:szCs w:val="18"/>
        </w:rPr>
        <w:t xml:space="preserve"> National Institute of Statistics of Rwanda (NISR), Ministry of Health (MOH), 2021.Rwanda Demographic and Health Survey 2019-20 Final Report.</w:t>
      </w:r>
      <w:r>
        <w:t xml:space="preserve"> </w:t>
      </w:r>
    </w:p>
  </w:footnote>
  <w:footnote w:id="4">
    <w:p w:rsidRPr="005361AE" w:rsidR="00CE2201" w:rsidP="005361AE" w:rsidRDefault="00CE2201" w14:paraId="4E039B4C" w14:textId="2284D363">
      <w:pPr>
        <w:pStyle w:val="FootnoteText"/>
      </w:pPr>
      <w:r w:rsidRPr="005361AE">
        <w:rPr>
          <w:rStyle w:val="FootnoteReference"/>
          <w:sz w:val="22"/>
          <w:szCs w:val="22"/>
        </w:rPr>
        <w:footnoteRef/>
      </w:r>
      <w:r w:rsidRPr="005361AE">
        <w:rPr>
          <w:sz w:val="22"/>
          <w:szCs w:val="22"/>
        </w:rPr>
        <w:t xml:space="preserve"> </w:t>
      </w:r>
      <w:r w:rsidRPr="005361AE">
        <w:rPr>
          <w:rStyle w:val="FootnoteReference"/>
        </w:rPr>
        <w:t>Republic of Rwanda:Seven</w:t>
      </w:r>
      <w:r>
        <w:rPr>
          <w:rStyle w:val="FootnoteReference"/>
        </w:rPr>
        <w:t xml:space="preserve"> </w:t>
      </w:r>
      <w:r w:rsidRPr="005361AE">
        <w:rPr>
          <w:rStyle w:val="FootnoteReference"/>
        </w:rPr>
        <w:t>Years Government Programme:National Strategy for Transformation (NST1) 2017–2024</w:t>
      </w:r>
    </w:p>
  </w:footnote>
  <w:footnote w:id="5">
    <w:p w:rsidRPr="005361AE" w:rsidR="00CE2201" w:rsidRDefault="00CE2201" w14:paraId="5E7F1D30" w14:textId="714BF87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5361AE">
        <w:rPr>
          <w:rStyle w:val="FootnoteReference"/>
        </w:rPr>
        <w:t>Republic of Rwanda, Vision 20</w:t>
      </w:r>
      <w:r w:rsidRPr="00E110F4">
        <w:rPr>
          <w:rStyle w:val="FootnoteReference"/>
        </w:rPr>
        <w:t>5</w:t>
      </w:r>
      <w:r w:rsidRPr="005361AE">
        <w:rPr>
          <w:rStyle w:val="FootnoteReference"/>
        </w:rPr>
        <w:t>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201" w:rsidRDefault="00CE2201" w14:paraId="0C4F08D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adec="http://schemas.microsoft.com/office/drawing/2017/decorative" xmlns:pic="http://schemas.openxmlformats.org/drawingml/2006/picture" mc:Ignorable="w14 w15 w16se wp14">
  <w:p w:rsidR="00CE2201" w:rsidRDefault="00CE2201" w14:paraId="59757D54" w14:textId="6021F0DD">
    <w:pPr>
      <w:pStyle w:val="Header"/>
    </w:pPr>
    <w:r w:rsidRPr="00892432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C072E57" wp14:editId="6081769F">
              <wp:simplePos x="0" y="0"/>
              <wp:positionH relativeFrom="page">
                <wp:posOffset>1466215</wp:posOffset>
              </wp:positionH>
              <wp:positionV relativeFrom="topMargin">
                <wp:posOffset>52070</wp:posOffset>
              </wp:positionV>
              <wp:extent cx="6319482" cy="794385"/>
              <wp:effectExtent l="0" t="0" r="0" b="57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9482" cy="794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2201" w:rsidP="00055BF9" w:rsidRDefault="00CE2201" w14:paraId="70F2D3FD" w14:textId="5CAE47AB">
                          <w:pPr>
                            <w:rPr>
                              <w:b/>
                              <w:bCs/>
                              <w:color w:val="0070C0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color w:val="0070C0"/>
                              <w:sz w:val="24"/>
                              <w:szCs w:val="24"/>
                              <w:lang w:val="en-US"/>
                            </w:rPr>
                            <w:t xml:space="preserve">PEF Targeted Country Assistance Narrative </w:t>
                          </w:r>
                        </w:p>
                        <w:p w:rsidRPr="00C4436D" w:rsidR="00CE2201" w:rsidP="00055BF9" w:rsidRDefault="00CE2201" w14:paraId="4599C1BA" w14:textId="1E37035E">
                          <w:pPr>
                            <w:rPr>
                              <w:color w:val="0070C0"/>
                            </w:rPr>
                          </w:pPr>
                          <w:r>
                            <w:rPr>
                              <w:color w:val="0070C0"/>
                            </w:rPr>
                            <w:t>April</w:t>
                          </w:r>
                          <w:r w:rsidRPr="00BD1FEE">
                            <w:rPr>
                              <w:color w:val="0070C0"/>
                            </w:rPr>
                            <w:t xml:space="preserve"> </w:t>
                          </w:r>
                          <w:r w:rsidRPr="00C4436D">
                            <w:rPr>
                              <w:color w:val="0070C0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C072E57">
              <v:stroke joinstyle="miter"/>
              <v:path gradientshapeok="t" o:connecttype="rect"/>
            </v:shapetype>
            <v:shape id="Text Box 2" style="position:absolute;margin-left:115.45pt;margin-top:4.1pt;width:497.6pt;height:62.5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middle" o:spid="_x0000_s1026" filled="f" stroked="f" strokecolor="#0070c0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">
              <v:textbox>
                <w:txbxContent>
                  <w:p w:rsidR="00CE2201" w:rsidP="00055BF9" w:rsidRDefault="00CE2201" w14:paraId="70F2D3FD" w14:textId="5CAE47AB">
                    <w:pPr>
                      <w:rPr>
                        <w:b/>
                        <w:bCs/>
                        <w:color w:val="0070C0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b/>
                        <w:bCs/>
                        <w:color w:val="0070C0"/>
                        <w:sz w:val="24"/>
                        <w:szCs w:val="24"/>
                        <w:lang w:val="en-US"/>
                      </w:rPr>
                      <w:t xml:space="preserve">PEF Targeted Country Assistance Narrative </w:t>
                    </w:r>
                  </w:p>
                  <w:p w:rsidRPr="00C4436D" w:rsidR="00CE2201" w:rsidP="00055BF9" w:rsidRDefault="00CE2201" w14:paraId="4599C1BA" w14:textId="1E37035E">
                    <w:pPr>
                      <w:rPr>
                        <w:color w:val="0070C0"/>
                      </w:rPr>
                    </w:pPr>
                    <w:r>
                      <w:rPr>
                        <w:color w:val="0070C0"/>
                      </w:rPr>
                      <w:t>April</w:t>
                    </w:r>
                    <w:r w:rsidRPr="00BD1FEE">
                      <w:rPr>
                        <w:color w:val="0070C0"/>
                      </w:rPr>
                      <w:t xml:space="preserve"> </w:t>
                    </w:r>
                    <w:r w:rsidRPr="00C4436D">
                      <w:rPr>
                        <w:color w:val="0070C0"/>
                      </w:rPr>
                      <w:t>2022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892432"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58242" behindDoc="0" locked="0" layoutInCell="1" allowOverlap="1" wp14:anchorId="604E1568" wp14:editId="341C3210">
              <wp:simplePos x="0" y="0"/>
              <wp:positionH relativeFrom="column">
                <wp:posOffset>551180</wp:posOffset>
              </wp:positionH>
              <wp:positionV relativeFrom="page">
                <wp:posOffset>197485</wp:posOffset>
              </wp:positionV>
              <wp:extent cx="0" cy="439420"/>
              <wp:effectExtent l="0" t="0" r="38100" b="36830"/>
              <wp:wrapNone/>
              <wp:docPr id="1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3942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id="Straight Connector 14" style="position:absolute;z-index:25165824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page;mso-width-percent:0;mso-height-percent:0;mso-width-relative:page;mso-height-relative:page" o:spid="_x0000_s1026" strokecolor="#5b9bd5 [3208]" from="43.4pt,15.55pt" to="43.4pt,50.15pt" w14:anchorId="6BAFA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">
              <v:stroke joinstyle="miter"/>
              <o:lock v:ext="edit" shapetype="f"/>
              <w10:wrap anchory="page"/>
            </v:line>
          </w:pict>
        </mc:Fallback>
      </mc:AlternateContent>
    </w:r>
    <w:r w:rsidRPr="00892432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333C187" wp14:editId="76107EC5">
              <wp:simplePos x="0" y="0"/>
              <wp:positionH relativeFrom="page">
                <wp:align>right</wp:align>
              </wp:positionH>
              <wp:positionV relativeFrom="page">
                <wp:posOffset>-259161</wp:posOffset>
              </wp:positionV>
              <wp:extent cx="7771765" cy="1119773"/>
              <wp:effectExtent l="0" t="0" r="635" b="4445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1765" cy="1119773"/>
                      </a:xfrm>
                      <a:prstGeom prst="rect">
                        <a:avLst/>
                      </a:prstGeom>
                      <a:solidFill>
                        <a:srgbClr val="F2F2F1"/>
                      </a:solidFill>
                      <a:ln w="63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CE2201" w:rsidP="00892432" w:rsidRDefault="00CE2201" w14:paraId="3DB0E3A5" w14:textId="7777777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8" style="position:absolute;margin-left:560.75pt;margin-top:-20.4pt;width:611.95pt;height:88.15pt;z-index:-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spid="_x0000_s1027" fillcolor="#f2f2f1" stroked="f" strokeweight=".5pt" w14:anchorId="3333C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">
              <v:path arrowok="t"/>
              <v:textbox>
                <w:txbxContent>
                  <w:p w:rsidR="00CE2201" w:rsidP="00892432" w:rsidRDefault="00CE2201" w14:paraId="3DB0E3A5" w14:textId="77777777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892432">
      <w:rPr>
        <w:noProof/>
        <w:lang w:val="en-US" w:eastAsia="en-US"/>
      </w:rPr>
      <w:drawing>
        <wp:anchor distT="0" distB="0" distL="114300" distR="114300" simplePos="0" relativeHeight="251658241" behindDoc="1" locked="0" layoutInCell="1" allowOverlap="1" wp14:anchorId="2E2C20EE" wp14:editId="2A5E81A6">
          <wp:simplePos x="0" y="0"/>
          <wp:positionH relativeFrom="margin">
            <wp:posOffset>-687687</wp:posOffset>
          </wp:positionH>
          <wp:positionV relativeFrom="page">
            <wp:posOffset>191153</wp:posOffset>
          </wp:positionV>
          <wp:extent cx="1186180" cy="439420"/>
          <wp:effectExtent l="0" t="0" r="0" b="5080"/>
          <wp:wrapTight wrapText="bothSides">
            <wp:wrapPolygon edited="0">
              <wp:start x="15495" y="0"/>
              <wp:lineTo x="2313" y="3121"/>
              <wp:lineTo x="0" y="4370"/>
              <wp:lineTo x="0" y="9988"/>
              <wp:lineTo x="925" y="19977"/>
              <wp:lineTo x="925" y="21225"/>
              <wp:lineTo x="18501" y="21225"/>
              <wp:lineTo x="19889" y="19977"/>
              <wp:lineTo x="21276" y="13110"/>
              <wp:lineTo x="21276" y="7491"/>
              <wp:lineTo x="20120" y="1873"/>
              <wp:lineTo x="18964" y="0"/>
              <wp:lineTo x="15495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97" t="21860" r="10744" b="21696"/>
                  <a:stretch/>
                </pic:blipFill>
                <pic:spPr bwMode="auto">
                  <a:xfrm>
                    <a:off x="0" y="0"/>
                    <a:ext cx="1186180" cy="439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201" w:rsidRDefault="00CE2201" w14:paraId="2C863856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+pOqN1ZKhZqaJe" int2:id="1Vl0R60T">
      <int2:state int2:type="LegacyProofing" int2:value="Rejected"/>
    </int2:textHash>
    <int2:textHash int2:hashCode="de6OmMavCSziU2" int2:id="6RTd8eNH">
      <int2:state int2:type="LegacyProofing" int2:value="Rejected"/>
    </int2:textHash>
    <int2:textHash int2:hashCode="ni8UUdXdlt6RIo" int2:id="jb32PE92">
      <int2:state int2:type="LegacyProofing" int2:value="Rejected"/>
    </int2:textHash>
    <int2:bookmark int2:bookmarkName="_Int_RNTD4OEl" int2:invalidationBookmarkName="" int2:hashCode="OwO5wje3M9WgBA" int2:id="UjIILxhA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D31B0"/>
    <w:multiLevelType w:val="multilevel"/>
    <w:tmpl w:val="0DE68E2A"/>
    <w:styleLink w:val="CurrentList3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A284B8D"/>
    <w:multiLevelType w:val="multilevel"/>
    <w:tmpl w:val="899CCA90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C792C0F"/>
    <w:multiLevelType w:val="multilevel"/>
    <w:tmpl w:val="295ABEB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color w:val="70AD47" w:themeColor="accent6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3" w15:restartNumberingAfterBreak="0">
    <w:nsid w:val="45947172"/>
    <w:multiLevelType w:val="hybridMultilevel"/>
    <w:tmpl w:val="F014E662"/>
    <w:lvl w:ilvl="0" w:tplc="04090001">
      <w:start w:val="1"/>
      <w:numFmt w:val="bullet"/>
      <w:lvlText w:val=""/>
      <w:lvlJc w:val="left"/>
      <w:pPr>
        <w:ind w:left="4897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hint="default" w:ascii="Wingdings" w:hAnsi="Wingdings"/>
      </w:rPr>
    </w:lvl>
  </w:abstractNum>
  <w:abstractNum w:abstractNumId="4" w15:restartNumberingAfterBreak="0">
    <w:nsid w:val="4B067A7A"/>
    <w:multiLevelType w:val="hybridMultilevel"/>
    <w:tmpl w:val="DDF49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56040"/>
    <w:multiLevelType w:val="hybridMultilevel"/>
    <w:tmpl w:val="49246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B77A0"/>
    <w:multiLevelType w:val="multilevel"/>
    <w:tmpl w:val="0809001F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C2D2A9B"/>
    <w:multiLevelType w:val="hybridMultilevel"/>
    <w:tmpl w:val="49DE5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0szAwNQGSlqamlko6SsGpxcWZ+XkgBYaWtQC5HfxoLQAAAA=="/>
  </w:docVars>
  <w:rsids>
    <w:rsidRoot w:val="00BD4BCE"/>
    <w:rsid w:val="0000278E"/>
    <w:rsid w:val="00002CAE"/>
    <w:rsid w:val="00002D07"/>
    <w:rsid w:val="000030FE"/>
    <w:rsid w:val="00003862"/>
    <w:rsid w:val="0000542A"/>
    <w:rsid w:val="0000599F"/>
    <w:rsid w:val="00005F0A"/>
    <w:rsid w:val="0000717A"/>
    <w:rsid w:val="00007EAE"/>
    <w:rsid w:val="0001063F"/>
    <w:rsid w:val="00011B02"/>
    <w:rsid w:val="00011B86"/>
    <w:rsid w:val="0001244B"/>
    <w:rsid w:val="00012FFC"/>
    <w:rsid w:val="00013C61"/>
    <w:rsid w:val="00014AFF"/>
    <w:rsid w:val="00014F67"/>
    <w:rsid w:val="00015D31"/>
    <w:rsid w:val="00016A9B"/>
    <w:rsid w:val="00016C3F"/>
    <w:rsid w:val="0001751E"/>
    <w:rsid w:val="00017FBF"/>
    <w:rsid w:val="00020272"/>
    <w:rsid w:val="00023D98"/>
    <w:rsid w:val="00024F57"/>
    <w:rsid w:val="000251A6"/>
    <w:rsid w:val="00025589"/>
    <w:rsid w:val="00025BBE"/>
    <w:rsid w:val="00025C70"/>
    <w:rsid w:val="00027322"/>
    <w:rsid w:val="00027D74"/>
    <w:rsid w:val="000301CD"/>
    <w:rsid w:val="00030751"/>
    <w:rsid w:val="000313E1"/>
    <w:rsid w:val="00031A36"/>
    <w:rsid w:val="0003251B"/>
    <w:rsid w:val="00034931"/>
    <w:rsid w:val="000357F6"/>
    <w:rsid w:val="000369C9"/>
    <w:rsid w:val="00037694"/>
    <w:rsid w:val="000378BB"/>
    <w:rsid w:val="000400A6"/>
    <w:rsid w:val="00040A2E"/>
    <w:rsid w:val="00041E9B"/>
    <w:rsid w:val="00042592"/>
    <w:rsid w:val="0004304D"/>
    <w:rsid w:val="00043279"/>
    <w:rsid w:val="000439C4"/>
    <w:rsid w:val="00043A07"/>
    <w:rsid w:val="00044437"/>
    <w:rsid w:val="000449D1"/>
    <w:rsid w:val="000449DE"/>
    <w:rsid w:val="00050E95"/>
    <w:rsid w:val="00051114"/>
    <w:rsid w:val="000511DA"/>
    <w:rsid w:val="0005232A"/>
    <w:rsid w:val="00052358"/>
    <w:rsid w:val="000529E3"/>
    <w:rsid w:val="000538E2"/>
    <w:rsid w:val="00053C8E"/>
    <w:rsid w:val="00054939"/>
    <w:rsid w:val="00054E05"/>
    <w:rsid w:val="00055A30"/>
    <w:rsid w:val="00055BF9"/>
    <w:rsid w:val="00056DDF"/>
    <w:rsid w:val="00060071"/>
    <w:rsid w:val="00060794"/>
    <w:rsid w:val="00061950"/>
    <w:rsid w:val="0006207D"/>
    <w:rsid w:val="000629D3"/>
    <w:rsid w:val="00063358"/>
    <w:rsid w:val="00064C7B"/>
    <w:rsid w:val="000660A3"/>
    <w:rsid w:val="0006633A"/>
    <w:rsid w:val="0006639D"/>
    <w:rsid w:val="000663B9"/>
    <w:rsid w:val="00066A17"/>
    <w:rsid w:val="00066E42"/>
    <w:rsid w:val="00067D86"/>
    <w:rsid w:val="00071836"/>
    <w:rsid w:val="00071E35"/>
    <w:rsid w:val="000728A2"/>
    <w:rsid w:val="000728B2"/>
    <w:rsid w:val="00072D93"/>
    <w:rsid w:val="000731C0"/>
    <w:rsid w:val="000759BE"/>
    <w:rsid w:val="00076373"/>
    <w:rsid w:val="000779B1"/>
    <w:rsid w:val="00077FE0"/>
    <w:rsid w:val="0008165C"/>
    <w:rsid w:val="0008192A"/>
    <w:rsid w:val="000820EE"/>
    <w:rsid w:val="000840D7"/>
    <w:rsid w:val="0008474E"/>
    <w:rsid w:val="00085506"/>
    <w:rsid w:val="00085C9D"/>
    <w:rsid w:val="0008622F"/>
    <w:rsid w:val="00086640"/>
    <w:rsid w:val="0008793A"/>
    <w:rsid w:val="00090755"/>
    <w:rsid w:val="00091225"/>
    <w:rsid w:val="000915AC"/>
    <w:rsid w:val="0009314C"/>
    <w:rsid w:val="00094439"/>
    <w:rsid w:val="000A22D4"/>
    <w:rsid w:val="000A2FAE"/>
    <w:rsid w:val="000A3F37"/>
    <w:rsid w:val="000A4B39"/>
    <w:rsid w:val="000A5C09"/>
    <w:rsid w:val="000A6141"/>
    <w:rsid w:val="000A6514"/>
    <w:rsid w:val="000A6AC3"/>
    <w:rsid w:val="000A7C47"/>
    <w:rsid w:val="000B0314"/>
    <w:rsid w:val="000B1003"/>
    <w:rsid w:val="000B136D"/>
    <w:rsid w:val="000B179D"/>
    <w:rsid w:val="000B22A5"/>
    <w:rsid w:val="000B4252"/>
    <w:rsid w:val="000B519F"/>
    <w:rsid w:val="000B57CE"/>
    <w:rsid w:val="000B6AEC"/>
    <w:rsid w:val="000B6F36"/>
    <w:rsid w:val="000B7057"/>
    <w:rsid w:val="000B716C"/>
    <w:rsid w:val="000B752A"/>
    <w:rsid w:val="000B7B44"/>
    <w:rsid w:val="000C00DA"/>
    <w:rsid w:val="000C1057"/>
    <w:rsid w:val="000C118A"/>
    <w:rsid w:val="000C25DD"/>
    <w:rsid w:val="000C25E7"/>
    <w:rsid w:val="000C558D"/>
    <w:rsid w:val="000C5A6A"/>
    <w:rsid w:val="000C7FB1"/>
    <w:rsid w:val="000D0267"/>
    <w:rsid w:val="000D048D"/>
    <w:rsid w:val="000D10AE"/>
    <w:rsid w:val="000D25DE"/>
    <w:rsid w:val="000D3849"/>
    <w:rsid w:val="000D4A27"/>
    <w:rsid w:val="000D4C95"/>
    <w:rsid w:val="000D5DEA"/>
    <w:rsid w:val="000D5E7B"/>
    <w:rsid w:val="000D6B00"/>
    <w:rsid w:val="000D7667"/>
    <w:rsid w:val="000E0597"/>
    <w:rsid w:val="000E08AF"/>
    <w:rsid w:val="000E092B"/>
    <w:rsid w:val="000E0FA6"/>
    <w:rsid w:val="000E16B2"/>
    <w:rsid w:val="000E28EF"/>
    <w:rsid w:val="000E2A0C"/>
    <w:rsid w:val="000E387E"/>
    <w:rsid w:val="000E45DD"/>
    <w:rsid w:val="000E5047"/>
    <w:rsid w:val="000E6346"/>
    <w:rsid w:val="000E68BF"/>
    <w:rsid w:val="000E69CF"/>
    <w:rsid w:val="000E6BC0"/>
    <w:rsid w:val="000E7072"/>
    <w:rsid w:val="000F1AA4"/>
    <w:rsid w:val="000F309B"/>
    <w:rsid w:val="000F34D2"/>
    <w:rsid w:val="000F494D"/>
    <w:rsid w:val="000F4B25"/>
    <w:rsid w:val="000F51E0"/>
    <w:rsid w:val="000F62B5"/>
    <w:rsid w:val="000F650B"/>
    <w:rsid w:val="000F7405"/>
    <w:rsid w:val="000F74FF"/>
    <w:rsid w:val="000F7CEA"/>
    <w:rsid w:val="0010039E"/>
    <w:rsid w:val="00100A48"/>
    <w:rsid w:val="00102D7C"/>
    <w:rsid w:val="001052BA"/>
    <w:rsid w:val="0010613E"/>
    <w:rsid w:val="00106608"/>
    <w:rsid w:val="00106CE4"/>
    <w:rsid w:val="001072A0"/>
    <w:rsid w:val="00107D9F"/>
    <w:rsid w:val="00112041"/>
    <w:rsid w:val="00112228"/>
    <w:rsid w:val="00112852"/>
    <w:rsid w:val="0011324C"/>
    <w:rsid w:val="0011331E"/>
    <w:rsid w:val="0011340A"/>
    <w:rsid w:val="001135FC"/>
    <w:rsid w:val="001151FB"/>
    <w:rsid w:val="00115DB0"/>
    <w:rsid w:val="00116509"/>
    <w:rsid w:val="00117197"/>
    <w:rsid w:val="00117A20"/>
    <w:rsid w:val="00120084"/>
    <w:rsid w:val="00120220"/>
    <w:rsid w:val="00120AAE"/>
    <w:rsid w:val="0012478F"/>
    <w:rsid w:val="00125930"/>
    <w:rsid w:val="00125F79"/>
    <w:rsid w:val="00131FD5"/>
    <w:rsid w:val="00133193"/>
    <w:rsid w:val="001360DB"/>
    <w:rsid w:val="00136630"/>
    <w:rsid w:val="001409AB"/>
    <w:rsid w:val="00140BF0"/>
    <w:rsid w:val="001416C5"/>
    <w:rsid w:val="00142231"/>
    <w:rsid w:val="0014327F"/>
    <w:rsid w:val="00143CCE"/>
    <w:rsid w:val="0014527F"/>
    <w:rsid w:val="00146789"/>
    <w:rsid w:val="001472C1"/>
    <w:rsid w:val="001477C4"/>
    <w:rsid w:val="00147F9B"/>
    <w:rsid w:val="00150D82"/>
    <w:rsid w:val="00150FE5"/>
    <w:rsid w:val="0015170E"/>
    <w:rsid w:val="00151B12"/>
    <w:rsid w:val="001543AD"/>
    <w:rsid w:val="00155110"/>
    <w:rsid w:val="00160C34"/>
    <w:rsid w:val="00161593"/>
    <w:rsid w:val="00162C55"/>
    <w:rsid w:val="00162F02"/>
    <w:rsid w:val="001634CF"/>
    <w:rsid w:val="00163B04"/>
    <w:rsid w:val="00163F8E"/>
    <w:rsid w:val="0016435C"/>
    <w:rsid w:val="001651AF"/>
    <w:rsid w:val="001665A3"/>
    <w:rsid w:val="00166D25"/>
    <w:rsid w:val="00166F28"/>
    <w:rsid w:val="001708D2"/>
    <w:rsid w:val="001711B8"/>
    <w:rsid w:val="0017125B"/>
    <w:rsid w:val="00171C81"/>
    <w:rsid w:val="00171FC5"/>
    <w:rsid w:val="0017292E"/>
    <w:rsid w:val="00173991"/>
    <w:rsid w:val="00174D23"/>
    <w:rsid w:val="00175B5E"/>
    <w:rsid w:val="00180F6B"/>
    <w:rsid w:val="00181B12"/>
    <w:rsid w:val="001821EA"/>
    <w:rsid w:val="001822DB"/>
    <w:rsid w:val="00182F5F"/>
    <w:rsid w:val="00183082"/>
    <w:rsid w:val="00183CE0"/>
    <w:rsid w:val="00184FFA"/>
    <w:rsid w:val="00185093"/>
    <w:rsid w:val="001850E7"/>
    <w:rsid w:val="00185112"/>
    <w:rsid w:val="00185924"/>
    <w:rsid w:val="00186FF8"/>
    <w:rsid w:val="001903BE"/>
    <w:rsid w:val="0019040A"/>
    <w:rsid w:val="00190C9A"/>
    <w:rsid w:val="00190D29"/>
    <w:rsid w:val="00191568"/>
    <w:rsid w:val="00191597"/>
    <w:rsid w:val="001919B1"/>
    <w:rsid w:val="001921A9"/>
    <w:rsid w:val="001925CC"/>
    <w:rsid w:val="00192FE8"/>
    <w:rsid w:val="001930A7"/>
    <w:rsid w:val="001935B3"/>
    <w:rsid w:val="00193633"/>
    <w:rsid w:val="00194067"/>
    <w:rsid w:val="00194786"/>
    <w:rsid w:val="0019681F"/>
    <w:rsid w:val="0019737F"/>
    <w:rsid w:val="00197BA9"/>
    <w:rsid w:val="001A1634"/>
    <w:rsid w:val="001A2B4F"/>
    <w:rsid w:val="001A2BBC"/>
    <w:rsid w:val="001A2C5C"/>
    <w:rsid w:val="001A378C"/>
    <w:rsid w:val="001A4060"/>
    <w:rsid w:val="001A42A3"/>
    <w:rsid w:val="001A6804"/>
    <w:rsid w:val="001A69D7"/>
    <w:rsid w:val="001A701E"/>
    <w:rsid w:val="001B0284"/>
    <w:rsid w:val="001B032E"/>
    <w:rsid w:val="001B0487"/>
    <w:rsid w:val="001B0F6A"/>
    <w:rsid w:val="001B12D7"/>
    <w:rsid w:val="001B197D"/>
    <w:rsid w:val="001B19F2"/>
    <w:rsid w:val="001B2D3C"/>
    <w:rsid w:val="001B2DC5"/>
    <w:rsid w:val="001B31AC"/>
    <w:rsid w:val="001B6E82"/>
    <w:rsid w:val="001B7196"/>
    <w:rsid w:val="001B790D"/>
    <w:rsid w:val="001C1877"/>
    <w:rsid w:val="001C1D82"/>
    <w:rsid w:val="001C2586"/>
    <w:rsid w:val="001C259F"/>
    <w:rsid w:val="001C2745"/>
    <w:rsid w:val="001C3904"/>
    <w:rsid w:val="001C3A94"/>
    <w:rsid w:val="001C3D34"/>
    <w:rsid w:val="001C3EC1"/>
    <w:rsid w:val="001C406E"/>
    <w:rsid w:val="001C467D"/>
    <w:rsid w:val="001C4DB8"/>
    <w:rsid w:val="001C77D7"/>
    <w:rsid w:val="001D1572"/>
    <w:rsid w:val="001D18B0"/>
    <w:rsid w:val="001D3CC6"/>
    <w:rsid w:val="001D4CBA"/>
    <w:rsid w:val="001D540C"/>
    <w:rsid w:val="001D591E"/>
    <w:rsid w:val="001D5ACA"/>
    <w:rsid w:val="001D5C6A"/>
    <w:rsid w:val="001D6E9E"/>
    <w:rsid w:val="001D7222"/>
    <w:rsid w:val="001E1AB1"/>
    <w:rsid w:val="001E1B7F"/>
    <w:rsid w:val="001E1C11"/>
    <w:rsid w:val="001E1E64"/>
    <w:rsid w:val="001E3FED"/>
    <w:rsid w:val="001E6363"/>
    <w:rsid w:val="001E7090"/>
    <w:rsid w:val="001E7F8D"/>
    <w:rsid w:val="001F1286"/>
    <w:rsid w:val="001F3298"/>
    <w:rsid w:val="001F53BF"/>
    <w:rsid w:val="001F56B2"/>
    <w:rsid w:val="001F5945"/>
    <w:rsid w:val="001F7004"/>
    <w:rsid w:val="001F7E34"/>
    <w:rsid w:val="0020034E"/>
    <w:rsid w:val="00203B04"/>
    <w:rsid w:val="00204900"/>
    <w:rsid w:val="00206145"/>
    <w:rsid w:val="00206C09"/>
    <w:rsid w:val="002074A9"/>
    <w:rsid w:val="00207BBE"/>
    <w:rsid w:val="002101DE"/>
    <w:rsid w:val="002117C8"/>
    <w:rsid w:val="00212F37"/>
    <w:rsid w:val="00213F13"/>
    <w:rsid w:val="00214406"/>
    <w:rsid w:val="00214B69"/>
    <w:rsid w:val="00214CAA"/>
    <w:rsid w:val="002157CF"/>
    <w:rsid w:val="0021646F"/>
    <w:rsid w:val="00217C23"/>
    <w:rsid w:val="002205D1"/>
    <w:rsid w:val="002214F0"/>
    <w:rsid w:val="0022163D"/>
    <w:rsid w:val="00222FD0"/>
    <w:rsid w:val="00224526"/>
    <w:rsid w:val="0022530F"/>
    <w:rsid w:val="00225EDA"/>
    <w:rsid w:val="002274E0"/>
    <w:rsid w:val="002279A5"/>
    <w:rsid w:val="00227BBB"/>
    <w:rsid w:val="0023057A"/>
    <w:rsid w:val="0023071D"/>
    <w:rsid w:val="00232758"/>
    <w:rsid w:val="0023299A"/>
    <w:rsid w:val="0023395F"/>
    <w:rsid w:val="00235256"/>
    <w:rsid w:val="00235947"/>
    <w:rsid w:val="0023766B"/>
    <w:rsid w:val="00241FC0"/>
    <w:rsid w:val="002430BB"/>
    <w:rsid w:val="00244787"/>
    <w:rsid w:val="00244AE3"/>
    <w:rsid w:val="00245E87"/>
    <w:rsid w:val="00246A98"/>
    <w:rsid w:val="002510AA"/>
    <w:rsid w:val="002518B4"/>
    <w:rsid w:val="00253B51"/>
    <w:rsid w:val="00254FF2"/>
    <w:rsid w:val="00255484"/>
    <w:rsid w:val="00255A57"/>
    <w:rsid w:val="0025646A"/>
    <w:rsid w:val="002571F1"/>
    <w:rsid w:val="00257A1B"/>
    <w:rsid w:val="00260780"/>
    <w:rsid w:val="00261C06"/>
    <w:rsid w:val="00261E2E"/>
    <w:rsid w:val="00262241"/>
    <w:rsid w:val="00262983"/>
    <w:rsid w:val="00263231"/>
    <w:rsid w:val="00263283"/>
    <w:rsid w:val="00263335"/>
    <w:rsid w:val="002639F3"/>
    <w:rsid w:val="00263D91"/>
    <w:rsid w:val="00264286"/>
    <w:rsid w:val="00264C96"/>
    <w:rsid w:val="00264FC1"/>
    <w:rsid w:val="002659D4"/>
    <w:rsid w:val="00267ABF"/>
    <w:rsid w:val="00267D2E"/>
    <w:rsid w:val="002703E1"/>
    <w:rsid w:val="00270AE6"/>
    <w:rsid w:val="00270FC9"/>
    <w:rsid w:val="00271D8D"/>
    <w:rsid w:val="002733FB"/>
    <w:rsid w:val="00273B72"/>
    <w:rsid w:val="00274298"/>
    <w:rsid w:val="00274F89"/>
    <w:rsid w:val="0027606E"/>
    <w:rsid w:val="002768B0"/>
    <w:rsid w:val="00276FD7"/>
    <w:rsid w:val="0028001A"/>
    <w:rsid w:val="00280B5B"/>
    <w:rsid w:val="00282C24"/>
    <w:rsid w:val="00282E76"/>
    <w:rsid w:val="002840C8"/>
    <w:rsid w:val="00284412"/>
    <w:rsid w:val="00284A22"/>
    <w:rsid w:val="002857C1"/>
    <w:rsid w:val="002859B6"/>
    <w:rsid w:val="00285A19"/>
    <w:rsid w:val="00285B59"/>
    <w:rsid w:val="00285B73"/>
    <w:rsid w:val="00286E6C"/>
    <w:rsid w:val="00287FF6"/>
    <w:rsid w:val="002901E0"/>
    <w:rsid w:val="00291921"/>
    <w:rsid w:val="00291E7D"/>
    <w:rsid w:val="00292233"/>
    <w:rsid w:val="00293BA5"/>
    <w:rsid w:val="00294171"/>
    <w:rsid w:val="00294306"/>
    <w:rsid w:val="00294C50"/>
    <w:rsid w:val="00296E78"/>
    <w:rsid w:val="00297346"/>
    <w:rsid w:val="002977CA"/>
    <w:rsid w:val="00297D0F"/>
    <w:rsid w:val="002A0F02"/>
    <w:rsid w:val="002A2C17"/>
    <w:rsid w:val="002A30FD"/>
    <w:rsid w:val="002A44A9"/>
    <w:rsid w:val="002A46AE"/>
    <w:rsid w:val="002A4F84"/>
    <w:rsid w:val="002A5CBE"/>
    <w:rsid w:val="002A5CE7"/>
    <w:rsid w:val="002A6565"/>
    <w:rsid w:val="002A791F"/>
    <w:rsid w:val="002A7B5D"/>
    <w:rsid w:val="002B0630"/>
    <w:rsid w:val="002B0C61"/>
    <w:rsid w:val="002B1AC5"/>
    <w:rsid w:val="002B1B80"/>
    <w:rsid w:val="002B3ECA"/>
    <w:rsid w:val="002B6243"/>
    <w:rsid w:val="002B63B0"/>
    <w:rsid w:val="002B6D64"/>
    <w:rsid w:val="002B6DCF"/>
    <w:rsid w:val="002C00AC"/>
    <w:rsid w:val="002C0185"/>
    <w:rsid w:val="002C0392"/>
    <w:rsid w:val="002C0581"/>
    <w:rsid w:val="002C0F5F"/>
    <w:rsid w:val="002C1CAC"/>
    <w:rsid w:val="002C2EF7"/>
    <w:rsid w:val="002C3C49"/>
    <w:rsid w:val="002C42E8"/>
    <w:rsid w:val="002C6AD3"/>
    <w:rsid w:val="002C6F61"/>
    <w:rsid w:val="002C728E"/>
    <w:rsid w:val="002C73F5"/>
    <w:rsid w:val="002D2ABD"/>
    <w:rsid w:val="002D31D5"/>
    <w:rsid w:val="002D5862"/>
    <w:rsid w:val="002D6BED"/>
    <w:rsid w:val="002D7B91"/>
    <w:rsid w:val="002E03AD"/>
    <w:rsid w:val="002E0882"/>
    <w:rsid w:val="002E0983"/>
    <w:rsid w:val="002E0A55"/>
    <w:rsid w:val="002E1042"/>
    <w:rsid w:val="002E3451"/>
    <w:rsid w:val="002E38C1"/>
    <w:rsid w:val="002E5FF8"/>
    <w:rsid w:val="002E652B"/>
    <w:rsid w:val="002E71FA"/>
    <w:rsid w:val="002F5CD9"/>
    <w:rsid w:val="002F61AD"/>
    <w:rsid w:val="002F62C0"/>
    <w:rsid w:val="002F714F"/>
    <w:rsid w:val="002F736A"/>
    <w:rsid w:val="002F7947"/>
    <w:rsid w:val="002F799C"/>
    <w:rsid w:val="00301307"/>
    <w:rsid w:val="0030149C"/>
    <w:rsid w:val="00301EEA"/>
    <w:rsid w:val="003036DC"/>
    <w:rsid w:val="003043B2"/>
    <w:rsid w:val="00304ACD"/>
    <w:rsid w:val="00305C93"/>
    <w:rsid w:val="003060DE"/>
    <w:rsid w:val="0030679E"/>
    <w:rsid w:val="00306D02"/>
    <w:rsid w:val="00306F64"/>
    <w:rsid w:val="00306F8D"/>
    <w:rsid w:val="00307CAF"/>
    <w:rsid w:val="00307D24"/>
    <w:rsid w:val="0031007B"/>
    <w:rsid w:val="0031009F"/>
    <w:rsid w:val="0031153A"/>
    <w:rsid w:val="003124F7"/>
    <w:rsid w:val="00314A20"/>
    <w:rsid w:val="00315E25"/>
    <w:rsid w:val="003161B5"/>
    <w:rsid w:val="00316220"/>
    <w:rsid w:val="00316DE0"/>
    <w:rsid w:val="00317A88"/>
    <w:rsid w:val="00317ECE"/>
    <w:rsid w:val="0032033D"/>
    <w:rsid w:val="00320689"/>
    <w:rsid w:val="00321652"/>
    <w:rsid w:val="00322A79"/>
    <w:rsid w:val="00322FAC"/>
    <w:rsid w:val="003239B9"/>
    <w:rsid w:val="0032454D"/>
    <w:rsid w:val="00324714"/>
    <w:rsid w:val="003259B0"/>
    <w:rsid w:val="00325B21"/>
    <w:rsid w:val="003268D0"/>
    <w:rsid w:val="00330401"/>
    <w:rsid w:val="0033136F"/>
    <w:rsid w:val="00331590"/>
    <w:rsid w:val="0033192A"/>
    <w:rsid w:val="003325BE"/>
    <w:rsid w:val="0033266B"/>
    <w:rsid w:val="00332ACA"/>
    <w:rsid w:val="00332E3F"/>
    <w:rsid w:val="003333A3"/>
    <w:rsid w:val="00334629"/>
    <w:rsid w:val="00334887"/>
    <w:rsid w:val="00334BDE"/>
    <w:rsid w:val="00336291"/>
    <w:rsid w:val="003417B7"/>
    <w:rsid w:val="0034188F"/>
    <w:rsid w:val="00341BAB"/>
    <w:rsid w:val="003427FA"/>
    <w:rsid w:val="00342EB5"/>
    <w:rsid w:val="00343A42"/>
    <w:rsid w:val="003449D6"/>
    <w:rsid w:val="00344FEB"/>
    <w:rsid w:val="003452F4"/>
    <w:rsid w:val="003454A5"/>
    <w:rsid w:val="00346234"/>
    <w:rsid w:val="00346802"/>
    <w:rsid w:val="003476CD"/>
    <w:rsid w:val="0034776E"/>
    <w:rsid w:val="003503D1"/>
    <w:rsid w:val="00351161"/>
    <w:rsid w:val="00352AE9"/>
    <w:rsid w:val="00352FA5"/>
    <w:rsid w:val="003536EC"/>
    <w:rsid w:val="00353728"/>
    <w:rsid w:val="0035504E"/>
    <w:rsid w:val="00356B27"/>
    <w:rsid w:val="00356C0F"/>
    <w:rsid w:val="00356CDE"/>
    <w:rsid w:val="00357A29"/>
    <w:rsid w:val="00360703"/>
    <w:rsid w:val="00360B97"/>
    <w:rsid w:val="00364218"/>
    <w:rsid w:val="003649C6"/>
    <w:rsid w:val="00364C4B"/>
    <w:rsid w:val="003658FC"/>
    <w:rsid w:val="00367AE5"/>
    <w:rsid w:val="00367BF6"/>
    <w:rsid w:val="003707B5"/>
    <w:rsid w:val="00372C37"/>
    <w:rsid w:val="00372D1F"/>
    <w:rsid w:val="003741E6"/>
    <w:rsid w:val="0037484A"/>
    <w:rsid w:val="003753AB"/>
    <w:rsid w:val="0037595F"/>
    <w:rsid w:val="0037615E"/>
    <w:rsid w:val="003814E6"/>
    <w:rsid w:val="003816F7"/>
    <w:rsid w:val="00381F32"/>
    <w:rsid w:val="003822DF"/>
    <w:rsid w:val="00382DB2"/>
    <w:rsid w:val="00383F2B"/>
    <w:rsid w:val="00385206"/>
    <w:rsid w:val="0038542F"/>
    <w:rsid w:val="003873AF"/>
    <w:rsid w:val="00387639"/>
    <w:rsid w:val="003901C3"/>
    <w:rsid w:val="00390477"/>
    <w:rsid w:val="003905D3"/>
    <w:rsid w:val="00390EC4"/>
    <w:rsid w:val="0039120B"/>
    <w:rsid w:val="003914E6"/>
    <w:rsid w:val="00392496"/>
    <w:rsid w:val="00393332"/>
    <w:rsid w:val="00393D45"/>
    <w:rsid w:val="00393E88"/>
    <w:rsid w:val="0039400D"/>
    <w:rsid w:val="003940CD"/>
    <w:rsid w:val="003954DD"/>
    <w:rsid w:val="003957C0"/>
    <w:rsid w:val="00395D29"/>
    <w:rsid w:val="00396A81"/>
    <w:rsid w:val="00397AF0"/>
    <w:rsid w:val="00397BD4"/>
    <w:rsid w:val="003A0D3A"/>
    <w:rsid w:val="003A1BAB"/>
    <w:rsid w:val="003A28B9"/>
    <w:rsid w:val="003A55C8"/>
    <w:rsid w:val="003A583B"/>
    <w:rsid w:val="003A678D"/>
    <w:rsid w:val="003A7036"/>
    <w:rsid w:val="003A7614"/>
    <w:rsid w:val="003B1B93"/>
    <w:rsid w:val="003B1E3B"/>
    <w:rsid w:val="003B2284"/>
    <w:rsid w:val="003B2419"/>
    <w:rsid w:val="003B28B9"/>
    <w:rsid w:val="003B3427"/>
    <w:rsid w:val="003B4433"/>
    <w:rsid w:val="003B4A72"/>
    <w:rsid w:val="003B5750"/>
    <w:rsid w:val="003B5C01"/>
    <w:rsid w:val="003B5FC8"/>
    <w:rsid w:val="003B66D3"/>
    <w:rsid w:val="003C048B"/>
    <w:rsid w:val="003C0CCA"/>
    <w:rsid w:val="003C13C9"/>
    <w:rsid w:val="003C19A5"/>
    <w:rsid w:val="003C19FE"/>
    <w:rsid w:val="003C5E20"/>
    <w:rsid w:val="003C66EE"/>
    <w:rsid w:val="003C6773"/>
    <w:rsid w:val="003C77E0"/>
    <w:rsid w:val="003D0156"/>
    <w:rsid w:val="003D0473"/>
    <w:rsid w:val="003D0D8C"/>
    <w:rsid w:val="003D16BF"/>
    <w:rsid w:val="003D2384"/>
    <w:rsid w:val="003D2828"/>
    <w:rsid w:val="003D4323"/>
    <w:rsid w:val="003D545D"/>
    <w:rsid w:val="003E289A"/>
    <w:rsid w:val="003E28A0"/>
    <w:rsid w:val="003E52F0"/>
    <w:rsid w:val="003F0221"/>
    <w:rsid w:val="003F0CF3"/>
    <w:rsid w:val="003F129C"/>
    <w:rsid w:val="003F1471"/>
    <w:rsid w:val="003F1888"/>
    <w:rsid w:val="003F27C4"/>
    <w:rsid w:val="003F29B4"/>
    <w:rsid w:val="003F3455"/>
    <w:rsid w:val="003F3D2A"/>
    <w:rsid w:val="003F3F50"/>
    <w:rsid w:val="003F54AE"/>
    <w:rsid w:val="003F62C8"/>
    <w:rsid w:val="004010B7"/>
    <w:rsid w:val="004023A3"/>
    <w:rsid w:val="0040248D"/>
    <w:rsid w:val="004034F2"/>
    <w:rsid w:val="00403531"/>
    <w:rsid w:val="004039BD"/>
    <w:rsid w:val="00403EA5"/>
    <w:rsid w:val="00406338"/>
    <w:rsid w:val="00406DAA"/>
    <w:rsid w:val="00410346"/>
    <w:rsid w:val="0041092A"/>
    <w:rsid w:val="00412BE5"/>
    <w:rsid w:val="004145FE"/>
    <w:rsid w:val="00414627"/>
    <w:rsid w:val="004151A0"/>
    <w:rsid w:val="004161CC"/>
    <w:rsid w:val="0041751A"/>
    <w:rsid w:val="00420376"/>
    <w:rsid w:val="00421904"/>
    <w:rsid w:val="00423711"/>
    <w:rsid w:val="00423A70"/>
    <w:rsid w:val="00423DFC"/>
    <w:rsid w:val="004240CD"/>
    <w:rsid w:val="00424360"/>
    <w:rsid w:val="004249A7"/>
    <w:rsid w:val="00424A13"/>
    <w:rsid w:val="00425A3C"/>
    <w:rsid w:val="004264ED"/>
    <w:rsid w:val="00426D6B"/>
    <w:rsid w:val="00427165"/>
    <w:rsid w:val="0043175C"/>
    <w:rsid w:val="00431CA9"/>
    <w:rsid w:val="00432472"/>
    <w:rsid w:val="004327BC"/>
    <w:rsid w:val="004333D4"/>
    <w:rsid w:val="00433D48"/>
    <w:rsid w:val="00434C26"/>
    <w:rsid w:val="004359D6"/>
    <w:rsid w:val="004363E5"/>
    <w:rsid w:val="004400C8"/>
    <w:rsid w:val="004410AD"/>
    <w:rsid w:val="004435AF"/>
    <w:rsid w:val="00444495"/>
    <w:rsid w:val="00444F75"/>
    <w:rsid w:val="0044714D"/>
    <w:rsid w:val="00451FC2"/>
    <w:rsid w:val="00452C3B"/>
    <w:rsid w:val="00453430"/>
    <w:rsid w:val="004534BC"/>
    <w:rsid w:val="00453639"/>
    <w:rsid w:val="004538D4"/>
    <w:rsid w:val="00453CB5"/>
    <w:rsid w:val="00454285"/>
    <w:rsid w:val="0045525C"/>
    <w:rsid w:val="00455E02"/>
    <w:rsid w:val="0045621C"/>
    <w:rsid w:val="004574D6"/>
    <w:rsid w:val="0046030E"/>
    <w:rsid w:val="0046062C"/>
    <w:rsid w:val="00460674"/>
    <w:rsid w:val="00460A66"/>
    <w:rsid w:val="00463C66"/>
    <w:rsid w:val="00464113"/>
    <w:rsid w:val="00465598"/>
    <w:rsid w:val="00466DBC"/>
    <w:rsid w:val="00467632"/>
    <w:rsid w:val="00470005"/>
    <w:rsid w:val="004714F9"/>
    <w:rsid w:val="004718A7"/>
    <w:rsid w:val="00471A7D"/>
    <w:rsid w:val="00471B91"/>
    <w:rsid w:val="00472199"/>
    <w:rsid w:val="00472667"/>
    <w:rsid w:val="00472FB1"/>
    <w:rsid w:val="004745FD"/>
    <w:rsid w:val="0047570D"/>
    <w:rsid w:val="004771EE"/>
    <w:rsid w:val="00477627"/>
    <w:rsid w:val="00480B35"/>
    <w:rsid w:val="0048253E"/>
    <w:rsid w:val="00482A9D"/>
    <w:rsid w:val="00482E7C"/>
    <w:rsid w:val="0048306F"/>
    <w:rsid w:val="00483273"/>
    <w:rsid w:val="0048350E"/>
    <w:rsid w:val="00483691"/>
    <w:rsid w:val="004843BC"/>
    <w:rsid w:val="004849BD"/>
    <w:rsid w:val="00485F2C"/>
    <w:rsid w:val="00485FCC"/>
    <w:rsid w:val="00486519"/>
    <w:rsid w:val="0048676E"/>
    <w:rsid w:val="00486A4E"/>
    <w:rsid w:val="00486FE9"/>
    <w:rsid w:val="00487E95"/>
    <w:rsid w:val="004905F8"/>
    <w:rsid w:val="00490D3C"/>
    <w:rsid w:val="004912EA"/>
    <w:rsid w:val="00493B22"/>
    <w:rsid w:val="00493FAD"/>
    <w:rsid w:val="00494980"/>
    <w:rsid w:val="00495278"/>
    <w:rsid w:val="00495355"/>
    <w:rsid w:val="004954E9"/>
    <w:rsid w:val="00496961"/>
    <w:rsid w:val="00497815"/>
    <w:rsid w:val="004979CC"/>
    <w:rsid w:val="004A0005"/>
    <w:rsid w:val="004A0816"/>
    <w:rsid w:val="004A2F87"/>
    <w:rsid w:val="004A3A07"/>
    <w:rsid w:val="004A4825"/>
    <w:rsid w:val="004A4D76"/>
    <w:rsid w:val="004A6165"/>
    <w:rsid w:val="004B47C0"/>
    <w:rsid w:val="004B4BBC"/>
    <w:rsid w:val="004B632A"/>
    <w:rsid w:val="004B7F95"/>
    <w:rsid w:val="004C0594"/>
    <w:rsid w:val="004C0A98"/>
    <w:rsid w:val="004C158F"/>
    <w:rsid w:val="004C1E1C"/>
    <w:rsid w:val="004C5FEA"/>
    <w:rsid w:val="004C6B53"/>
    <w:rsid w:val="004C7286"/>
    <w:rsid w:val="004C728C"/>
    <w:rsid w:val="004D044B"/>
    <w:rsid w:val="004D0C16"/>
    <w:rsid w:val="004D1017"/>
    <w:rsid w:val="004D14AB"/>
    <w:rsid w:val="004D2D29"/>
    <w:rsid w:val="004D3289"/>
    <w:rsid w:val="004D3E3C"/>
    <w:rsid w:val="004D3FB3"/>
    <w:rsid w:val="004D4005"/>
    <w:rsid w:val="004D43C1"/>
    <w:rsid w:val="004D48BA"/>
    <w:rsid w:val="004D4AB2"/>
    <w:rsid w:val="004D4F17"/>
    <w:rsid w:val="004D4F34"/>
    <w:rsid w:val="004D5408"/>
    <w:rsid w:val="004D6C66"/>
    <w:rsid w:val="004D7715"/>
    <w:rsid w:val="004D7AF2"/>
    <w:rsid w:val="004E088E"/>
    <w:rsid w:val="004E1A4F"/>
    <w:rsid w:val="004E2247"/>
    <w:rsid w:val="004E2955"/>
    <w:rsid w:val="004E2AE6"/>
    <w:rsid w:val="004E356B"/>
    <w:rsid w:val="004E4361"/>
    <w:rsid w:val="004E467F"/>
    <w:rsid w:val="004E4BE2"/>
    <w:rsid w:val="004E4DD0"/>
    <w:rsid w:val="004E5A90"/>
    <w:rsid w:val="004E6249"/>
    <w:rsid w:val="004E6CFE"/>
    <w:rsid w:val="004E6E54"/>
    <w:rsid w:val="004E7875"/>
    <w:rsid w:val="004F0591"/>
    <w:rsid w:val="004F0A8F"/>
    <w:rsid w:val="004F1203"/>
    <w:rsid w:val="004F3B7A"/>
    <w:rsid w:val="004F3C18"/>
    <w:rsid w:val="004F42B6"/>
    <w:rsid w:val="004F450A"/>
    <w:rsid w:val="004F4B1C"/>
    <w:rsid w:val="004F5915"/>
    <w:rsid w:val="004F6829"/>
    <w:rsid w:val="004F6F7D"/>
    <w:rsid w:val="00500509"/>
    <w:rsid w:val="00500E2A"/>
    <w:rsid w:val="0050279C"/>
    <w:rsid w:val="00504F79"/>
    <w:rsid w:val="00505896"/>
    <w:rsid w:val="005062C6"/>
    <w:rsid w:val="00506684"/>
    <w:rsid w:val="005067E6"/>
    <w:rsid w:val="00507313"/>
    <w:rsid w:val="005077A3"/>
    <w:rsid w:val="005101DC"/>
    <w:rsid w:val="005113A3"/>
    <w:rsid w:val="00511402"/>
    <w:rsid w:val="0051199B"/>
    <w:rsid w:val="00511FD4"/>
    <w:rsid w:val="005134D4"/>
    <w:rsid w:val="00513C55"/>
    <w:rsid w:val="0051581E"/>
    <w:rsid w:val="005160E6"/>
    <w:rsid w:val="00516796"/>
    <w:rsid w:val="00516B20"/>
    <w:rsid w:val="00516B63"/>
    <w:rsid w:val="0051704F"/>
    <w:rsid w:val="00520598"/>
    <w:rsid w:val="00520D45"/>
    <w:rsid w:val="00522400"/>
    <w:rsid w:val="005224B0"/>
    <w:rsid w:val="005232B1"/>
    <w:rsid w:val="005243A8"/>
    <w:rsid w:val="005244E2"/>
    <w:rsid w:val="005248FE"/>
    <w:rsid w:val="005254B3"/>
    <w:rsid w:val="00525F66"/>
    <w:rsid w:val="00527175"/>
    <w:rsid w:val="00530B9E"/>
    <w:rsid w:val="0053127B"/>
    <w:rsid w:val="005314B0"/>
    <w:rsid w:val="00531545"/>
    <w:rsid w:val="00531E80"/>
    <w:rsid w:val="00532C21"/>
    <w:rsid w:val="00532C23"/>
    <w:rsid w:val="0053378F"/>
    <w:rsid w:val="00534259"/>
    <w:rsid w:val="00534F85"/>
    <w:rsid w:val="00535585"/>
    <w:rsid w:val="00535915"/>
    <w:rsid w:val="00535E76"/>
    <w:rsid w:val="005361AE"/>
    <w:rsid w:val="005369FC"/>
    <w:rsid w:val="00536C3A"/>
    <w:rsid w:val="005374BC"/>
    <w:rsid w:val="00537547"/>
    <w:rsid w:val="0053755B"/>
    <w:rsid w:val="00540197"/>
    <w:rsid w:val="00540A06"/>
    <w:rsid w:val="00543846"/>
    <w:rsid w:val="00544D9B"/>
    <w:rsid w:val="00544DBF"/>
    <w:rsid w:val="00545688"/>
    <w:rsid w:val="005472AB"/>
    <w:rsid w:val="00547752"/>
    <w:rsid w:val="0054784D"/>
    <w:rsid w:val="00550B90"/>
    <w:rsid w:val="005516FE"/>
    <w:rsid w:val="00551D5F"/>
    <w:rsid w:val="00553C62"/>
    <w:rsid w:val="0055427F"/>
    <w:rsid w:val="00554377"/>
    <w:rsid w:val="00554633"/>
    <w:rsid w:val="00554C81"/>
    <w:rsid w:val="00555A71"/>
    <w:rsid w:val="0055632E"/>
    <w:rsid w:val="0056073B"/>
    <w:rsid w:val="005640D8"/>
    <w:rsid w:val="00564856"/>
    <w:rsid w:val="005654A4"/>
    <w:rsid w:val="005656E2"/>
    <w:rsid w:val="00565B2C"/>
    <w:rsid w:val="00565DD4"/>
    <w:rsid w:val="00565E37"/>
    <w:rsid w:val="005663CD"/>
    <w:rsid w:val="005672DA"/>
    <w:rsid w:val="0056779A"/>
    <w:rsid w:val="00570B3A"/>
    <w:rsid w:val="00571E26"/>
    <w:rsid w:val="00573627"/>
    <w:rsid w:val="00573C30"/>
    <w:rsid w:val="00573E69"/>
    <w:rsid w:val="0057409D"/>
    <w:rsid w:val="005747C1"/>
    <w:rsid w:val="005747F6"/>
    <w:rsid w:val="005757FA"/>
    <w:rsid w:val="00576113"/>
    <w:rsid w:val="00577B41"/>
    <w:rsid w:val="00580063"/>
    <w:rsid w:val="00580CAC"/>
    <w:rsid w:val="00580F57"/>
    <w:rsid w:val="00581E16"/>
    <w:rsid w:val="0058345B"/>
    <w:rsid w:val="005838AC"/>
    <w:rsid w:val="00584D15"/>
    <w:rsid w:val="00584D47"/>
    <w:rsid w:val="005857FE"/>
    <w:rsid w:val="00585AE8"/>
    <w:rsid w:val="00585D4A"/>
    <w:rsid w:val="00585E34"/>
    <w:rsid w:val="0058636E"/>
    <w:rsid w:val="0058661C"/>
    <w:rsid w:val="005876B5"/>
    <w:rsid w:val="0059098F"/>
    <w:rsid w:val="00592554"/>
    <w:rsid w:val="00592B7C"/>
    <w:rsid w:val="00593006"/>
    <w:rsid w:val="005930E9"/>
    <w:rsid w:val="00593487"/>
    <w:rsid w:val="00593828"/>
    <w:rsid w:val="005939B8"/>
    <w:rsid w:val="00594771"/>
    <w:rsid w:val="00594DFE"/>
    <w:rsid w:val="005954F8"/>
    <w:rsid w:val="00596004"/>
    <w:rsid w:val="00596B8C"/>
    <w:rsid w:val="005A0AD4"/>
    <w:rsid w:val="005A0B38"/>
    <w:rsid w:val="005A108B"/>
    <w:rsid w:val="005A2CF2"/>
    <w:rsid w:val="005A341E"/>
    <w:rsid w:val="005A37E3"/>
    <w:rsid w:val="005A38B5"/>
    <w:rsid w:val="005A40DE"/>
    <w:rsid w:val="005A5036"/>
    <w:rsid w:val="005A53C2"/>
    <w:rsid w:val="005A5414"/>
    <w:rsid w:val="005A6518"/>
    <w:rsid w:val="005A6689"/>
    <w:rsid w:val="005B054F"/>
    <w:rsid w:val="005B0899"/>
    <w:rsid w:val="005B154B"/>
    <w:rsid w:val="005B2B1A"/>
    <w:rsid w:val="005B340A"/>
    <w:rsid w:val="005B3633"/>
    <w:rsid w:val="005B42B7"/>
    <w:rsid w:val="005B4481"/>
    <w:rsid w:val="005B46BB"/>
    <w:rsid w:val="005B5997"/>
    <w:rsid w:val="005C0DFC"/>
    <w:rsid w:val="005C0EB2"/>
    <w:rsid w:val="005C15CE"/>
    <w:rsid w:val="005C1C2F"/>
    <w:rsid w:val="005C22DE"/>
    <w:rsid w:val="005C22EA"/>
    <w:rsid w:val="005C25AF"/>
    <w:rsid w:val="005C2A9E"/>
    <w:rsid w:val="005C3EFD"/>
    <w:rsid w:val="005C4118"/>
    <w:rsid w:val="005C4ADC"/>
    <w:rsid w:val="005C6289"/>
    <w:rsid w:val="005D02A2"/>
    <w:rsid w:val="005D0F9E"/>
    <w:rsid w:val="005D20D8"/>
    <w:rsid w:val="005D23B7"/>
    <w:rsid w:val="005D520B"/>
    <w:rsid w:val="005D6304"/>
    <w:rsid w:val="005D694A"/>
    <w:rsid w:val="005D752C"/>
    <w:rsid w:val="005D7549"/>
    <w:rsid w:val="005E0072"/>
    <w:rsid w:val="005E0593"/>
    <w:rsid w:val="005E0C17"/>
    <w:rsid w:val="005E1B90"/>
    <w:rsid w:val="005E2A50"/>
    <w:rsid w:val="005E2B5E"/>
    <w:rsid w:val="005E39D0"/>
    <w:rsid w:val="005E4623"/>
    <w:rsid w:val="005E4B32"/>
    <w:rsid w:val="005E54E1"/>
    <w:rsid w:val="005E55F4"/>
    <w:rsid w:val="005E5647"/>
    <w:rsid w:val="005E564C"/>
    <w:rsid w:val="005E639D"/>
    <w:rsid w:val="005E728F"/>
    <w:rsid w:val="005E77C8"/>
    <w:rsid w:val="005F0001"/>
    <w:rsid w:val="005F0401"/>
    <w:rsid w:val="005F0DDE"/>
    <w:rsid w:val="005F0F57"/>
    <w:rsid w:val="005F1B86"/>
    <w:rsid w:val="005F1E73"/>
    <w:rsid w:val="005F2060"/>
    <w:rsid w:val="005F26FC"/>
    <w:rsid w:val="005F478A"/>
    <w:rsid w:val="005F59D5"/>
    <w:rsid w:val="005F644C"/>
    <w:rsid w:val="005F6AD5"/>
    <w:rsid w:val="005F77C5"/>
    <w:rsid w:val="005F793E"/>
    <w:rsid w:val="00600378"/>
    <w:rsid w:val="00601DAE"/>
    <w:rsid w:val="0060363A"/>
    <w:rsid w:val="00603CB9"/>
    <w:rsid w:val="006071F2"/>
    <w:rsid w:val="006077D4"/>
    <w:rsid w:val="00607CB7"/>
    <w:rsid w:val="00610D71"/>
    <w:rsid w:val="00610E21"/>
    <w:rsid w:val="00610E68"/>
    <w:rsid w:val="00611995"/>
    <w:rsid w:val="00611D39"/>
    <w:rsid w:val="00611F92"/>
    <w:rsid w:val="00613368"/>
    <w:rsid w:val="00614F7D"/>
    <w:rsid w:val="0061573A"/>
    <w:rsid w:val="00615B5C"/>
    <w:rsid w:val="00617429"/>
    <w:rsid w:val="00620417"/>
    <w:rsid w:val="0062156F"/>
    <w:rsid w:val="00621D99"/>
    <w:rsid w:val="00623B11"/>
    <w:rsid w:val="006251FE"/>
    <w:rsid w:val="006258BD"/>
    <w:rsid w:val="00625987"/>
    <w:rsid w:val="00625E52"/>
    <w:rsid w:val="00626FFF"/>
    <w:rsid w:val="0062744B"/>
    <w:rsid w:val="00627F55"/>
    <w:rsid w:val="006303D1"/>
    <w:rsid w:val="00630859"/>
    <w:rsid w:val="00630A26"/>
    <w:rsid w:val="00631FF5"/>
    <w:rsid w:val="00632F5E"/>
    <w:rsid w:val="00634874"/>
    <w:rsid w:val="00634A35"/>
    <w:rsid w:val="00635575"/>
    <w:rsid w:val="006361FF"/>
    <w:rsid w:val="00636C2A"/>
    <w:rsid w:val="00636D45"/>
    <w:rsid w:val="006371B7"/>
    <w:rsid w:val="00640091"/>
    <w:rsid w:val="0064099D"/>
    <w:rsid w:val="00640C7E"/>
    <w:rsid w:val="00641187"/>
    <w:rsid w:val="006412E7"/>
    <w:rsid w:val="00641B37"/>
    <w:rsid w:val="0064338F"/>
    <w:rsid w:val="0064386B"/>
    <w:rsid w:val="00643AAD"/>
    <w:rsid w:val="00643F51"/>
    <w:rsid w:val="00644EDE"/>
    <w:rsid w:val="00645F0B"/>
    <w:rsid w:val="0064646A"/>
    <w:rsid w:val="00646BBB"/>
    <w:rsid w:val="00646BC4"/>
    <w:rsid w:val="00650576"/>
    <w:rsid w:val="00650EB6"/>
    <w:rsid w:val="00652197"/>
    <w:rsid w:val="00652297"/>
    <w:rsid w:val="00652E87"/>
    <w:rsid w:val="0065351E"/>
    <w:rsid w:val="00654BBD"/>
    <w:rsid w:val="00655D56"/>
    <w:rsid w:val="0065655B"/>
    <w:rsid w:val="00656E48"/>
    <w:rsid w:val="00656ECA"/>
    <w:rsid w:val="006615C2"/>
    <w:rsid w:val="00661FAD"/>
    <w:rsid w:val="006626EF"/>
    <w:rsid w:val="00662ACF"/>
    <w:rsid w:val="00664882"/>
    <w:rsid w:val="00664DD8"/>
    <w:rsid w:val="00665CC3"/>
    <w:rsid w:val="00667C35"/>
    <w:rsid w:val="00670384"/>
    <w:rsid w:val="00670738"/>
    <w:rsid w:val="00671D7C"/>
    <w:rsid w:val="00672E21"/>
    <w:rsid w:val="00672E58"/>
    <w:rsid w:val="0067359C"/>
    <w:rsid w:val="00673D74"/>
    <w:rsid w:val="00673E18"/>
    <w:rsid w:val="006751EA"/>
    <w:rsid w:val="006753F3"/>
    <w:rsid w:val="00676509"/>
    <w:rsid w:val="006771AB"/>
    <w:rsid w:val="00680F5A"/>
    <w:rsid w:val="00682F34"/>
    <w:rsid w:val="00682FE0"/>
    <w:rsid w:val="006837CE"/>
    <w:rsid w:val="00684504"/>
    <w:rsid w:val="00685B65"/>
    <w:rsid w:val="00685FE9"/>
    <w:rsid w:val="006868B9"/>
    <w:rsid w:val="00687CD8"/>
    <w:rsid w:val="006904AE"/>
    <w:rsid w:val="00691302"/>
    <w:rsid w:val="00691486"/>
    <w:rsid w:val="00691A7C"/>
    <w:rsid w:val="00692022"/>
    <w:rsid w:val="00692D14"/>
    <w:rsid w:val="0069467F"/>
    <w:rsid w:val="00694DE8"/>
    <w:rsid w:val="00695034"/>
    <w:rsid w:val="006972FB"/>
    <w:rsid w:val="00697AD0"/>
    <w:rsid w:val="00697EED"/>
    <w:rsid w:val="00697FD0"/>
    <w:rsid w:val="006A0128"/>
    <w:rsid w:val="006A0313"/>
    <w:rsid w:val="006A0DD8"/>
    <w:rsid w:val="006A1097"/>
    <w:rsid w:val="006A11FB"/>
    <w:rsid w:val="006A256E"/>
    <w:rsid w:val="006A272B"/>
    <w:rsid w:val="006A403F"/>
    <w:rsid w:val="006A458E"/>
    <w:rsid w:val="006A4C71"/>
    <w:rsid w:val="006A5757"/>
    <w:rsid w:val="006A5966"/>
    <w:rsid w:val="006A5CF1"/>
    <w:rsid w:val="006A659D"/>
    <w:rsid w:val="006A79C5"/>
    <w:rsid w:val="006B090C"/>
    <w:rsid w:val="006B0F9B"/>
    <w:rsid w:val="006B1FBD"/>
    <w:rsid w:val="006B33AB"/>
    <w:rsid w:val="006B3FB9"/>
    <w:rsid w:val="006B4EDC"/>
    <w:rsid w:val="006B4F8F"/>
    <w:rsid w:val="006B788D"/>
    <w:rsid w:val="006B7C73"/>
    <w:rsid w:val="006C01EA"/>
    <w:rsid w:val="006C10B8"/>
    <w:rsid w:val="006C1146"/>
    <w:rsid w:val="006C1ABF"/>
    <w:rsid w:val="006C1E0D"/>
    <w:rsid w:val="006C2E7C"/>
    <w:rsid w:val="006C39BF"/>
    <w:rsid w:val="006C41D0"/>
    <w:rsid w:val="006C4660"/>
    <w:rsid w:val="006C47A8"/>
    <w:rsid w:val="006C48A3"/>
    <w:rsid w:val="006C566A"/>
    <w:rsid w:val="006C63B1"/>
    <w:rsid w:val="006C6B4C"/>
    <w:rsid w:val="006C700E"/>
    <w:rsid w:val="006D01E1"/>
    <w:rsid w:val="006D1F74"/>
    <w:rsid w:val="006D3657"/>
    <w:rsid w:val="006D37EB"/>
    <w:rsid w:val="006D4530"/>
    <w:rsid w:val="006D49D3"/>
    <w:rsid w:val="006D4F0A"/>
    <w:rsid w:val="006D5892"/>
    <w:rsid w:val="006D647D"/>
    <w:rsid w:val="006D76FF"/>
    <w:rsid w:val="006E0314"/>
    <w:rsid w:val="006E0F0D"/>
    <w:rsid w:val="006E2714"/>
    <w:rsid w:val="006E3A34"/>
    <w:rsid w:val="006E44BE"/>
    <w:rsid w:val="006E52F6"/>
    <w:rsid w:val="006E7767"/>
    <w:rsid w:val="006E788B"/>
    <w:rsid w:val="006F19C8"/>
    <w:rsid w:val="006F39D8"/>
    <w:rsid w:val="006F3C12"/>
    <w:rsid w:val="006F61B1"/>
    <w:rsid w:val="006F6339"/>
    <w:rsid w:val="006F6E89"/>
    <w:rsid w:val="00700CC3"/>
    <w:rsid w:val="0070125B"/>
    <w:rsid w:val="00702895"/>
    <w:rsid w:val="00704813"/>
    <w:rsid w:val="0070520E"/>
    <w:rsid w:val="007054E6"/>
    <w:rsid w:val="00706DEC"/>
    <w:rsid w:val="007120AE"/>
    <w:rsid w:val="007122E8"/>
    <w:rsid w:val="007132AB"/>
    <w:rsid w:val="007134F7"/>
    <w:rsid w:val="0071439C"/>
    <w:rsid w:val="007161CA"/>
    <w:rsid w:val="007172E8"/>
    <w:rsid w:val="00717EEB"/>
    <w:rsid w:val="007203BA"/>
    <w:rsid w:val="00722948"/>
    <w:rsid w:val="00722F56"/>
    <w:rsid w:val="00723F80"/>
    <w:rsid w:val="00724ECA"/>
    <w:rsid w:val="00725AA6"/>
    <w:rsid w:val="00727B9A"/>
    <w:rsid w:val="00727D92"/>
    <w:rsid w:val="007319F9"/>
    <w:rsid w:val="00731B29"/>
    <w:rsid w:val="00731DAA"/>
    <w:rsid w:val="007327EA"/>
    <w:rsid w:val="0073302E"/>
    <w:rsid w:val="007330BC"/>
    <w:rsid w:val="00734900"/>
    <w:rsid w:val="00734C99"/>
    <w:rsid w:val="007353BF"/>
    <w:rsid w:val="00735D79"/>
    <w:rsid w:val="00736B6D"/>
    <w:rsid w:val="0074043C"/>
    <w:rsid w:val="007419F1"/>
    <w:rsid w:val="00741EDB"/>
    <w:rsid w:val="00743B3F"/>
    <w:rsid w:val="007454E0"/>
    <w:rsid w:val="00746130"/>
    <w:rsid w:val="00746614"/>
    <w:rsid w:val="00746E5E"/>
    <w:rsid w:val="007476F9"/>
    <w:rsid w:val="00750687"/>
    <w:rsid w:val="00750C4F"/>
    <w:rsid w:val="00751093"/>
    <w:rsid w:val="00752561"/>
    <w:rsid w:val="00752CEA"/>
    <w:rsid w:val="007530C5"/>
    <w:rsid w:val="00753754"/>
    <w:rsid w:val="00753F43"/>
    <w:rsid w:val="007544B9"/>
    <w:rsid w:val="00754731"/>
    <w:rsid w:val="00755728"/>
    <w:rsid w:val="007557B1"/>
    <w:rsid w:val="00755F05"/>
    <w:rsid w:val="00756954"/>
    <w:rsid w:val="00756B11"/>
    <w:rsid w:val="00756C4E"/>
    <w:rsid w:val="00756F59"/>
    <w:rsid w:val="0075753A"/>
    <w:rsid w:val="00760AA6"/>
    <w:rsid w:val="00760FCB"/>
    <w:rsid w:val="00761232"/>
    <w:rsid w:val="007612C6"/>
    <w:rsid w:val="007612EC"/>
    <w:rsid w:val="00761962"/>
    <w:rsid w:val="0076309A"/>
    <w:rsid w:val="00764768"/>
    <w:rsid w:val="007663ED"/>
    <w:rsid w:val="00766585"/>
    <w:rsid w:val="007665AF"/>
    <w:rsid w:val="00767BD1"/>
    <w:rsid w:val="007711D9"/>
    <w:rsid w:val="00771DA0"/>
    <w:rsid w:val="00771FC9"/>
    <w:rsid w:val="00773AA4"/>
    <w:rsid w:val="00773F49"/>
    <w:rsid w:val="00773F9D"/>
    <w:rsid w:val="00774149"/>
    <w:rsid w:val="00775AC8"/>
    <w:rsid w:val="00775FA2"/>
    <w:rsid w:val="00776B79"/>
    <w:rsid w:val="007770F8"/>
    <w:rsid w:val="007771F1"/>
    <w:rsid w:val="00777596"/>
    <w:rsid w:val="00777960"/>
    <w:rsid w:val="00780382"/>
    <w:rsid w:val="00780650"/>
    <w:rsid w:val="007828C0"/>
    <w:rsid w:val="007844D7"/>
    <w:rsid w:val="00785208"/>
    <w:rsid w:val="00785EC4"/>
    <w:rsid w:val="007860B6"/>
    <w:rsid w:val="00787014"/>
    <w:rsid w:val="007906EB"/>
    <w:rsid w:val="00791188"/>
    <w:rsid w:val="007920FE"/>
    <w:rsid w:val="0079410B"/>
    <w:rsid w:val="0079577C"/>
    <w:rsid w:val="00797CAB"/>
    <w:rsid w:val="00797CEE"/>
    <w:rsid w:val="007A01FE"/>
    <w:rsid w:val="007A03B7"/>
    <w:rsid w:val="007A0BE8"/>
    <w:rsid w:val="007A140D"/>
    <w:rsid w:val="007A286E"/>
    <w:rsid w:val="007A2907"/>
    <w:rsid w:val="007A3140"/>
    <w:rsid w:val="007A338C"/>
    <w:rsid w:val="007A3D9B"/>
    <w:rsid w:val="007A3FC1"/>
    <w:rsid w:val="007A5A29"/>
    <w:rsid w:val="007A68ED"/>
    <w:rsid w:val="007A7B07"/>
    <w:rsid w:val="007B008C"/>
    <w:rsid w:val="007B0489"/>
    <w:rsid w:val="007B0839"/>
    <w:rsid w:val="007B0B7F"/>
    <w:rsid w:val="007B12C4"/>
    <w:rsid w:val="007B138C"/>
    <w:rsid w:val="007B256A"/>
    <w:rsid w:val="007B2DAD"/>
    <w:rsid w:val="007B3D50"/>
    <w:rsid w:val="007B42BF"/>
    <w:rsid w:val="007B4D35"/>
    <w:rsid w:val="007B53D1"/>
    <w:rsid w:val="007B57CE"/>
    <w:rsid w:val="007B6820"/>
    <w:rsid w:val="007B693C"/>
    <w:rsid w:val="007B6CDD"/>
    <w:rsid w:val="007C037E"/>
    <w:rsid w:val="007C0B45"/>
    <w:rsid w:val="007C1739"/>
    <w:rsid w:val="007C1FA0"/>
    <w:rsid w:val="007C4006"/>
    <w:rsid w:val="007C4268"/>
    <w:rsid w:val="007C42BA"/>
    <w:rsid w:val="007C5BD8"/>
    <w:rsid w:val="007C635F"/>
    <w:rsid w:val="007D092D"/>
    <w:rsid w:val="007D18C3"/>
    <w:rsid w:val="007D192B"/>
    <w:rsid w:val="007D22B4"/>
    <w:rsid w:val="007D28B7"/>
    <w:rsid w:val="007D3491"/>
    <w:rsid w:val="007D354C"/>
    <w:rsid w:val="007D3D6D"/>
    <w:rsid w:val="007D48DC"/>
    <w:rsid w:val="007D5474"/>
    <w:rsid w:val="007D6AF0"/>
    <w:rsid w:val="007E04D4"/>
    <w:rsid w:val="007E2A2A"/>
    <w:rsid w:val="007E3185"/>
    <w:rsid w:val="007E38FB"/>
    <w:rsid w:val="007E45E5"/>
    <w:rsid w:val="007E517F"/>
    <w:rsid w:val="007E5321"/>
    <w:rsid w:val="007F0C16"/>
    <w:rsid w:val="007F0EE6"/>
    <w:rsid w:val="007F1297"/>
    <w:rsid w:val="007F129C"/>
    <w:rsid w:val="007F2F8B"/>
    <w:rsid w:val="007F5746"/>
    <w:rsid w:val="007F6137"/>
    <w:rsid w:val="007F67C7"/>
    <w:rsid w:val="007F6CEF"/>
    <w:rsid w:val="007F6E37"/>
    <w:rsid w:val="00800B08"/>
    <w:rsid w:val="00801057"/>
    <w:rsid w:val="00801224"/>
    <w:rsid w:val="0080146B"/>
    <w:rsid w:val="0080167C"/>
    <w:rsid w:val="00801AFB"/>
    <w:rsid w:val="0080260C"/>
    <w:rsid w:val="00802DCD"/>
    <w:rsid w:val="00802ECA"/>
    <w:rsid w:val="00803DC8"/>
    <w:rsid w:val="00804F18"/>
    <w:rsid w:val="00806832"/>
    <w:rsid w:val="008071BE"/>
    <w:rsid w:val="0080767E"/>
    <w:rsid w:val="0081033F"/>
    <w:rsid w:val="00810AF0"/>
    <w:rsid w:val="00813F4B"/>
    <w:rsid w:val="00814B4D"/>
    <w:rsid w:val="00815879"/>
    <w:rsid w:val="00815C75"/>
    <w:rsid w:val="0081613E"/>
    <w:rsid w:val="00817047"/>
    <w:rsid w:val="008177A2"/>
    <w:rsid w:val="0082176F"/>
    <w:rsid w:val="0082199C"/>
    <w:rsid w:val="008237C2"/>
    <w:rsid w:val="00825A5E"/>
    <w:rsid w:val="00826985"/>
    <w:rsid w:val="00826D88"/>
    <w:rsid w:val="00830620"/>
    <w:rsid w:val="00830DDC"/>
    <w:rsid w:val="00831282"/>
    <w:rsid w:val="0083230A"/>
    <w:rsid w:val="008323B2"/>
    <w:rsid w:val="0083250E"/>
    <w:rsid w:val="008341B6"/>
    <w:rsid w:val="00834E25"/>
    <w:rsid w:val="00834F37"/>
    <w:rsid w:val="008361E1"/>
    <w:rsid w:val="00836211"/>
    <w:rsid w:val="00836389"/>
    <w:rsid w:val="0084111C"/>
    <w:rsid w:val="0084226D"/>
    <w:rsid w:val="00843074"/>
    <w:rsid w:val="00844137"/>
    <w:rsid w:val="008447E6"/>
    <w:rsid w:val="00844CB0"/>
    <w:rsid w:val="00845548"/>
    <w:rsid w:val="00845CF8"/>
    <w:rsid w:val="0084686E"/>
    <w:rsid w:val="00846A75"/>
    <w:rsid w:val="00847933"/>
    <w:rsid w:val="0085019F"/>
    <w:rsid w:val="008502A9"/>
    <w:rsid w:val="0085070C"/>
    <w:rsid w:val="0085207D"/>
    <w:rsid w:val="00852796"/>
    <w:rsid w:val="0085341F"/>
    <w:rsid w:val="00853875"/>
    <w:rsid w:val="0085389A"/>
    <w:rsid w:val="00854111"/>
    <w:rsid w:val="00854489"/>
    <w:rsid w:val="008551A7"/>
    <w:rsid w:val="00855992"/>
    <w:rsid w:val="0085754C"/>
    <w:rsid w:val="00860039"/>
    <w:rsid w:val="008606B9"/>
    <w:rsid w:val="00861752"/>
    <w:rsid w:val="00861B69"/>
    <w:rsid w:val="00861D56"/>
    <w:rsid w:val="00862143"/>
    <w:rsid w:val="00863767"/>
    <w:rsid w:val="00863A24"/>
    <w:rsid w:val="00863A71"/>
    <w:rsid w:val="00864E47"/>
    <w:rsid w:val="00865910"/>
    <w:rsid w:val="00865EE9"/>
    <w:rsid w:val="008660D4"/>
    <w:rsid w:val="00870E1D"/>
    <w:rsid w:val="00871DA2"/>
    <w:rsid w:val="00871FCF"/>
    <w:rsid w:val="008721B8"/>
    <w:rsid w:val="008750A5"/>
    <w:rsid w:val="00876030"/>
    <w:rsid w:val="008779D5"/>
    <w:rsid w:val="0088037D"/>
    <w:rsid w:val="00881023"/>
    <w:rsid w:val="008810FA"/>
    <w:rsid w:val="00881396"/>
    <w:rsid w:val="00881459"/>
    <w:rsid w:val="0088199F"/>
    <w:rsid w:val="00883710"/>
    <w:rsid w:val="00883783"/>
    <w:rsid w:val="008837F3"/>
    <w:rsid w:val="008839F8"/>
    <w:rsid w:val="00885864"/>
    <w:rsid w:val="00885BFE"/>
    <w:rsid w:val="00890061"/>
    <w:rsid w:val="008902E6"/>
    <w:rsid w:val="00890C73"/>
    <w:rsid w:val="00891051"/>
    <w:rsid w:val="00892432"/>
    <w:rsid w:val="00892829"/>
    <w:rsid w:val="008940AB"/>
    <w:rsid w:val="00894285"/>
    <w:rsid w:val="0089522A"/>
    <w:rsid w:val="008966DB"/>
    <w:rsid w:val="008975C2"/>
    <w:rsid w:val="008A13A1"/>
    <w:rsid w:val="008A3D4B"/>
    <w:rsid w:val="008A5244"/>
    <w:rsid w:val="008A79C9"/>
    <w:rsid w:val="008B2F8A"/>
    <w:rsid w:val="008B3B43"/>
    <w:rsid w:val="008B3BA6"/>
    <w:rsid w:val="008B3F7B"/>
    <w:rsid w:val="008B5064"/>
    <w:rsid w:val="008B5523"/>
    <w:rsid w:val="008B7EB3"/>
    <w:rsid w:val="008C17BA"/>
    <w:rsid w:val="008C2F6D"/>
    <w:rsid w:val="008C343B"/>
    <w:rsid w:val="008C4702"/>
    <w:rsid w:val="008C50F9"/>
    <w:rsid w:val="008C5969"/>
    <w:rsid w:val="008C5B93"/>
    <w:rsid w:val="008C6A16"/>
    <w:rsid w:val="008C7464"/>
    <w:rsid w:val="008C753C"/>
    <w:rsid w:val="008D1187"/>
    <w:rsid w:val="008D13DC"/>
    <w:rsid w:val="008D19E6"/>
    <w:rsid w:val="008D24DC"/>
    <w:rsid w:val="008D2934"/>
    <w:rsid w:val="008D34C1"/>
    <w:rsid w:val="008D3F16"/>
    <w:rsid w:val="008D3F8B"/>
    <w:rsid w:val="008D4BE6"/>
    <w:rsid w:val="008D4C22"/>
    <w:rsid w:val="008D64C9"/>
    <w:rsid w:val="008D7F55"/>
    <w:rsid w:val="008E1249"/>
    <w:rsid w:val="008E14DB"/>
    <w:rsid w:val="008E1B0F"/>
    <w:rsid w:val="008E21D7"/>
    <w:rsid w:val="008E2600"/>
    <w:rsid w:val="008E29B9"/>
    <w:rsid w:val="008E30ED"/>
    <w:rsid w:val="008E3202"/>
    <w:rsid w:val="008E517E"/>
    <w:rsid w:val="008E6030"/>
    <w:rsid w:val="008E6274"/>
    <w:rsid w:val="008F3180"/>
    <w:rsid w:val="008F35C0"/>
    <w:rsid w:val="008F3634"/>
    <w:rsid w:val="008F421E"/>
    <w:rsid w:val="008F422C"/>
    <w:rsid w:val="008F50F8"/>
    <w:rsid w:val="008F56BC"/>
    <w:rsid w:val="008F56E6"/>
    <w:rsid w:val="008F6B3C"/>
    <w:rsid w:val="0090123D"/>
    <w:rsid w:val="009017D7"/>
    <w:rsid w:val="00903D2C"/>
    <w:rsid w:val="00905BB2"/>
    <w:rsid w:val="00906672"/>
    <w:rsid w:val="00906989"/>
    <w:rsid w:val="00907DB1"/>
    <w:rsid w:val="009102E2"/>
    <w:rsid w:val="00911E33"/>
    <w:rsid w:val="009133D1"/>
    <w:rsid w:val="00914FFD"/>
    <w:rsid w:val="00915114"/>
    <w:rsid w:val="009151C0"/>
    <w:rsid w:val="00917B4D"/>
    <w:rsid w:val="009213AB"/>
    <w:rsid w:val="0092449D"/>
    <w:rsid w:val="0092482D"/>
    <w:rsid w:val="009252F0"/>
    <w:rsid w:val="0092551E"/>
    <w:rsid w:val="00925949"/>
    <w:rsid w:val="00925F5B"/>
    <w:rsid w:val="00925F94"/>
    <w:rsid w:val="00926076"/>
    <w:rsid w:val="0092713F"/>
    <w:rsid w:val="009304BF"/>
    <w:rsid w:val="009307D7"/>
    <w:rsid w:val="00930E42"/>
    <w:rsid w:val="00930E5E"/>
    <w:rsid w:val="009311BA"/>
    <w:rsid w:val="00931DE6"/>
    <w:rsid w:val="009330ED"/>
    <w:rsid w:val="009342E6"/>
    <w:rsid w:val="00934393"/>
    <w:rsid w:val="00934ACE"/>
    <w:rsid w:val="00935177"/>
    <w:rsid w:val="00936CAE"/>
    <w:rsid w:val="0094128B"/>
    <w:rsid w:val="009433FD"/>
    <w:rsid w:val="00943C34"/>
    <w:rsid w:val="00945993"/>
    <w:rsid w:val="0094628D"/>
    <w:rsid w:val="00946312"/>
    <w:rsid w:val="009469F4"/>
    <w:rsid w:val="00946C49"/>
    <w:rsid w:val="00947944"/>
    <w:rsid w:val="0095142E"/>
    <w:rsid w:val="0095143D"/>
    <w:rsid w:val="0095370A"/>
    <w:rsid w:val="0095469D"/>
    <w:rsid w:val="00955158"/>
    <w:rsid w:val="009552CA"/>
    <w:rsid w:val="00955361"/>
    <w:rsid w:val="009569EF"/>
    <w:rsid w:val="00956A43"/>
    <w:rsid w:val="00957085"/>
    <w:rsid w:val="00963AC6"/>
    <w:rsid w:val="009643BF"/>
    <w:rsid w:val="0096492D"/>
    <w:rsid w:val="00964BBB"/>
    <w:rsid w:val="00964C87"/>
    <w:rsid w:val="00965030"/>
    <w:rsid w:val="00966312"/>
    <w:rsid w:val="0096631A"/>
    <w:rsid w:val="009667C4"/>
    <w:rsid w:val="00966ADA"/>
    <w:rsid w:val="00966BB1"/>
    <w:rsid w:val="00967CFF"/>
    <w:rsid w:val="0097094F"/>
    <w:rsid w:val="009714C8"/>
    <w:rsid w:val="00971806"/>
    <w:rsid w:val="00971B8A"/>
    <w:rsid w:val="00972AF4"/>
    <w:rsid w:val="009731D8"/>
    <w:rsid w:val="00974727"/>
    <w:rsid w:val="0097530B"/>
    <w:rsid w:val="009756EF"/>
    <w:rsid w:val="00976257"/>
    <w:rsid w:val="00977070"/>
    <w:rsid w:val="009771ED"/>
    <w:rsid w:val="009772C9"/>
    <w:rsid w:val="009802A0"/>
    <w:rsid w:val="00980F0F"/>
    <w:rsid w:val="0098207C"/>
    <w:rsid w:val="009829EE"/>
    <w:rsid w:val="009834B5"/>
    <w:rsid w:val="0098415C"/>
    <w:rsid w:val="00984606"/>
    <w:rsid w:val="00984A76"/>
    <w:rsid w:val="00985BDE"/>
    <w:rsid w:val="00985D25"/>
    <w:rsid w:val="009912B7"/>
    <w:rsid w:val="009924CF"/>
    <w:rsid w:val="00992659"/>
    <w:rsid w:val="009927AC"/>
    <w:rsid w:val="009928DD"/>
    <w:rsid w:val="00993015"/>
    <w:rsid w:val="009933D1"/>
    <w:rsid w:val="0099431C"/>
    <w:rsid w:val="00994470"/>
    <w:rsid w:val="009948E5"/>
    <w:rsid w:val="00994D6A"/>
    <w:rsid w:val="00994E9B"/>
    <w:rsid w:val="009A0033"/>
    <w:rsid w:val="009A13B4"/>
    <w:rsid w:val="009A19DB"/>
    <w:rsid w:val="009A1E47"/>
    <w:rsid w:val="009A2150"/>
    <w:rsid w:val="009A2D50"/>
    <w:rsid w:val="009A3C28"/>
    <w:rsid w:val="009A49B5"/>
    <w:rsid w:val="009A5EFC"/>
    <w:rsid w:val="009A5F3B"/>
    <w:rsid w:val="009B07F0"/>
    <w:rsid w:val="009B1228"/>
    <w:rsid w:val="009B1FAA"/>
    <w:rsid w:val="009B21B5"/>
    <w:rsid w:val="009B3D4D"/>
    <w:rsid w:val="009B3DBB"/>
    <w:rsid w:val="009B5438"/>
    <w:rsid w:val="009B5502"/>
    <w:rsid w:val="009B7A42"/>
    <w:rsid w:val="009B7CDD"/>
    <w:rsid w:val="009C08E7"/>
    <w:rsid w:val="009C0B87"/>
    <w:rsid w:val="009C1BB4"/>
    <w:rsid w:val="009C20B6"/>
    <w:rsid w:val="009C292C"/>
    <w:rsid w:val="009C2DB2"/>
    <w:rsid w:val="009C3AF0"/>
    <w:rsid w:val="009C4A4F"/>
    <w:rsid w:val="009C62B6"/>
    <w:rsid w:val="009C7A68"/>
    <w:rsid w:val="009C7BFC"/>
    <w:rsid w:val="009D01A4"/>
    <w:rsid w:val="009D07BA"/>
    <w:rsid w:val="009D0A48"/>
    <w:rsid w:val="009D1051"/>
    <w:rsid w:val="009D1E3E"/>
    <w:rsid w:val="009D2454"/>
    <w:rsid w:val="009D263A"/>
    <w:rsid w:val="009D2DBE"/>
    <w:rsid w:val="009D46F1"/>
    <w:rsid w:val="009D4A7C"/>
    <w:rsid w:val="009D4A88"/>
    <w:rsid w:val="009D68F5"/>
    <w:rsid w:val="009D6E90"/>
    <w:rsid w:val="009D7988"/>
    <w:rsid w:val="009D7AE5"/>
    <w:rsid w:val="009E04F1"/>
    <w:rsid w:val="009E1A7E"/>
    <w:rsid w:val="009E251F"/>
    <w:rsid w:val="009E385D"/>
    <w:rsid w:val="009E57DA"/>
    <w:rsid w:val="009E5993"/>
    <w:rsid w:val="009E671B"/>
    <w:rsid w:val="009E67A7"/>
    <w:rsid w:val="009E70C8"/>
    <w:rsid w:val="009E78AA"/>
    <w:rsid w:val="009F0292"/>
    <w:rsid w:val="009F1795"/>
    <w:rsid w:val="009F19F8"/>
    <w:rsid w:val="009F3923"/>
    <w:rsid w:val="009F4958"/>
    <w:rsid w:val="009F6873"/>
    <w:rsid w:val="009F7930"/>
    <w:rsid w:val="00A00119"/>
    <w:rsid w:val="00A03A9E"/>
    <w:rsid w:val="00A03D2C"/>
    <w:rsid w:val="00A03E8B"/>
    <w:rsid w:val="00A04AAF"/>
    <w:rsid w:val="00A04BA3"/>
    <w:rsid w:val="00A0555C"/>
    <w:rsid w:val="00A05A7D"/>
    <w:rsid w:val="00A06E5B"/>
    <w:rsid w:val="00A07150"/>
    <w:rsid w:val="00A0721C"/>
    <w:rsid w:val="00A107FA"/>
    <w:rsid w:val="00A1289D"/>
    <w:rsid w:val="00A13F0F"/>
    <w:rsid w:val="00A14542"/>
    <w:rsid w:val="00A1573C"/>
    <w:rsid w:val="00A20406"/>
    <w:rsid w:val="00A204F4"/>
    <w:rsid w:val="00A213CA"/>
    <w:rsid w:val="00A22BA9"/>
    <w:rsid w:val="00A23E9F"/>
    <w:rsid w:val="00A26F75"/>
    <w:rsid w:val="00A27B13"/>
    <w:rsid w:val="00A3055C"/>
    <w:rsid w:val="00A30624"/>
    <w:rsid w:val="00A31D8E"/>
    <w:rsid w:val="00A31F0D"/>
    <w:rsid w:val="00A32072"/>
    <w:rsid w:val="00A334A7"/>
    <w:rsid w:val="00A3383D"/>
    <w:rsid w:val="00A33919"/>
    <w:rsid w:val="00A3485F"/>
    <w:rsid w:val="00A34FBD"/>
    <w:rsid w:val="00A362B8"/>
    <w:rsid w:val="00A36389"/>
    <w:rsid w:val="00A36B96"/>
    <w:rsid w:val="00A37A8C"/>
    <w:rsid w:val="00A37F82"/>
    <w:rsid w:val="00A4007B"/>
    <w:rsid w:val="00A40C69"/>
    <w:rsid w:val="00A42713"/>
    <w:rsid w:val="00A44774"/>
    <w:rsid w:val="00A47FCF"/>
    <w:rsid w:val="00A50132"/>
    <w:rsid w:val="00A5400A"/>
    <w:rsid w:val="00A5480B"/>
    <w:rsid w:val="00A5791E"/>
    <w:rsid w:val="00A61551"/>
    <w:rsid w:val="00A61D95"/>
    <w:rsid w:val="00A641D3"/>
    <w:rsid w:val="00A64E34"/>
    <w:rsid w:val="00A70C81"/>
    <w:rsid w:val="00A7282C"/>
    <w:rsid w:val="00A73334"/>
    <w:rsid w:val="00A733BF"/>
    <w:rsid w:val="00A77372"/>
    <w:rsid w:val="00A80397"/>
    <w:rsid w:val="00A81F6C"/>
    <w:rsid w:val="00A82597"/>
    <w:rsid w:val="00A82901"/>
    <w:rsid w:val="00A8339B"/>
    <w:rsid w:val="00A84A2E"/>
    <w:rsid w:val="00A8620B"/>
    <w:rsid w:val="00A90E6D"/>
    <w:rsid w:val="00A9157A"/>
    <w:rsid w:val="00A919E9"/>
    <w:rsid w:val="00A93EDB"/>
    <w:rsid w:val="00A942C0"/>
    <w:rsid w:val="00A94C10"/>
    <w:rsid w:val="00A95102"/>
    <w:rsid w:val="00A957C9"/>
    <w:rsid w:val="00A95F01"/>
    <w:rsid w:val="00A971D1"/>
    <w:rsid w:val="00A97226"/>
    <w:rsid w:val="00A9737C"/>
    <w:rsid w:val="00AA12AB"/>
    <w:rsid w:val="00AA1505"/>
    <w:rsid w:val="00AA22E2"/>
    <w:rsid w:val="00AA32F8"/>
    <w:rsid w:val="00AA39CC"/>
    <w:rsid w:val="00AA3DE9"/>
    <w:rsid w:val="00AA41A0"/>
    <w:rsid w:val="00AA543E"/>
    <w:rsid w:val="00AA5E54"/>
    <w:rsid w:val="00AA6EB5"/>
    <w:rsid w:val="00AB0C4C"/>
    <w:rsid w:val="00AB3458"/>
    <w:rsid w:val="00AB4AEE"/>
    <w:rsid w:val="00AB4B2D"/>
    <w:rsid w:val="00AB5B93"/>
    <w:rsid w:val="00AB6B19"/>
    <w:rsid w:val="00AB7056"/>
    <w:rsid w:val="00AB7F9F"/>
    <w:rsid w:val="00AC1D96"/>
    <w:rsid w:val="00AC1F31"/>
    <w:rsid w:val="00AC3BD9"/>
    <w:rsid w:val="00AC3C12"/>
    <w:rsid w:val="00AC42FA"/>
    <w:rsid w:val="00AC50C8"/>
    <w:rsid w:val="00AC55EB"/>
    <w:rsid w:val="00AC7583"/>
    <w:rsid w:val="00AC783B"/>
    <w:rsid w:val="00AD0A42"/>
    <w:rsid w:val="00AD10CE"/>
    <w:rsid w:val="00AD17F8"/>
    <w:rsid w:val="00AD1AB5"/>
    <w:rsid w:val="00AD2EDF"/>
    <w:rsid w:val="00AD4720"/>
    <w:rsid w:val="00AD5447"/>
    <w:rsid w:val="00AD656C"/>
    <w:rsid w:val="00AE07B9"/>
    <w:rsid w:val="00AE2304"/>
    <w:rsid w:val="00AE241B"/>
    <w:rsid w:val="00AE2D4D"/>
    <w:rsid w:val="00AE43EB"/>
    <w:rsid w:val="00AE498D"/>
    <w:rsid w:val="00AE6766"/>
    <w:rsid w:val="00AE7257"/>
    <w:rsid w:val="00AF0472"/>
    <w:rsid w:val="00AF0863"/>
    <w:rsid w:val="00AF103C"/>
    <w:rsid w:val="00AF226A"/>
    <w:rsid w:val="00AF4BE7"/>
    <w:rsid w:val="00AF74EB"/>
    <w:rsid w:val="00AF78DB"/>
    <w:rsid w:val="00B00A2A"/>
    <w:rsid w:val="00B00E22"/>
    <w:rsid w:val="00B00F4C"/>
    <w:rsid w:val="00B015EE"/>
    <w:rsid w:val="00B01B27"/>
    <w:rsid w:val="00B0235E"/>
    <w:rsid w:val="00B037E3"/>
    <w:rsid w:val="00B040AC"/>
    <w:rsid w:val="00B05758"/>
    <w:rsid w:val="00B0585F"/>
    <w:rsid w:val="00B05E8E"/>
    <w:rsid w:val="00B06122"/>
    <w:rsid w:val="00B063BE"/>
    <w:rsid w:val="00B07323"/>
    <w:rsid w:val="00B07701"/>
    <w:rsid w:val="00B07B94"/>
    <w:rsid w:val="00B10AB6"/>
    <w:rsid w:val="00B10FF1"/>
    <w:rsid w:val="00B11F4C"/>
    <w:rsid w:val="00B127C8"/>
    <w:rsid w:val="00B13769"/>
    <w:rsid w:val="00B1393A"/>
    <w:rsid w:val="00B13F72"/>
    <w:rsid w:val="00B153E5"/>
    <w:rsid w:val="00B16600"/>
    <w:rsid w:val="00B177EC"/>
    <w:rsid w:val="00B177FE"/>
    <w:rsid w:val="00B224F9"/>
    <w:rsid w:val="00B22F29"/>
    <w:rsid w:val="00B247AA"/>
    <w:rsid w:val="00B276DA"/>
    <w:rsid w:val="00B27A76"/>
    <w:rsid w:val="00B27DEC"/>
    <w:rsid w:val="00B29BBB"/>
    <w:rsid w:val="00B30348"/>
    <w:rsid w:val="00B315AD"/>
    <w:rsid w:val="00B330AE"/>
    <w:rsid w:val="00B3364C"/>
    <w:rsid w:val="00B33C79"/>
    <w:rsid w:val="00B34599"/>
    <w:rsid w:val="00B35489"/>
    <w:rsid w:val="00B36B73"/>
    <w:rsid w:val="00B36FD7"/>
    <w:rsid w:val="00B4070C"/>
    <w:rsid w:val="00B41597"/>
    <w:rsid w:val="00B42E72"/>
    <w:rsid w:val="00B43CE1"/>
    <w:rsid w:val="00B43DEC"/>
    <w:rsid w:val="00B43F39"/>
    <w:rsid w:val="00B45BEE"/>
    <w:rsid w:val="00B45DFA"/>
    <w:rsid w:val="00B45E4F"/>
    <w:rsid w:val="00B47A21"/>
    <w:rsid w:val="00B519E1"/>
    <w:rsid w:val="00B5279A"/>
    <w:rsid w:val="00B5323A"/>
    <w:rsid w:val="00B53AA3"/>
    <w:rsid w:val="00B554D3"/>
    <w:rsid w:val="00B56B46"/>
    <w:rsid w:val="00B56D41"/>
    <w:rsid w:val="00B57375"/>
    <w:rsid w:val="00B57E22"/>
    <w:rsid w:val="00B60306"/>
    <w:rsid w:val="00B60765"/>
    <w:rsid w:val="00B614D7"/>
    <w:rsid w:val="00B61754"/>
    <w:rsid w:val="00B628BF"/>
    <w:rsid w:val="00B629E6"/>
    <w:rsid w:val="00B631B0"/>
    <w:rsid w:val="00B64A9D"/>
    <w:rsid w:val="00B664EF"/>
    <w:rsid w:val="00B70E7E"/>
    <w:rsid w:val="00B735BA"/>
    <w:rsid w:val="00B7388D"/>
    <w:rsid w:val="00B738B0"/>
    <w:rsid w:val="00B741D0"/>
    <w:rsid w:val="00B74F8E"/>
    <w:rsid w:val="00B7503B"/>
    <w:rsid w:val="00B76951"/>
    <w:rsid w:val="00B76B76"/>
    <w:rsid w:val="00B80406"/>
    <w:rsid w:val="00B80521"/>
    <w:rsid w:val="00B80F5B"/>
    <w:rsid w:val="00B81CA4"/>
    <w:rsid w:val="00B8308C"/>
    <w:rsid w:val="00B8351A"/>
    <w:rsid w:val="00B83554"/>
    <w:rsid w:val="00B85287"/>
    <w:rsid w:val="00B87772"/>
    <w:rsid w:val="00B87DEF"/>
    <w:rsid w:val="00B90616"/>
    <w:rsid w:val="00B91314"/>
    <w:rsid w:val="00B915A7"/>
    <w:rsid w:val="00B91F37"/>
    <w:rsid w:val="00B920A1"/>
    <w:rsid w:val="00B92D45"/>
    <w:rsid w:val="00B9327B"/>
    <w:rsid w:val="00B9516E"/>
    <w:rsid w:val="00B954F8"/>
    <w:rsid w:val="00B95590"/>
    <w:rsid w:val="00B95EFA"/>
    <w:rsid w:val="00B962BB"/>
    <w:rsid w:val="00B96E0F"/>
    <w:rsid w:val="00BA0EF3"/>
    <w:rsid w:val="00BA17B5"/>
    <w:rsid w:val="00BA2282"/>
    <w:rsid w:val="00BA2633"/>
    <w:rsid w:val="00BA38C9"/>
    <w:rsid w:val="00BA47C3"/>
    <w:rsid w:val="00BA5928"/>
    <w:rsid w:val="00BA5D62"/>
    <w:rsid w:val="00BA6719"/>
    <w:rsid w:val="00BA72E0"/>
    <w:rsid w:val="00BB3C52"/>
    <w:rsid w:val="00BB46C4"/>
    <w:rsid w:val="00BB4710"/>
    <w:rsid w:val="00BB4D47"/>
    <w:rsid w:val="00BB59CD"/>
    <w:rsid w:val="00BB5A9F"/>
    <w:rsid w:val="00BB600C"/>
    <w:rsid w:val="00BB6BB7"/>
    <w:rsid w:val="00BB7DFC"/>
    <w:rsid w:val="00BB7F65"/>
    <w:rsid w:val="00BC022A"/>
    <w:rsid w:val="00BC14BC"/>
    <w:rsid w:val="00BC1F75"/>
    <w:rsid w:val="00BC3D1C"/>
    <w:rsid w:val="00BC43FB"/>
    <w:rsid w:val="00BC5CF9"/>
    <w:rsid w:val="00BC6114"/>
    <w:rsid w:val="00BC6254"/>
    <w:rsid w:val="00BD0046"/>
    <w:rsid w:val="00BD0839"/>
    <w:rsid w:val="00BD0DBA"/>
    <w:rsid w:val="00BD172E"/>
    <w:rsid w:val="00BD1DE9"/>
    <w:rsid w:val="00BD1E43"/>
    <w:rsid w:val="00BD1FEE"/>
    <w:rsid w:val="00BD237D"/>
    <w:rsid w:val="00BD2F19"/>
    <w:rsid w:val="00BD34CD"/>
    <w:rsid w:val="00BD3894"/>
    <w:rsid w:val="00BD3BE4"/>
    <w:rsid w:val="00BD4BCE"/>
    <w:rsid w:val="00BD4E5D"/>
    <w:rsid w:val="00BD4EFD"/>
    <w:rsid w:val="00BD5EF9"/>
    <w:rsid w:val="00BD62EA"/>
    <w:rsid w:val="00BD6671"/>
    <w:rsid w:val="00BD7134"/>
    <w:rsid w:val="00BE01DD"/>
    <w:rsid w:val="00BE0DA0"/>
    <w:rsid w:val="00BE2AB1"/>
    <w:rsid w:val="00BE411F"/>
    <w:rsid w:val="00BE4270"/>
    <w:rsid w:val="00BE5258"/>
    <w:rsid w:val="00BE5C69"/>
    <w:rsid w:val="00BE66F8"/>
    <w:rsid w:val="00BE715D"/>
    <w:rsid w:val="00BE7CDD"/>
    <w:rsid w:val="00BF04C1"/>
    <w:rsid w:val="00BF26E3"/>
    <w:rsid w:val="00BF2ABC"/>
    <w:rsid w:val="00BF431C"/>
    <w:rsid w:val="00BF442C"/>
    <w:rsid w:val="00BF49FA"/>
    <w:rsid w:val="00BF4A4B"/>
    <w:rsid w:val="00BF4D04"/>
    <w:rsid w:val="00BF6818"/>
    <w:rsid w:val="00BF6BFF"/>
    <w:rsid w:val="00C007F4"/>
    <w:rsid w:val="00C01C22"/>
    <w:rsid w:val="00C04F59"/>
    <w:rsid w:val="00C058BA"/>
    <w:rsid w:val="00C06BE6"/>
    <w:rsid w:val="00C078E2"/>
    <w:rsid w:val="00C07B99"/>
    <w:rsid w:val="00C111A8"/>
    <w:rsid w:val="00C1185B"/>
    <w:rsid w:val="00C12C54"/>
    <w:rsid w:val="00C12DCF"/>
    <w:rsid w:val="00C14E8F"/>
    <w:rsid w:val="00C15E90"/>
    <w:rsid w:val="00C1617F"/>
    <w:rsid w:val="00C21E0A"/>
    <w:rsid w:val="00C21F4F"/>
    <w:rsid w:val="00C2241D"/>
    <w:rsid w:val="00C22B50"/>
    <w:rsid w:val="00C235A7"/>
    <w:rsid w:val="00C2384A"/>
    <w:rsid w:val="00C24068"/>
    <w:rsid w:val="00C24424"/>
    <w:rsid w:val="00C245E7"/>
    <w:rsid w:val="00C25AE2"/>
    <w:rsid w:val="00C26435"/>
    <w:rsid w:val="00C26B13"/>
    <w:rsid w:val="00C30EA5"/>
    <w:rsid w:val="00C31E67"/>
    <w:rsid w:val="00C327B6"/>
    <w:rsid w:val="00C32FE5"/>
    <w:rsid w:val="00C33B48"/>
    <w:rsid w:val="00C33EE7"/>
    <w:rsid w:val="00C3495D"/>
    <w:rsid w:val="00C34D1D"/>
    <w:rsid w:val="00C34D52"/>
    <w:rsid w:val="00C36406"/>
    <w:rsid w:val="00C36A72"/>
    <w:rsid w:val="00C36C18"/>
    <w:rsid w:val="00C372DD"/>
    <w:rsid w:val="00C3792E"/>
    <w:rsid w:val="00C42CE1"/>
    <w:rsid w:val="00C43795"/>
    <w:rsid w:val="00C44092"/>
    <w:rsid w:val="00C4436D"/>
    <w:rsid w:val="00C44856"/>
    <w:rsid w:val="00C44A12"/>
    <w:rsid w:val="00C47384"/>
    <w:rsid w:val="00C4790D"/>
    <w:rsid w:val="00C47E15"/>
    <w:rsid w:val="00C503CA"/>
    <w:rsid w:val="00C509D9"/>
    <w:rsid w:val="00C517A1"/>
    <w:rsid w:val="00C5192D"/>
    <w:rsid w:val="00C5322D"/>
    <w:rsid w:val="00C544F6"/>
    <w:rsid w:val="00C5465C"/>
    <w:rsid w:val="00C55C42"/>
    <w:rsid w:val="00C567F1"/>
    <w:rsid w:val="00C56F79"/>
    <w:rsid w:val="00C577A1"/>
    <w:rsid w:val="00C577EF"/>
    <w:rsid w:val="00C600CF"/>
    <w:rsid w:val="00C60296"/>
    <w:rsid w:val="00C60546"/>
    <w:rsid w:val="00C6214B"/>
    <w:rsid w:val="00C637F3"/>
    <w:rsid w:val="00C64508"/>
    <w:rsid w:val="00C6514E"/>
    <w:rsid w:val="00C668F5"/>
    <w:rsid w:val="00C705BD"/>
    <w:rsid w:val="00C70BE6"/>
    <w:rsid w:val="00C722AA"/>
    <w:rsid w:val="00C7272D"/>
    <w:rsid w:val="00C74683"/>
    <w:rsid w:val="00C75F46"/>
    <w:rsid w:val="00C77EAA"/>
    <w:rsid w:val="00C80390"/>
    <w:rsid w:val="00C824AD"/>
    <w:rsid w:val="00C8328F"/>
    <w:rsid w:val="00C8352F"/>
    <w:rsid w:val="00C8399B"/>
    <w:rsid w:val="00C85423"/>
    <w:rsid w:val="00C86A98"/>
    <w:rsid w:val="00C905CF"/>
    <w:rsid w:val="00C90697"/>
    <w:rsid w:val="00C90AA3"/>
    <w:rsid w:val="00C932C9"/>
    <w:rsid w:val="00C934B5"/>
    <w:rsid w:val="00C93788"/>
    <w:rsid w:val="00C9453B"/>
    <w:rsid w:val="00C95FE6"/>
    <w:rsid w:val="00C96033"/>
    <w:rsid w:val="00C97F61"/>
    <w:rsid w:val="00CA07E1"/>
    <w:rsid w:val="00CA07EB"/>
    <w:rsid w:val="00CA1406"/>
    <w:rsid w:val="00CA2465"/>
    <w:rsid w:val="00CA3612"/>
    <w:rsid w:val="00CA3E7A"/>
    <w:rsid w:val="00CA4D1A"/>
    <w:rsid w:val="00CA4D5E"/>
    <w:rsid w:val="00CA5EF4"/>
    <w:rsid w:val="00CA6B8C"/>
    <w:rsid w:val="00CB111D"/>
    <w:rsid w:val="00CB1544"/>
    <w:rsid w:val="00CB1764"/>
    <w:rsid w:val="00CB19E6"/>
    <w:rsid w:val="00CB1BE3"/>
    <w:rsid w:val="00CB1F78"/>
    <w:rsid w:val="00CB2E8F"/>
    <w:rsid w:val="00CB38A5"/>
    <w:rsid w:val="00CB4531"/>
    <w:rsid w:val="00CB4A35"/>
    <w:rsid w:val="00CB5C26"/>
    <w:rsid w:val="00CB6930"/>
    <w:rsid w:val="00CB6D26"/>
    <w:rsid w:val="00CB72C7"/>
    <w:rsid w:val="00CB7C93"/>
    <w:rsid w:val="00CC05EA"/>
    <w:rsid w:val="00CC2B39"/>
    <w:rsid w:val="00CC33F7"/>
    <w:rsid w:val="00CC4071"/>
    <w:rsid w:val="00CC6719"/>
    <w:rsid w:val="00CC6960"/>
    <w:rsid w:val="00CC726B"/>
    <w:rsid w:val="00CD0801"/>
    <w:rsid w:val="00CD099E"/>
    <w:rsid w:val="00CD166C"/>
    <w:rsid w:val="00CD1A34"/>
    <w:rsid w:val="00CD1C0A"/>
    <w:rsid w:val="00CD1F99"/>
    <w:rsid w:val="00CD323D"/>
    <w:rsid w:val="00CD3E63"/>
    <w:rsid w:val="00CD4C26"/>
    <w:rsid w:val="00CD54EB"/>
    <w:rsid w:val="00CD598D"/>
    <w:rsid w:val="00CE0D54"/>
    <w:rsid w:val="00CE180C"/>
    <w:rsid w:val="00CE1F57"/>
    <w:rsid w:val="00CE2201"/>
    <w:rsid w:val="00CE2E2F"/>
    <w:rsid w:val="00CE3BD9"/>
    <w:rsid w:val="00CE3BF7"/>
    <w:rsid w:val="00CE4793"/>
    <w:rsid w:val="00CE5E0B"/>
    <w:rsid w:val="00CE610A"/>
    <w:rsid w:val="00CE643F"/>
    <w:rsid w:val="00CE6445"/>
    <w:rsid w:val="00CE6886"/>
    <w:rsid w:val="00CE6C61"/>
    <w:rsid w:val="00CE7301"/>
    <w:rsid w:val="00CF3BC4"/>
    <w:rsid w:val="00CF47BD"/>
    <w:rsid w:val="00CF5598"/>
    <w:rsid w:val="00CF60FF"/>
    <w:rsid w:val="00D02684"/>
    <w:rsid w:val="00D02A57"/>
    <w:rsid w:val="00D04ACB"/>
    <w:rsid w:val="00D04EFA"/>
    <w:rsid w:val="00D05B3C"/>
    <w:rsid w:val="00D06096"/>
    <w:rsid w:val="00D07696"/>
    <w:rsid w:val="00D110D7"/>
    <w:rsid w:val="00D117EE"/>
    <w:rsid w:val="00D11C6B"/>
    <w:rsid w:val="00D124FC"/>
    <w:rsid w:val="00D13E22"/>
    <w:rsid w:val="00D146BA"/>
    <w:rsid w:val="00D14702"/>
    <w:rsid w:val="00D15CB4"/>
    <w:rsid w:val="00D17E32"/>
    <w:rsid w:val="00D20DCB"/>
    <w:rsid w:val="00D20DF4"/>
    <w:rsid w:val="00D2109B"/>
    <w:rsid w:val="00D21A5D"/>
    <w:rsid w:val="00D229FB"/>
    <w:rsid w:val="00D22E59"/>
    <w:rsid w:val="00D23EB7"/>
    <w:rsid w:val="00D26345"/>
    <w:rsid w:val="00D26F3F"/>
    <w:rsid w:val="00D312C1"/>
    <w:rsid w:val="00D31784"/>
    <w:rsid w:val="00D33290"/>
    <w:rsid w:val="00D338B0"/>
    <w:rsid w:val="00D344CB"/>
    <w:rsid w:val="00D3460D"/>
    <w:rsid w:val="00D353AF"/>
    <w:rsid w:val="00D359F1"/>
    <w:rsid w:val="00D35D47"/>
    <w:rsid w:val="00D369A3"/>
    <w:rsid w:val="00D37417"/>
    <w:rsid w:val="00D374B6"/>
    <w:rsid w:val="00D37E9A"/>
    <w:rsid w:val="00D407BD"/>
    <w:rsid w:val="00D419F0"/>
    <w:rsid w:val="00D41E9E"/>
    <w:rsid w:val="00D430A2"/>
    <w:rsid w:val="00D44D03"/>
    <w:rsid w:val="00D44FBD"/>
    <w:rsid w:val="00D45AF2"/>
    <w:rsid w:val="00D4639E"/>
    <w:rsid w:val="00D47702"/>
    <w:rsid w:val="00D503CB"/>
    <w:rsid w:val="00D5081F"/>
    <w:rsid w:val="00D52A4E"/>
    <w:rsid w:val="00D533B6"/>
    <w:rsid w:val="00D53E47"/>
    <w:rsid w:val="00D53E62"/>
    <w:rsid w:val="00D54074"/>
    <w:rsid w:val="00D542F2"/>
    <w:rsid w:val="00D5485E"/>
    <w:rsid w:val="00D54AE9"/>
    <w:rsid w:val="00D5536D"/>
    <w:rsid w:val="00D55F1F"/>
    <w:rsid w:val="00D5697F"/>
    <w:rsid w:val="00D57494"/>
    <w:rsid w:val="00D57AF5"/>
    <w:rsid w:val="00D57F9D"/>
    <w:rsid w:val="00D5C6D6"/>
    <w:rsid w:val="00D60262"/>
    <w:rsid w:val="00D603BC"/>
    <w:rsid w:val="00D60561"/>
    <w:rsid w:val="00D60E8C"/>
    <w:rsid w:val="00D622B9"/>
    <w:rsid w:val="00D634C1"/>
    <w:rsid w:val="00D67985"/>
    <w:rsid w:val="00D706E5"/>
    <w:rsid w:val="00D71E33"/>
    <w:rsid w:val="00D72665"/>
    <w:rsid w:val="00D739D5"/>
    <w:rsid w:val="00D740FF"/>
    <w:rsid w:val="00D77BD9"/>
    <w:rsid w:val="00D810A9"/>
    <w:rsid w:val="00D812A2"/>
    <w:rsid w:val="00D81EE2"/>
    <w:rsid w:val="00D8344B"/>
    <w:rsid w:val="00D86723"/>
    <w:rsid w:val="00D8693B"/>
    <w:rsid w:val="00D86950"/>
    <w:rsid w:val="00D86FD6"/>
    <w:rsid w:val="00D8775C"/>
    <w:rsid w:val="00D87A24"/>
    <w:rsid w:val="00D87E53"/>
    <w:rsid w:val="00D90799"/>
    <w:rsid w:val="00D90F97"/>
    <w:rsid w:val="00D93986"/>
    <w:rsid w:val="00D952E8"/>
    <w:rsid w:val="00D95683"/>
    <w:rsid w:val="00D9703F"/>
    <w:rsid w:val="00D9723A"/>
    <w:rsid w:val="00DA0D20"/>
    <w:rsid w:val="00DA3172"/>
    <w:rsid w:val="00DA43B8"/>
    <w:rsid w:val="00DA488C"/>
    <w:rsid w:val="00DA4C59"/>
    <w:rsid w:val="00DA6323"/>
    <w:rsid w:val="00DA650B"/>
    <w:rsid w:val="00DA777C"/>
    <w:rsid w:val="00DA7E56"/>
    <w:rsid w:val="00DB0CBA"/>
    <w:rsid w:val="00DB14B3"/>
    <w:rsid w:val="00DB2D75"/>
    <w:rsid w:val="00DB3EDA"/>
    <w:rsid w:val="00DB41DD"/>
    <w:rsid w:val="00DB594A"/>
    <w:rsid w:val="00DB7620"/>
    <w:rsid w:val="00DC0C9D"/>
    <w:rsid w:val="00DC1A8D"/>
    <w:rsid w:val="00DC1AE5"/>
    <w:rsid w:val="00DC26D7"/>
    <w:rsid w:val="00DC271B"/>
    <w:rsid w:val="00DC2D5A"/>
    <w:rsid w:val="00DC3133"/>
    <w:rsid w:val="00DC403E"/>
    <w:rsid w:val="00DC4D30"/>
    <w:rsid w:val="00DC7614"/>
    <w:rsid w:val="00DC791F"/>
    <w:rsid w:val="00DD1A2A"/>
    <w:rsid w:val="00DD2766"/>
    <w:rsid w:val="00DD2899"/>
    <w:rsid w:val="00DD391A"/>
    <w:rsid w:val="00DD55D2"/>
    <w:rsid w:val="00DD56F7"/>
    <w:rsid w:val="00DD5888"/>
    <w:rsid w:val="00DD6A66"/>
    <w:rsid w:val="00DD7030"/>
    <w:rsid w:val="00DE0688"/>
    <w:rsid w:val="00DE0955"/>
    <w:rsid w:val="00DE166A"/>
    <w:rsid w:val="00DE24F0"/>
    <w:rsid w:val="00DE3352"/>
    <w:rsid w:val="00DE3474"/>
    <w:rsid w:val="00DE4592"/>
    <w:rsid w:val="00DE4627"/>
    <w:rsid w:val="00DE4D0F"/>
    <w:rsid w:val="00DE4D1D"/>
    <w:rsid w:val="00DE5AFD"/>
    <w:rsid w:val="00DE5E3E"/>
    <w:rsid w:val="00DE6F78"/>
    <w:rsid w:val="00DE702E"/>
    <w:rsid w:val="00DF12FC"/>
    <w:rsid w:val="00DF2EA2"/>
    <w:rsid w:val="00DF310C"/>
    <w:rsid w:val="00DF5364"/>
    <w:rsid w:val="00DF5556"/>
    <w:rsid w:val="00DF5786"/>
    <w:rsid w:val="00DF620C"/>
    <w:rsid w:val="00DF666C"/>
    <w:rsid w:val="00DF6BD8"/>
    <w:rsid w:val="00DF6D4E"/>
    <w:rsid w:val="00DF76B5"/>
    <w:rsid w:val="00E00C2F"/>
    <w:rsid w:val="00E019BA"/>
    <w:rsid w:val="00E025DB"/>
    <w:rsid w:val="00E02B9C"/>
    <w:rsid w:val="00E03DAD"/>
    <w:rsid w:val="00E040FC"/>
    <w:rsid w:val="00E047E9"/>
    <w:rsid w:val="00E04E95"/>
    <w:rsid w:val="00E0590A"/>
    <w:rsid w:val="00E065D7"/>
    <w:rsid w:val="00E06C83"/>
    <w:rsid w:val="00E10AB9"/>
    <w:rsid w:val="00E110F4"/>
    <w:rsid w:val="00E1116B"/>
    <w:rsid w:val="00E11E27"/>
    <w:rsid w:val="00E125AC"/>
    <w:rsid w:val="00E13397"/>
    <w:rsid w:val="00E141C8"/>
    <w:rsid w:val="00E14236"/>
    <w:rsid w:val="00E14E31"/>
    <w:rsid w:val="00E152B4"/>
    <w:rsid w:val="00E165B4"/>
    <w:rsid w:val="00E20111"/>
    <w:rsid w:val="00E21200"/>
    <w:rsid w:val="00E22E98"/>
    <w:rsid w:val="00E2368E"/>
    <w:rsid w:val="00E27DDF"/>
    <w:rsid w:val="00E301B9"/>
    <w:rsid w:val="00E31CCA"/>
    <w:rsid w:val="00E334DD"/>
    <w:rsid w:val="00E3372F"/>
    <w:rsid w:val="00E350B1"/>
    <w:rsid w:val="00E35401"/>
    <w:rsid w:val="00E36C1A"/>
    <w:rsid w:val="00E376B5"/>
    <w:rsid w:val="00E40D15"/>
    <w:rsid w:val="00E411A6"/>
    <w:rsid w:val="00E41372"/>
    <w:rsid w:val="00E41678"/>
    <w:rsid w:val="00E42186"/>
    <w:rsid w:val="00E42B24"/>
    <w:rsid w:val="00E4535E"/>
    <w:rsid w:val="00E45644"/>
    <w:rsid w:val="00E45B47"/>
    <w:rsid w:val="00E45BF0"/>
    <w:rsid w:val="00E4643C"/>
    <w:rsid w:val="00E47E48"/>
    <w:rsid w:val="00E50185"/>
    <w:rsid w:val="00E50D7D"/>
    <w:rsid w:val="00E511D0"/>
    <w:rsid w:val="00E5302A"/>
    <w:rsid w:val="00E5405A"/>
    <w:rsid w:val="00E54974"/>
    <w:rsid w:val="00E54F0E"/>
    <w:rsid w:val="00E558DB"/>
    <w:rsid w:val="00E5596D"/>
    <w:rsid w:val="00E559E2"/>
    <w:rsid w:val="00E55CFA"/>
    <w:rsid w:val="00E55D7B"/>
    <w:rsid w:val="00E560BA"/>
    <w:rsid w:val="00E57E81"/>
    <w:rsid w:val="00E6011C"/>
    <w:rsid w:val="00E612D0"/>
    <w:rsid w:val="00E62FE0"/>
    <w:rsid w:val="00E646CA"/>
    <w:rsid w:val="00E65BFB"/>
    <w:rsid w:val="00E665A3"/>
    <w:rsid w:val="00E66C80"/>
    <w:rsid w:val="00E6756F"/>
    <w:rsid w:val="00E707CA"/>
    <w:rsid w:val="00E7088E"/>
    <w:rsid w:val="00E70936"/>
    <w:rsid w:val="00E72955"/>
    <w:rsid w:val="00E730C9"/>
    <w:rsid w:val="00E7392A"/>
    <w:rsid w:val="00E749E3"/>
    <w:rsid w:val="00E74BD5"/>
    <w:rsid w:val="00E74D02"/>
    <w:rsid w:val="00E74E32"/>
    <w:rsid w:val="00E75139"/>
    <w:rsid w:val="00E761FE"/>
    <w:rsid w:val="00E77DE7"/>
    <w:rsid w:val="00E80076"/>
    <w:rsid w:val="00E802EF"/>
    <w:rsid w:val="00E80A44"/>
    <w:rsid w:val="00E81560"/>
    <w:rsid w:val="00E8233D"/>
    <w:rsid w:val="00E82CF0"/>
    <w:rsid w:val="00E85E40"/>
    <w:rsid w:val="00E86A94"/>
    <w:rsid w:val="00E87819"/>
    <w:rsid w:val="00E90265"/>
    <w:rsid w:val="00E90615"/>
    <w:rsid w:val="00E91C65"/>
    <w:rsid w:val="00E940B9"/>
    <w:rsid w:val="00E9452A"/>
    <w:rsid w:val="00E94841"/>
    <w:rsid w:val="00E94D13"/>
    <w:rsid w:val="00E95219"/>
    <w:rsid w:val="00EA0CEE"/>
    <w:rsid w:val="00EA0E8B"/>
    <w:rsid w:val="00EA1792"/>
    <w:rsid w:val="00EA335A"/>
    <w:rsid w:val="00EA3669"/>
    <w:rsid w:val="00EA4DE2"/>
    <w:rsid w:val="00EA552E"/>
    <w:rsid w:val="00EA5601"/>
    <w:rsid w:val="00EA65CD"/>
    <w:rsid w:val="00EA70FD"/>
    <w:rsid w:val="00EA7614"/>
    <w:rsid w:val="00EA76B2"/>
    <w:rsid w:val="00EB0A8B"/>
    <w:rsid w:val="00EB2414"/>
    <w:rsid w:val="00EB3BA9"/>
    <w:rsid w:val="00EB52EA"/>
    <w:rsid w:val="00EB5619"/>
    <w:rsid w:val="00EB65C1"/>
    <w:rsid w:val="00EB74F8"/>
    <w:rsid w:val="00EB769C"/>
    <w:rsid w:val="00EB7C86"/>
    <w:rsid w:val="00EC0A18"/>
    <w:rsid w:val="00EC1023"/>
    <w:rsid w:val="00EC2386"/>
    <w:rsid w:val="00EC26AC"/>
    <w:rsid w:val="00EC2702"/>
    <w:rsid w:val="00EC2A95"/>
    <w:rsid w:val="00EC2AF6"/>
    <w:rsid w:val="00EC2EA5"/>
    <w:rsid w:val="00EC339A"/>
    <w:rsid w:val="00EC3A56"/>
    <w:rsid w:val="00EC3DE8"/>
    <w:rsid w:val="00EC5390"/>
    <w:rsid w:val="00EC589D"/>
    <w:rsid w:val="00EC6BB0"/>
    <w:rsid w:val="00EC7215"/>
    <w:rsid w:val="00EC7231"/>
    <w:rsid w:val="00EC7322"/>
    <w:rsid w:val="00ED0389"/>
    <w:rsid w:val="00ED0818"/>
    <w:rsid w:val="00ED081D"/>
    <w:rsid w:val="00ED1252"/>
    <w:rsid w:val="00ED1332"/>
    <w:rsid w:val="00ED2634"/>
    <w:rsid w:val="00ED2A79"/>
    <w:rsid w:val="00ED6218"/>
    <w:rsid w:val="00ED6C0E"/>
    <w:rsid w:val="00ED6D3A"/>
    <w:rsid w:val="00ED6DE9"/>
    <w:rsid w:val="00ED7372"/>
    <w:rsid w:val="00EE13B6"/>
    <w:rsid w:val="00EE189D"/>
    <w:rsid w:val="00EE1E67"/>
    <w:rsid w:val="00EE2AA0"/>
    <w:rsid w:val="00EE312A"/>
    <w:rsid w:val="00EE4729"/>
    <w:rsid w:val="00EE566A"/>
    <w:rsid w:val="00EE5EF0"/>
    <w:rsid w:val="00EF03AD"/>
    <w:rsid w:val="00EF113D"/>
    <w:rsid w:val="00EF23F6"/>
    <w:rsid w:val="00EF2FBD"/>
    <w:rsid w:val="00EF41C8"/>
    <w:rsid w:val="00EF4894"/>
    <w:rsid w:val="00EF52EE"/>
    <w:rsid w:val="00EF56A6"/>
    <w:rsid w:val="00EF6CA8"/>
    <w:rsid w:val="00EF7B57"/>
    <w:rsid w:val="00F005FE"/>
    <w:rsid w:val="00F00D89"/>
    <w:rsid w:val="00F025EC"/>
    <w:rsid w:val="00F02CD4"/>
    <w:rsid w:val="00F05612"/>
    <w:rsid w:val="00F061C6"/>
    <w:rsid w:val="00F0655E"/>
    <w:rsid w:val="00F10203"/>
    <w:rsid w:val="00F10DE4"/>
    <w:rsid w:val="00F12878"/>
    <w:rsid w:val="00F13976"/>
    <w:rsid w:val="00F14791"/>
    <w:rsid w:val="00F171DD"/>
    <w:rsid w:val="00F173AF"/>
    <w:rsid w:val="00F2096C"/>
    <w:rsid w:val="00F20DC1"/>
    <w:rsid w:val="00F21D2A"/>
    <w:rsid w:val="00F22CF1"/>
    <w:rsid w:val="00F233E7"/>
    <w:rsid w:val="00F23535"/>
    <w:rsid w:val="00F23C60"/>
    <w:rsid w:val="00F23ECB"/>
    <w:rsid w:val="00F257BF"/>
    <w:rsid w:val="00F2661D"/>
    <w:rsid w:val="00F26B40"/>
    <w:rsid w:val="00F26FA1"/>
    <w:rsid w:val="00F308AB"/>
    <w:rsid w:val="00F31F21"/>
    <w:rsid w:val="00F34BAC"/>
    <w:rsid w:val="00F35D4E"/>
    <w:rsid w:val="00F362F4"/>
    <w:rsid w:val="00F36B32"/>
    <w:rsid w:val="00F3721F"/>
    <w:rsid w:val="00F41C5D"/>
    <w:rsid w:val="00F43296"/>
    <w:rsid w:val="00F4354A"/>
    <w:rsid w:val="00F443BD"/>
    <w:rsid w:val="00F45522"/>
    <w:rsid w:val="00F46409"/>
    <w:rsid w:val="00F464AE"/>
    <w:rsid w:val="00F466B8"/>
    <w:rsid w:val="00F50774"/>
    <w:rsid w:val="00F508D1"/>
    <w:rsid w:val="00F50E6F"/>
    <w:rsid w:val="00F52EB4"/>
    <w:rsid w:val="00F53489"/>
    <w:rsid w:val="00F5445C"/>
    <w:rsid w:val="00F54926"/>
    <w:rsid w:val="00F54B62"/>
    <w:rsid w:val="00F54B76"/>
    <w:rsid w:val="00F54C32"/>
    <w:rsid w:val="00F54D6E"/>
    <w:rsid w:val="00F55034"/>
    <w:rsid w:val="00F55D6B"/>
    <w:rsid w:val="00F5697C"/>
    <w:rsid w:val="00F574D5"/>
    <w:rsid w:val="00F605F9"/>
    <w:rsid w:val="00F6082D"/>
    <w:rsid w:val="00F61481"/>
    <w:rsid w:val="00F61C33"/>
    <w:rsid w:val="00F62E65"/>
    <w:rsid w:val="00F6367E"/>
    <w:rsid w:val="00F64903"/>
    <w:rsid w:val="00F6622C"/>
    <w:rsid w:val="00F6689B"/>
    <w:rsid w:val="00F6698C"/>
    <w:rsid w:val="00F67578"/>
    <w:rsid w:val="00F67EDF"/>
    <w:rsid w:val="00F70423"/>
    <w:rsid w:val="00F70D0E"/>
    <w:rsid w:val="00F7103C"/>
    <w:rsid w:val="00F72137"/>
    <w:rsid w:val="00F723F1"/>
    <w:rsid w:val="00F726D5"/>
    <w:rsid w:val="00F73FF8"/>
    <w:rsid w:val="00F74481"/>
    <w:rsid w:val="00F75612"/>
    <w:rsid w:val="00F76935"/>
    <w:rsid w:val="00F76A64"/>
    <w:rsid w:val="00F80A5F"/>
    <w:rsid w:val="00F80A7D"/>
    <w:rsid w:val="00F82AF0"/>
    <w:rsid w:val="00F84752"/>
    <w:rsid w:val="00F847FF"/>
    <w:rsid w:val="00F84AE8"/>
    <w:rsid w:val="00F85295"/>
    <w:rsid w:val="00F91B66"/>
    <w:rsid w:val="00F93606"/>
    <w:rsid w:val="00F9472A"/>
    <w:rsid w:val="00F97889"/>
    <w:rsid w:val="00FA04B1"/>
    <w:rsid w:val="00FA0AC0"/>
    <w:rsid w:val="00FA0D06"/>
    <w:rsid w:val="00FA0F24"/>
    <w:rsid w:val="00FA1982"/>
    <w:rsid w:val="00FA19C2"/>
    <w:rsid w:val="00FA21E6"/>
    <w:rsid w:val="00FA23AF"/>
    <w:rsid w:val="00FA2E0E"/>
    <w:rsid w:val="00FA6F69"/>
    <w:rsid w:val="00FA6FF2"/>
    <w:rsid w:val="00FA7F9E"/>
    <w:rsid w:val="00FB048D"/>
    <w:rsid w:val="00FB065F"/>
    <w:rsid w:val="00FB0963"/>
    <w:rsid w:val="00FB18F4"/>
    <w:rsid w:val="00FB3569"/>
    <w:rsid w:val="00FB4334"/>
    <w:rsid w:val="00FB7375"/>
    <w:rsid w:val="00FC2518"/>
    <w:rsid w:val="00FC26DB"/>
    <w:rsid w:val="00FC27E9"/>
    <w:rsid w:val="00FC2E1B"/>
    <w:rsid w:val="00FC42D7"/>
    <w:rsid w:val="00FC4A11"/>
    <w:rsid w:val="00FC5A9E"/>
    <w:rsid w:val="00FC6A27"/>
    <w:rsid w:val="00FC6D6F"/>
    <w:rsid w:val="00FC76F6"/>
    <w:rsid w:val="00FD05CA"/>
    <w:rsid w:val="00FD27FA"/>
    <w:rsid w:val="00FD2841"/>
    <w:rsid w:val="00FD2B4C"/>
    <w:rsid w:val="00FD397F"/>
    <w:rsid w:val="00FD4292"/>
    <w:rsid w:val="00FD5008"/>
    <w:rsid w:val="00FD59E5"/>
    <w:rsid w:val="00FD6F4C"/>
    <w:rsid w:val="00FD778D"/>
    <w:rsid w:val="00FE1BC9"/>
    <w:rsid w:val="00FE2A60"/>
    <w:rsid w:val="00FE53B0"/>
    <w:rsid w:val="00FE5F44"/>
    <w:rsid w:val="00FE670E"/>
    <w:rsid w:val="00FF00C8"/>
    <w:rsid w:val="00FF02BB"/>
    <w:rsid w:val="00FF0674"/>
    <w:rsid w:val="00FF06AF"/>
    <w:rsid w:val="00FF0C52"/>
    <w:rsid w:val="00FF1750"/>
    <w:rsid w:val="00FF19D7"/>
    <w:rsid w:val="00FF19EE"/>
    <w:rsid w:val="00FF1D71"/>
    <w:rsid w:val="00FF2C35"/>
    <w:rsid w:val="00FF31C1"/>
    <w:rsid w:val="00FF45B2"/>
    <w:rsid w:val="00FF460F"/>
    <w:rsid w:val="00FF6184"/>
    <w:rsid w:val="00FF7A65"/>
    <w:rsid w:val="00FF7F4C"/>
    <w:rsid w:val="0127F11C"/>
    <w:rsid w:val="0144117D"/>
    <w:rsid w:val="01940749"/>
    <w:rsid w:val="01DA9506"/>
    <w:rsid w:val="01DCF0E0"/>
    <w:rsid w:val="02177440"/>
    <w:rsid w:val="0236C2C0"/>
    <w:rsid w:val="0266E86B"/>
    <w:rsid w:val="027BEC80"/>
    <w:rsid w:val="029B7D7B"/>
    <w:rsid w:val="02A44B27"/>
    <w:rsid w:val="02A8B731"/>
    <w:rsid w:val="02AD78E7"/>
    <w:rsid w:val="02D09E76"/>
    <w:rsid w:val="02E20DCF"/>
    <w:rsid w:val="030F1F19"/>
    <w:rsid w:val="032BA92C"/>
    <w:rsid w:val="03672A75"/>
    <w:rsid w:val="03DFD29E"/>
    <w:rsid w:val="041D2136"/>
    <w:rsid w:val="0427137D"/>
    <w:rsid w:val="04594EF3"/>
    <w:rsid w:val="0463215A"/>
    <w:rsid w:val="04828E15"/>
    <w:rsid w:val="04B63F4F"/>
    <w:rsid w:val="05FDC2CB"/>
    <w:rsid w:val="0632FCD2"/>
    <w:rsid w:val="063CF83E"/>
    <w:rsid w:val="06446B8C"/>
    <w:rsid w:val="064E8E3F"/>
    <w:rsid w:val="0651C982"/>
    <w:rsid w:val="065C64F9"/>
    <w:rsid w:val="06B8A94A"/>
    <w:rsid w:val="06F60DDE"/>
    <w:rsid w:val="075533B5"/>
    <w:rsid w:val="077D115B"/>
    <w:rsid w:val="07F90ED3"/>
    <w:rsid w:val="0828BE6B"/>
    <w:rsid w:val="083F98C7"/>
    <w:rsid w:val="08473C56"/>
    <w:rsid w:val="0861878D"/>
    <w:rsid w:val="08783D74"/>
    <w:rsid w:val="089A5ECE"/>
    <w:rsid w:val="08B8342A"/>
    <w:rsid w:val="09367DE7"/>
    <w:rsid w:val="096C65D7"/>
    <w:rsid w:val="09752946"/>
    <w:rsid w:val="09A0FF0A"/>
    <w:rsid w:val="09BE687E"/>
    <w:rsid w:val="0A36332C"/>
    <w:rsid w:val="0AF88E2F"/>
    <w:rsid w:val="0B103690"/>
    <w:rsid w:val="0B1054CB"/>
    <w:rsid w:val="0C150728"/>
    <w:rsid w:val="0C391661"/>
    <w:rsid w:val="0CCE6709"/>
    <w:rsid w:val="0CE6C6D2"/>
    <w:rsid w:val="0D172931"/>
    <w:rsid w:val="0D2BFA75"/>
    <w:rsid w:val="0D440878"/>
    <w:rsid w:val="0DD3DB37"/>
    <w:rsid w:val="0E3F1FAF"/>
    <w:rsid w:val="0E60DD31"/>
    <w:rsid w:val="0E76D594"/>
    <w:rsid w:val="0EC0BC2F"/>
    <w:rsid w:val="0F5FCC5D"/>
    <w:rsid w:val="0F8D0193"/>
    <w:rsid w:val="0F9C86BB"/>
    <w:rsid w:val="0FA4A511"/>
    <w:rsid w:val="1030F000"/>
    <w:rsid w:val="10559C24"/>
    <w:rsid w:val="10AF8292"/>
    <w:rsid w:val="10C77BFF"/>
    <w:rsid w:val="10C86265"/>
    <w:rsid w:val="1139A341"/>
    <w:rsid w:val="1158F1C1"/>
    <w:rsid w:val="116124E4"/>
    <w:rsid w:val="117E7BF5"/>
    <w:rsid w:val="11F07066"/>
    <w:rsid w:val="1299CAFF"/>
    <w:rsid w:val="12D59147"/>
    <w:rsid w:val="130486EA"/>
    <w:rsid w:val="1332C8A5"/>
    <w:rsid w:val="13C97C32"/>
    <w:rsid w:val="142457E5"/>
    <w:rsid w:val="144B18B2"/>
    <w:rsid w:val="14E9B95B"/>
    <w:rsid w:val="14F2B8E4"/>
    <w:rsid w:val="15047246"/>
    <w:rsid w:val="15119562"/>
    <w:rsid w:val="154E6E4F"/>
    <w:rsid w:val="156C709F"/>
    <w:rsid w:val="1573F883"/>
    <w:rsid w:val="1592C066"/>
    <w:rsid w:val="15A86953"/>
    <w:rsid w:val="16208AC0"/>
    <w:rsid w:val="164D8FCE"/>
    <w:rsid w:val="167ED604"/>
    <w:rsid w:val="16ABD386"/>
    <w:rsid w:val="16B1DDD1"/>
    <w:rsid w:val="16C06816"/>
    <w:rsid w:val="17F60270"/>
    <w:rsid w:val="184080AA"/>
    <w:rsid w:val="1840E64C"/>
    <w:rsid w:val="1866ACA6"/>
    <w:rsid w:val="18779747"/>
    <w:rsid w:val="188FB6D3"/>
    <w:rsid w:val="18943C20"/>
    <w:rsid w:val="1924054C"/>
    <w:rsid w:val="1A1C133F"/>
    <w:rsid w:val="1ADF6214"/>
    <w:rsid w:val="1B04300A"/>
    <w:rsid w:val="1B5360CE"/>
    <w:rsid w:val="1BA7A618"/>
    <w:rsid w:val="1BD4C1B7"/>
    <w:rsid w:val="1BDDF201"/>
    <w:rsid w:val="1BE46828"/>
    <w:rsid w:val="1CFDA188"/>
    <w:rsid w:val="1D0390EC"/>
    <w:rsid w:val="1D8DBD10"/>
    <w:rsid w:val="1D8DBD10"/>
    <w:rsid w:val="1D949FA3"/>
    <w:rsid w:val="1DB21B36"/>
    <w:rsid w:val="1DE8DF7D"/>
    <w:rsid w:val="1DF06761"/>
    <w:rsid w:val="1E3D1AA3"/>
    <w:rsid w:val="1E81FB5E"/>
    <w:rsid w:val="1E918394"/>
    <w:rsid w:val="1ECE9AE9"/>
    <w:rsid w:val="1EDB86DD"/>
    <w:rsid w:val="1EE640CD"/>
    <w:rsid w:val="1F133E4F"/>
    <w:rsid w:val="1F540A14"/>
    <w:rsid w:val="1FE12AE8"/>
    <w:rsid w:val="203ABD0C"/>
    <w:rsid w:val="203C32B6"/>
    <w:rsid w:val="203E8FC7"/>
    <w:rsid w:val="207B20C2"/>
    <w:rsid w:val="208DB2D3"/>
    <w:rsid w:val="213597B1"/>
    <w:rsid w:val="2173EF7E"/>
    <w:rsid w:val="21E5E3EF"/>
    <w:rsid w:val="22BC50A0"/>
    <w:rsid w:val="232472AA"/>
    <w:rsid w:val="2325BE6B"/>
    <w:rsid w:val="2335B85F"/>
    <w:rsid w:val="2335EB30"/>
    <w:rsid w:val="2355CA92"/>
    <w:rsid w:val="23572F85"/>
    <w:rsid w:val="236D47B3"/>
    <w:rsid w:val="237907D3"/>
    <w:rsid w:val="23BCAC80"/>
    <w:rsid w:val="23BFBAD3"/>
    <w:rsid w:val="23DF278E"/>
    <w:rsid w:val="2429D5E3"/>
    <w:rsid w:val="250C2A66"/>
    <w:rsid w:val="2516F8EC"/>
    <w:rsid w:val="252924B2"/>
    <w:rsid w:val="25639E99"/>
    <w:rsid w:val="2563EC5F"/>
    <w:rsid w:val="25AE62FB"/>
    <w:rsid w:val="261A631F"/>
    <w:rsid w:val="26293F45"/>
    <w:rsid w:val="26333270"/>
    <w:rsid w:val="266D62F9"/>
    <w:rsid w:val="26A179E0"/>
    <w:rsid w:val="26BCCF28"/>
    <w:rsid w:val="272192A6"/>
    <w:rsid w:val="272CB665"/>
    <w:rsid w:val="273E812F"/>
    <w:rsid w:val="27CA4ED3"/>
    <w:rsid w:val="27CB04EA"/>
    <w:rsid w:val="27D4A41C"/>
    <w:rsid w:val="27D4B8B2"/>
    <w:rsid w:val="280C3370"/>
    <w:rsid w:val="28ED1264"/>
    <w:rsid w:val="28EF55AB"/>
    <w:rsid w:val="291D19D4"/>
    <w:rsid w:val="293C868F"/>
    <w:rsid w:val="298F0E45"/>
    <w:rsid w:val="29B2029C"/>
    <w:rsid w:val="2AFBC1F9"/>
    <w:rsid w:val="2B504C07"/>
    <w:rsid w:val="2B7DB66D"/>
    <w:rsid w:val="2BB2273D"/>
    <w:rsid w:val="2C14123D"/>
    <w:rsid w:val="2CB22C93"/>
    <w:rsid w:val="2CE28EF2"/>
    <w:rsid w:val="2D445458"/>
    <w:rsid w:val="2D4DBAEA"/>
    <w:rsid w:val="2D53791D"/>
    <w:rsid w:val="2D6E9DF2"/>
    <w:rsid w:val="2DBFE9CA"/>
    <w:rsid w:val="2DD127E1"/>
    <w:rsid w:val="2DECACDD"/>
    <w:rsid w:val="2E4AA436"/>
    <w:rsid w:val="2E626AD2"/>
    <w:rsid w:val="2E9086AA"/>
    <w:rsid w:val="2F013E8A"/>
    <w:rsid w:val="2F0F00E9"/>
    <w:rsid w:val="2F3ECA62"/>
    <w:rsid w:val="2F465F80"/>
    <w:rsid w:val="2F496F19"/>
    <w:rsid w:val="2F829A74"/>
    <w:rsid w:val="2F92698C"/>
    <w:rsid w:val="2FA6FAD3"/>
    <w:rsid w:val="2FBA86FB"/>
    <w:rsid w:val="2FC75BF3"/>
    <w:rsid w:val="2FD46499"/>
    <w:rsid w:val="3004A8BD"/>
    <w:rsid w:val="30FA96BF"/>
    <w:rsid w:val="31105444"/>
    <w:rsid w:val="313196FF"/>
    <w:rsid w:val="317034FA"/>
    <w:rsid w:val="320BA99E"/>
    <w:rsid w:val="3228E1AD"/>
    <w:rsid w:val="3257E760"/>
    <w:rsid w:val="32818005"/>
    <w:rsid w:val="32A6E661"/>
    <w:rsid w:val="32C492C3"/>
    <w:rsid w:val="32C64423"/>
    <w:rsid w:val="32DC4290"/>
    <w:rsid w:val="32FA64E2"/>
    <w:rsid w:val="3323B89A"/>
    <w:rsid w:val="334A73EE"/>
    <w:rsid w:val="334F627B"/>
    <w:rsid w:val="337AB4A9"/>
    <w:rsid w:val="33FA254B"/>
    <w:rsid w:val="34176B66"/>
    <w:rsid w:val="343BE6D8"/>
    <w:rsid w:val="348BB948"/>
    <w:rsid w:val="34D5F597"/>
    <w:rsid w:val="34EF0408"/>
    <w:rsid w:val="351CFC39"/>
    <w:rsid w:val="35251529"/>
    <w:rsid w:val="353FA472"/>
    <w:rsid w:val="35772A0E"/>
    <w:rsid w:val="35A43028"/>
    <w:rsid w:val="35AE58AD"/>
    <w:rsid w:val="35D3FC2F"/>
    <w:rsid w:val="364610DD"/>
    <w:rsid w:val="36484DB1"/>
    <w:rsid w:val="364D96BF"/>
    <w:rsid w:val="3684DEAC"/>
    <w:rsid w:val="369A68DD"/>
    <w:rsid w:val="36F6E7B3"/>
    <w:rsid w:val="3720DB47"/>
    <w:rsid w:val="3738652F"/>
    <w:rsid w:val="373F886C"/>
    <w:rsid w:val="37907C02"/>
    <w:rsid w:val="379D2EB9"/>
    <w:rsid w:val="3864AB4C"/>
    <w:rsid w:val="387CE014"/>
    <w:rsid w:val="38979761"/>
    <w:rsid w:val="38A08456"/>
    <w:rsid w:val="38D558AA"/>
    <w:rsid w:val="38F5364C"/>
    <w:rsid w:val="393FA91A"/>
    <w:rsid w:val="3957844C"/>
    <w:rsid w:val="3957A287"/>
    <w:rsid w:val="3978D72C"/>
    <w:rsid w:val="39806F5B"/>
    <w:rsid w:val="39D0EC0B"/>
    <w:rsid w:val="3A5B0CBA"/>
    <w:rsid w:val="3AEC4FAB"/>
    <w:rsid w:val="3B290834"/>
    <w:rsid w:val="3B7329F6"/>
    <w:rsid w:val="3B744F4B"/>
    <w:rsid w:val="3B8476BF"/>
    <w:rsid w:val="3B9296B1"/>
    <w:rsid w:val="3BCED8F8"/>
    <w:rsid w:val="3C8C4D9D"/>
    <w:rsid w:val="3C96157A"/>
    <w:rsid w:val="3CEBA27B"/>
    <w:rsid w:val="3D5C2947"/>
    <w:rsid w:val="3D773EBE"/>
    <w:rsid w:val="3DB54807"/>
    <w:rsid w:val="3DC66899"/>
    <w:rsid w:val="3ED5D82E"/>
    <w:rsid w:val="3F26D7BE"/>
    <w:rsid w:val="3F367E2F"/>
    <w:rsid w:val="3FA02142"/>
    <w:rsid w:val="3FB838EA"/>
    <w:rsid w:val="4007DEA5"/>
    <w:rsid w:val="401848B5"/>
    <w:rsid w:val="403F1335"/>
    <w:rsid w:val="409348AA"/>
    <w:rsid w:val="40D0A732"/>
    <w:rsid w:val="41427D68"/>
    <w:rsid w:val="417A1661"/>
    <w:rsid w:val="418E7E7B"/>
    <w:rsid w:val="41E3999B"/>
    <w:rsid w:val="4251D70C"/>
    <w:rsid w:val="42AA5FDB"/>
    <w:rsid w:val="42EC4CDC"/>
    <w:rsid w:val="4368BE89"/>
    <w:rsid w:val="437C9EFB"/>
    <w:rsid w:val="43ADCA0E"/>
    <w:rsid w:val="43C7895C"/>
    <w:rsid w:val="4464B56E"/>
    <w:rsid w:val="44C623C0"/>
    <w:rsid w:val="44F78668"/>
    <w:rsid w:val="454889BA"/>
    <w:rsid w:val="4584277F"/>
    <w:rsid w:val="45F10F96"/>
    <w:rsid w:val="460E66A7"/>
    <w:rsid w:val="46236731"/>
    <w:rsid w:val="465AD0E4"/>
    <w:rsid w:val="466F8751"/>
    <w:rsid w:val="4672FD22"/>
    <w:rsid w:val="4687CE66"/>
    <w:rsid w:val="46E0DCF8"/>
    <w:rsid w:val="47313D95"/>
    <w:rsid w:val="4731522B"/>
    <w:rsid w:val="47372111"/>
    <w:rsid w:val="47AA9BAF"/>
    <w:rsid w:val="47B8361B"/>
    <w:rsid w:val="47FD2D0A"/>
    <w:rsid w:val="4822846D"/>
    <w:rsid w:val="485A31FC"/>
    <w:rsid w:val="48716051"/>
    <w:rsid w:val="48844D83"/>
    <w:rsid w:val="4920188E"/>
    <w:rsid w:val="49204B5F"/>
    <w:rsid w:val="49618003"/>
    <w:rsid w:val="4991EEC4"/>
    <w:rsid w:val="4995988E"/>
    <w:rsid w:val="49B15B7F"/>
    <w:rsid w:val="49B17015"/>
    <w:rsid w:val="4A0B5683"/>
    <w:rsid w:val="4A762ABF"/>
    <w:rsid w:val="4ACBB049"/>
    <w:rsid w:val="4ADA4FE6"/>
    <w:rsid w:val="4B6BE3E3"/>
    <w:rsid w:val="4B6E99FC"/>
    <w:rsid w:val="4BAF04DA"/>
    <w:rsid w:val="4BD586B3"/>
    <w:rsid w:val="4C00070D"/>
    <w:rsid w:val="4C07D5A0"/>
    <w:rsid w:val="4C122AE9"/>
    <w:rsid w:val="4C33BF82"/>
    <w:rsid w:val="4C64C5FC"/>
    <w:rsid w:val="4CACF8F0"/>
    <w:rsid w:val="4CBB77BB"/>
    <w:rsid w:val="4D0F67D6"/>
    <w:rsid w:val="4D1920AB"/>
    <w:rsid w:val="4D255023"/>
    <w:rsid w:val="4D7A5F71"/>
    <w:rsid w:val="4D9F5029"/>
    <w:rsid w:val="4E0D1B47"/>
    <w:rsid w:val="4E4DD800"/>
    <w:rsid w:val="4E53A0F5"/>
    <w:rsid w:val="4E6BC79A"/>
    <w:rsid w:val="4E7D5954"/>
    <w:rsid w:val="4EAA4240"/>
    <w:rsid w:val="4F6D92FE"/>
    <w:rsid w:val="4F791A6C"/>
    <w:rsid w:val="4F9BB792"/>
    <w:rsid w:val="4FDAA9F5"/>
    <w:rsid w:val="5034A4F9"/>
    <w:rsid w:val="50F60D95"/>
    <w:rsid w:val="50F99924"/>
    <w:rsid w:val="519CBA3D"/>
    <w:rsid w:val="51B1F3F8"/>
    <w:rsid w:val="51C1DECF"/>
    <w:rsid w:val="51C4D427"/>
    <w:rsid w:val="520E5DA2"/>
    <w:rsid w:val="52EC6866"/>
    <w:rsid w:val="530A5E2C"/>
    <w:rsid w:val="53BB553F"/>
    <w:rsid w:val="53C8B335"/>
    <w:rsid w:val="53D02683"/>
    <w:rsid w:val="53E83486"/>
    <w:rsid w:val="54155043"/>
    <w:rsid w:val="544EA980"/>
    <w:rsid w:val="546EE41D"/>
    <w:rsid w:val="54A69334"/>
    <w:rsid w:val="54D390B6"/>
    <w:rsid w:val="54F30D77"/>
    <w:rsid w:val="54FFB2C5"/>
    <w:rsid w:val="55533545"/>
    <w:rsid w:val="563B4058"/>
    <w:rsid w:val="5641A138"/>
    <w:rsid w:val="56B7E395"/>
    <w:rsid w:val="56BAC590"/>
    <w:rsid w:val="571F3DD0"/>
    <w:rsid w:val="574C3B52"/>
    <w:rsid w:val="575F896E"/>
    <w:rsid w:val="576BA80D"/>
    <w:rsid w:val="5783D44B"/>
    <w:rsid w:val="57913241"/>
    <w:rsid w:val="57C08CD4"/>
    <w:rsid w:val="57ED5785"/>
    <w:rsid w:val="57F3D7E7"/>
    <w:rsid w:val="583A30AC"/>
    <w:rsid w:val="5842BCAC"/>
    <w:rsid w:val="590951B3"/>
    <w:rsid w:val="59760802"/>
    <w:rsid w:val="599806A7"/>
    <w:rsid w:val="599A63B8"/>
    <w:rsid w:val="599FACC6"/>
    <w:rsid w:val="5AD644C6"/>
    <w:rsid w:val="5B4171DE"/>
    <w:rsid w:val="5B41B7E0"/>
    <w:rsid w:val="5B61249B"/>
    <w:rsid w:val="5B613931"/>
    <w:rsid w:val="5B75EBFC"/>
    <w:rsid w:val="5BCB9128"/>
    <w:rsid w:val="5BDED3B8"/>
    <w:rsid w:val="5C91BF21"/>
    <w:rsid w:val="5C984008"/>
    <w:rsid w:val="5D125766"/>
    <w:rsid w:val="5D1B8EC4"/>
    <w:rsid w:val="5D3AFB7F"/>
    <w:rsid w:val="5DEDA842"/>
    <w:rsid w:val="5E06CCB9"/>
    <w:rsid w:val="5E36274C"/>
    <w:rsid w:val="5E6EEEC3"/>
    <w:rsid w:val="5EBDB819"/>
    <w:rsid w:val="5EE4ACB8"/>
    <w:rsid w:val="5EFAC712"/>
    <w:rsid w:val="5F04A1AF"/>
    <w:rsid w:val="5F14530E"/>
    <w:rsid w:val="5F14D263"/>
    <w:rsid w:val="5F25C82E"/>
    <w:rsid w:val="5F4582A4"/>
    <w:rsid w:val="5F46CE48"/>
    <w:rsid w:val="5F50341F"/>
    <w:rsid w:val="5F7E886E"/>
    <w:rsid w:val="5FC9B185"/>
    <w:rsid w:val="5FEB1EA6"/>
    <w:rsid w:val="6015146D"/>
    <w:rsid w:val="601BC825"/>
    <w:rsid w:val="6056A67F"/>
    <w:rsid w:val="6130780D"/>
    <w:rsid w:val="6140FE6A"/>
    <w:rsid w:val="61852A03"/>
    <w:rsid w:val="6206E4BE"/>
    <w:rsid w:val="623B4BE9"/>
    <w:rsid w:val="62985A80"/>
    <w:rsid w:val="62CB2E14"/>
    <w:rsid w:val="62DFC899"/>
    <w:rsid w:val="62EAE236"/>
    <w:rsid w:val="630A6387"/>
    <w:rsid w:val="6381C313"/>
    <w:rsid w:val="63F60001"/>
    <w:rsid w:val="640DD48E"/>
    <w:rsid w:val="6422BD39"/>
    <w:rsid w:val="64431148"/>
    <w:rsid w:val="64B5CCB6"/>
    <w:rsid w:val="6508E4F1"/>
    <w:rsid w:val="651F76D7"/>
    <w:rsid w:val="652CCF84"/>
    <w:rsid w:val="6558FF28"/>
    <w:rsid w:val="656ED8A1"/>
    <w:rsid w:val="65BF7CB9"/>
    <w:rsid w:val="65E467DF"/>
    <w:rsid w:val="6647543E"/>
    <w:rsid w:val="667195E1"/>
    <w:rsid w:val="66D4B2B9"/>
    <w:rsid w:val="66E7D212"/>
    <w:rsid w:val="6718AA4D"/>
    <w:rsid w:val="672CC901"/>
    <w:rsid w:val="67D63830"/>
    <w:rsid w:val="67F89A3B"/>
    <w:rsid w:val="67FAF74C"/>
    <w:rsid w:val="6800405A"/>
    <w:rsid w:val="680B29DD"/>
    <w:rsid w:val="68378847"/>
    <w:rsid w:val="6860BC45"/>
    <w:rsid w:val="68A88974"/>
    <w:rsid w:val="68A9914E"/>
    <w:rsid w:val="696703B0"/>
    <w:rsid w:val="696AF9EA"/>
    <w:rsid w:val="69C4F4EE"/>
    <w:rsid w:val="69D9E46D"/>
    <w:rsid w:val="6A83539C"/>
    <w:rsid w:val="6A945C6F"/>
    <w:rsid w:val="6AA9C1E3"/>
    <w:rsid w:val="6AD2F957"/>
    <w:rsid w:val="6BBA349A"/>
    <w:rsid w:val="6BC37658"/>
    <w:rsid w:val="6BDA1B97"/>
    <w:rsid w:val="6C796364"/>
    <w:rsid w:val="6CA20334"/>
    <w:rsid w:val="6CBFF875"/>
    <w:rsid w:val="6CDAC9DC"/>
    <w:rsid w:val="6D037186"/>
    <w:rsid w:val="6D06986E"/>
    <w:rsid w:val="6D5D6C8A"/>
    <w:rsid w:val="6D8014C3"/>
    <w:rsid w:val="6D9AF02B"/>
    <w:rsid w:val="6DB4D4C5"/>
    <w:rsid w:val="6DF4912E"/>
    <w:rsid w:val="6E0F0EDC"/>
    <w:rsid w:val="6E9F6AE5"/>
    <w:rsid w:val="6EAA8C57"/>
    <w:rsid w:val="6EB34C72"/>
    <w:rsid w:val="6EE0B1B3"/>
    <w:rsid w:val="6F6440F0"/>
    <w:rsid w:val="6F74C70F"/>
    <w:rsid w:val="6F83A406"/>
    <w:rsid w:val="6F991F6F"/>
    <w:rsid w:val="6FCBE018"/>
    <w:rsid w:val="7010A436"/>
    <w:rsid w:val="704B32F1"/>
    <w:rsid w:val="7077662A"/>
    <w:rsid w:val="707EA580"/>
    <w:rsid w:val="708C8E6D"/>
    <w:rsid w:val="709B298C"/>
    <w:rsid w:val="70E710E7"/>
    <w:rsid w:val="71608D3C"/>
    <w:rsid w:val="71906CB9"/>
    <w:rsid w:val="71AAC337"/>
    <w:rsid w:val="71AC7497"/>
    <w:rsid w:val="71FC5847"/>
    <w:rsid w:val="71FFC529"/>
    <w:rsid w:val="7221E27B"/>
    <w:rsid w:val="722CAE4D"/>
    <w:rsid w:val="7292111C"/>
    <w:rsid w:val="729628D7"/>
    <w:rsid w:val="72B3583D"/>
    <w:rsid w:val="72D2C4F8"/>
    <w:rsid w:val="73254CAE"/>
    <w:rsid w:val="732C2A6F"/>
    <w:rsid w:val="732CBFFC"/>
    <w:rsid w:val="73503969"/>
    <w:rsid w:val="73543D50"/>
    <w:rsid w:val="73911A01"/>
    <w:rsid w:val="73B6E0AB"/>
    <w:rsid w:val="73D36954"/>
    <w:rsid w:val="73EE2898"/>
    <w:rsid w:val="742EB407"/>
    <w:rsid w:val="747553EF"/>
    <w:rsid w:val="74EED044"/>
    <w:rsid w:val="756E5093"/>
    <w:rsid w:val="7599D571"/>
    <w:rsid w:val="75B4E7F9"/>
    <w:rsid w:val="75C48EC9"/>
    <w:rsid w:val="7607E5DB"/>
    <w:rsid w:val="761E95A3"/>
    <w:rsid w:val="766A1BCF"/>
    <w:rsid w:val="76744F65"/>
    <w:rsid w:val="772A4A8A"/>
    <w:rsid w:val="773A68C8"/>
    <w:rsid w:val="775AF02C"/>
    <w:rsid w:val="7771B161"/>
    <w:rsid w:val="7795E54F"/>
    <w:rsid w:val="77E0E29F"/>
    <w:rsid w:val="77E3A526"/>
    <w:rsid w:val="77F135ED"/>
    <w:rsid w:val="7842D083"/>
    <w:rsid w:val="785234BA"/>
    <w:rsid w:val="789148F7"/>
    <w:rsid w:val="78AA4B8D"/>
    <w:rsid w:val="78C08FA8"/>
    <w:rsid w:val="78C60F07"/>
    <w:rsid w:val="78D113A2"/>
    <w:rsid w:val="792BD304"/>
    <w:rsid w:val="79637FC5"/>
    <w:rsid w:val="799AE726"/>
    <w:rsid w:val="799DC7E8"/>
    <w:rsid w:val="79DFDE15"/>
    <w:rsid w:val="7A214860"/>
    <w:rsid w:val="7A410FB3"/>
    <w:rsid w:val="7A5978A5"/>
    <w:rsid w:val="7B12E11A"/>
    <w:rsid w:val="7B177C64"/>
    <w:rsid w:val="7B1AC306"/>
    <w:rsid w:val="7B250C5A"/>
    <w:rsid w:val="7B2FE556"/>
    <w:rsid w:val="7B6363BF"/>
    <w:rsid w:val="7B74BE0A"/>
    <w:rsid w:val="7BB9E4B9"/>
    <w:rsid w:val="7BC12847"/>
    <w:rsid w:val="7BDCE014"/>
    <w:rsid w:val="7C116F33"/>
    <w:rsid w:val="7C7C2076"/>
    <w:rsid w:val="7CDEA010"/>
    <w:rsid w:val="7CF18FFC"/>
    <w:rsid w:val="7D659936"/>
    <w:rsid w:val="7E93CDE7"/>
    <w:rsid w:val="7E982601"/>
    <w:rsid w:val="7EB33AA2"/>
    <w:rsid w:val="7ED346FA"/>
    <w:rsid w:val="7F6A3A98"/>
    <w:rsid w:val="7F867002"/>
    <w:rsid w:val="7F9CC9AF"/>
    <w:rsid w:val="7FB6A4D5"/>
    <w:rsid w:val="7FCED113"/>
    <w:rsid w:val="7FDE8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AC811D"/>
  <w15:chartTrackingRefBased/>
  <w15:docId w15:val="{FFE31382-5672-4B14-8495-EE6BA3D5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D4BCE"/>
    <w:pPr>
      <w:spacing w:after="0" w:line="276" w:lineRule="auto"/>
    </w:pPr>
    <w:rPr>
      <w:rFonts w:ascii="Arial" w:hAnsi="Arial" w:eastAsia="Arial" w:cs="Arial"/>
      <w:lang w:val="en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4BCE"/>
    <w:pPr>
      <w:keepNext/>
      <w:keepLines/>
      <w:spacing w:before="400" w:after="120"/>
      <w:outlineLvl w:val="0"/>
    </w:pPr>
    <w:rPr>
      <w:sz w:val="40"/>
      <w:szCs w:val="4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D4BCE"/>
    <w:rPr>
      <w:rFonts w:ascii="Arial" w:hAnsi="Arial" w:eastAsia="Arial" w:cs="Arial"/>
      <w:sz w:val="40"/>
      <w:szCs w:val="40"/>
      <w:lang w:val="en"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BD4BC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D4BCE"/>
    <w:rPr>
      <w:rFonts w:ascii="Arial" w:hAnsi="Arial" w:eastAsia="Arial" w:cs="Arial"/>
      <w:sz w:val="20"/>
      <w:szCs w:val="20"/>
      <w:lang w:val="en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D4BCE"/>
    <w:rPr>
      <w:sz w:val="16"/>
      <w:szCs w:val="16"/>
    </w:rPr>
  </w:style>
  <w:style w:type="paragraph" w:styleId="paragraph" w:customStyle="1">
    <w:name w:val="paragraph"/>
    <w:basedOn w:val="Normal"/>
    <w:rsid w:val="00BD4BC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character" w:styleId="normaltextrun" w:customStyle="1">
    <w:name w:val="normaltextrun"/>
    <w:basedOn w:val="DefaultParagraphFont"/>
    <w:rsid w:val="00BD4BCE"/>
  </w:style>
  <w:style w:type="character" w:styleId="eop" w:customStyle="1">
    <w:name w:val="eop"/>
    <w:basedOn w:val="DefaultParagraphFont"/>
    <w:rsid w:val="00BD4BCE"/>
  </w:style>
  <w:style w:type="character" w:styleId="spellingerror" w:customStyle="1">
    <w:name w:val="spellingerror"/>
    <w:basedOn w:val="DefaultParagraphFont"/>
    <w:rsid w:val="00BD4BCE"/>
  </w:style>
  <w:style w:type="paragraph" w:styleId="Header">
    <w:name w:val="header"/>
    <w:basedOn w:val="Normal"/>
    <w:link w:val="HeaderChar"/>
    <w:uiPriority w:val="99"/>
    <w:unhideWhenUsed/>
    <w:rsid w:val="00431CA9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31CA9"/>
    <w:rPr>
      <w:rFonts w:ascii="Arial" w:hAnsi="Arial" w:eastAsia="Arial" w:cs="Arial"/>
      <w:lang w:val="en" w:eastAsia="en-GB"/>
    </w:rPr>
  </w:style>
  <w:style w:type="paragraph" w:styleId="Footer">
    <w:name w:val="footer"/>
    <w:basedOn w:val="Normal"/>
    <w:link w:val="FooterChar"/>
    <w:uiPriority w:val="99"/>
    <w:unhideWhenUsed/>
    <w:rsid w:val="00431CA9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31CA9"/>
    <w:rPr>
      <w:rFonts w:ascii="Arial" w:hAnsi="Arial" w:eastAsia="Arial" w:cs="Arial"/>
      <w:lang w:val="en" w:eastAsia="en-GB"/>
    </w:rPr>
  </w:style>
  <w:style w:type="paragraph" w:styleId="ListParagraph">
    <w:name w:val="List Paragraph"/>
    <w:aliases w:val="Citation List,references,Bullet Points,Liste Paragraf,List Bullet-OpsManual,Table of contents numbered,List Paragraph Char Char,List Paragraph1,Bullets,Graphic,Resume Title,Ha,Text,Use Case List Paragraph,Proposal Bullet List,List Item,bl"/>
    <w:basedOn w:val="Normal"/>
    <w:link w:val="ListParagraphChar"/>
    <w:uiPriority w:val="34"/>
    <w:qFormat/>
    <w:rsid w:val="000B7B4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FC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A3FC1"/>
    <w:rPr>
      <w:rFonts w:ascii="Arial" w:hAnsi="Arial" w:eastAsia="Arial" w:cs="Arial"/>
      <w:b/>
      <w:bCs/>
      <w:sz w:val="20"/>
      <w:szCs w:val="20"/>
      <w:lang w:val="en" w:eastAsia="en-GB"/>
    </w:rPr>
  </w:style>
  <w:style w:type="table" w:styleId="TableGrid">
    <w:name w:val="Table Grid"/>
    <w:basedOn w:val="TableNormal"/>
    <w:uiPriority w:val="39"/>
    <w:rsid w:val="001850E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aliases w:val="Citation List Char,references Char,Bullet Points Char,Liste Paragraf Char,List Bullet-OpsManual Char,Table of contents numbered Char,List Paragraph Char Char Char,List Paragraph1 Char,Bullets Char,Graphic Char,Resume Title Char"/>
    <w:link w:val="ListParagraph"/>
    <w:uiPriority w:val="34"/>
    <w:qFormat/>
    <w:locked/>
    <w:rsid w:val="00AA32F8"/>
    <w:rPr>
      <w:rFonts w:ascii="Arial" w:hAnsi="Arial" w:eastAsia="Arial" w:cs="Arial"/>
      <w:lang w:val="en" w:eastAsia="en-GB"/>
    </w:rPr>
  </w:style>
  <w:style w:type="character" w:styleId="Mention1" w:customStyle="1">
    <w:name w:val="Mention1"/>
    <w:basedOn w:val="DefaultParagraphFont"/>
    <w:uiPriority w:val="99"/>
    <w:unhideWhenUsed/>
    <w:rsid w:val="00AA32F8"/>
    <w:rPr>
      <w:color w:val="2B579A"/>
      <w:shd w:val="clear" w:color="auto" w:fill="E6E6E6"/>
    </w:rPr>
  </w:style>
  <w:style w:type="character" w:styleId="UnresolvedMention1" w:customStyle="1">
    <w:name w:val="Unresolved Mention1"/>
    <w:basedOn w:val="DefaultParagraphFont"/>
    <w:uiPriority w:val="99"/>
    <w:unhideWhenUsed/>
    <w:rsid w:val="00806832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806832"/>
    <w:pPr>
      <w:spacing w:before="240" w:after="60" w:line="240" w:lineRule="auto"/>
      <w:jc w:val="center"/>
      <w:outlineLvl w:val="0"/>
    </w:pPr>
    <w:rPr>
      <w:rFonts w:eastAsia="MS Mincho"/>
      <w:b/>
      <w:bCs/>
      <w:kern w:val="28"/>
      <w:sz w:val="32"/>
      <w:szCs w:val="32"/>
      <w:lang w:val="en-US" w:eastAsia="ja-JP"/>
    </w:rPr>
  </w:style>
  <w:style w:type="character" w:styleId="TitleChar" w:customStyle="1">
    <w:name w:val="Title Char"/>
    <w:basedOn w:val="DefaultParagraphFont"/>
    <w:link w:val="Title"/>
    <w:uiPriority w:val="10"/>
    <w:rsid w:val="00806832"/>
    <w:rPr>
      <w:rFonts w:ascii="Arial" w:hAnsi="Arial" w:eastAsia="MS Mincho" w:cs="Arial"/>
      <w:b/>
      <w:bCs/>
      <w:kern w:val="28"/>
      <w:sz w:val="32"/>
      <w:szCs w:val="32"/>
      <w:lang w:eastAsia="ja-JP"/>
    </w:rPr>
  </w:style>
  <w:style w:type="paragraph" w:styleId="Revision">
    <w:name w:val="Revision"/>
    <w:hidden/>
    <w:uiPriority w:val="99"/>
    <w:semiHidden/>
    <w:rsid w:val="002518B4"/>
    <w:pPr>
      <w:spacing w:after="0" w:line="240" w:lineRule="auto"/>
    </w:pPr>
    <w:rPr>
      <w:rFonts w:ascii="Arial" w:hAnsi="Arial" w:eastAsia="Arial" w:cs="Arial"/>
      <w:lang w:val="en" w:eastAsia="en-GB"/>
    </w:rPr>
  </w:style>
  <w:style w:type="character" w:styleId="Hyperlink">
    <w:name w:val="Hyperlink"/>
    <w:basedOn w:val="DefaultParagraphFont"/>
    <w:uiPriority w:val="99"/>
    <w:unhideWhenUsed/>
    <w:rsid w:val="00775AC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033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427F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numbering" w:styleId="CurrentList1" w:customStyle="1">
    <w:name w:val="Current List1"/>
    <w:uiPriority w:val="99"/>
    <w:rsid w:val="004E4361"/>
    <w:pPr>
      <w:numPr>
        <w:numId w:val="1"/>
      </w:numPr>
    </w:pPr>
  </w:style>
  <w:style w:type="numbering" w:styleId="CurrentList2" w:customStyle="1">
    <w:name w:val="Current List2"/>
    <w:uiPriority w:val="99"/>
    <w:rsid w:val="00F73FF8"/>
    <w:pPr>
      <w:numPr>
        <w:numId w:val="2"/>
      </w:numPr>
    </w:pPr>
  </w:style>
  <w:style w:type="numbering" w:styleId="CurrentList3" w:customStyle="1">
    <w:name w:val="Current List3"/>
    <w:uiPriority w:val="99"/>
    <w:rsid w:val="001E1C11"/>
    <w:pPr>
      <w:numPr>
        <w:numId w:val="3"/>
      </w:numPr>
    </w:pPr>
  </w:style>
  <w:style w:type="paragraph" w:styleId="NoSpacing">
    <w:name w:val="No Spacing"/>
    <w:uiPriority w:val="1"/>
    <w:qFormat/>
    <w:rsid w:val="00284A22"/>
    <w:pPr>
      <w:spacing w:after="0" w:line="240" w:lineRule="auto"/>
    </w:pPr>
    <w:rPr>
      <w:rFonts w:ascii="Arial" w:hAnsi="Arial" w:eastAsia="Arial" w:cs="Arial"/>
      <w:lang w:val="en"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D77BD9"/>
    <w:pPr>
      <w:spacing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D77BD9"/>
    <w:rPr>
      <w:rFonts w:ascii="Arial" w:hAnsi="Arial" w:eastAsia="Arial" w:cs="Arial"/>
      <w:sz w:val="20"/>
      <w:szCs w:val="20"/>
      <w:lang w:val="en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77BD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C7B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64C7B"/>
    <w:rPr>
      <w:rFonts w:ascii="Segoe UI" w:hAnsi="Segoe UI" w:eastAsia="Arial" w:cs="Segoe UI"/>
      <w:sz w:val="18"/>
      <w:szCs w:val="18"/>
      <w:lang w:val="e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1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70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4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9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7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0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6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7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68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0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92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4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4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9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4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6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2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8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8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8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yperlink" Target="https://www.gavi.org/news/document-library/gavi-programme-funding-guidelines" TargetMode="External" Id="rId13" /><Relationship Type="http://schemas.openxmlformats.org/officeDocument/2006/relationships/footer" Target="footer2.xml" Id="rId18" /><Relationship Type="http://schemas.microsoft.com/office/2018/08/relationships/commentsExtensible" Target="commentsExtensible.xml" Id="rId26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header" Target="header1.xml" Id="rId15" /><Relationship Type="http://schemas.microsoft.com/office/2019/05/relationships/documenttasks" Target="documenttasks/documenttasks1.xml" Id="rId28" /><Relationship Type="http://schemas.openxmlformats.org/officeDocument/2006/relationships/webSettings" Target="webSettings.xml" Id="rId10" /><Relationship Type="http://schemas.openxmlformats.org/officeDocument/2006/relationships/header" Target="header3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yperlink" Target="https://www.gavi.org/news/document-library/tca-guidelines" TargetMode="External" Id="rId14" /><Relationship Type="http://schemas.openxmlformats.org/officeDocument/2006/relationships/theme" Target="theme/theme1.xml" Id="rId22" /><Relationship Type="http://schemas.microsoft.com/office/2016/09/relationships/commentsIds" Target="commentsIds.xml" Id="rId27" /><Relationship Type="http://schemas.openxmlformats.org/officeDocument/2006/relationships/glossaryDocument" Target="glossary/document.xml" Id="R2fc660fb8f2f4ac8" /><Relationship Type="http://schemas.microsoft.com/office/2020/10/relationships/intelligence" Target="intelligence2.xml" Id="R2dcc7547ee9d488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4A43C8DD-7982-43B9-B1AB-BA3DB70F9F30}">
    <t:Anchor>
      <t:Comment id="1598432536"/>
    </t:Anchor>
    <t:History>
      <t:Event id="{150CC8DA-67DB-4E73-AB3C-B8ABB2F2B172}" time="2021-07-28T10:36:11.111Z">
        <t:Attribution userId="S::ssingh@gavi.org::3c2f2231-3942-4bb8-9d90-8435c098fb31" userProvider="AD" userName="Smita Singh"/>
        <t:Anchor>
          <t:Comment id="98129769"/>
        </t:Anchor>
        <t:Create/>
      </t:Event>
      <t:Event id="{153BB033-02ED-47D3-BFE0-04FA1F5241FF}" time="2021-07-28T10:36:11.111Z">
        <t:Attribution userId="S::ssingh@gavi.org::3c2f2231-3942-4bb8-9d90-8435c098fb31" userProvider="AD" userName="Smita Singh"/>
        <t:Anchor>
          <t:Comment id="98129769"/>
        </t:Anchor>
        <t:Assign userId="S::rsoundardjee@gavi.org::c337124f-86db-4ef7-b062-924dc22f0008" userProvider="AD" userName="Riswana Soundardjee"/>
      </t:Event>
      <t:Event id="{BC8A21B9-3DBD-46D2-8062-54407F6CE020}" time="2021-07-28T10:36:11.111Z">
        <t:Attribution userId="S::ssingh@gavi.org::3c2f2231-3942-4bb8-9d90-8435c098fb31" userProvider="AD" userName="Smita Singh"/>
        <t:Anchor>
          <t:Comment id="98129769"/>
        </t:Anchor>
        <t:SetTitle title="@Riswana Soundardjee I've expanded this - does it looks okay now?"/>
      </t:Event>
    </t:History>
  </t:Task>
  <t:Task id="{561E0B2A-6A7C-4D41-ACA7-86761C9FE92F}">
    <t:Anchor>
      <t:Comment id="1412830513"/>
    </t:Anchor>
    <t:History>
      <t:Event id="{438BF6F3-E96D-4B0C-993F-E9354868F5BE}" time="2022-05-31T09:03:58.142Z">
        <t:Attribution userId="S::cwhetham@gavi.org::a95cdbc4-9b8e-492c-b237-f6220fa1ac2f" userProvider="AD" userName="Charlie Whetham"/>
        <t:Anchor>
          <t:Comment id="1887827538"/>
        </t:Anchor>
        <t:Create/>
      </t:Event>
      <t:Event id="{38810C56-F6F3-4B31-AC01-B12301851953}" time="2022-05-31T09:03:58.142Z">
        <t:Attribution userId="S::cwhetham@gavi.org::a95cdbc4-9b8e-492c-b237-f6220fa1ac2f" userProvider="AD" userName="Charlie Whetham"/>
        <t:Anchor>
          <t:Comment id="1887827538"/>
        </t:Anchor>
        <t:Assign userId="S::mminca@gavi.org::9eeb05f8-1c5d-4764-875d-3fc842abdf23" userProvider="AD" userName="Mihaela Minca"/>
      </t:Event>
      <t:Event id="{E21156D3-3C7F-406A-A44A-7D46212F17F9}" time="2022-05-31T09:03:58.142Z">
        <t:Attribution userId="S::cwhetham@gavi.org::a95cdbc4-9b8e-492c-b237-f6220fa1ac2f" userProvider="AD" userName="Charlie Whetham"/>
        <t:Anchor>
          <t:Comment id="1887827538"/>
        </t:Anchor>
        <t:SetTitle title="@Mihaela Minca I think Eoin is refering to the first table, at top, to be updated to reflect requested total each year."/>
      </t:Event>
    </t:History>
  </t:Task>
</t:Task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fe95a-bf45-430e-87c6-02a725434534}"/>
      </w:docPartPr>
      <w:docPartBody>
        <w:p w14:paraId="302C77FC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706217-df7c-4bf4-936d-b09aa3b837af" xsi:nil="true"/>
    <_dlc_DocId xmlns="55894003-98dc-4f3e-8669-85b90bdbcc8c">GAVI-438364776-957373</_dlc_DocId>
    <_dlc_DocIdUrl xmlns="55894003-98dc-4f3e-8669-85b90bdbcc8c">
      <Url>https://gavinet.sharepoint.com/teams/PAP/srp/_layouts/15/DocIdRedir.aspx?ID=GAVI-438364776-957373</Url>
      <Description>GAVI-438364776-957373</Description>
    </_dlc_DocIdUrl>
    <lcf76f155ced4ddcb4097134ff3c332f xmlns="5c2490db-6e42-4989-a0fb-d6ff54a6a7d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avi Document" ma:contentTypeID="0x0101009954897F3EE3CC4ABB9FB9EDAC9CDEBC0061E92A44B5DD2545AEF000129C25E859" ma:contentTypeVersion="211" ma:contentTypeDescription="Gavi Document content type " ma:contentTypeScope="" ma:versionID="3b0b85d5947ea24f0c0956fc47bdb498">
  <xsd:schema xmlns:xsd="http://www.w3.org/2001/XMLSchema" xmlns:xs="http://www.w3.org/2001/XMLSchema" xmlns:p="http://schemas.microsoft.com/office/2006/metadata/properties" xmlns:ns2="d0706217-df7c-4bf4-936d-b09aa3b837af" xmlns:ns3="55894003-98dc-4f3e-8669-85b90bdbcc8c" xmlns:ns4="5c2490db-6e42-4989-a0fb-d6ff54a6a7de" targetNamespace="http://schemas.microsoft.com/office/2006/metadata/properties" ma:root="true" ma:fieldsID="b24f44a081ec587cada9ab9c1fee1689" ns2:_="" ns3:_="" ns4:_="">
    <xsd:import namespace="d0706217-df7c-4bf4-936d-b09aa3b837af"/>
    <xsd:import namespace="55894003-98dc-4f3e-8669-85b90bdbcc8c"/>
    <xsd:import namespace="5c2490db-6e42-4989-a0fb-d6ff54a6a7d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  <xsd:element ref="ns2:TaxCatchAllLabel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06217-df7c-4bf4-936d-b09aa3b837af" elementFormDefault="qualified">
    <xsd:import namespace="http://schemas.microsoft.com/office/2006/documentManagement/types"/>
    <xsd:import namespace="http://schemas.microsoft.com/office/infopath/2007/PartnerControls"/>
    <xsd:element name="TaxCatchAll" ma:index="5" nillable="true" ma:displayName="Taxonomy Catch All Column" ma:description="" ma:hidden="true" ma:list="{c405dbff-886d-494b-bfcb-83b334e9f606}" ma:internalName="TaxCatchAll" ma:showField="CatchAllData" ma:web="55894003-98dc-4f3e-8669-85b90bdbc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c405dbff-886d-494b-bfcb-83b334e9f606}" ma:internalName="TaxCatchAllLabel" ma:readOnly="true" ma:showField="CatchAllDataLabel" ma:web="55894003-98dc-4f3e-8669-85b90bdbc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94003-98dc-4f3e-8669-85b90bdbcc8c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490db-6e42-4989-a0fb-d6ff54a6a7de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cb0222-e980-4273-ad97-85dba3159c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93cb0222-e980-4273-ad97-85dba3159c09" ContentTypeId="0x0101009954897F3EE3CC4ABB9FB9EDAC9CDEBC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ABCCA-2525-4A32-B18C-E44E28EFC753}">
  <ds:schemaRefs>
    <ds:schemaRef ds:uri="http://schemas.microsoft.com/office/2006/metadata/properties"/>
    <ds:schemaRef ds:uri="http://schemas.microsoft.com/office/infopath/2007/PartnerControls"/>
    <ds:schemaRef ds:uri="d0706217-df7c-4bf4-936d-b09aa3b837af"/>
    <ds:schemaRef ds:uri="55894003-98dc-4f3e-8669-85b90bdbcc8c"/>
  </ds:schemaRefs>
</ds:datastoreItem>
</file>

<file path=customXml/itemProps2.xml><?xml version="1.0" encoding="utf-8"?>
<ds:datastoreItem xmlns:ds="http://schemas.openxmlformats.org/officeDocument/2006/customXml" ds:itemID="{E5E4DD58-4E9E-4C29-A703-CB214597474D}"/>
</file>

<file path=customXml/itemProps3.xml><?xml version="1.0" encoding="utf-8"?>
<ds:datastoreItem xmlns:ds="http://schemas.openxmlformats.org/officeDocument/2006/customXml" ds:itemID="{7128A578-D6CE-4B46-9B14-9ECAFD98227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510E385-F15C-49C0-BF1D-0F2315539B2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04F728E-98BA-48D5-8C0D-AFF4B98B0BF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65E3B64-2484-4439-A189-0AA689460D4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seeee</dc:title>
  <dc:subject/>
  <dc:creator>Stephanie Phipps (Consultant)</dc:creator>
  <cp:keywords/>
  <dc:description/>
  <cp:lastModifiedBy>Eoin Gormley (Consultant)</cp:lastModifiedBy>
  <cp:revision>6</cp:revision>
  <dcterms:created xsi:type="dcterms:W3CDTF">2022-05-26T16:07:00Z</dcterms:created>
  <dcterms:modified xsi:type="dcterms:W3CDTF">2022-06-01T21:11:23Z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0x0101009954897F3EE3CC4ABB9FB9EDAC9CDEBC0061E92A44B5DD2545AEF000129C25E859</vt:lpwstr>
  </property>
  <property fmtid="{D5CDD505-2E9C-101B-9397-08002B2CF9AE}" pid="3" name="SharedWithUsers">
    <vt:lpwstr>566;#Ranjana Kumar;#12158;#Katja Schemionek;#3520;#Alex de Jonquieres;#13088;#Daria Piccand;#17886;#Susan Mackay;#867;#Maya Getchell (Consultant);#24960;#Ibrahim Mohammed;#12006;#Jean-Charles Dubourg;#25188;#Eric Sarriot;#13264;#Sara Menzies;#113;#Riswana</vt:lpwstr>
  </property>
  <property fmtid="{D5CDD505-2E9C-101B-9397-08002B2CF9AE}" pid="4" name="MSIP_Label_0a957285-7815-485a-9751-5b273b784ad5_Enabled">
    <vt:lpwstr>true</vt:lpwstr>
  </property>
  <property fmtid="{D5CDD505-2E9C-101B-9397-08002B2CF9AE}" pid="5" name="MSIP_Label_0a957285-7815-485a-9751-5b273b784ad5_SetDate">
    <vt:lpwstr>2021-06-28T14:41:48Z</vt:lpwstr>
  </property>
  <property fmtid="{D5CDD505-2E9C-101B-9397-08002B2CF9AE}" pid="6" name="MSIP_Label_0a957285-7815-485a-9751-5b273b784ad5_Method">
    <vt:lpwstr>Privileged</vt:lpwstr>
  </property>
  <property fmtid="{D5CDD505-2E9C-101B-9397-08002B2CF9AE}" pid="7" name="MSIP_Label_0a957285-7815-485a-9751-5b273b784ad5_Name">
    <vt:lpwstr>0a957285-7815-485a-9751-5b273b784ad5</vt:lpwstr>
  </property>
  <property fmtid="{D5CDD505-2E9C-101B-9397-08002B2CF9AE}" pid="8" name="MSIP_Label_0a957285-7815-485a-9751-5b273b784ad5_SiteId">
    <vt:lpwstr>1de6d9f3-0daf-4df6-b9d6-5959f16f6118</vt:lpwstr>
  </property>
  <property fmtid="{D5CDD505-2E9C-101B-9397-08002B2CF9AE}" pid="9" name="MSIP_Label_0a957285-7815-485a-9751-5b273b784ad5_ActionId">
    <vt:lpwstr>b3f6c006-4701-4f2b-898d-0000134ac9f8</vt:lpwstr>
  </property>
  <property fmtid="{D5CDD505-2E9C-101B-9397-08002B2CF9AE}" pid="10" name="MSIP_Label_0a957285-7815-485a-9751-5b273b784ad5_ContentBits">
    <vt:lpwstr>0</vt:lpwstr>
  </property>
  <property fmtid="{D5CDD505-2E9C-101B-9397-08002B2CF9AE}" pid="11" name="_dlc_DocIdItemGuid">
    <vt:lpwstr>77cb7065-d1d4-4a35-8250-b65c789f8ca6</vt:lpwstr>
  </property>
  <property fmtid="{D5CDD505-2E9C-101B-9397-08002B2CF9AE}" pid="12" name="Lang">
    <vt:lpwstr/>
  </property>
  <property fmtid="{D5CDD505-2E9C-101B-9397-08002B2CF9AE}" pid="13" name="TaxKeyword">
    <vt:lpwstr/>
  </property>
  <property fmtid="{D5CDD505-2E9C-101B-9397-08002B2CF9AE}" pid="14" name="Risk">
    <vt:lpwstr/>
  </property>
  <property fmtid="{D5CDD505-2E9C-101B-9397-08002B2CF9AE}" pid="15" name="Health">
    <vt:lpwstr/>
  </property>
  <property fmtid="{D5CDD505-2E9C-101B-9397-08002B2CF9AE}" pid="16" name="Vaccine">
    <vt:lpwstr/>
  </property>
  <property fmtid="{D5CDD505-2E9C-101B-9397-08002B2CF9AE}" pid="17" name="Governance">
    <vt:lpwstr/>
  </property>
  <property fmtid="{D5CDD505-2E9C-101B-9397-08002B2CF9AE}" pid="18" name="Country">
    <vt:lpwstr/>
  </property>
  <property fmtid="{D5CDD505-2E9C-101B-9397-08002B2CF9AE}" pid="19" name="International Development">
    <vt:lpwstr/>
  </property>
  <property fmtid="{D5CDD505-2E9C-101B-9397-08002B2CF9AE}" pid="20" name="Market Shaping">
    <vt:lpwstr/>
  </property>
  <property fmtid="{D5CDD505-2E9C-101B-9397-08002B2CF9AE}" pid="21" name="Programme and project management">
    <vt:lpwstr/>
  </property>
  <property fmtid="{D5CDD505-2E9C-101B-9397-08002B2CF9AE}" pid="22" name="Strategy and Policy">
    <vt:lpwstr/>
  </property>
  <property fmtid="{D5CDD505-2E9C-101B-9397-08002B2CF9AE}" pid="23" name="Stakeholder">
    <vt:lpwstr/>
  </property>
  <property fmtid="{D5CDD505-2E9C-101B-9397-08002B2CF9AE}" pid="24" name="Document Type">
    <vt:lpwstr/>
  </property>
  <property fmtid="{D5CDD505-2E9C-101B-9397-08002B2CF9AE}" pid="25" name="Finance">
    <vt:lpwstr/>
  </property>
  <property fmtid="{D5CDD505-2E9C-101B-9397-08002B2CF9AE}" pid="26" name="Country Type">
    <vt:lpwstr/>
  </property>
  <property fmtid="{D5CDD505-2E9C-101B-9397-08002B2CF9AE}" pid="27" name="Health System Strengthening">
    <vt:lpwstr/>
  </property>
  <property fmtid="{D5CDD505-2E9C-101B-9397-08002B2CF9AE}" pid="28" name="Location1">
    <vt:lpwstr/>
  </property>
  <property fmtid="{D5CDD505-2E9C-101B-9397-08002B2CF9AE}" pid="29" name="IT Systems">
    <vt:lpwstr/>
  </property>
  <property fmtid="{D5CDD505-2E9C-101B-9397-08002B2CF9AE}" pid="30" name="Depto">
    <vt:lpwstr/>
  </property>
</Properties>
</file>