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938CF" w14:textId="77777777" w:rsidR="00356C0F" w:rsidRPr="009C515A" w:rsidRDefault="00356C0F" w:rsidP="00FC4A11">
      <w:pPr>
        <w:pStyle w:val="Heading1"/>
        <w:spacing w:before="0" w:after="0" w:line="300" w:lineRule="exact"/>
        <w:rPr>
          <w:b/>
          <w:color w:val="70AD47" w:themeColor="accent6"/>
          <w:sz w:val="24"/>
          <w:lang w:val="en-GB"/>
        </w:rPr>
      </w:pPr>
    </w:p>
    <w:p w14:paraId="65EF56B6" w14:textId="77777777" w:rsidR="00F362F4" w:rsidRPr="009C515A" w:rsidRDefault="00F362F4" w:rsidP="00F362F4">
      <w:pPr>
        <w:rPr>
          <w:lang w:val="en-GB"/>
        </w:rPr>
      </w:pPr>
    </w:p>
    <w:p w14:paraId="60FEA920" w14:textId="1ECAD990" w:rsidR="00EA0E8B" w:rsidRPr="009C515A" w:rsidRDefault="00EA0E8B" w:rsidP="00FC4A11">
      <w:pPr>
        <w:pStyle w:val="Heading1"/>
        <w:spacing w:before="0" w:after="0" w:line="340" w:lineRule="exact"/>
        <w:rPr>
          <w:b/>
          <w:color w:val="70AD47" w:themeColor="accent6"/>
          <w:sz w:val="24"/>
          <w:lang w:val="en-GB"/>
        </w:rPr>
      </w:pPr>
      <w:r w:rsidRPr="009C515A">
        <w:rPr>
          <w:b/>
          <w:color w:val="70AD47" w:themeColor="accent6"/>
          <w:sz w:val="24"/>
          <w:lang w:val="en-GB"/>
        </w:rPr>
        <w:t>TEMPLATE</w:t>
      </w:r>
    </w:p>
    <w:p w14:paraId="7C19C58D" w14:textId="6FF7F0CD" w:rsidR="000301CD" w:rsidRPr="009C515A" w:rsidRDefault="000301CD" w:rsidP="00FC4A11">
      <w:pPr>
        <w:spacing w:line="300" w:lineRule="exact"/>
        <w:rPr>
          <w:b/>
          <w:color w:val="4472C4" w:themeColor="accent1"/>
          <w:sz w:val="36"/>
          <w:szCs w:val="36"/>
          <w:lang w:val="en-GB"/>
        </w:rPr>
      </w:pPr>
    </w:p>
    <w:p w14:paraId="15DDCE4E" w14:textId="48ABEB7A" w:rsidR="00B177EC" w:rsidRPr="009C515A" w:rsidRDefault="00583B4B" w:rsidP="00B177EC">
      <w:pPr>
        <w:spacing w:line="300" w:lineRule="exact"/>
        <w:jc w:val="center"/>
        <w:rPr>
          <w:b/>
          <w:color w:val="4472C4" w:themeColor="accent1"/>
          <w:sz w:val="32"/>
          <w:szCs w:val="32"/>
          <w:lang w:val="en-GB"/>
        </w:rPr>
      </w:pPr>
      <w:r w:rsidRPr="009C515A">
        <w:rPr>
          <w:b/>
          <w:color w:val="4472C4" w:themeColor="accent1"/>
          <w:sz w:val="32"/>
          <w:szCs w:val="32"/>
          <w:lang w:val="en-GB"/>
        </w:rPr>
        <w:t>Solomon Islands</w:t>
      </w:r>
    </w:p>
    <w:p w14:paraId="2F1C3C11" w14:textId="77777777" w:rsidR="00B177EC" w:rsidRPr="009C515A" w:rsidRDefault="00B177EC" w:rsidP="00FC4A11">
      <w:pPr>
        <w:spacing w:line="300" w:lineRule="exact"/>
        <w:rPr>
          <w:b/>
          <w:color w:val="4472C4" w:themeColor="accent1"/>
          <w:sz w:val="36"/>
          <w:szCs w:val="36"/>
          <w:lang w:val="en-GB"/>
        </w:rPr>
      </w:pPr>
    </w:p>
    <w:p w14:paraId="104F20A4" w14:textId="46A3E482" w:rsidR="00EA7614" w:rsidRPr="009C515A" w:rsidRDefault="000301CD" w:rsidP="004A579E">
      <w:pPr>
        <w:spacing w:line="240" w:lineRule="auto"/>
        <w:jc w:val="center"/>
        <w:rPr>
          <w:b/>
          <w:color w:val="4471C4"/>
          <w:sz w:val="32"/>
          <w:szCs w:val="32"/>
          <w:lang w:val="en-GB"/>
        </w:rPr>
      </w:pPr>
      <w:r w:rsidRPr="009C515A">
        <w:rPr>
          <w:b/>
          <w:color w:val="4471C4"/>
          <w:sz w:val="32"/>
          <w:szCs w:val="32"/>
          <w:lang w:val="en-GB"/>
        </w:rPr>
        <w:t>PEF Targeted Country Assistance (TCA) Narrative</w:t>
      </w:r>
    </w:p>
    <w:p w14:paraId="299FEA98" w14:textId="4BF747B5" w:rsidR="00EA7614" w:rsidRPr="009C515A" w:rsidRDefault="000301CD" w:rsidP="1176ACC0">
      <w:pPr>
        <w:spacing w:line="240" w:lineRule="auto"/>
        <w:jc w:val="center"/>
        <w:rPr>
          <w:color w:val="808080" w:themeColor="background1" w:themeShade="80"/>
          <w:sz w:val="32"/>
          <w:szCs w:val="32"/>
          <w:lang w:val="en-GB"/>
        </w:rPr>
      </w:pPr>
      <w:r w:rsidRPr="009C515A">
        <w:rPr>
          <w:b/>
          <w:bCs/>
          <w:color w:val="4471C4"/>
          <w:sz w:val="32"/>
          <w:szCs w:val="32"/>
          <w:lang w:val="en-GB"/>
        </w:rPr>
        <w:t>for 2022-2023 Multi-</w:t>
      </w:r>
      <w:r w:rsidRPr="009C515A">
        <w:rPr>
          <w:b/>
          <w:bCs/>
          <w:color w:val="4472C4" w:themeColor="accent1"/>
          <w:sz w:val="32"/>
          <w:szCs w:val="32"/>
          <w:lang w:val="en-GB"/>
        </w:rPr>
        <w:t>Year Planning</w:t>
      </w:r>
    </w:p>
    <w:p w14:paraId="505C9912" w14:textId="77777777" w:rsidR="000301CD" w:rsidRPr="009C515A" w:rsidRDefault="000301CD" w:rsidP="00FC4A11">
      <w:pPr>
        <w:spacing w:line="300" w:lineRule="exact"/>
        <w:rPr>
          <w:bCs/>
          <w:color w:val="808080" w:themeColor="background1" w:themeShade="80"/>
          <w:lang w:val="en-GB"/>
        </w:rPr>
      </w:pPr>
    </w:p>
    <w:p w14:paraId="0E23D244" w14:textId="1D5F69EF" w:rsidR="000D0267" w:rsidRPr="009C515A" w:rsidRDefault="00322FAC" w:rsidP="00FC4A11">
      <w:pPr>
        <w:spacing w:line="300" w:lineRule="exact"/>
        <w:rPr>
          <w:bCs/>
          <w:color w:val="808080" w:themeColor="background1" w:themeShade="80"/>
        </w:rPr>
      </w:pPr>
      <w:r w:rsidRPr="009C515A">
        <w:rPr>
          <w:bCs/>
          <w:color w:val="808080" w:themeColor="background1" w:themeShade="80"/>
          <w:lang w:val="en-GB"/>
        </w:rPr>
        <w:t>Use this template to create a narrative that contextualise</w:t>
      </w:r>
      <w:r w:rsidR="008447E6" w:rsidRPr="009C515A">
        <w:rPr>
          <w:bCs/>
          <w:color w:val="808080" w:themeColor="background1" w:themeShade="80"/>
          <w:lang w:val="en-GB"/>
        </w:rPr>
        <w:t>s</w:t>
      </w:r>
      <w:r w:rsidRPr="009C515A">
        <w:rPr>
          <w:bCs/>
          <w:color w:val="808080" w:themeColor="background1" w:themeShade="80"/>
          <w:lang w:val="en-GB"/>
        </w:rPr>
        <w:t xml:space="preserve"> your </w:t>
      </w:r>
      <w:r w:rsidR="00E14236" w:rsidRPr="009C515A">
        <w:rPr>
          <w:bCs/>
          <w:color w:val="808080" w:themeColor="background1" w:themeShade="80"/>
          <w:lang w:val="en-GB"/>
        </w:rPr>
        <w:t>TCA plan</w:t>
      </w:r>
      <w:r w:rsidR="00EF52EE" w:rsidRPr="009C515A">
        <w:rPr>
          <w:bCs/>
          <w:color w:val="808080" w:themeColor="background1" w:themeShade="80"/>
          <w:lang w:val="en-GB"/>
        </w:rPr>
        <w:t xml:space="preserve"> for the planned</w:t>
      </w:r>
      <w:r w:rsidR="009731D8" w:rsidRPr="009C515A">
        <w:rPr>
          <w:bCs/>
          <w:color w:val="808080" w:themeColor="background1" w:themeShade="80"/>
          <w:lang w:val="en-GB"/>
        </w:rPr>
        <w:t xml:space="preserve"> duration</w:t>
      </w:r>
      <w:r w:rsidRPr="009C515A">
        <w:rPr>
          <w:bCs/>
          <w:color w:val="808080" w:themeColor="background1" w:themeShade="80"/>
          <w:lang w:val="en-GB"/>
        </w:rPr>
        <w:t xml:space="preserve"> and how the support </w:t>
      </w:r>
      <w:r w:rsidR="007454E0" w:rsidRPr="009C515A">
        <w:rPr>
          <w:bCs/>
          <w:color w:val="808080" w:themeColor="background1" w:themeShade="80"/>
          <w:lang w:val="en-GB"/>
        </w:rPr>
        <w:t>that</w:t>
      </w:r>
      <w:r w:rsidRPr="009C515A">
        <w:rPr>
          <w:bCs/>
          <w:color w:val="808080" w:themeColor="background1" w:themeShade="80"/>
          <w:lang w:val="en-GB"/>
        </w:rPr>
        <w:t xml:space="preserve"> you are requesting from Gavi will help you </w:t>
      </w:r>
      <w:r w:rsidR="008E6274" w:rsidRPr="009C515A">
        <w:rPr>
          <w:bCs/>
          <w:color w:val="808080" w:themeColor="background1" w:themeShade="80"/>
          <w:lang w:val="en-GB"/>
        </w:rPr>
        <w:t>reach your immuni</w:t>
      </w:r>
      <w:r w:rsidR="00FF2C35" w:rsidRPr="009C515A">
        <w:rPr>
          <w:bCs/>
          <w:color w:val="808080" w:themeColor="background1" w:themeShade="80"/>
          <w:lang w:val="en-GB"/>
        </w:rPr>
        <w:t>s</w:t>
      </w:r>
      <w:r w:rsidR="008E6274" w:rsidRPr="009C515A">
        <w:rPr>
          <w:bCs/>
          <w:color w:val="808080" w:themeColor="background1" w:themeShade="80"/>
          <w:lang w:val="en-GB"/>
        </w:rPr>
        <w:t xml:space="preserve">ation goals. </w:t>
      </w:r>
      <w:r w:rsidRPr="009C515A">
        <w:rPr>
          <w:bCs/>
          <w:color w:val="808080" w:themeColor="background1" w:themeShade="80"/>
        </w:rPr>
        <w:t xml:space="preserve"> </w:t>
      </w:r>
    </w:p>
    <w:p w14:paraId="6F6CC660" w14:textId="77777777" w:rsidR="00056DDF" w:rsidRPr="009C515A" w:rsidRDefault="00056DDF" w:rsidP="00FC4A11">
      <w:pPr>
        <w:spacing w:line="300" w:lineRule="exact"/>
        <w:rPr>
          <w:bCs/>
          <w:color w:val="808080" w:themeColor="background1" w:themeShade="80"/>
        </w:rPr>
      </w:pPr>
    </w:p>
    <w:p w14:paraId="1AB11C18" w14:textId="238BD1D1" w:rsidR="001C1D82" w:rsidRPr="009C515A" w:rsidRDefault="00056DDF" w:rsidP="00056DDF">
      <w:pPr>
        <w:spacing w:line="300" w:lineRule="exact"/>
        <w:ind w:left="426"/>
        <w:rPr>
          <w:i/>
          <w:color w:val="808080" w:themeColor="background1" w:themeShade="80"/>
          <w:lang w:val="en-GB"/>
        </w:rPr>
      </w:pPr>
      <w:r w:rsidRPr="009C515A">
        <w:rPr>
          <w:i/>
          <w:color w:val="808080" w:themeColor="background1" w:themeShade="80"/>
          <w:lang w:val="en-GB"/>
        </w:rPr>
        <w:t>(Populated by Gavi)</w:t>
      </w:r>
    </w:p>
    <w:tbl>
      <w:tblPr>
        <w:tblStyle w:val="TableGrid"/>
        <w:tblW w:w="9067" w:type="dxa"/>
        <w:shd w:val="clear" w:color="auto" w:fill="FFFFFF" w:themeFill="background1"/>
        <w:tblLook w:val="04A0" w:firstRow="1" w:lastRow="0" w:firstColumn="1" w:lastColumn="0" w:noHBand="0" w:noVBand="1"/>
      </w:tblPr>
      <w:tblGrid>
        <w:gridCol w:w="2185"/>
        <w:gridCol w:w="787"/>
        <w:gridCol w:w="4961"/>
        <w:gridCol w:w="1134"/>
      </w:tblGrid>
      <w:tr w:rsidR="00FB048D" w:rsidRPr="009C515A" w14:paraId="70C3917F" w14:textId="6D7D2D4E" w:rsidTr="004C6B53">
        <w:tc>
          <w:tcPr>
            <w:tcW w:w="2185" w:type="dxa"/>
            <w:shd w:val="clear" w:color="auto" w:fill="DEEAF6" w:themeFill="accent5" w:themeFillTint="33"/>
          </w:tcPr>
          <w:p w14:paraId="7BD2C001" w14:textId="20F00943" w:rsidR="00FB048D" w:rsidRPr="009C515A" w:rsidRDefault="00FB048D" w:rsidP="00FC4A11">
            <w:pPr>
              <w:spacing w:line="300" w:lineRule="exact"/>
              <w:rPr>
                <w:b/>
                <w:lang w:val="en-GB"/>
              </w:rPr>
            </w:pPr>
            <w:r w:rsidRPr="009C515A">
              <w:rPr>
                <w:b/>
                <w:lang w:val="en-GB"/>
              </w:rPr>
              <w:t>Total Envelope</w:t>
            </w:r>
          </w:p>
        </w:tc>
        <w:tc>
          <w:tcPr>
            <w:tcW w:w="5748" w:type="dxa"/>
            <w:gridSpan w:val="2"/>
            <w:shd w:val="clear" w:color="auto" w:fill="DEEAF6" w:themeFill="accent5" w:themeFillTint="33"/>
          </w:tcPr>
          <w:p w14:paraId="5F1CD927" w14:textId="5A2013EF" w:rsidR="00FB048D" w:rsidRPr="009C515A" w:rsidRDefault="00FB048D" w:rsidP="00FC4A11">
            <w:pPr>
              <w:spacing w:line="300" w:lineRule="exact"/>
              <w:rPr>
                <w:b/>
                <w:lang w:val="en-GB"/>
              </w:rPr>
            </w:pPr>
            <w:r w:rsidRPr="009C515A">
              <w:rPr>
                <w:b/>
                <w:lang w:val="en-GB"/>
              </w:rPr>
              <w:t>Indicative allocation per 2022-</w:t>
            </w:r>
            <w:r w:rsidR="00E149C4" w:rsidRPr="009C515A">
              <w:rPr>
                <w:b/>
                <w:lang w:val="en-GB"/>
              </w:rPr>
              <w:t>2023</w:t>
            </w:r>
          </w:p>
        </w:tc>
        <w:tc>
          <w:tcPr>
            <w:tcW w:w="1134" w:type="dxa"/>
            <w:shd w:val="clear" w:color="auto" w:fill="DEEAF6" w:themeFill="accent5" w:themeFillTint="33"/>
          </w:tcPr>
          <w:p w14:paraId="7640021E" w14:textId="0969877A" w:rsidR="00FB048D" w:rsidRPr="009C515A" w:rsidRDefault="00FB048D" w:rsidP="00FC4A11">
            <w:pPr>
              <w:spacing w:line="300" w:lineRule="exact"/>
              <w:rPr>
                <w:b/>
                <w:lang w:val="en-GB"/>
              </w:rPr>
            </w:pPr>
            <w:r w:rsidRPr="009C515A">
              <w:rPr>
                <w:b/>
                <w:lang w:val="en-GB"/>
              </w:rPr>
              <w:t>%</w:t>
            </w:r>
          </w:p>
        </w:tc>
      </w:tr>
      <w:tr w:rsidR="00FB048D" w:rsidRPr="009C515A" w14:paraId="150C4E2A" w14:textId="117ACA42" w:rsidTr="004C6B53">
        <w:tc>
          <w:tcPr>
            <w:tcW w:w="2185" w:type="dxa"/>
            <w:vMerge w:val="restart"/>
            <w:shd w:val="clear" w:color="auto" w:fill="FFFFFF" w:themeFill="background1"/>
          </w:tcPr>
          <w:p w14:paraId="731ED098" w14:textId="1BA997BC" w:rsidR="00FB048D" w:rsidRPr="009C515A" w:rsidRDefault="00FB048D" w:rsidP="00FC4A11">
            <w:pPr>
              <w:spacing w:line="300" w:lineRule="exact"/>
              <w:rPr>
                <w:bCs/>
                <w:color w:val="808080" w:themeColor="background1" w:themeShade="80"/>
                <w:lang w:val="en-GB"/>
              </w:rPr>
            </w:pPr>
            <w:r w:rsidRPr="009C515A">
              <w:rPr>
                <w:color w:val="808080" w:themeColor="background1" w:themeShade="80"/>
                <w:lang w:val="en-GB"/>
              </w:rPr>
              <w:t>$</w:t>
            </w:r>
            <w:r w:rsidR="00E149C4" w:rsidRPr="009C515A">
              <w:rPr>
                <w:color w:val="808080" w:themeColor="background1" w:themeShade="80"/>
                <w:lang w:val="en-GB"/>
              </w:rPr>
              <w:t>2,104,836</w:t>
            </w:r>
          </w:p>
        </w:tc>
        <w:tc>
          <w:tcPr>
            <w:tcW w:w="787" w:type="dxa"/>
            <w:shd w:val="clear" w:color="auto" w:fill="E2EFD9" w:themeFill="accent6" w:themeFillTint="33"/>
          </w:tcPr>
          <w:p w14:paraId="7CFDAA42" w14:textId="1406FB5F" w:rsidR="00FB048D" w:rsidRPr="009C515A" w:rsidRDefault="00FB048D" w:rsidP="00FC4A11">
            <w:pPr>
              <w:spacing w:line="300" w:lineRule="exact"/>
              <w:rPr>
                <w:b/>
                <w:lang w:val="en-GB"/>
              </w:rPr>
            </w:pPr>
            <w:r w:rsidRPr="009C515A">
              <w:rPr>
                <w:b/>
                <w:lang w:val="en-GB"/>
              </w:rPr>
              <w:t>2022</w:t>
            </w:r>
          </w:p>
        </w:tc>
        <w:tc>
          <w:tcPr>
            <w:tcW w:w="4961" w:type="dxa"/>
            <w:shd w:val="clear" w:color="auto" w:fill="E2EFD9" w:themeFill="accent6" w:themeFillTint="33"/>
          </w:tcPr>
          <w:p w14:paraId="00353A5A" w14:textId="542ECDF4" w:rsidR="00FB048D" w:rsidRPr="009C515A" w:rsidRDefault="00FB048D" w:rsidP="00FC4A11">
            <w:pPr>
              <w:spacing w:line="300" w:lineRule="exact"/>
              <w:rPr>
                <w:color w:val="808080" w:themeColor="background1" w:themeShade="80"/>
                <w:lang w:val="en-GB"/>
              </w:rPr>
            </w:pPr>
            <w:r w:rsidRPr="009C515A">
              <w:rPr>
                <w:color w:val="808080" w:themeColor="background1" w:themeShade="80"/>
                <w:lang w:val="en-GB"/>
              </w:rPr>
              <w:t>$</w:t>
            </w:r>
            <w:r w:rsidR="00311C1F" w:rsidRPr="009C515A">
              <w:rPr>
                <w:color w:val="808080" w:themeColor="background1" w:themeShade="80"/>
                <w:lang w:val="en-GB"/>
              </w:rPr>
              <w:t>999,526</w:t>
            </w:r>
          </w:p>
        </w:tc>
        <w:tc>
          <w:tcPr>
            <w:tcW w:w="1134" w:type="dxa"/>
            <w:shd w:val="clear" w:color="auto" w:fill="E2EFD9" w:themeFill="accent6" w:themeFillTint="33"/>
          </w:tcPr>
          <w:p w14:paraId="2EADFDF3" w14:textId="3B5F52F0" w:rsidR="00FB048D" w:rsidRPr="009C515A" w:rsidRDefault="00774878" w:rsidP="00FC4A11">
            <w:pPr>
              <w:spacing w:line="300" w:lineRule="exact"/>
              <w:rPr>
                <w:bCs/>
                <w:color w:val="808080" w:themeColor="background1" w:themeShade="80"/>
                <w:lang w:val="en-GB"/>
              </w:rPr>
            </w:pPr>
            <w:r w:rsidRPr="009C515A">
              <w:rPr>
                <w:bCs/>
                <w:color w:val="808080" w:themeColor="background1" w:themeShade="80"/>
                <w:lang w:val="en-GB"/>
              </w:rPr>
              <w:t>47.5</w:t>
            </w:r>
            <w:r w:rsidR="00316EF7" w:rsidRPr="009C515A">
              <w:rPr>
                <w:bCs/>
                <w:color w:val="808080" w:themeColor="background1" w:themeShade="80"/>
                <w:lang w:val="en-GB"/>
              </w:rPr>
              <w:t>%</w:t>
            </w:r>
          </w:p>
        </w:tc>
      </w:tr>
      <w:tr w:rsidR="00311C1F" w:rsidRPr="009C515A" w14:paraId="3A3CDB53" w14:textId="7AF48707" w:rsidTr="004A579E">
        <w:trPr>
          <w:trHeight w:val="125"/>
        </w:trPr>
        <w:tc>
          <w:tcPr>
            <w:tcW w:w="2185" w:type="dxa"/>
            <w:vMerge/>
          </w:tcPr>
          <w:p w14:paraId="0CA26921" w14:textId="77777777" w:rsidR="00311C1F" w:rsidRPr="009C515A" w:rsidRDefault="00311C1F" w:rsidP="00FC4A11">
            <w:pPr>
              <w:spacing w:line="300" w:lineRule="exact"/>
              <w:rPr>
                <w:bCs/>
                <w:color w:val="808080" w:themeColor="background1" w:themeShade="80"/>
                <w:lang w:val="en-GB"/>
              </w:rPr>
            </w:pPr>
          </w:p>
        </w:tc>
        <w:tc>
          <w:tcPr>
            <w:tcW w:w="787" w:type="dxa"/>
            <w:shd w:val="clear" w:color="auto" w:fill="E2EFD9" w:themeFill="accent6" w:themeFillTint="33"/>
          </w:tcPr>
          <w:p w14:paraId="5CF45603" w14:textId="513213A0" w:rsidR="00311C1F" w:rsidRPr="009C515A" w:rsidRDefault="00311C1F" w:rsidP="00FC4A11">
            <w:pPr>
              <w:spacing w:line="300" w:lineRule="exact"/>
              <w:rPr>
                <w:b/>
                <w:lang w:val="en-GB"/>
              </w:rPr>
            </w:pPr>
            <w:r w:rsidRPr="009C515A">
              <w:rPr>
                <w:b/>
                <w:lang w:val="en-GB"/>
              </w:rPr>
              <w:t>2023</w:t>
            </w:r>
          </w:p>
        </w:tc>
        <w:tc>
          <w:tcPr>
            <w:tcW w:w="4961" w:type="dxa"/>
            <w:shd w:val="clear" w:color="auto" w:fill="E2EFD9" w:themeFill="accent6" w:themeFillTint="33"/>
          </w:tcPr>
          <w:p w14:paraId="4DA7D255" w14:textId="26FF223E" w:rsidR="00311C1F" w:rsidRPr="009C515A" w:rsidRDefault="00311C1F" w:rsidP="00FC4A11">
            <w:pPr>
              <w:spacing w:line="300" w:lineRule="exact"/>
              <w:rPr>
                <w:color w:val="808080" w:themeColor="background1" w:themeShade="80"/>
                <w:lang w:val="en-GB"/>
              </w:rPr>
            </w:pPr>
            <w:r w:rsidRPr="009C515A">
              <w:rPr>
                <w:color w:val="808080" w:themeColor="background1" w:themeShade="80"/>
                <w:lang w:val="en-GB"/>
              </w:rPr>
              <w:t>$1,105,310</w:t>
            </w:r>
          </w:p>
        </w:tc>
        <w:tc>
          <w:tcPr>
            <w:tcW w:w="1134" w:type="dxa"/>
            <w:shd w:val="clear" w:color="auto" w:fill="E2EFD9" w:themeFill="accent6" w:themeFillTint="33"/>
          </w:tcPr>
          <w:p w14:paraId="11ED1C8B" w14:textId="272E5E3E" w:rsidR="00311C1F" w:rsidRPr="009C515A" w:rsidRDefault="00316EF7" w:rsidP="00FC4A11">
            <w:pPr>
              <w:spacing w:line="300" w:lineRule="exact"/>
              <w:rPr>
                <w:bCs/>
                <w:color w:val="808080" w:themeColor="background1" w:themeShade="80"/>
                <w:lang w:val="en-GB"/>
              </w:rPr>
            </w:pPr>
            <w:r w:rsidRPr="009C515A">
              <w:rPr>
                <w:bCs/>
                <w:color w:val="808080" w:themeColor="background1" w:themeShade="80"/>
                <w:lang w:val="en-GB"/>
              </w:rPr>
              <w:t>52.5%</w:t>
            </w:r>
          </w:p>
        </w:tc>
      </w:tr>
    </w:tbl>
    <w:p w14:paraId="1F6083B3" w14:textId="77777777" w:rsidR="00A47FCF" w:rsidRPr="009C515A" w:rsidRDefault="00A47FCF" w:rsidP="00FC4A11">
      <w:pPr>
        <w:spacing w:line="300" w:lineRule="exact"/>
        <w:rPr>
          <w:bCs/>
          <w:color w:val="808080" w:themeColor="background1" w:themeShade="80"/>
          <w:lang w:val="en-GB"/>
        </w:rPr>
      </w:pPr>
    </w:p>
    <w:p w14:paraId="52D793FC" w14:textId="16F44803" w:rsidR="000E69CF" w:rsidRPr="009C515A" w:rsidRDefault="00FB7375" w:rsidP="00ED28EB">
      <w:pPr>
        <w:pStyle w:val="ListParagraph"/>
        <w:numPr>
          <w:ilvl w:val="0"/>
          <w:numId w:val="4"/>
        </w:numPr>
        <w:spacing w:line="300" w:lineRule="exact"/>
        <w:ind w:left="426"/>
        <w:rPr>
          <w:bCs/>
          <w:color w:val="808080" w:themeColor="background1" w:themeShade="80"/>
          <w:lang w:val="en-GB"/>
        </w:rPr>
      </w:pPr>
      <w:r w:rsidRPr="009C515A">
        <w:rPr>
          <w:b/>
          <w:color w:val="70AD47" w:themeColor="accent6"/>
          <w:sz w:val="26"/>
          <w:szCs w:val="26"/>
          <w:lang w:val="en-GB"/>
        </w:rPr>
        <w:t xml:space="preserve">Key objectives for the EPI program and known gaps/bottlenecks </w:t>
      </w:r>
      <w:r w:rsidR="00650EB6" w:rsidRPr="009C515A">
        <w:rPr>
          <w:b/>
          <w:color w:val="70AD47" w:themeColor="accent6"/>
          <w:sz w:val="26"/>
          <w:szCs w:val="26"/>
          <w:lang w:val="en-GB"/>
        </w:rPr>
        <w:t>(0.5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2"/>
      </w:tblGrid>
      <w:tr w:rsidR="00650EB6" w:rsidRPr="009C515A" w14:paraId="4DE8D376" w14:textId="77777777" w:rsidTr="00294171">
        <w:tc>
          <w:tcPr>
            <w:tcW w:w="9192" w:type="dxa"/>
            <w:tcBorders>
              <w:bottom w:val="single" w:sz="6" w:space="0" w:color="auto"/>
            </w:tcBorders>
            <w:shd w:val="clear" w:color="auto" w:fill="F2F2F2" w:themeFill="background1" w:themeFillShade="F2"/>
          </w:tcPr>
          <w:p w14:paraId="7976640A" w14:textId="70A33093" w:rsidR="00650EB6" w:rsidRPr="009C515A" w:rsidRDefault="00650EB6" w:rsidP="00871FCF">
            <w:pPr>
              <w:spacing w:line="300" w:lineRule="exact"/>
              <w:rPr>
                <w:b/>
                <w:i/>
                <w:iCs/>
                <w:color w:val="000000" w:themeColor="text1"/>
                <w:sz w:val="20"/>
                <w:szCs w:val="20"/>
                <w:lang w:val="en-GB"/>
              </w:rPr>
            </w:pPr>
            <w:r w:rsidRPr="009C515A">
              <w:rPr>
                <w:b/>
                <w:bCs/>
                <w:i/>
                <w:iCs/>
                <w:color w:val="000000" w:themeColor="text1"/>
                <w:sz w:val="20"/>
                <w:szCs w:val="20"/>
                <w:lang w:val="en-GB"/>
              </w:rPr>
              <w:t xml:space="preserve">1.1 </w:t>
            </w:r>
            <w:r w:rsidRPr="009C515A">
              <w:rPr>
                <w:b/>
                <w:bCs/>
                <w:i/>
                <w:iCs/>
                <w:sz w:val="20"/>
                <w:szCs w:val="20"/>
              </w:rPr>
              <w:t xml:space="preserve">Please note any country context that </w:t>
            </w:r>
            <w:r w:rsidR="00483273" w:rsidRPr="009C515A">
              <w:rPr>
                <w:b/>
                <w:bCs/>
                <w:i/>
                <w:iCs/>
                <w:sz w:val="20"/>
                <w:szCs w:val="20"/>
              </w:rPr>
              <w:t>is</w:t>
            </w:r>
            <w:r w:rsidRPr="009C515A">
              <w:rPr>
                <w:b/>
                <w:bCs/>
                <w:i/>
                <w:iCs/>
                <w:sz w:val="20"/>
                <w:szCs w:val="20"/>
              </w:rPr>
              <w:t xml:space="preserve"> significant to understanding the country</w:t>
            </w:r>
            <w:r w:rsidR="00483273" w:rsidRPr="009C515A">
              <w:rPr>
                <w:b/>
                <w:bCs/>
                <w:i/>
                <w:iCs/>
                <w:sz w:val="20"/>
                <w:szCs w:val="20"/>
              </w:rPr>
              <w:t>'s</w:t>
            </w:r>
            <w:r w:rsidRPr="009C515A">
              <w:rPr>
                <w:b/>
                <w:bCs/>
                <w:i/>
                <w:iCs/>
                <w:sz w:val="20"/>
                <w:szCs w:val="20"/>
              </w:rPr>
              <w:t xml:space="preserve"> vision and request for Gavi TCA support. What specific effects do these factors have on the national immunisation programme</w:t>
            </w:r>
            <w:r w:rsidR="003036DC" w:rsidRPr="009C515A">
              <w:rPr>
                <w:b/>
                <w:bCs/>
                <w:i/>
                <w:iCs/>
                <w:sz w:val="20"/>
                <w:szCs w:val="20"/>
              </w:rPr>
              <w:t>?</w:t>
            </w:r>
          </w:p>
        </w:tc>
      </w:tr>
      <w:tr w:rsidR="00650EB6" w:rsidRPr="009C515A" w14:paraId="79578C2F" w14:textId="77777777" w:rsidTr="00294171">
        <w:tc>
          <w:tcPr>
            <w:tcW w:w="9192" w:type="dxa"/>
            <w:tcBorders>
              <w:top w:val="single" w:sz="6" w:space="0" w:color="auto"/>
              <w:left w:val="single" w:sz="6" w:space="0" w:color="auto"/>
              <w:bottom w:val="single" w:sz="6" w:space="0" w:color="auto"/>
              <w:right w:val="single" w:sz="6" w:space="0" w:color="auto"/>
            </w:tcBorders>
          </w:tcPr>
          <w:p w14:paraId="7104CF70" w14:textId="77777777" w:rsidR="00A138CB" w:rsidRPr="009C515A" w:rsidRDefault="00A138CB" w:rsidP="00A138CB">
            <w:pPr>
              <w:rPr>
                <w:sz w:val="20"/>
                <w:szCs w:val="20"/>
              </w:rPr>
            </w:pPr>
            <w:r w:rsidRPr="009C515A">
              <w:rPr>
                <w:sz w:val="20"/>
                <w:szCs w:val="20"/>
              </w:rPr>
              <w:t>The key objectives of the EPI program of the Solomon Islands include the prevention of 13 vaccine-preventable diseases through high vaccination coverage with quality vaccines through effective maintenance of cold chain and administration through trained staff and effective surveillance of vaccine-preventable diseases and adverse events following immunisation.</w:t>
            </w:r>
          </w:p>
          <w:p w14:paraId="6096E902" w14:textId="77777777" w:rsidR="00A138CB" w:rsidRPr="009C515A" w:rsidRDefault="00A138CB" w:rsidP="00A138CB">
            <w:pPr>
              <w:rPr>
                <w:sz w:val="20"/>
                <w:szCs w:val="20"/>
              </w:rPr>
            </w:pPr>
          </w:p>
          <w:p w14:paraId="34552770" w14:textId="77777777" w:rsidR="004A43B1" w:rsidRPr="009C515A" w:rsidRDefault="00A138CB" w:rsidP="004A43B1">
            <w:r w:rsidRPr="009C515A">
              <w:rPr>
                <w:sz w:val="20"/>
                <w:szCs w:val="20"/>
              </w:rPr>
              <w:t xml:space="preserve">Performance of the EPI has dipped recently, including a decline in routine immunisation coverage. For instance, the MCV1 national coverage in 2021 was </w:t>
            </w:r>
            <w:r w:rsidR="00F42012" w:rsidRPr="009C515A">
              <w:rPr>
                <w:sz w:val="20"/>
                <w:szCs w:val="20"/>
              </w:rPr>
              <w:t>68.3</w:t>
            </w:r>
            <w:r w:rsidRPr="009C515A">
              <w:rPr>
                <w:sz w:val="20"/>
                <w:szCs w:val="20"/>
              </w:rPr>
              <w:t xml:space="preserve">%, a drop of </w:t>
            </w:r>
            <w:r w:rsidR="00F42012" w:rsidRPr="009C515A">
              <w:rPr>
                <w:sz w:val="20"/>
                <w:szCs w:val="20"/>
              </w:rPr>
              <w:t>nearly 20%</w:t>
            </w:r>
            <w:r w:rsidRPr="009C515A">
              <w:rPr>
                <w:sz w:val="20"/>
                <w:szCs w:val="20"/>
              </w:rPr>
              <w:t xml:space="preserve"> from the pre-pandemic level, with three provinces, including the two most populated provinces showing a coverage level of &lt;48%. The MCV2 national coverage in 2021 was 42%, with the most populated two provinces again showing the lowest coverage levels below 26%. </w:t>
            </w:r>
            <w:bookmarkStart w:id="0" w:name="_Hlk104486570"/>
            <w:r w:rsidR="004A43B1" w:rsidRPr="009C515A">
              <w:rPr>
                <w:sz w:val="20"/>
                <w:szCs w:val="20"/>
              </w:rPr>
              <w:t xml:space="preserve">The national DPT1 coverage in 2021 was similarly low at 83%, dropping down from </w:t>
            </w:r>
            <w:bookmarkEnd w:id="0"/>
            <w:r w:rsidR="004A43B1" w:rsidRPr="009C515A">
              <w:rPr>
                <w:sz w:val="20"/>
                <w:szCs w:val="20"/>
              </w:rPr>
              <w:t>98.1% in the 2019 pre-pandemic level. The trend continues in 2022, dropping from DPT1 first quarter coverage of 91% in 2019 to 67% in 2022.</w:t>
            </w:r>
          </w:p>
          <w:p w14:paraId="1875CC2B" w14:textId="41D6C895" w:rsidR="00A138CB" w:rsidRPr="009C515A" w:rsidRDefault="00A138CB" w:rsidP="00A138CB">
            <w:pPr>
              <w:rPr>
                <w:sz w:val="20"/>
                <w:szCs w:val="20"/>
              </w:rPr>
            </w:pPr>
            <w:r w:rsidRPr="009C515A">
              <w:rPr>
                <w:sz w:val="20"/>
                <w:szCs w:val="20"/>
              </w:rPr>
              <w:t>If early actions are not taken, the country is dangerously poised for VPD outbreaks.</w:t>
            </w:r>
            <w:r w:rsidR="001D354A" w:rsidRPr="009C515A">
              <w:rPr>
                <w:sz w:val="20"/>
                <w:szCs w:val="20"/>
              </w:rPr>
              <w:t xml:space="preserve"> </w:t>
            </w:r>
          </w:p>
          <w:p w14:paraId="7A264A4F" w14:textId="77777777" w:rsidR="00A138CB" w:rsidRPr="009C515A" w:rsidRDefault="00A138CB" w:rsidP="00A138CB">
            <w:pPr>
              <w:rPr>
                <w:sz w:val="20"/>
                <w:szCs w:val="20"/>
              </w:rPr>
            </w:pPr>
          </w:p>
          <w:p w14:paraId="183535AF" w14:textId="2525A3A8" w:rsidR="00650EB6" w:rsidRPr="009C515A" w:rsidRDefault="00A138CB" w:rsidP="00F719F4">
            <w:pPr>
              <w:rPr>
                <w:sz w:val="20"/>
                <w:szCs w:val="20"/>
              </w:rPr>
            </w:pPr>
            <w:r w:rsidRPr="009C515A">
              <w:rPr>
                <w:sz w:val="20"/>
                <w:szCs w:val="20"/>
              </w:rPr>
              <w:t xml:space="preserve">There are several gaps and bottlenecks </w:t>
            </w:r>
            <w:proofErr w:type="gramStart"/>
            <w:r w:rsidRPr="009C515A">
              <w:rPr>
                <w:sz w:val="20"/>
                <w:szCs w:val="20"/>
              </w:rPr>
              <w:t>in</w:t>
            </w:r>
            <w:r w:rsidR="00620F51" w:rsidRPr="009C515A">
              <w:rPr>
                <w:sz w:val="20"/>
                <w:szCs w:val="20"/>
              </w:rPr>
              <w:t xml:space="preserve"> </w:t>
            </w:r>
            <w:r w:rsidRPr="009C515A">
              <w:rPr>
                <w:sz w:val="20"/>
                <w:szCs w:val="20"/>
              </w:rPr>
              <w:t xml:space="preserve"> the</w:t>
            </w:r>
            <w:proofErr w:type="gramEnd"/>
            <w:r w:rsidRPr="009C515A">
              <w:rPr>
                <w:sz w:val="20"/>
                <w:szCs w:val="20"/>
              </w:rPr>
              <w:t xml:space="preserve"> EPI program, some of which are longstanding and recently exacerbated by the pandemic. Limited availability of trained staff at all levels, logistic challenges including transport impacting coverage in remote islands, weak communication and community engagement, EPI data management, and </w:t>
            </w:r>
            <w:proofErr w:type="spellStart"/>
            <w:r w:rsidRPr="009C515A">
              <w:rPr>
                <w:sz w:val="20"/>
                <w:szCs w:val="20"/>
              </w:rPr>
              <w:t>digitalising</w:t>
            </w:r>
            <w:proofErr w:type="spellEnd"/>
            <w:r w:rsidRPr="009C515A">
              <w:rPr>
                <w:sz w:val="20"/>
                <w:szCs w:val="20"/>
              </w:rPr>
              <w:t xml:space="preserve"> data are lingering issues. </w:t>
            </w:r>
            <w:bookmarkStart w:id="1" w:name="_Hlk103751465"/>
            <w:r w:rsidR="00DD3E73" w:rsidRPr="009C515A">
              <w:rPr>
                <w:sz w:val="20"/>
                <w:szCs w:val="20"/>
              </w:rPr>
              <w:t>In a background of female literacy rate of about 69%, low access to electronic media, e.g. households with television is 4% and radio at 55% and with limited transport and other infrastructures, and a lack of community health workers to connect the community to the health system necessitate maintaining expensive outreach activities.</w:t>
            </w:r>
            <w:r w:rsidR="00F719F4" w:rsidRPr="009C515A">
              <w:rPr>
                <w:sz w:val="20"/>
                <w:szCs w:val="20"/>
              </w:rPr>
              <w:t xml:space="preserve"> These activities are sensitive to the functioning of the financial system. </w:t>
            </w:r>
            <w:bookmarkEnd w:id="1"/>
            <w:r w:rsidRPr="009C515A">
              <w:rPr>
                <w:sz w:val="20"/>
                <w:szCs w:val="20"/>
              </w:rPr>
              <w:t xml:space="preserve">The cash flow for provincial operations from the centre has significant issues, including outflow </w:t>
            </w:r>
            <w:r w:rsidRPr="009C515A">
              <w:rPr>
                <w:sz w:val="20"/>
                <w:szCs w:val="20"/>
              </w:rPr>
              <w:lastRenderedPageBreak/>
              <w:t xml:space="preserve">delays and financial management problems, leading to the freezing of funding disbursement. The lack of a fully qualified financial officer to assist the national program for financial management is a critical gap. </w:t>
            </w:r>
          </w:p>
          <w:p w14:paraId="78052B35" w14:textId="39AD8C3C" w:rsidR="00B42C54" w:rsidRPr="009C515A" w:rsidRDefault="00B42C54" w:rsidP="0024749C">
            <w:bookmarkStart w:id="2" w:name="_Hlk104519420"/>
            <w:r w:rsidRPr="009C515A">
              <w:rPr>
                <w:sz w:val="20"/>
                <w:szCs w:val="20"/>
              </w:rPr>
              <w:t>With the above gaps</w:t>
            </w:r>
            <w:r w:rsidR="00BC3C31" w:rsidRPr="009C515A">
              <w:rPr>
                <w:sz w:val="20"/>
                <w:szCs w:val="20"/>
              </w:rPr>
              <w:t xml:space="preserve"> and </w:t>
            </w:r>
            <w:r w:rsidR="00A663E6" w:rsidRPr="009C515A">
              <w:rPr>
                <w:sz w:val="20"/>
                <w:szCs w:val="20"/>
              </w:rPr>
              <w:t xml:space="preserve">insufficient </w:t>
            </w:r>
            <w:r w:rsidR="00BC3C31" w:rsidRPr="009C515A">
              <w:rPr>
                <w:sz w:val="20"/>
                <w:szCs w:val="20"/>
              </w:rPr>
              <w:t xml:space="preserve">government budget </w:t>
            </w:r>
            <w:r w:rsidR="00C958D2" w:rsidRPr="009C515A">
              <w:rPr>
                <w:sz w:val="20"/>
                <w:szCs w:val="20"/>
              </w:rPr>
              <w:t xml:space="preserve">exclusively </w:t>
            </w:r>
            <w:r w:rsidR="00BC3C31" w:rsidRPr="009C515A">
              <w:rPr>
                <w:sz w:val="20"/>
                <w:szCs w:val="20"/>
              </w:rPr>
              <w:t>allocated for EPI</w:t>
            </w:r>
            <w:r w:rsidR="00C958D2" w:rsidRPr="009C515A">
              <w:rPr>
                <w:sz w:val="20"/>
                <w:szCs w:val="20"/>
              </w:rPr>
              <w:t xml:space="preserve"> procurements and operations except for staff</w:t>
            </w:r>
            <w:r w:rsidR="00A663E6" w:rsidRPr="009C515A">
              <w:rPr>
                <w:sz w:val="20"/>
                <w:szCs w:val="20"/>
              </w:rPr>
              <w:t>, budget already covers salaries and allowances, utilities for EPI operations, housing rental, etc</w:t>
            </w:r>
            <w:r w:rsidR="00A663E6" w:rsidRPr="009C515A">
              <w:t>.</w:t>
            </w:r>
            <w:r w:rsidR="00BC3C31" w:rsidRPr="009C515A">
              <w:rPr>
                <w:sz w:val="20"/>
                <w:szCs w:val="20"/>
              </w:rPr>
              <w:t xml:space="preserve">, </w:t>
            </w:r>
            <w:r w:rsidRPr="009C515A">
              <w:rPr>
                <w:sz w:val="20"/>
                <w:szCs w:val="20"/>
              </w:rPr>
              <w:t>the country is underprepared for transitioning from Gavi funding in 2023</w:t>
            </w:r>
            <w:r w:rsidR="00BC3C31" w:rsidRPr="009C515A">
              <w:rPr>
                <w:sz w:val="20"/>
                <w:szCs w:val="20"/>
              </w:rPr>
              <w:t>. C</w:t>
            </w:r>
            <w:r w:rsidRPr="009C515A">
              <w:rPr>
                <w:sz w:val="20"/>
                <w:szCs w:val="20"/>
              </w:rPr>
              <w:t>urrently, there is no government plan for such a transition.</w:t>
            </w:r>
            <w:bookmarkEnd w:id="2"/>
          </w:p>
        </w:tc>
      </w:tr>
    </w:tbl>
    <w:p w14:paraId="434C7691" w14:textId="24A1B3B4" w:rsidR="000759BE" w:rsidRPr="009C515A" w:rsidRDefault="00A663E6" w:rsidP="00FC4A11">
      <w:pPr>
        <w:spacing w:line="300" w:lineRule="exact"/>
        <w:rPr>
          <w:bCs/>
          <w:color w:val="808080" w:themeColor="background1" w:themeShade="80"/>
          <w:lang w:val="en-GB"/>
        </w:rPr>
      </w:pPr>
      <w:r w:rsidRPr="009C515A">
        <w:rPr>
          <w:bCs/>
          <w:color w:val="808080" w:themeColor="background1" w:themeShade="80"/>
          <w:lang w:val="en-GB"/>
        </w:rPr>
        <w:lastRenderedPageBreak/>
        <w:t xml:space="preserve"> </w:t>
      </w:r>
    </w:p>
    <w:p w14:paraId="5CAF378B" w14:textId="658F9E51" w:rsidR="004E4361" w:rsidRPr="009C515A" w:rsidRDefault="004E4361" w:rsidP="00CE1F57">
      <w:pPr>
        <w:pStyle w:val="ListParagraph"/>
        <w:numPr>
          <w:ilvl w:val="0"/>
          <w:numId w:val="4"/>
        </w:numPr>
        <w:spacing w:line="300" w:lineRule="exact"/>
        <w:ind w:left="426"/>
        <w:rPr>
          <w:b/>
          <w:bCs/>
          <w:color w:val="84C650"/>
          <w:sz w:val="26"/>
          <w:szCs w:val="26"/>
          <w:lang w:val="en-GB"/>
        </w:rPr>
      </w:pPr>
      <w:r w:rsidRPr="009C515A">
        <w:rPr>
          <w:b/>
          <w:bCs/>
          <w:color w:val="70AD47" w:themeColor="accent6"/>
          <w:sz w:val="26"/>
          <w:szCs w:val="26"/>
          <w:lang w:val="en-GB"/>
        </w:rPr>
        <w:t xml:space="preserve">Current </w:t>
      </w:r>
      <w:r w:rsidR="00352AE9" w:rsidRPr="009C515A">
        <w:rPr>
          <w:b/>
          <w:bCs/>
          <w:color w:val="70AD47" w:themeColor="accent6"/>
          <w:sz w:val="26"/>
          <w:szCs w:val="26"/>
          <w:lang w:val="en-GB"/>
        </w:rPr>
        <w:t>TA needs</w:t>
      </w:r>
      <w:r w:rsidRPr="009C515A">
        <w:rPr>
          <w:b/>
          <w:bCs/>
          <w:color w:val="70AD47" w:themeColor="accent6"/>
          <w:sz w:val="26"/>
          <w:szCs w:val="26"/>
          <w:lang w:val="en-GB"/>
        </w:rPr>
        <w:t xml:space="preserve"> of your immunisation system </w:t>
      </w:r>
      <w:r w:rsidR="006D5892" w:rsidRPr="009C515A">
        <w:rPr>
          <w:b/>
          <w:bCs/>
          <w:color w:val="70AD47" w:themeColor="accent6"/>
          <w:sz w:val="26"/>
          <w:szCs w:val="26"/>
          <w:lang w:val="en-GB"/>
        </w:rPr>
        <w:t>(</w:t>
      </w:r>
      <w:r w:rsidR="00301307" w:rsidRPr="009C515A">
        <w:rPr>
          <w:b/>
          <w:bCs/>
          <w:color w:val="70AD47" w:themeColor="accent6"/>
          <w:sz w:val="26"/>
          <w:szCs w:val="26"/>
          <w:lang w:val="en-GB"/>
        </w:rPr>
        <w:t xml:space="preserve">1-2 </w:t>
      </w:r>
      <w:r w:rsidR="006D5892" w:rsidRPr="009C515A">
        <w:rPr>
          <w:b/>
          <w:bCs/>
          <w:color w:val="70AD47" w:themeColor="accent6"/>
          <w:sz w:val="26"/>
          <w:szCs w:val="26"/>
          <w:lang w:val="en-GB"/>
        </w:rPr>
        <w:t>pages)</w:t>
      </w:r>
    </w:p>
    <w:p w14:paraId="272993D5" w14:textId="0A023459" w:rsidR="0095370A" w:rsidRPr="009C515A" w:rsidRDefault="00EC2EA5" w:rsidP="00E50185">
      <w:pPr>
        <w:pStyle w:val="ListParagraph"/>
        <w:spacing w:line="300" w:lineRule="exact"/>
        <w:ind w:left="142"/>
        <w:rPr>
          <w:b/>
          <w:i/>
          <w:sz w:val="20"/>
          <w:szCs w:val="20"/>
        </w:rPr>
      </w:pPr>
      <w:r w:rsidRPr="009C515A">
        <w:rPr>
          <w:b/>
          <w:bCs/>
          <w:i/>
          <w:iCs/>
          <w:sz w:val="20"/>
          <w:szCs w:val="20"/>
        </w:rPr>
        <w:t xml:space="preserve">Please provide </w:t>
      </w:r>
      <w:r w:rsidR="008B2F8A" w:rsidRPr="009C515A">
        <w:rPr>
          <w:b/>
          <w:bCs/>
          <w:i/>
          <w:iCs/>
          <w:sz w:val="20"/>
          <w:szCs w:val="20"/>
        </w:rPr>
        <w:t xml:space="preserve">the planned allocation of PEF TCA towards </w:t>
      </w:r>
      <w:r w:rsidR="004010B7" w:rsidRPr="009C515A">
        <w:rPr>
          <w:b/>
          <w:bCs/>
          <w:i/>
          <w:iCs/>
          <w:sz w:val="20"/>
          <w:szCs w:val="20"/>
        </w:rPr>
        <w:t>investments areas and hig</w:t>
      </w:r>
      <w:r w:rsidR="00107D9F" w:rsidRPr="009C515A">
        <w:rPr>
          <w:b/>
          <w:bCs/>
          <w:i/>
          <w:iCs/>
          <w:sz w:val="20"/>
          <w:szCs w:val="20"/>
        </w:rPr>
        <w:t>h</w:t>
      </w:r>
      <w:r w:rsidR="004010B7" w:rsidRPr="009C515A">
        <w:rPr>
          <w:b/>
          <w:bCs/>
          <w:i/>
          <w:iCs/>
          <w:sz w:val="20"/>
          <w:szCs w:val="20"/>
        </w:rPr>
        <w:t>-level objectives. Gavi-supported investment areas and a menu of objectives are available for refer</w:t>
      </w:r>
      <w:r w:rsidR="00107D9F" w:rsidRPr="009C515A">
        <w:rPr>
          <w:b/>
          <w:bCs/>
          <w:i/>
          <w:iCs/>
          <w:sz w:val="20"/>
          <w:szCs w:val="20"/>
        </w:rPr>
        <w:t>e</w:t>
      </w:r>
      <w:r w:rsidR="004010B7" w:rsidRPr="009C515A">
        <w:rPr>
          <w:b/>
          <w:bCs/>
          <w:i/>
          <w:iCs/>
          <w:sz w:val="20"/>
          <w:szCs w:val="20"/>
        </w:rPr>
        <w:t>nce in Gav</w:t>
      </w:r>
      <w:r w:rsidR="00107D9F" w:rsidRPr="009C515A">
        <w:rPr>
          <w:b/>
          <w:bCs/>
          <w:i/>
          <w:iCs/>
          <w:sz w:val="20"/>
          <w:szCs w:val="20"/>
        </w:rPr>
        <w:t>i</w:t>
      </w:r>
      <w:r w:rsidR="004010B7" w:rsidRPr="009C515A">
        <w:rPr>
          <w:b/>
          <w:bCs/>
          <w:i/>
          <w:iCs/>
          <w:sz w:val="20"/>
          <w:szCs w:val="20"/>
        </w:rPr>
        <w:t xml:space="preserve">’s </w:t>
      </w:r>
      <w:hyperlink r:id="rId13" w:history="1">
        <w:r w:rsidR="00270AE6" w:rsidRPr="009C515A">
          <w:rPr>
            <w:rStyle w:val="Hyperlink"/>
            <w:b/>
            <w:bCs/>
            <w:i/>
            <w:iCs/>
            <w:sz w:val="20"/>
            <w:szCs w:val="20"/>
          </w:rPr>
          <w:t>Programme Funding Guidelines</w:t>
        </w:r>
      </w:hyperlink>
      <w:r w:rsidR="004010B7" w:rsidRPr="009C515A">
        <w:rPr>
          <w:b/>
          <w:bCs/>
          <w:i/>
          <w:iCs/>
          <w:sz w:val="20"/>
          <w:szCs w:val="20"/>
        </w:rPr>
        <w:t>.</w:t>
      </w:r>
      <w:r w:rsidR="00DD6A66" w:rsidRPr="009C515A">
        <w:rPr>
          <w:b/>
          <w:bCs/>
          <w:i/>
          <w:iCs/>
          <w:sz w:val="20"/>
          <w:szCs w:val="20"/>
        </w:rPr>
        <w:t xml:space="preserve"> The country can plan </w:t>
      </w:r>
      <w:r w:rsidR="00B0585F" w:rsidRPr="009C515A">
        <w:rPr>
          <w:b/>
          <w:bCs/>
          <w:i/>
          <w:iCs/>
          <w:sz w:val="20"/>
          <w:szCs w:val="20"/>
        </w:rPr>
        <w:t>for the remaining duration of their current HSS grant.</w:t>
      </w:r>
    </w:p>
    <w:p w14:paraId="6567DB8B" w14:textId="77777777" w:rsidR="007F2F8B" w:rsidRPr="009C515A" w:rsidRDefault="007F2F8B" w:rsidP="00372D1F">
      <w:pPr>
        <w:pStyle w:val="ListParagraph"/>
        <w:spacing w:line="300" w:lineRule="exact"/>
        <w:ind w:left="426"/>
        <w:rPr>
          <w:i/>
          <w:color w:val="808080" w:themeColor="background1" w:themeShade="80"/>
          <w:lang w:val="en-GB"/>
        </w:rPr>
      </w:pPr>
    </w:p>
    <w:p w14:paraId="1D079834" w14:textId="3BFFF507" w:rsidR="00655D56" w:rsidRPr="009C515A" w:rsidRDefault="00372D1F" w:rsidP="00372D1F">
      <w:pPr>
        <w:pStyle w:val="ListParagraph"/>
        <w:spacing w:line="300" w:lineRule="exact"/>
        <w:ind w:left="426"/>
        <w:rPr>
          <w:i/>
          <w:color w:val="808080" w:themeColor="background1" w:themeShade="80"/>
          <w:lang w:val="en-GB"/>
        </w:rPr>
      </w:pPr>
      <w:r w:rsidRPr="009C515A">
        <w:rPr>
          <w:i/>
          <w:color w:val="808080" w:themeColor="background1" w:themeShade="80"/>
          <w:lang w:val="en-GB"/>
        </w:rPr>
        <w:t>(Please feel free to add lines as needed)</w:t>
      </w:r>
    </w:p>
    <w:tbl>
      <w:tblPr>
        <w:tblStyle w:val="TableGrid"/>
        <w:tblW w:w="9072" w:type="dxa"/>
        <w:tblInd w:w="-5" w:type="dxa"/>
        <w:tblLook w:val="04A0" w:firstRow="1" w:lastRow="0" w:firstColumn="1" w:lastColumn="0" w:noHBand="0" w:noVBand="1"/>
      </w:tblPr>
      <w:tblGrid>
        <w:gridCol w:w="1953"/>
        <w:gridCol w:w="3970"/>
        <w:gridCol w:w="2015"/>
        <w:gridCol w:w="1134"/>
      </w:tblGrid>
      <w:tr w:rsidR="004D0C16" w:rsidRPr="009C515A" w14:paraId="4754848F" w14:textId="2B3AF5AA" w:rsidTr="00607CB7">
        <w:tc>
          <w:tcPr>
            <w:tcW w:w="5923" w:type="dxa"/>
            <w:gridSpan w:val="2"/>
            <w:shd w:val="clear" w:color="auto" w:fill="DEEAF6" w:themeFill="accent5" w:themeFillTint="33"/>
          </w:tcPr>
          <w:p w14:paraId="60978116" w14:textId="77777777" w:rsidR="004D0C16" w:rsidRPr="009C515A" w:rsidRDefault="004D0C16" w:rsidP="00871FCF">
            <w:pPr>
              <w:spacing w:line="300" w:lineRule="exact"/>
              <w:rPr>
                <w:b/>
                <w:lang w:val="en-GB"/>
              </w:rPr>
            </w:pPr>
            <w:r w:rsidRPr="009C515A">
              <w:rPr>
                <w:b/>
                <w:lang w:val="en-GB"/>
              </w:rPr>
              <w:t>High-level Plan</w:t>
            </w:r>
          </w:p>
        </w:tc>
        <w:tc>
          <w:tcPr>
            <w:tcW w:w="2015" w:type="dxa"/>
            <w:shd w:val="clear" w:color="auto" w:fill="DEEAF6" w:themeFill="accent5" w:themeFillTint="33"/>
          </w:tcPr>
          <w:p w14:paraId="2F400D8C" w14:textId="754228F6" w:rsidR="004D0C16" w:rsidRPr="009C515A" w:rsidRDefault="004D0C16" w:rsidP="00871FCF">
            <w:pPr>
              <w:spacing w:line="300" w:lineRule="exact"/>
              <w:rPr>
                <w:b/>
                <w:color w:val="808080" w:themeColor="background1" w:themeShade="80"/>
                <w:lang w:val="en-GB"/>
              </w:rPr>
            </w:pPr>
            <w:r w:rsidRPr="009C515A">
              <w:rPr>
                <w:b/>
                <w:lang w:val="en-GB"/>
              </w:rPr>
              <w:t>Budget (USD)</w:t>
            </w:r>
          </w:p>
        </w:tc>
        <w:tc>
          <w:tcPr>
            <w:tcW w:w="1134" w:type="dxa"/>
            <w:shd w:val="clear" w:color="auto" w:fill="DEEAF6" w:themeFill="accent5" w:themeFillTint="33"/>
          </w:tcPr>
          <w:p w14:paraId="0FEF51FA" w14:textId="32409750" w:rsidR="004D0C16" w:rsidRPr="009C515A" w:rsidRDefault="00131FD5" w:rsidP="00871FCF">
            <w:pPr>
              <w:spacing w:line="300" w:lineRule="exact"/>
              <w:rPr>
                <w:b/>
                <w:lang w:val="en-GB"/>
              </w:rPr>
            </w:pPr>
            <w:r w:rsidRPr="009C515A">
              <w:rPr>
                <w:b/>
                <w:lang w:val="en-GB"/>
              </w:rPr>
              <w:t>%</w:t>
            </w:r>
          </w:p>
        </w:tc>
      </w:tr>
      <w:tr w:rsidR="004D0C16" w:rsidRPr="009C515A" w14:paraId="65B29F5B" w14:textId="129D73A5" w:rsidTr="00607CB7">
        <w:tc>
          <w:tcPr>
            <w:tcW w:w="5923" w:type="dxa"/>
            <w:gridSpan w:val="2"/>
            <w:shd w:val="clear" w:color="auto" w:fill="E2EFD9" w:themeFill="accent6" w:themeFillTint="33"/>
          </w:tcPr>
          <w:p w14:paraId="106E2D7B" w14:textId="77777777" w:rsidR="004D0C16" w:rsidRPr="009C515A" w:rsidRDefault="004D0C16" w:rsidP="00871FCF">
            <w:pPr>
              <w:spacing w:line="300" w:lineRule="exact"/>
              <w:jc w:val="right"/>
              <w:rPr>
                <w:b/>
                <w:color w:val="808080" w:themeColor="background1" w:themeShade="80"/>
                <w:lang w:val="en-GB"/>
              </w:rPr>
            </w:pPr>
            <w:r w:rsidRPr="009C515A">
              <w:rPr>
                <w:b/>
                <w:lang w:val="en-GB"/>
              </w:rPr>
              <w:t>2022</w:t>
            </w:r>
          </w:p>
        </w:tc>
        <w:tc>
          <w:tcPr>
            <w:tcW w:w="2015" w:type="dxa"/>
            <w:shd w:val="clear" w:color="auto" w:fill="E2EFD9" w:themeFill="accent6" w:themeFillTint="33"/>
          </w:tcPr>
          <w:p w14:paraId="6DD37EC1" w14:textId="77777777" w:rsidR="004D0C16" w:rsidRPr="009C515A" w:rsidRDefault="004D0C16" w:rsidP="00871FCF">
            <w:pPr>
              <w:spacing w:line="300" w:lineRule="exact"/>
              <w:jc w:val="right"/>
              <w:rPr>
                <w:bCs/>
                <w:color w:val="808080" w:themeColor="background1" w:themeShade="80"/>
                <w:lang w:val="en-GB"/>
              </w:rPr>
            </w:pPr>
          </w:p>
        </w:tc>
        <w:tc>
          <w:tcPr>
            <w:tcW w:w="1134" w:type="dxa"/>
            <w:shd w:val="clear" w:color="auto" w:fill="E2EFD9" w:themeFill="accent6" w:themeFillTint="33"/>
          </w:tcPr>
          <w:p w14:paraId="3D6A3C6F" w14:textId="77777777" w:rsidR="004D0C16" w:rsidRPr="009C515A" w:rsidRDefault="004D0C16" w:rsidP="00871FCF">
            <w:pPr>
              <w:spacing w:line="300" w:lineRule="exact"/>
              <w:jc w:val="right"/>
              <w:rPr>
                <w:bCs/>
                <w:color w:val="808080" w:themeColor="background1" w:themeShade="80"/>
                <w:lang w:val="en-GB"/>
              </w:rPr>
            </w:pPr>
          </w:p>
        </w:tc>
      </w:tr>
      <w:tr w:rsidR="004A0558" w:rsidRPr="009C515A" w14:paraId="113A41E1" w14:textId="1B4A5F63" w:rsidTr="00607CB7">
        <w:tc>
          <w:tcPr>
            <w:tcW w:w="1953" w:type="dxa"/>
            <w:shd w:val="clear" w:color="auto" w:fill="FFFFFF" w:themeFill="background1"/>
          </w:tcPr>
          <w:p w14:paraId="10985FF8" w14:textId="19A35080" w:rsidR="004A0558" w:rsidRPr="009C515A" w:rsidRDefault="004A0558" w:rsidP="004A0558">
            <w:pPr>
              <w:spacing w:line="300" w:lineRule="exact"/>
              <w:rPr>
                <w:bCs/>
                <w:color w:val="808080" w:themeColor="background1" w:themeShade="80"/>
                <w:lang w:val="en-GB"/>
              </w:rPr>
            </w:pPr>
            <w:r w:rsidRPr="009C515A">
              <w:rPr>
                <w:bCs/>
                <w:color w:val="808080" w:themeColor="background1" w:themeShade="80"/>
                <w:sz w:val="20"/>
                <w:szCs w:val="20"/>
                <w:lang w:val="en-GB"/>
              </w:rPr>
              <w:t>Service Delivery</w:t>
            </w:r>
          </w:p>
        </w:tc>
        <w:tc>
          <w:tcPr>
            <w:tcW w:w="3970" w:type="dxa"/>
            <w:shd w:val="clear" w:color="auto" w:fill="FFFFFF" w:themeFill="background1"/>
          </w:tcPr>
          <w:p w14:paraId="4F75178B" w14:textId="77777777" w:rsidR="004A0558" w:rsidRPr="009C515A" w:rsidRDefault="002357ED" w:rsidP="004A0558">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 xml:space="preserve">1. </w:t>
            </w:r>
            <w:r w:rsidR="004A0558" w:rsidRPr="009C515A">
              <w:rPr>
                <w:bCs/>
                <w:color w:val="808080" w:themeColor="background1" w:themeShade="80"/>
                <w:sz w:val="20"/>
                <w:szCs w:val="20"/>
                <w:lang w:val="en-GB"/>
              </w:rPr>
              <w:t xml:space="preserve">Integrate the delivery of services to improve the efficiency, regularity and/or reliability of planned immunisation activities with a focus on zero-dose and </w:t>
            </w:r>
            <w:proofErr w:type="spellStart"/>
            <w:r w:rsidR="004A0558" w:rsidRPr="009C515A">
              <w:rPr>
                <w:bCs/>
                <w:color w:val="808080" w:themeColor="background1" w:themeShade="80"/>
                <w:sz w:val="20"/>
                <w:szCs w:val="20"/>
                <w:lang w:val="en-GB"/>
              </w:rPr>
              <w:t>underimmunised</w:t>
            </w:r>
            <w:proofErr w:type="spellEnd"/>
            <w:r w:rsidR="004A0558" w:rsidRPr="009C515A">
              <w:rPr>
                <w:bCs/>
                <w:color w:val="808080" w:themeColor="background1" w:themeShade="80"/>
                <w:sz w:val="20"/>
                <w:szCs w:val="20"/>
                <w:lang w:val="en-GB"/>
              </w:rPr>
              <w:t xml:space="preserve"> children and missed communities</w:t>
            </w:r>
          </w:p>
          <w:p w14:paraId="4F5E49AA" w14:textId="5E6376B5" w:rsidR="007F5C47" w:rsidRPr="009C515A" w:rsidRDefault="002357ED" w:rsidP="007F5C47">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2.</w:t>
            </w:r>
            <w:r w:rsidR="007F5C47" w:rsidRPr="009C515A">
              <w:rPr>
                <w:bCs/>
                <w:color w:val="808080" w:themeColor="background1" w:themeShade="80"/>
                <w:sz w:val="20"/>
                <w:szCs w:val="20"/>
                <w:lang w:val="en-GB"/>
              </w:rPr>
              <w:t xml:space="preserve"> Address gender considerations in the planning and implementation of immunisation services</w:t>
            </w:r>
          </w:p>
          <w:p w14:paraId="1AF95396" w14:textId="671E2543" w:rsidR="001D65D9" w:rsidRPr="009C515A" w:rsidRDefault="001D65D9" w:rsidP="001D65D9">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 xml:space="preserve">3. Update the routine immunization micro plans, strengthening routine immunization outreaches and supervision with broader integration of PHC services </w:t>
            </w:r>
          </w:p>
          <w:p w14:paraId="1C2F95FD" w14:textId="2924FC99" w:rsidR="00AA040C" w:rsidRPr="009C515A" w:rsidRDefault="00AA040C" w:rsidP="00AA040C">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 xml:space="preserve">4. </w:t>
            </w:r>
            <w:r w:rsidR="009A1C1C" w:rsidRPr="009C515A">
              <w:rPr>
                <w:bCs/>
                <w:color w:val="808080" w:themeColor="background1" w:themeShade="80"/>
                <w:sz w:val="20"/>
                <w:szCs w:val="20"/>
                <w:lang w:val="en-GB"/>
              </w:rPr>
              <w:t>D</w:t>
            </w:r>
            <w:r w:rsidRPr="009C515A">
              <w:rPr>
                <w:bCs/>
                <w:color w:val="808080" w:themeColor="background1" w:themeShade="80"/>
                <w:sz w:val="20"/>
                <w:szCs w:val="20"/>
                <w:lang w:val="en-GB"/>
              </w:rPr>
              <w:t>evelop</w:t>
            </w:r>
            <w:r w:rsidR="009A1C1C" w:rsidRPr="009C515A">
              <w:rPr>
                <w:bCs/>
                <w:color w:val="808080" w:themeColor="background1" w:themeShade="80"/>
                <w:sz w:val="20"/>
                <w:szCs w:val="20"/>
                <w:lang w:val="en-GB"/>
              </w:rPr>
              <w:t xml:space="preserve"> tools </w:t>
            </w:r>
            <w:r w:rsidR="00A1570D" w:rsidRPr="009C515A">
              <w:rPr>
                <w:bCs/>
                <w:color w:val="808080" w:themeColor="background1" w:themeShade="80"/>
                <w:sz w:val="20"/>
                <w:szCs w:val="20"/>
                <w:lang w:val="en-GB"/>
              </w:rPr>
              <w:t>and approaches t</w:t>
            </w:r>
            <w:r w:rsidRPr="009C515A">
              <w:rPr>
                <w:bCs/>
                <w:color w:val="808080" w:themeColor="background1" w:themeShade="80"/>
                <w:sz w:val="20"/>
                <w:szCs w:val="20"/>
                <w:lang w:val="en-GB"/>
              </w:rPr>
              <w:t xml:space="preserve">o improve and sustain quality and safety of immunisation services </w:t>
            </w:r>
          </w:p>
          <w:p w14:paraId="764F5256" w14:textId="3D00643E" w:rsidR="00694DB2" w:rsidRPr="009C515A" w:rsidRDefault="00694DB2" w:rsidP="00694DB2">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5.</w:t>
            </w:r>
            <w:r w:rsidR="00CD2FF5" w:rsidRPr="009C515A">
              <w:rPr>
                <w:bCs/>
                <w:color w:val="808080" w:themeColor="background1" w:themeShade="80"/>
                <w:sz w:val="20"/>
                <w:szCs w:val="20"/>
                <w:lang w:val="en-GB"/>
              </w:rPr>
              <w:t xml:space="preserve">Implement </w:t>
            </w:r>
            <w:r w:rsidRPr="009C515A">
              <w:rPr>
                <w:bCs/>
                <w:color w:val="808080" w:themeColor="background1" w:themeShade="80"/>
                <w:sz w:val="20"/>
                <w:szCs w:val="20"/>
                <w:lang w:val="en-GB"/>
              </w:rPr>
              <w:t xml:space="preserve">Supplementary Immunisation Activities (SIA) </w:t>
            </w:r>
            <w:r w:rsidR="00533472" w:rsidRPr="009C515A">
              <w:rPr>
                <w:bCs/>
                <w:color w:val="808080" w:themeColor="background1" w:themeShade="80"/>
                <w:sz w:val="20"/>
                <w:szCs w:val="20"/>
                <w:lang w:val="en-GB"/>
              </w:rPr>
              <w:t xml:space="preserve">for MR </w:t>
            </w:r>
            <w:r w:rsidR="00750F58" w:rsidRPr="009C515A">
              <w:rPr>
                <w:bCs/>
                <w:color w:val="808080" w:themeColor="background1" w:themeShade="80"/>
                <w:sz w:val="20"/>
                <w:szCs w:val="20"/>
                <w:lang w:val="en-GB"/>
              </w:rPr>
              <w:t>and EVM pla</w:t>
            </w:r>
            <w:r w:rsidR="00E65935" w:rsidRPr="009C515A">
              <w:rPr>
                <w:bCs/>
                <w:color w:val="808080" w:themeColor="background1" w:themeShade="80"/>
                <w:sz w:val="20"/>
                <w:szCs w:val="20"/>
                <w:lang w:val="en-GB"/>
              </w:rPr>
              <w:t>ns</w:t>
            </w:r>
          </w:p>
          <w:p w14:paraId="41C35CFB" w14:textId="6AE11313" w:rsidR="00BD59BC" w:rsidRPr="009C515A" w:rsidRDefault="00BD59BC" w:rsidP="00694DB2">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 xml:space="preserve">6. </w:t>
            </w:r>
            <w:r w:rsidR="002D4BC6" w:rsidRPr="009C515A">
              <w:rPr>
                <w:bCs/>
                <w:color w:val="808080" w:themeColor="background1" w:themeShade="80"/>
                <w:sz w:val="20"/>
                <w:szCs w:val="20"/>
                <w:lang w:val="en-GB"/>
              </w:rPr>
              <w:t xml:space="preserve">Reinvigorate </w:t>
            </w:r>
            <w:r w:rsidR="00883232" w:rsidRPr="009C515A">
              <w:rPr>
                <w:bCs/>
                <w:color w:val="808080" w:themeColor="background1" w:themeShade="80"/>
                <w:sz w:val="20"/>
                <w:szCs w:val="20"/>
                <w:lang w:val="en-GB"/>
              </w:rPr>
              <w:t xml:space="preserve">and reboot </w:t>
            </w:r>
            <w:r w:rsidR="00A36DCA" w:rsidRPr="009C515A">
              <w:rPr>
                <w:bCs/>
                <w:color w:val="808080" w:themeColor="background1" w:themeShade="80"/>
                <w:sz w:val="20"/>
                <w:szCs w:val="20"/>
                <w:lang w:val="en-GB"/>
              </w:rPr>
              <w:t>vaccination</w:t>
            </w:r>
            <w:r w:rsidR="00BF5A52" w:rsidRPr="009C515A">
              <w:rPr>
                <w:bCs/>
                <w:color w:val="808080" w:themeColor="background1" w:themeShade="80"/>
                <w:sz w:val="20"/>
                <w:szCs w:val="20"/>
                <w:lang w:val="en-GB"/>
              </w:rPr>
              <w:t>s affected by the pandemic</w:t>
            </w:r>
            <w:r w:rsidR="001D354A" w:rsidRPr="009C515A">
              <w:rPr>
                <w:bCs/>
                <w:color w:val="808080" w:themeColor="background1" w:themeShade="80"/>
                <w:sz w:val="20"/>
                <w:szCs w:val="20"/>
                <w:lang w:val="en-GB"/>
              </w:rPr>
              <w:t xml:space="preserve"> (HPV and Rotavirus vaccination)</w:t>
            </w:r>
          </w:p>
          <w:p w14:paraId="40A674E0" w14:textId="0DD97DE8" w:rsidR="00241A40" w:rsidRPr="009C515A" w:rsidRDefault="001B62E9" w:rsidP="00253E29">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7.</w:t>
            </w:r>
            <w:r w:rsidR="00E65935" w:rsidRPr="009C515A">
              <w:rPr>
                <w:bCs/>
                <w:color w:val="808080" w:themeColor="background1" w:themeShade="80"/>
                <w:sz w:val="20"/>
                <w:szCs w:val="20"/>
                <w:lang w:val="en-GB"/>
              </w:rPr>
              <w:t xml:space="preserve"> Conduct </w:t>
            </w:r>
            <w:r w:rsidR="00D5113E" w:rsidRPr="009C515A">
              <w:rPr>
                <w:bCs/>
                <w:color w:val="808080" w:themeColor="background1" w:themeShade="80"/>
                <w:sz w:val="20"/>
                <w:szCs w:val="20"/>
                <w:lang w:val="en-GB"/>
              </w:rPr>
              <w:t>subnational EPI reviews</w:t>
            </w:r>
            <w:r w:rsidR="00AD419D" w:rsidRPr="009C515A">
              <w:rPr>
                <w:bCs/>
                <w:color w:val="808080" w:themeColor="background1" w:themeShade="80"/>
                <w:sz w:val="20"/>
                <w:szCs w:val="20"/>
                <w:lang w:val="en-GB"/>
              </w:rPr>
              <w:t xml:space="preserve"> </w:t>
            </w:r>
          </w:p>
        </w:tc>
        <w:tc>
          <w:tcPr>
            <w:tcW w:w="2015" w:type="dxa"/>
            <w:shd w:val="clear" w:color="auto" w:fill="FFFFFF" w:themeFill="background1"/>
          </w:tcPr>
          <w:p w14:paraId="3F084116" w14:textId="2131190E" w:rsidR="001A78C3" w:rsidRPr="009C515A" w:rsidRDefault="001A78C3" w:rsidP="001A78C3">
            <w:pPr>
              <w:spacing w:line="240" w:lineRule="auto"/>
              <w:jc w:val="right"/>
              <w:rPr>
                <w:rFonts w:eastAsia="Times New Roman"/>
                <w:b/>
                <w:bCs/>
                <w:color w:val="000000"/>
                <w:lang w:val="en-AU" w:eastAsia="en-AU"/>
              </w:rPr>
            </w:pPr>
            <w:r w:rsidRPr="009C515A">
              <w:rPr>
                <w:b/>
                <w:bCs/>
                <w:color w:val="000000"/>
              </w:rPr>
              <w:t>281</w:t>
            </w:r>
            <w:r w:rsidR="00D67CC6" w:rsidRPr="009C515A">
              <w:rPr>
                <w:b/>
                <w:bCs/>
                <w:color w:val="000000"/>
              </w:rPr>
              <w:t>,</w:t>
            </w:r>
            <w:r w:rsidRPr="009C515A">
              <w:rPr>
                <w:b/>
                <w:bCs/>
                <w:color w:val="000000"/>
              </w:rPr>
              <w:t>800</w:t>
            </w:r>
          </w:p>
          <w:p w14:paraId="4CDE8FAA" w14:textId="4C488642" w:rsidR="00664413" w:rsidRPr="009C515A" w:rsidRDefault="00664413" w:rsidP="004A0558">
            <w:pPr>
              <w:spacing w:line="300" w:lineRule="exact"/>
              <w:jc w:val="right"/>
              <w:rPr>
                <w:bCs/>
                <w:color w:val="808080" w:themeColor="background1" w:themeShade="80"/>
                <w:lang w:val="en-GB"/>
              </w:rPr>
            </w:pPr>
          </w:p>
        </w:tc>
        <w:tc>
          <w:tcPr>
            <w:tcW w:w="1134" w:type="dxa"/>
            <w:shd w:val="clear" w:color="auto" w:fill="FFFFFF" w:themeFill="background1"/>
          </w:tcPr>
          <w:p w14:paraId="0F3A2B8A" w14:textId="5353611B" w:rsidR="004A0558" w:rsidRPr="009C515A" w:rsidRDefault="00D67CC6" w:rsidP="004A0558">
            <w:pPr>
              <w:spacing w:line="300" w:lineRule="exact"/>
              <w:jc w:val="right"/>
              <w:rPr>
                <w:bCs/>
                <w:color w:val="808080" w:themeColor="background1" w:themeShade="80"/>
                <w:lang w:val="en-GB"/>
              </w:rPr>
            </w:pPr>
            <w:r w:rsidRPr="009C515A">
              <w:rPr>
                <w:bCs/>
                <w:color w:val="808080" w:themeColor="background1" w:themeShade="80"/>
                <w:lang w:val="en-GB"/>
              </w:rPr>
              <w:t>28</w:t>
            </w:r>
            <w:r w:rsidR="00446BA2">
              <w:rPr>
                <w:bCs/>
                <w:color w:val="808080" w:themeColor="background1" w:themeShade="80"/>
                <w:lang w:val="en-GB"/>
              </w:rPr>
              <w:t>.2</w:t>
            </w:r>
            <w:r w:rsidRPr="009C515A">
              <w:rPr>
                <w:bCs/>
                <w:color w:val="808080" w:themeColor="background1" w:themeShade="80"/>
                <w:lang w:val="en-GB"/>
              </w:rPr>
              <w:t>%</w:t>
            </w:r>
          </w:p>
        </w:tc>
      </w:tr>
      <w:tr w:rsidR="00B278FC" w:rsidRPr="009C515A" w14:paraId="795A975C" w14:textId="61E0C5F4" w:rsidTr="00607CB7">
        <w:tc>
          <w:tcPr>
            <w:tcW w:w="1953" w:type="dxa"/>
            <w:shd w:val="clear" w:color="auto" w:fill="FFFFFF" w:themeFill="background1"/>
          </w:tcPr>
          <w:p w14:paraId="02FE1568" w14:textId="3A5C8593" w:rsidR="00B278FC" w:rsidRPr="009C515A" w:rsidRDefault="00B278FC" w:rsidP="00B278FC">
            <w:pPr>
              <w:spacing w:line="300" w:lineRule="exact"/>
              <w:rPr>
                <w:bCs/>
                <w:color w:val="808080" w:themeColor="background1" w:themeShade="80"/>
                <w:lang w:val="en-GB"/>
              </w:rPr>
            </w:pPr>
            <w:r w:rsidRPr="009C515A">
              <w:rPr>
                <w:bCs/>
                <w:color w:val="808080" w:themeColor="background1" w:themeShade="80"/>
                <w:sz w:val="20"/>
                <w:szCs w:val="20"/>
                <w:lang w:val="en-GB"/>
              </w:rPr>
              <w:t>Human Resources for Health</w:t>
            </w:r>
          </w:p>
        </w:tc>
        <w:tc>
          <w:tcPr>
            <w:tcW w:w="3970" w:type="dxa"/>
            <w:shd w:val="clear" w:color="auto" w:fill="FFFFFF" w:themeFill="background1"/>
          </w:tcPr>
          <w:p w14:paraId="2111E30E" w14:textId="601BDBCC" w:rsidR="00B278FC" w:rsidRPr="009C515A" w:rsidRDefault="00912EE0" w:rsidP="00B278FC">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 xml:space="preserve">1. </w:t>
            </w:r>
            <w:r w:rsidR="00B278FC" w:rsidRPr="009C515A">
              <w:rPr>
                <w:bCs/>
                <w:color w:val="808080" w:themeColor="background1" w:themeShade="80"/>
                <w:sz w:val="20"/>
                <w:szCs w:val="20"/>
                <w:lang w:val="en-GB"/>
              </w:rPr>
              <w:t xml:space="preserve">Assist in </w:t>
            </w:r>
            <w:r w:rsidR="00941364" w:rsidRPr="009C515A">
              <w:rPr>
                <w:bCs/>
                <w:color w:val="808080" w:themeColor="background1" w:themeShade="80"/>
                <w:sz w:val="20"/>
                <w:szCs w:val="20"/>
                <w:lang w:val="en-GB"/>
              </w:rPr>
              <w:t>maintaining</w:t>
            </w:r>
            <w:r w:rsidR="00B278FC" w:rsidRPr="009C515A">
              <w:rPr>
                <w:bCs/>
                <w:color w:val="808080" w:themeColor="background1" w:themeShade="80"/>
                <w:sz w:val="20"/>
                <w:szCs w:val="20"/>
                <w:lang w:val="en-GB"/>
              </w:rPr>
              <w:t xml:space="preserve"> human resources at critical locations and retention of health workers to</w:t>
            </w:r>
            <w:r w:rsidR="00344A7E" w:rsidRPr="009C515A">
              <w:rPr>
                <w:bCs/>
                <w:color w:val="808080" w:themeColor="background1" w:themeShade="80"/>
                <w:sz w:val="20"/>
                <w:szCs w:val="20"/>
                <w:lang w:val="en-GB"/>
              </w:rPr>
              <w:t xml:space="preserve"> improve functioning of the system and </w:t>
            </w:r>
            <w:r w:rsidR="00B278FC" w:rsidRPr="009C515A">
              <w:rPr>
                <w:bCs/>
                <w:color w:val="808080" w:themeColor="background1" w:themeShade="80"/>
                <w:sz w:val="20"/>
                <w:szCs w:val="20"/>
                <w:lang w:val="en-GB"/>
              </w:rPr>
              <w:t>increase equitable access to immunisation services</w:t>
            </w:r>
          </w:p>
          <w:p w14:paraId="135ACDB2" w14:textId="34C89FBF" w:rsidR="00912EE0" w:rsidRPr="009C515A" w:rsidRDefault="00912EE0" w:rsidP="00B278FC">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lastRenderedPageBreak/>
              <w:t>2. Support MHMS in the development of a highly motivated workforce, with adequate knowledge and skills in conducting vaccination, effective management of vaccines and cold chain through training, mentoring, supportive supervision and fostering a sound working environment</w:t>
            </w:r>
          </w:p>
          <w:p w14:paraId="6887E0E4" w14:textId="5AD7BA46" w:rsidR="001D65D9" w:rsidRPr="009C515A" w:rsidRDefault="001D65D9" w:rsidP="001D65D9">
            <w:pPr>
              <w:spacing w:line="300" w:lineRule="exact"/>
              <w:rPr>
                <w:bCs/>
                <w:color w:val="808080" w:themeColor="background1" w:themeShade="80"/>
                <w:lang w:val="en-GB"/>
              </w:rPr>
            </w:pPr>
          </w:p>
        </w:tc>
        <w:tc>
          <w:tcPr>
            <w:tcW w:w="2015" w:type="dxa"/>
            <w:shd w:val="clear" w:color="auto" w:fill="FFFFFF" w:themeFill="background1"/>
          </w:tcPr>
          <w:p w14:paraId="0CBB4069" w14:textId="29688F24" w:rsidR="00D67CC6" w:rsidRPr="009C515A" w:rsidRDefault="00D67CC6" w:rsidP="00D67CC6">
            <w:pPr>
              <w:spacing w:line="240" w:lineRule="auto"/>
              <w:jc w:val="right"/>
              <w:rPr>
                <w:rFonts w:eastAsia="Times New Roman"/>
                <w:b/>
                <w:bCs/>
                <w:color w:val="000000"/>
                <w:lang w:val="en-AU" w:eastAsia="en-AU"/>
              </w:rPr>
            </w:pPr>
            <w:r w:rsidRPr="009C515A">
              <w:rPr>
                <w:b/>
                <w:bCs/>
                <w:color w:val="000000"/>
              </w:rPr>
              <w:lastRenderedPageBreak/>
              <w:t>139,100</w:t>
            </w:r>
          </w:p>
          <w:p w14:paraId="3FCB67D1" w14:textId="450663D7" w:rsidR="00912EE0" w:rsidRPr="009C515A" w:rsidRDefault="00912EE0" w:rsidP="00B278FC">
            <w:pPr>
              <w:spacing w:line="300" w:lineRule="exact"/>
              <w:jc w:val="right"/>
              <w:rPr>
                <w:bCs/>
                <w:color w:val="808080" w:themeColor="background1" w:themeShade="80"/>
                <w:lang w:val="en-GB"/>
              </w:rPr>
            </w:pPr>
          </w:p>
        </w:tc>
        <w:tc>
          <w:tcPr>
            <w:tcW w:w="1134" w:type="dxa"/>
            <w:shd w:val="clear" w:color="auto" w:fill="FFFFFF" w:themeFill="background1"/>
          </w:tcPr>
          <w:p w14:paraId="07171017" w14:textId="5FEB7BCA" w:rsidR="00B278FC" w:rsidRPr="009C515A" w:rsidRDefault="00D67CC6" w:rsidP="00B278FC">
            <w:pPr>
              <w:spacing w:line="300" w:lineRule="exact"/>
              <w:jc w:val="right"/>
              <w:rPr>
                <w:bCs/>
                <w:color w:val="808080" w:themeColor="background1" w:themeShade="80"/>
                <w:lang w:val="en-GB"/>
              </w:rPr>
            </w:pPr>
            <w:r w:rsidRPr="009C515A">
              <w:rPr>
                <w:bCs/>
                <w:color w:val="808080" w:themeColor="background1" w:themeShade="80"/>
                <w:lang w:val="en-GB"/>
              </w:rPr>
              <w:t>1</w:t>
            </w:r>
            <w:r w:rsidR="00446BA2">
              <w:rPr>
                <w:bCs/>
                <w:color w:val="808080" w:themeColor="background1" w:themeShade="80"/>
                <w:lang w:val="en-GB"/>
              </w:rPr>
              <w:t>3.9</w:t>
            </w:r>
            <w:r w:rsidRPr="009C515A">
              <w:rPr>
                <w:bCs/>
                <w:color w:val="808080" w:themeColor="background1" w:themeShade="80"/>
                <w:lang w:val="en-GB"/>
              </w:rPr>
              <w:t>%</w:t>
            </w:r>
          </w:p>
        </w:tc>
      </w:tr>
      <w:tr w:rsidR="007A77E7" w:rsidRPr="009C515A" w14:paraId="3DCA9A7D" w14:textId="77777777" w:rsidTr="00607CB7">
        <w:tc>
          <w:tcPr>
            <w:tcW w:w="1953" w:type="dxa"/>
            <w:shd w:val="clear" w:color="auto" w:fill="FFFFFF" w:themeFill="background1"/>
          </w:tcPr>
          <w:p w14:paraId="50AB8298" w14:textId="73CD5152" w:rsidR="007A77E7" w:rsidRPr="009C515A" w:rsidRDefault="007A77E7" w:rsidP="007A77E7">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Health information systems and monitoring and learning</w:t>
            </w:r>
          </w:p>
        </w:tc>
        <w:tc>
          <w:tcPr>
            <w:tcW w:w="3970" w:type="dxa"/>
            <w:shd w:val="clear" w:color="auto" w:fill="FFFFFF" w:themeFill="background1"/>
          </w:tcPr>
          <w:p w14:paraId="26B59AF8" w14:textId="4818FB05" w:rsidR="007A77E7" w:rsidRPr="009C515A" w:rsidRDefault="003D454D" w:rsidP="007A77E7">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 xml:space="preserve">1. </w:t>
            </w:r>
            <w:r w:rsidR="007A77E7" w:rsidRPr="009C515A">
              <w:rPr>
                <w:bCs/>
                <w:color w:val="808080" w:themeColor="background1" w:themeShade="80"/>
                <w:sz w:val="20"/>
                <w:szCs w:val="20"/>
                <w:lang w:val="en-GB"/>
              </w:rPr>
              <w:t>Ensure timely, fit-for-purpose information is available at all levels of the system and is used regularly and systematically</w:t>
            </w:r>
          </w:p>
          <w:p w14:paraId="2A10DB88" w14:textId="77777777" w:rsidR="007A77E7" w:rsidRPr="009C515A" w:rsidRDefault="007A77E7" w:rsidP="007A77E7">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to improve programmatic reach and performance</w:t>
            </w:r>
          </w:p>
          <w:p w14:paraId="77F7EB24" w14:textId="77777777" w:rsidR="003D454D" w:rsidRPr="009C515A" w:rsidRDefault="003D454D" w:rsidP="007A77E7">
            <w:pPr>
              <w:spacing w:line="300" w:lineRule="exact"/>
              <w:rPr>
                <w:rFonts w:eastAsia="Times New Roman"/>
                <w:color w:val="323130"/>
                <w:lang w:val="en-US" w:eastAsia="en-AU"/>
              </w:rPr>
            </w:pPr>
            <w:r w:rsidRPr="009C515A">
              <w:rPr>
                <w:bCs/>
                <w:color w:val="808080" w:themeColor="background1" w:themeShade="80"/>
                <w:sz w:val="20"/>
                <w:szCs w:val="20"/>
                <w:lang w:val="en-GB"/>
              </w:rPr>
              <w:t xml:space="preserve">2. </w:t>
            </w:r>
            <w:r w:rsidR="00270736" w:rsidRPr="009C515A">
              <w:rPr>
                <w:bCs/>
                <w:color w:val="808080" w:themeColor="background1" w:themeShade="80"/>
                <w:sz w:val="20"/>
                <w:szCs w:val="20"/>
                <w:lang w:val="en-GB"/>
              </w:rPr>
              <w:t>Ensure sustainability and system improvement to capture HPV service information in DHIS2</w:t>
            </w:r>
          </w:p>
          <w:p w14:paraId="5EBDDAE8" w14:textId="1EE6D3F7" w:rsidR="00D91E64" w:rsidRPr="009C515A" w:rsidRDefault="00D91E64" w:rsidP="007A77E7">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3. Strengthen HIS by introducing a digital system to collect timely, high-quality information, to enable programme to monitor performance in real-time, zero-dose/drop-outs children, vaccines stock and cold chain, and institute timely corrective action and provide strategic direction for program planning</w:t>
            </w:r>
          </w:p>
        </w:tc>
        <w:tc>
          <w:tcPr>
            <w:tcW w:w="2015" w:type="dxa"/>
            <w:shd w:val="clear" w:color="auto" w:fill="FFFFFF" w:themeFill="background1"/>
          </w:tcPr>
          <w:p w14:paraId="428F0B2E" w14:textId="5A1AB612" w:rsidR="00004765" w:rsidRPr="009C515A" w:rsidRDefault="00004765" w:rsidP="00004765">
            <w:pPr>
              <w:spacing w:line="240" w:lineRule="auto"/>
              <w:jc w:val="right"/>
              <w:rPr>
                <w:rFonts w:eastAsia="Times New Roman"/>
                <w:b/>
                <w:bCs/>
                <w:color w:val="000000"/>
                <w:lang w:val="en-AU" w:eastAsia="en-AU"/>
              </w:rPr>
            </w:pPr>
            <w:r w:rsidRPr="009C515A">
              <w:rPr>
                <w:b/>
                <w:bCs/>
                <w:color w:val="000000"/>
              </w:rPr>
              <w:t>35</w:t>
            </w:r>
            <w:r w:rsidR="00307F3C" w:rsidRPr="009C515A">
              <w:rPr>
                <w:b/>
                <w:bCs/>
                <w:color w:val="000000"/>
              </w:rPr>
              <w:t>,</w:t>
            </w:r>
            <w:r w:rsidRPr="009C515A">
              <w:rPr>
                <w:b/>
                <w:bCs/>
                <w:color w:val="000000"/>
              </w:rPr>
              <w:t>200</w:t>
            </w:r>
          </w:p>
          <w:p w14:paraId="3483E061" w14:textId="267C56D2" w:rsidR="00D91E64" w:rsidRPr="009C515A" w:rsidRDefault="00D91E64" w:rsidP="007A77E7">
            <w:pPr>
              <w:spacing w:line="300" w:lineRule="exact"/>
              <w:jc w:val="right"/>
              <w:rPr>
                <w:bCs/>
                <w:color w:val="808080" w:themeColor="background1" w:themeShade="80"/>
                <w:lang w:val="en-GB"/>
              </w:rPr>
            </w:pPr>
          </w:p>
        </w:tc>
        <w:tc>
          <w:tcPr>
            <w:tcW w:w="1134" w:type="dxa"/>
            <w:shd w:val="clear" w:color="auto" w:fill="FFFFFF" w:themeFill="background1"/>
          </w:tcPr>
          <w:p w14:paraId="4243CADF" w14:textId="03979329" w:rsidR="007A77E7" w:rsidRPr="009C515A" w:rsidRDefault="00446BA2" w:rsidP="007A77E7">
            <w:pPr>
              <w:spacing w:line="300" w:lineRule="exact"/>
              <w:jc w:val="right"/>
              <w:rPr>
                <w:bCs/>
                <w:color w:val="808080" w:themeColor="background1" w:themeShade="80"/>
                <w:lang w:val="en-GB"/>
              </w:rPr>
            </w:pPr>
            <w:r>
              <w:rPr>
                <w:bCs/>
                <w:color w:val="808080" w:themeColor="background1" w:themeShade="80"/>
                <w:lang w:val="en-GB"/>
              </w:rPr>
              <w:t>3.5</w:t>
            </w:r>
            <w:r w:rsidR="00004765" w:rsidRPr="009C515A">
              <w:rPr>
                <w:bCs/>
                <w:color w:val="808080" w:themeColor="background1" w:themeShade="80"/>
                <w:lang w:val="en-GB"/>
              </w:rPr>
              <w:t>%</w:t>
            </w:r>
          </w:p>
        </w:tc>
      </w:tr>
      <w:tr w:rsidR="00A66E2E" w:rsidRPr="009C515A" w14:paraId="7CC36569" w14:textId="77777777" w:rsidTr="00607CB7">
        <w:tc>
          <w:tcPr>
            <w:tcW w:w="1953" w:type="dxa"/>
            <w:shd w:val="clear" w:color="auto" w:fill="FFFFFF" w:themeFill="background1"/>
          </w:tcPr>
          <w:p w14:paraId="20958035" w14:textId="09C5AACB" w:rsidR="00A66E2E" w:rsidRPr="009C515A" w:rsidRDefault="00A66E2E" w:rsidP="00A66E2E">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VPD surveillance</w:t>
            </w:r>
          </w:p>
        </w:tc>
        <w:tc>
          <w:tcPr>
            <w:tcW w:w="3970" w:type="dxa"/>
            <w:shd w:val="clear" w:color="auto" w:fill="FFFFFF" w:themeFill="background1"/>
          </w:tcPr>
          <w:p w14:paraId="4B83AC1D" w14:textId="77777777" w:rsidR="00A66E2E" w:rsidRPr="009C515A" w:rsidRDefault="00821883" w:rsidP="00A66E2E">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1.</w:t>
            </w:r>
            <w:r w:rsidR="00A66E2E" w:rsidRPr="009C515A">
              <w:rPr>
                <w:bCs/>
                <w:color w:val="808080" w:themeColor="background1" w:themeShade="80"/>
                <w:sz w:val="20"/>
                <w:szCs w:val="20"/>
                <w:lang w:val="en-GB"/>
              </w:rPr>
              <w:t>Use surveillance data to identify ways to improve immunisation programme effectiveness in preventing disease</w:t>
            </w:r>
          </w:p>
          <w:p w14:paraId="22644015" w14:textId="30574E12" w:rsidR="00821883" w:rsidRPr="009C515A" w:rsidRDefault="00821883" w:rsidP="00A66E2E">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2. Improve integration of VPD surveillance and AEFI surveillance into DHIS</w:t>
            </w:r>
          </w:p>
        </w:tc>
        <w:tc>
          <w:tcPr>
            <w:tcW w:w="2015" w:type="dxa"/>
            <w:shd w:val="clear" w:color="auto" w:fill="FFFFFF" w:themeFill="background1"/>
          </w:tcPr>
          <w:p w14:paraId="452CB224" w14:textId="4DC7AC1A" w:rsidR="00821883" w:rsidRPr="009C515A" w:rsidRDefault="00821883" w:rsidP="00821883">
            <w:pPr>
              <w:spacing w:line="240" w:lineRule="auto"/>
              <w:jc w:val="right"/>
              <w:rPr>
                <w:rFonts w:eastAsia="Times New Roman"/>
                <w:b/>
                <w:bCs/>
                <w:color w:val="000000"/>
                <w:lang w:val="en-AU" w:eastAsia="en-AU"/>
              </w:rPr>
            </w:pPr>
            <w:r w:rsidRPr="009C515A">
              <w:rPr>
                <w:b/>
                <w:bCs/>
                <w:color w:val="000000"/>
              </w:rPr>
              <w:t>26</w:t>
            </w:r>
            <w:r w:rsidR="00307F3C" w:rsidRPr="009C515A">
              <w:rPr>
                <w:b/>
                <w:bCs/>
                <w:color w:val="000000"/>
              </w:rPr>
              <w:t>,</w:t>
            </w:r>
            <w:r w:rsidRPr="009C515A">
              <w:rPr>
                <w:b/>
                <w:bCs/>
                <w:color w:val="000000"/>
              </w:rPr>
              <w:t>000</w:t>
            </w:r>
          </w:p>
          <w:p w14:paraId="7AFB1C66" w14:textId="1F053BC3" w:rsidR="00D91E64" w:rsidRPr="009C515A" w:rsidRDefault="00D91E64" w:rsidP="00A66E2E">
            <w:pPr>
              <w:spacing w:line="300" w:lineRule="exact"/>
              <w:jc w:val="right"/>
              <w:rPr>
                <w:bCs/>
                <w:color w:val="808080" w:themeColor="background1" w:themeShade="80"/>
                <w:lang w:val="en-GB"/>
              </w:rPr>
            </w:pPr>
          </w:p>
        </w:tc>
        <w:tc>
          <w:tcPr>
            <w:tcW w:w="1134" w:type="dxa"/>
            <w:shd w:val="clear" w:color="auto" w:fill="FFFFFF" w:themeFill="background1"/>
          </w:tcPr>
          <w:p w14:paraId="0E7D6CCB" w14:textId="1DE87DBD" w:rsidR="00A66E2E" w:rsidRPr="009C515A" w:rsidRDefault="00446BA2" w:rsidP="00A66E2E">
            <w:pPr>
              <w:spacing w:line="300" w:lineRule="exact"/>
              <w:jc w:val="right"/>
              <w:rPr>
                <w:bCs/>
                <w:color w:val="808080" w:themeColor="background1" w:themeShade="80"/>
                <w:lang w:val="en-GB"/>
              </w:rPr>
            </w:pPr>
            <w:r>
              <w:rPr>
                <w:bCs/>
                <w:color w:val="808080" w:themeColor="background1" w:themeShade="80"/>
                <w:lang w:val="en-GB"/>
              </w:rPr>
              <w:t>2.6</w:t>
            </w:r>
            <w:r w:rsidR="00307F3C" w:rsidRPr="009C515A">
              <w:rPr>
                <w:bCs/>
                <w:color w:val="808080" w:themeColor="background1" w:themeShade="80"/>
                <w:lang w:val="en-GB"/>
              </w:rPr>
              <w:t>%</w:t>
            </w:r>
          </w:p>
        </w:tc>
      </w:tr>
      <w:tr w:rsidR="00A66E2E" w:rsidRPr="009C515A" w14:paraId="20D7638D" w14:textId="77777777" w:rsidTr="00607CB7">
        <w:tc>
          <w:tcPr>
            <w:tcW w:w="1953" w:type="dxa"/>
            <w:shd w:val="clear" w:color="auto" w:fill="FFFFFF" w:themeFill="background1"/>
          </w:tcPr>
          <w:p w14:paraId="4FE9E467" w14:textId="12D98A5A" w:rsidR="00A66E2E" w:rsidRPr="009C515A" w:rsidRDefault="00A66E2E" w:rsidP="00A66E2E">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Governance, policy, strategic planning and program management</w:t>
            </w:r>
          </w:p>
        </w:tc>
        <w:tc>
          <w:tcPr>
            <w:tcW w:w="3970" w:type="dxa"/>
            <w:shd w:val="clear" w:color="auto" w:fill="FFFFFF" w:themeFill="background1"/>
          </w:tcPr>
          <w:p w14:paraId="3FAF03B8" w14:textId="5642AD3C" w:rsidR="00A66E2E" w:rsidRPr="009C515A" w:rsidRDefault="00B77891" w:rsidP="00A66E2E">
            <w:pPr>
              <w:spacing w:line="300" w:lineRule="exact"/>
              <w:rPr>
                <w:bCs/>
                <w:color w:val="808080" w:themeColor="background1" w:themeShade="80"/>
                <w:sz w:val="20"/>
                <w:szCs w:val="20"/>
              </w:rPr>
            </w:pPr>
            <w:r w:rsidRPr="009C515A">
              <w:rPr>
                <w:bCs/>
                <w:color w:val="808080" w:themeColor="background1" w:themeShade="80"/>
                <w:sz w:val="20"/>
                <w:szCs w:val="20"/>
                <w:lang w:val="en-GB"/>
              </w:rPr>
              <w:t xml:space="preserve">1. </w:t>
            </w:r>
            <w:r w:rsidR="00A66E2E" w:rsidRPr="009C515A">
              <w:rPr>
                <w:bCs/>
                <w:color w:val="808080" w:themeColor="background1" w:themeShade="80"/>
                <w:sz w:val="20"/>
                <w:szCs w:val="20"/>
                <w:lang w:val="en-GB"/>
              </w:rPr>
              <w:t>Strengthen the capacity of governance</w:t>
            </w:r>
            <w:r w:rsidR="00225CDA" w:rsidRPr="009C515A">
              <w:rPr>
                <w:bCs/>
                <w:color w:val="808080" w:themeColor="background1" w:themeShade="80"/>
                <w:sz w:val="20"/>
                <w:szCs w:val="20"/>
                <w:lang w:val="en-GB"/>
              </w:rPr>
              <w:t xml:space="preserve"> (e.g. the Family Health Committee)</w:t>
            </w:r>
            <w:r w:rsidR="00A66E2E" w:rsidRPr="009C515A">
              <w:rPr>
                <w:bCs/>
                <w:color w:val="808080" w:themeColor="background1" w:themeShade="80"/>
                <w:sz w:val="20"/>
                <w:szCs w:val="20"/>
                <w:lang w:val="en-GB"/>
              </w:rPr>
              <w:t>/technical bodies</w:t>
            </w:r>
            <w:r w:rsidR="00225CDA" w:rsidRPr="009C515A">
              <w:rPr>
                <w:bCs/>
                <w:color w:val="808080" w:themeColor="background1" w:themeShade="80"/>
                <w:sz w:val="20"/>
                <w:szCs w:val="20"/>
                <w:lang w:val="en-GB"/>
              </w:rPr>
              <w:t xml:space="preserve"> (e.g. EPI team)</w:t>
            </w:r>
            <w:r w:rsidR="00A66E2E" w:rsidRPr="009C515A">
              <w:rPr>
                <w:bCs/>
                <w:color w:val="808080" w:themeColor="background1" w:themeShade="80"/>
                <w:sz w:val="20"/>
                <w:szCs w:val="20"/>
                <w:lang w:val="en-GB"/>
              </w:rPr>
              <w:t xml:space="preserve"> for planning, coordination and tracking progress at all levels, particularly for reaching zero-dose children</w:t>
            </w:r>
          </w:p>
          <w:p w14:paraId="0396FD02" w14:textId="6B6CDBB0" w:rsidR="00B77891" w:rsidRPr="009C515A" w:rsidRDefault="00B77891" w:rsidP="00B77891">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2. Strengthen the capacity of governance/technical</w:t>
            </w:r>
            <w:r w:rsidR="00891889" w:rsidRPr="009C515A">
              <w:rPr>
                <w:bCs/>
                <w:color w:val="808080" w:themeColor="background1" w:themeShade="80"/>
                <w:sz w:val="20"/>
                <w:szCs w:val="20"/>
                <w:lang w:val="en-GB"/>
              </w:rPr>
              <w:t xml:space="preserve"> </w:t>
            </w:r>
            <w:r w:rsidRPr="009C515A">
              <w:rPr>
                <w:bCs/>
                <w:color w:val="808080" w:themeColor="background1" w:themeShade="80"/>
                <w:sz w:val="20"/>
                <w:szCs w:val="20"/>
                <w:lang w:val="en-GB"/>
              </w:rPr>
              <w:t>bodies for planning, coordination and tracking progress at all</w:t>
            </w:r>
          </w:p>
          <w:p w14:paraId="6A6DFE33" w14:textId="4F2724F7" w:rsidR="00B77891" w:rsidRPr="009C515A" w:rsidRDefault="00B77891" w:rsidP="00B77891">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 xml:space="preserve">levels, particularly for reaching zero-dose children </w:t>
            </w:r>
          </w:p>
          <w:p w14:paraId="7DD7B754" w14:textId="2AA21628" w:rsidR="00B77891" w:rsidRPr="009C515A" w:rsidRDefault="004B5087" w:rsidP="0000007D">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2</w:t>
            </w:r>
            <w:r w:rsidR="00891889" w:rsidRPr="009C515A">
              <w:rPr>
                <w:bCs/>
                <w:color w:val="808080" w:themeColor="background1" w:themeShade="80"/>
                <w:sz w:val="20"/>
                <w:szCs w:val="20"/>
                <w:lang w:val="en-GB"/>
              </w:rPr>
              <w:t xml:space="preserve">. </w:t>
            </w:r>
            <w:r w:rsidR="00B77891" w:rsidRPr="009C515A">
              <w:rPr>
                <w:bCs/>
                <w:color w:val="808080" w:themeColor="background1" w:themeShade="80"/>
                <w:sz w:val="20"/>
                <w:szCs w:val="20"/>
                <w:lang w:val="en-GB"/>
              </w:rPr>
              <w:t>Support annual operational planning (AOP process)</w:t>
            </w:r>
            <w:r w:rsidR="002F4100" w:rsidRPr="009C515A">
              <w:rPr>
                <w:bCs/>
                <w:color w:val="808080" w:themeColor="background1" w:themeShade="80"/>
                <w:sz w:val="20"/>
                <w:szCs w:val="20"/>
                <w:lang w:val="en-GB"/>
              </w:rPr>
              <w:t xml:space="preserve"> which will result in </w:t>
            </w:r>
            <w:r w:rsidR="00AD330F" w:rsidRPr="009C515A">
              <w:rPr>
                <w:bCs/>
                <w:color w:val="808080" w:themeColor="background1" w:themeShade="80"/>
                <w:sz w:val="20"/>
                <w:szCs w:val="20"/>
                <w:lang w:val="en-GB"/>
              </w:rPr>
              <w:t>multi-year National Immunisation Plan</w:t>
            </w:r>
            <w:r w:rsidR="002F4100" w:rsidRPr="009C515A">
              <w:rPr>
                <w:bCs/>
                <w:color w:val="808080" w:themeColor="background1" w:themeShade="80"/>
                <w:sz w:val="20"/>
                <w:szCs w:val="20"/>
                <w:lang w:val="en-GB"/>
              </w:rPr>
              <w:t xml:space="preserve"> that </w:t>
            </w:r>
            <w:r w:rsidR="002F4100" w:rsidRPr="009C515A">
              <w:rPr>
                <w:bCs/>
                <w:color w:val="808080" w:themeColor="background1" w:themeShade="80"/>
                <w:sz w:val="20"/>
                <w:szCs w:val="20"/>
                <w:lang w:val="en-GB"/>
              </w:rPr>
              <w:lastRenderedPageBreak/>
              <w:t xml:space="preserve">encompasses </w:t>
            </w:r>
            <w:r w:rsidR="00A76E03" w:rsidRPr="009C515A">
              <w:rPr>
                <w:bCs/>
                <w:color w:val="808080" w:themeColor="background1" w:themeShade="80"/>
                <w:sz w:val="20"/>
                <w:szCs w:val="20"/>
                <w:lang w:val="en-GB"/>
              </w:rPr>
              <w:t>national and provincial activities, as well as key elements of the Gavi-transition planning</w:t>
            </w:r>
            <w:r w:rsidR="00F65128" w:rsidRPr="009C515A">
              <w:rPr>
                <w:bCs/>
                <w:color w:val="808080" w:themeColor="background1" w:themeShade="80"/>
                <w:sz w:val="20"/>
                <w:szCs w:val="20"/>
                <w:lang w:val="en-GB"/>
              </w:rPr>
              <w:t xml:space="preserve"> and steps to improve financial management</w:t>
            </w:r>
          </w:p>
          <w:p w14:paraId="5AEC196F" w14:textId="7DEDD0F2" w:rsidR="00E80CE0" w:rsidRPr="009C515A" w:rsidRDefault="00E80CE0" w:rsidP="0000007D">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4. Support MHMS in strengthening capacities of technical bodies on policy development, and  coordination mechanisms to enhance and sustain multi-sectoral collaboration and partnerships in planning, provision of resources in the implementation and monitoring of strong immunization systems</w:t>
            </w:r>
          </w:p>
        </w:tc>
        <w:tc>
          <w:tcPr>
            <w:tcW w:w="2015" w:type="dxa"/>
            <w:shd w:val="clear" w:color="auto" w:fill="FFFFFF" w:themeFill="background1"/>
          </w:tcPr>
          <w:p w14:paraId="5FC2742D" w14:textId="3EC2BFD1" w:rsidR="00307F3C" w:rsidRPr="009C515A" w:rsidRDefault="00307F3C" w:rsidP="00307F3C">
            <w:pPr>
              <w:spacing w:line="240" w:lineRule="auto"/>
              <w:jc w:val="right"/>
              <w:rPr>
                <w:rFonts w:eastAsia="Times New Roman"/>
                <w:b/>
                <w:bCs/>
                <w:color w:val="000000"/>
                <w:lang w:val="en-AU" w:eastAsia="en-AU"/>
              </w:rPr>
            </w:pPr>
            <w:r w:rsidRPr="009C515A">
              <w:rPr>
                <w:b/>
                <w:bCs/>
                <w:color w:val="000000"/>
              </w:rPr>
              <w:lastRenderedPageBreak/>
              <w:t>224</w:t>
            </w:r>
            <w:r w:rsidR="00CC663B" w:rsidRPr="009C515A">
              <w:rPr>
                <w:b/>
                <w:bCs/>
                <w:color w:val="000000"/>
              </w:rPr>
              <w:t>,</w:t>
            </w:r>
            <w:r w:rsidRPr="009C515A">
              <w:rPr>
                <w:b/>
                <w:bCs/>
                <w:color w:val="000000"/>
              </w:rPr>
              <w:t>400</w:t>
            </w:r>
          </w:p>
          <w:p w14:paraId="2E98A53F" w14:textId="002239F1" w:rsidR="00E80CE0" w:rsidRPr="009C515A" w:rsidRDefault="00E80CE0" w:rsidP="00A66E2E">
            <w:pPr>
              <w:spacing w:line="300" w:lineRule="exact"/>
              <w:jc w:val="right"/>
              <w:rPr>
                <w:bCs/>
                <w:color w:val="808080" w:themeColor="background1" w:themeShade="80"/>
                <w:lang w:val="en-GB"/>
              </w:rPr>
            </w:pPr>
          </w:p>
        </w:tc>
        <w:tc>
          <w:tcPr>
            <w:tcW w:w="1134" w:type="dxa"/>
            <w:shd w:val="clear" w:color="auto" w:fill="FFFFFF" w:themeFill="background1"/>
          </w:tcPr>
          <w:p w14:paraId="31082746" w14:textId="6761382E" w:rsidR="00A66E2E" w:rsidRPr="009C515A" w:rsidRDefault="00CC663B" w:rsidP="00A66E2E">
            <w:pPr>
              <w:spacing w:line="300" w:lineRule="exact"/>
              <w:jc w:val="right"/>
              <w:rPr>
                <w:bCs/>
                <w:color w:val="808080" w:themeColor="background1" w:themeShade="80"/>
                <w:lang w:val="en-GB"/>
              </w:rPr>
            </w:pPr>
            <w:r w:rsidRPr="009C515A">
              <w:rPr>
                <w:bCs/>
                <w:color w:val="808080" w:themeColor="background1" w:themeShade="80"/>
                <w:lang w:val="en-GB"/>
              </w:rPr>
              <w:t>2</w:t>
            </w:r>
            <w:r w:rsidR="00446BA2">
              <w:rPr>
                <w:bCs/>
                <w:color w:val="808080" w:themeColor="background1" w:themeShade="80"/>
                <w:lang w:val="en-GB"/>
              </w:rPr>
              <w:t>2.4</w:t>
            </w:r>
            <w:r w:rsidRPr="009C515A">
              <w:rPr>
                <w:bCs/>
                <w:color w:val="808080" w:themeColor="background1" w:themeShade="80"/>
                <w:lang w:val="en-GB"/>
              </w:rPr>
              <w:t>%</w:t>
            </w:r>
          </w:p>
        </w:tc>
      </w:tr>
      <w:tr w:rsidR="007A77E7" w:rsidRPr="009C515A" w14:paraId="2893E46D" w14:textId="77777777" w:rsidTr="00607CB7">
        <w:tc>
          <w:tcPr>
            <w:tcW w:w="1953" w:type="dxa"/>
            <w:shd w:val="clear" w:color="auto" w:fill="FFFFFF" w:themeFill="background1"/>
          </w:tcPr>
          <w:p w14:paraId="0D991875" w14:textId="3E41D4D9" w:rsidR="007A77E7" w:rsidRPr="009C515A" w:rsidRDefault="002357ED" w:rsidP="00B278FC">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Sustainable health financing</w:t>
            </w:r>
          </w:p>
        </w:tc>
        <w:tc>
          <w:tcPr>
            <w:tcW w:w="3970" w:type="dxa"/>
            <w:shd w:val="clear" w:color="auto" w:fill="FFFFFF" w:themeFill="background1"/>
          </w:tcPr>
          <w:p w14:paraId="1AD55976" w14:textId="27E21555" w:rsidR="007A77E7" w:rsidRPr="009C515A" w:rsidRDefault="00C67536" w:rsidP="001E5728">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1. Supporting budgeting and targeting of domestic resources and donor partner contributions to PHC based on ZD and equity considerations AND reviewing provincial level expenditure against budget</w:t>
            </w:r>
          </w:p>
          <w:p w14:paraId="27592A3C" w14:textId="45F8A08F" w:rsidR="00A31911" w:rsidRPr="009C515A" w:rsidRDefault="00C0127C" w:rsidP="001E5728">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2</w:t>
            </w:r>
            <w:r w:rsidR="00A31911" w:rsidRPr="009C515A">
              <w:rPr>
                <w:bCs/>
                <w:color w:val="808080" w:themeColor="background1" w:themeShade="80"/>
                <w:sz w:val="20"/>
                <w:szCs w:val="20"/>
                <w:lang w:val="en-GB"/>
              </w:rPr>
              <w:t>. Provide support to the transition planning process and engage in high level dialogue on health financing and the budget impact of the transition</w:t>
            </w:r>
            <w:r w:rsidR="006A679F" w:rsidRPr="009C515A">
              <w:rPr>
                <w:bCs/>
                <w:color w:val="808080" w:themeColor="background1" w:themeShade="80"/>
                <w:sz w:val="20"/>
                <w:szCs w:val="20"/>
                <w:lang w:val="en-GB"/>
              </w:rPr>
              <w:t>. This includes presenting analytics resources develops to the EPI team and MHMS executives</w:t>
            </w:r>
          </w:p>
          <w:p w14:paraId="6111D4CD" w14:textId="6E55C155" w:rsidR="007A31A9" w:rsidRPr="009C515A" w:rsidRDefault="00696138" w:rsidP="001E5728">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3. Providing training to donor and EPI team on AOP &amp; B process, and support review of the EPI AOP and multiyear budgeting during budget process. 4</w:t>
            </w:r>
            <w:r w:rsidR="007A31A9" w:rsidRPr="009C515A">
              <w:rPr>
                <w:bCs/>
                <w:color w:val="808080" w:themeColor="background1" w:themeShade="80"/>
                <w:sz w:val="20"/>
                <w:szCs w:val="20"/>
                <w:lang w:val="en-GB"/>
              </w:rPr>
              <w:t>. Supporting development of Gavi transition plan as part of the national health strategic plan development</w:t>
            </w:r>
          </w:p>
          <w:p w14:paraId="569C93BD" w14:textId="6AE6D2E3" w:rsidR="00B77891" w:rsidRPr="009C515A" w:rsidRDefault="00696138" w:rsidP="00B77891">
            <w:pPr>
              <w:spacing w:line="300" w:lineRule="exact"/>
              <w:rPr>
                <w:color w:val="FF0000"/>
              </w:rPr>
            </w:pPr>
            <w:r w:rsidRPr="009C515A">
              <w:rPr>
                <w:bCs/>
                <w:color w:val="808080" w:themeColor="background1" w:themeShade="80"/>
                <w:sz w:val="20"/>
                <w:szCs w:val="20"/>
                <w:lang w:val="en-GB"/>
              </w:rPr>
              <w:t>5</w:t>
            </w:r>
            <w:r w:rsidR="009032B7" w:rsidRPr="009C515A">
              <w:rPr>
                <w:bCs/>
                <w:color w:val="808080" w:themeColor="background1" w:themeShade="80"/>
                <w:sz w:val="20"/>
                <w:szCs w:val="20"/>
                <w:lang w:val="en-GB"/>
              </w:rPr>
              <w:t xml:space="preserve">. </w:t>
            </w:r>
            <w:r w:rsidR="00B77891" w:rsidRPr="009C515A">
              <w:rPr>
                <w:bCs/>
                <w:color w:val="808080" w:themeColor="background1" w:themeShade="80"/>
                <w:sz w:val="20"/>
                <w:szCs w:val="20"/>
                <w:lang w:val="en-GB"/>
              </w:rPr>
              <w:t>Improve the efficient use and tracking of domestic fund flows going to the frontline, including for reaching zero-dose children</w:t>
            </w:r>
            <w:r w:rsidRPr="009C515A">
              <w:rPr>
                <w:bCs/>
                <w:color w:val="808080" w:themeColor="background1" w:themeShade="80"/>
                <w:sz w:val="20"/>
                <w:szCs w:val="20"/>
                <w:lang w:val="en-GB"/>
              </w:rPr>
              <w:t>. These include developing tools and processes building on existing expenditure tracking activities, including BETA tracking of funding sources (domestic and external) to improve the transparency of funding flows to all stakeholders.</w:t>
            </w:r>
          </w:p>
          <w:p w14:paraId="454BE704" w14:textId="343535CB" w:rsidR="009F4959" w:rsidRPr="009C515A" w:rsidRDefault="00696138" w:rsidP="00C0127C">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lastRenderedPageBreak/>
              <w:t>6</w:t>
            </w:r>
            <w:r w:rsidR="00C0127C" w:rsidRPr="009C515A">
              <w:rPr>
                <w:bCs/>
                <w:color w:val="808080" w:themeColor="background1" w:themeShade="80"/>
                <w:sz w:val="20"/>
                <w:szCs w:val="20"/>
                <w:lang w:val="en-GB"/>
              </w:rPr>
              <w:t>.</w:t>
            </w:r>
            <w:r w:rsidR="00B77891" w:rsidRPr="009C515A">
              <w:rPr>
                <w:bCs/>
                <w:color w:val="808080" w:themeColor="background1" w:themeShade="80"/>
                <w:sz w:val="20"/>
                <w:szCs w:val="20"/>
                <w:lang w:val="en-GB"/>
              </w:rPr>
              <w:t>Support the planning of Gavi and non-Gavi-supported vaccine procurement costs based on quality vaccine forecasts as part of national and subnational health budgets</w:t>
            </w:r>
          </w:p>
        </w:tc>
        <w:tc>
          <w:tcPr>
            <w:tcW w:w="2015" w:type="dxa"/>
            <w:shd w:val="clear" w:color="auto" w:fill="FFFFFF" w:themeFill="background1"/>
          </w:tcPr>
          <w:p w14:paraId="0853A324" w14:textId="55D4E3C0" w:rsidR="00CC663B" w:rsidRPr="009C515A" w:rsidRDefault="00CC663B" w:rsidP="00CC663B">
            <w:pPr>
              <w:spacing w:line="240" w:lineRule="auto"/>
              <w:jc w:val="right"/>
              <w:rPr>
                <w:rFonts w:eastAsia="Times New Roman"/>
                <w:b/>
                <w:bCs/>
                <w:color w:val="000000"/>
                <w:lang w:val="en-AU" w:eastAsia="en-AU"/>
              </w:rPr>
            </w:pPr>
            <w:r w:rsidRPr="009C515A">
              <w:rPr>
                <w:b/>
                <w:bCs/>
                <w:color w:val="000000"/>
              </w:rPr>
              <w:lastRenderedPageBreak/>
              <w:t>80,000</w:t>
            </w:r>
          </w:p>
          <w:p w14:paraId="0BEA6C3B" w14:textId="1C51AB25" w:rsidR="007A77E7" w:rsidRPr="009C515A" w:rsidRDefault="007A77E7" w:rsidP="00B278FC">
            <w:pPr>
              <w:spacing w:line="300" w:lineRule="exact"/>
              <w:jc w:val="right"/>
              <w:rPr>
                <w:bCs/>
                <w:color w:val="808080" w:themeColor="background1" w:themeShade="80"/>
                <w:lang w:val="en-GB"/>
              </w:rPr>
            </w:pPr>
          </w:p>
        </w:tc>
        <w:tc>
          <w:tcPr>
            <w:tcW w:w="1134" w:type="dxa"/>
            <w:shd w:val="clear" w:color="auto" w:fill="FFFFFF" w:themeFill="background1"/>
          </w:tcPr>
          <w:p w14:paraId="3B46DCDD" w14:textId="13E14D4C" w:rsidR="007A77E7" w:rsidRPr="009C515A" w:rsidRDefault="00CC663B" w:rsidP="00B278FC">
            <w:pPr>
              <w:spacing w:line="300" w:lineRule="exact"/>
              <w:jc w:val="right"/>
              <w:rPr>
                <w:bCs/>
                <w:color w:val="808080" w:themeColor="background1" w:themeShade="80"/>
                <w:lang w:val="en-GB"/>
              </w:rPr>
            </w:pPr>
            <w:r w:rsidRPr="009C515A">
              <w:rPr>
                <w:bCs/>
                <w:color w:val="808080" w:themeColor="background1" w:themeShade="80"/>
                <w:lang w:val="en-GB"/>
              </w:rPr>
              <w:t>8%</w:t>
            </w:r>
          </w:p>
        </w:tc>
      </w:tr>
      <w:tr w:rsidR="00CF3968" w:rsidRPr="009C515A" w14:paraId="5926B241" w14:textId="77777777" w:rsidTr="00607CB7">
        <w:tc>
          <w:tcPr>
            <w:tcW w:w="1953" w:type="dxa"/>
            <w:shd w:val="clear" w:color="auto" w:fill="FFFFFF" w:themeFill="background1"/>
          </w:tcPr>
          <w:p w14:paraId="4CAEF0C7" w14:textId="7DD0AFBD" w:rsidR="00CF3968" w:rsidRPr="009C515A" w:rsidRDefault="00CF3968" w:rsidP="00CF3968">
            <w:pPr>
              <w:spacing w:line="300" w:lineRule="exact"/>
              <w:rPr>
                <w:bCs/>
                <w:color w:val="808080" w:themeColor="background1" w:themeShade="80"/>
                <w:sz w:val="20"/>
                <w:szCs w:val="20"/>
                <w:lang w:val="en-GB"/>
              </w:rPr>
            </w:pPr>
            <w:r w:rsidRPr="009C515A">
              <w:rPr>
                <w:rFonts w:eastAsia="Times New Roman"/>
                <w:color w:val="323130"/>
                <w:lang w:val="en-US" w:eastAsia="en-AU"/>
              </w:rPr>
              <w:t>Demand generation and community engagement</w:t>
            </w:r>
          </w:p>
        </w:tc>
        <w:tc>
          <w:tcPr>
            <w:tcW w:w="3970" w:type="dxa"/>
            <w:shd w:val="clear" w:color="auto" w:fill="FFFFFF" w:themeFill="background1"/>
          </w:tcPr>
          <w:p w14:paraId="4AEB6984" w14:textId="437F0112" w:rsidR="00CF3968" w:rsidRPr="009C515A" w:rsidRDefault="00C94E61" w:rsidP="00CF3968">
            <w:pPr>
              <w:spacing w:line="300" w:lineRule="exact"/>
              <w:rPr>
                <w:bCs/>
                <w:color w:val="808080" w:themeColor="background1" w:themeShade="80"/>
                <w:sz w:val="20"/>
                <w:szCs w:val="20"/>
                <w:lang w:val="en-GB"/>
              </w:rPr>
            </w:pPr>
            <w:r w:rsidRPr="009C515A">
              <w:rPr>
                <w:rFonts w:eastAsia="Times New Roman"/>
                <w:color w:val="323130"/>
                <w:lang w:val="en-US" w:eastAsia="en-AU"/>
              </w:rPr>
              <w:t>1</w:t>
            </w:r>
            <w:r w:rsidRPr="009C515A">
              <w:rPr>
                <w:bCs/>
                <w:color w:val="808080" w:themeColor="background1" w:themeShade="80"/>
                <w:sz w:val="20"/>
                <w:szCs w:val="20"/>
                <w:lang w:val="en-GB"/>
              </w:rPr>
              <w:t xml:space="preserve">. </w:t>
            </w:r>
            <w:r w:rsidR="00CF3968" w:rsidRPr="009C515A">
              <w:rPr>
                <w:bCs/>
                <w:color w:val="808080" w:themeColor="background1" w:themeShade="80"/>
                <w:sz w:val="20"/>
                <w:szCs w:val="20"/>
                <w:lang w:val="en-GB"/>
              </w:rPr>
              <w:t xml:space="preserve">Design and support implementation social and </w:t>
            </w:r>
            <w:proofErr w:type="spellStart"/>
            <w:r w:rsidR="00CF3968" w:rsidRPr="009C515A">
              <w:rPr>
                <w:bCs/>
                <w:color w:val="808080" w:themeColor="background1" w:themeShade="80"/>
                <w:sz w:val="20"/>
                <w:szCs w:val="20"/>
                <w:lang w:val="en-GB"/>
              </w:rPr>
              <w:t>behavioral</w:t>
            </w:r>
            <w:proofErr w:type="spellEnd"/>
            <w:r w:rsidR="00CF3968" w:rsidRPr="009C515A">
              <w:rPr>
                <w:bCs/>
                <w:color w:val="808080" w:themeColor="background1" w:themeShade="80"/>
                <w:sz w:val="20"/>
                <w:szCs w:val="20"/>
                <w:lang w:val="en-GB"/>
              </w:rPr>
              <w:t xml:space="preserve"> change interventions</w:t>
            </w:r>
            <w:r w:rsidR="003B2008" w:rsidRPr="009C515A">
              <w:rPr>
                <w:bCs/>
                <w:color w:val="808080" w:themeColor="background1" w:themeShade="80"/>
                <w:sz w:val="20"/>
                <w:szCs w:val="20"/>
                <w:lang w:val="en-GB"/>
              </w:rPr>
              <w:t>, through</w:t>
            </w:r>
            <w:r w:rsidR="00971BBC" w:rsidRPr="009C515A">
              <w:rPr>
                <w:bCs/>
                <w:color w:val="808080" w:themeColor="background1" w:themeShade="80"/>
                <w:sz w:val="20"/>
                <w:szCs w:val="20"/>
                <w:lang w:val="en-GB"/>
              </w:rPr>
              <w:t xml:space="preserve"> community based organisations.</w:t>
            </w:r>
          </w:p>
          <w:p w14:paraId="323C022A" w14:textId="2BD664D7" w:rsidR="00C94E61" w:rsidRPr="009C515A" w:rsidRDefault="00C94E61" w:rsidP="00C94E61">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 xml:space="preserve">2. Provide programme monitoring and technical assurance to the implementation of the CSO demand generation project in four provinces </w:t>
            </w:r>
          </w:p>
          <w:p w14:paraId="63586840" w14:textId="77777777" w:rsidR="00B17120" w:rsidRPr="009C515A" w:rsidRDefault="001E5728" w:rsidP="001E5728">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3. Conduct social mobilization for EPI covering (a) continued implementation of immunization and child health communication strategy (b) evaluate and update communication plan and materials to reflect additional pandemic response challenges</w:t>
            </w:r>
          </w:p>
          <w:p w14:paraId="0A17C031" w14:textId="77777777" w:rsidR="00E80CE0" w:rsidRPr="009C515A" w:rsidRDefault="00E80CE0" w:rsidP="001E5728">
            <w:pPr>
              <w:spacing w:line="300" w:lineRule="exact"/>
              <w:rPr>
                <w:bCs/>
                <w:color w:val="808080" w:themeColor="background1" w:themeShade="80"/>
                <w:sz w:val="20"/>
                <w:szCs w:val="20"/>
                <w:lang w:val="en-GB"/>
              </w:rPr>
            </w:pPr>
            <w:r w:rsidRPr="009C515A">
              <w:rPr>
                <w:rFonts w:eastAsia="Times New Roman"/>
                <w:color w:val="323130"/>
                <w:lang w:val="en-US" w:eastAsia="en-AU"/>
              </w:rPr>
              <w:t xml:space="preserve">4. </w:t>
            </w:r>
            <w:r w:rsidRPr="009C515A">
              <w:rPr>
                <w:bCs/>
                <w:color w:val="808080" w:themeColor="background1" w:themeShade="80"/>
                <w:sz w:val="20"/>
                <w:szCs w:val="20"/>
                <w:lang w:val="en-GB"/>
              </w:rPr>
              <w:t>Engaging stakeholders and empowering local communities aimed at zero-dose and under-vaccinated children to generate demands for immunization, participate in planning, improvements in the quality of services, coverage and sustainability of the programme</w:t>
            </w:r>
          </w:p>
          <w:p w14:paraId="6E57F18F" w14:textId="400B3892" w:rsidR="00DA325B" w:rsidRPr="009C515A" w:rsidRDefault="00C4081B" w:rsidP="003827A4">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 xml:space="preserve">5. </w:t>
            </w:r>
            <w:r w:rsidR="00182BAF" w:rsidRPr="009C515A">
              <w:rPr>
                <w:bCs/>
                <w:color w:val="808080" w:themeColor="background1" w:themeShade="80"/>
                <w:sz w:val="20"/>
                <w:szCs w:val="20"/>
                <w:lang w:val="en-GB"/>
              </w:rPr>
              <w:t>Develop t</w:t>
            </w:r>
            <w:r w:rsidRPr="009C515A">
              <w:rPr>
                <w:bCs/>
                <w:color w:val="808080" w:themeColor="background1" w:themeShade="80"/>
                <w:sz w:val="20"/>
                <w:szCs w:val="20"/>
                <w:lang w:val="en-GB"/>
              </w:rPr>
              <w:t xml:space="preserve">ools and guidance for generating social and behavioural data for action </w:t>
            </w:r>
          </w:p>
        </w:tc>
        <w:tc>
          <w:tcPr>
            <w:tcW w:w="2015" w:type="dxa"/>
            <w:shd w:val="clear" w:color="auto" w:fill="FFFFFF" w:themeFill="background1"/>
          </w:tcPr>
          <w:p w14:paraId="19DABCD7" w14:textId="39140D4A" w:rsidR="00CC663B" w:rsidRPr="009C515A" w:rsidRDefault="00CC663B" w:rsidP="00CC663B">
            <w:pPr>
              <w:spacing w:line="240" w:lineRule="auto"/>
              <w:jc w:val="right"/>
              <w:rPr>
                <w:rFonts w:eastAsia="Times New Roman"/>
                <w:b/>
                <w:bCs/>
                <w:color w:val="000000"/>
                <w:lang w:val="en-AU" w:eastAsia="en-AU"/>
              </w:rPr>
            </w:pPr>
            <w:r w:rsidRPr="009C515A">
              <w:rPr>
                <w:b/>
                <w:bCs/>
                <w:color w:val="000000"/>
              </w:rPr>
              <w:t>176,5</w:t>
            </w:r>
            <w:r w:rsidR="00A776DE">
              <w:rPr>
                <w:b/>
                <w:bCs/>
                <w:color w:val="000000"/>
              </w:rPr>
              <w:t>27</w:t>
            </w:r>
          </w:p>
          <w:p w14:paraId="3EDAF109" w14:textId="455F1BB3" w:rsidR="009142B0" w:rsidRPr="009C515A" w:rsidRDefault="009142B0" w:rsidP="00CF3968">
            <w:pPr>
              <w:spacing w:line="300" w:lineRule="exact"/>
              <w:jc w:val="right"/>
              <w:rPr>
                <w:bCs/>
                <w:color w:val="808080" w:themeColor="background1" w:themeShade="80"/>
                <w:lang w:val="en-GB"/>
              </w:rPr>
            </w:pPr>
          </w:p>
        </w:tc>
        <w:tc>
          <w:tcPr>
            <w:tcW w:w="1134" w:type="dxa"/>
            <w:shd w:val="clear" w:color="auto" w:fill="FFFFFF" w:themeFill="background1"/>
          </w:tcPr>
          <w:p w14:paraId="705DCA4C" w14:textId="7F86801E" w:rsidR="00CF3968" w:rsidRPr="009C515A" w:rsidRDefault="00CC663B" w:rsidP="00CF3968">
            <w:pPr>
              <w:spacing w:line="300" w:lineRule="exact"/>
              <w:jc w:val="right"/>
              <w:rPr>
                <w:bCs/>
                <w:color w:val="808080" w:themeColor="background1" w:themeShade="80"/>
                <w:lang w:val="en-GB"/>
              </w:rPr>
            </w:pPr>
            <w:r w:rsidRPr="009C515A">
              <w:rPr>
                <w:bCs/>
                <w:color w:val="808080" w:themeColor="background1" w:themeShade="80"/>
                <w:lang w:val="en-GB"/>
              </w:rPr>
              <w:t>1</w:t>
            </w:r>
            <w:r w:rsidR="00446BA2">
              <w:rPr>
                <w:bCs/>
                <w:color w:val="808080" w:themeColor="background1" w:themeShade="80"/>
                <w:lang w:val="en-GB"/>
              </w:rPr>
              <w:t>7.7</w:t>
            </w:r>
            <w:r w:rsidRPr="009C515A">
              <w:rPr>
                <w:bCs/>
                <w:color w:val="808080" w:themeColor="background1" w:themeShade="80"/>
                <w:lang w:val="en-GB"/>
              </w:rPr>
              <w:t>%</w:t>
            </w:r>
          </w:p>
        </w:tc>
      </w:tr>
      <w:tr w:rsidR="007A77E7" w:rsidRPr="009C515A" w14:paraId="5FE54EB9" w14:textId="77777777" w:rsidTr="00607CB7">
        <w:tc>
          <w:tcPr>
            <w:tcW w:w="1953" w:type="dxa"/>
            <w:shd w:val="clear" w:color="auto" w:fill="FFFFFF" w:themeFill="background1"/>
          </w:tcPr>
          <w:p w14:paraId="3C915024" w14:textId="09629C05" w:rsidR="007A77E7" w:rsidRPr="009C515A" w:rsidRDefault="00B6773C" w:rsidP="00B278FC">
            <w:pPr>
              <w:spacing w:line="300" w:lineRule="exact"/>
              <w:rPr>
                <w:bCs/>
                <w:color w:val="808080" w:themeColor="background1" w:themeShade="80"/>
                <w:sz w:val="20"/>
                <w:szCs w:val="20"/>
                <w:lang w:val="en-GB"/>
              </w:rPr>
            </w:pPr>
            <w:r w:rsidRPr="009C515A">
              <w:rPr>
                <w:rFonts w:eastAsia="Times New Roman"/>
                <w:color w:val="323130"/>
                <w:lang w:val="en-US" w:eastAsia="en-AU"/>
              </w:rPr>
              <w:t>Supply chain</w:t>
            </w:r>
          </w:p>
        </w:tc>
        <w:tc>
          <w:tcPr>
            <w:tcW w:w="3970" w:type="dxa"/>
            <w:shd w:val="clear" w:color="auto" w:fill="FFFFFF" w:themeFill="background1"/>
          </w:tcPr>
          <w:p w14:paraId="5E03810C" w14:textId="7D2A92CB" w:rsidR="007A77E7" w:rsidRPr="009C515A" w:rsidRDefault="00C94E61" w:rsidP="00B17120">
            <w:pPr>
              <w:spacing w:line="300" w:lineRule="exact"/>
              <w:rPr>
                <w:rFonts w:eastAsia="Times New Roman"/>
                <w:color w:val="323130"/>
                <w:lang w:val="en-US" w:eastAsia="en-AU"/>
              </w:rPr>
            </w:pPr>
            <w:r w:rsidRPr="009C515A">
              <w:rPr>
                <w:bCs/>
                <w:color w:val="808080" w:themeColor="background1" w:themeShade="80"/>
                <w:sz w:val="20"/>
                <w:szCs w:val="20"/>
                <w:lang w:val="en-GB"/>
              </w:rPr>
              <w:t xml:space="preserve">1. </w:t>
            </w:r>
            <w:r w:rsidR="00B17120" w:rsidRPr="009C515A">
              <w:rPr>
                <w:bCs/>
                <w:color w:val="808080" w:themeColor="background1" w:themeShade="80"/>
                <w:sz w:val="20"/>
                <w:szCs w:val="20"/>
                <w:lang w:val="en-GB"/>
              </w:rPr>
              <w:t>Facilitate the implementation of EVM recommendations to improve the immunization and broader PHC supply chain; and implementation of the vaccine wastage reduction strategy</w:t>
            </w:r>
            <w:r w:rsidR="00B17120" w:rsidRPr="009C515A">
              <w:rPr>
                <w:rFonts w:eastAsia="Times New Roman"/>
                <w:color w:val="323130"/>
                <w:lang w:val="en-US" w:eastAsia="en-AU"/>
              </w:rPr>
              <w:t xml:space="preserve"> </w:t>
            </w:r>
          </w:p>
          <w:p w14:paraId="09C77A08" w14:textId="77777777" w:rsidR="00B17120" w:rsidRPr="009C515A" w:rsidRDefault="00C94E61" w:rsidP="00B17120">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 xml:space="preserve">2. </w:t>
            </w:r>
            <w:r w:rsidR="00B17120" w:rsidRPr="009C515A">
              <w:rPr>
                <w:bCs/>
                <w:color w:val="808080" w:themeColor="background1" w:themeShade="80"/>
                <w:sz w:val="20"/>
                <w:szCs w:val="20"/>
                <w:lang w:val="en-GB"/>
              </w:rPr>
              <w:t>Provide technical and operational support to government counterparts and partners on best practices of supply, logistics and cold chain management</w:t>
            </w:r>
          </w:p>
          <w:p w14:paraId="2DBC3777" w14:textId="6893A7E2" w:rsidR="00281A83" w:rsidRPr="009C515A" w:rsidRDefault="00281A83" w:rsidP="00B17120">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 xml:space="preserve">3. Strengthen supply, logistics and cold chain management to improve efficiency, accessibility and reliability of vaccines and other essential supplies to be readily </w:t>
            </w:r>
            <w:r w:rsidRPr="009C515A">
              <w:rPr>
                <w:bCs/>
                <w:color w:val="808080" w:themeColor="background1" w:themeShade="80"/>
                <w:sz w:val="20"/>
                <w:szCs w:val="20"/>
                <w:lang w:val="en-GB"/>
              </w:rPr>
              <w:lastRenderedPageBreak/>
              <w:t>available at all times and in good condition</w:t>
            </w:r>
          </w:p>
        </w:tc>
        <w:tc>
          <w:tcPr>
            <w:tcW w:w="2015" w:type="dxa"/>
            <w:shd w:val="clear" w:color="auto" w:fill="FFFFFF" w:themeFill="background1"/>
          </w:tcPr>
          <w:p w14:paraId="0144C97A" w14:textId="4F0E525E" w:rsidR="00367E36" w:rsidRPr="009C515A" w:rsidRDefault="00367E36" w:rsidP="00367E36">
            <w:pPr>
              <w:spacing w:line="240" w:lineRule="auto"/>
              <w:jc w:val="right"/>
              <w:rPr>
                <w:rFonts w:eastAsia="Times New Roman"/>
                <w:b/>
                <w:bCs/>
                <w:color w:val="000000"/>
                <w:lang w:val="en-AU" w:eastAsia="en-AU"/>
              </w:rPr>
            </w:pPr>
            <w:r w:rsidRPr="009C515A">
              <w:rPr>
                <w:b/>
                <w:bCs/>
                <w:color w:val="000000"/>
              </w:rPr>
              <w:lastRenderedPageBreak/>
              <w:t>36,499</w:t>
            </w:r>
          </w:p>
          <w:p w14:paraId="28A8A786" w14:textId="271CB558" w:rsidR="00281A83" w:rsidRPr="009C515A" w:rsidRDefault="00281A83" w:rsidP="00B278FC">
            <w:pPr>
              <w:spacing w:line="300" w:lineRule="exact"/>
              <w:jc w:val="right"/>
              <w:rPr>
                <w:bCs/>
                <w:color w:val="808080" w:themeColor="background1" w:themeShade="80"/>
                <w:lang w:val="en-GB"/>
              </w:rPr>
            </w:pPr>
          </w:p>
        </w:tc>
        <w:tc>
          <w:tcPr>
            <w:tcW w:w="1134" w:type="dxa"/>
            <w:shd w:val="clear" w:color="auto" w:fill="FFFFFF" w:themeFill="background1"/>
          </w:tcPr>
          <w:p w14:paraId="692F8A9B" w14:textId="4CB427F8" w:rsidR="007A77E7" w:rsidRPr="009C515A" w:rsidRDefault="00446BA2" w:rsidP="00B278FC">
            <w:pPr>
              <w:spacing w:line="300" w:lineRule="exact"/>
              <w:jc w:val="right"/>
              <w:rPr>
                <w:bCs/>
                <w:color w:val="808080" w:themeColor="background1" w:themeShade="80"/>
                <w:lang w:val="en-GB"/>
              </w:rPr>
            </w:pPr>
            <w:r>
              <w:rPr>
                <w:bCs/>
                <w:color w:val="808080" w:themeColor="background1" w:themeShade="80"/>
                <w:lang w:val="en-GB"/>
              </w:rPr>
              <w:t>3.7</w:t>
            </w:r>
            <w:r w:rsidR="00367E36" w:rsidRPr="009C515A">
              <w:rPr>
                <w:bCs/>
                <w:color w:val="808080" w:themeColor="background1" w:themeShade="80"/>
                <w:lang w:val="en-GB"/>
              </w:rPr>
              <w:t>%</w:t>
            </w:r>
          </w:p>
        </w:tc>
      </w:tr>
      <w:tr w:rsidR="007A77E7" w:rsidRPr="009C515A" w14:paraId="1D732164" w14:textId="77777777" w:rsidTr="00607CB7">
        <w:tc>
          <w:tcPr>
            <w:tcW w:w="1953" w:type="dxa"/>
            <w:shd w:val="clear" w:color="auto" w:fill="FFFFFF" w:themeFill="background1"/>
          </w:tcPr>
          <w:p w14:paraId="7B09F70E" w14:textId="77777777" w:rsidR="007A77E7" w:rsidRPr="009C515A" w:rsidRDefault="007A77E7" w:rsidP="00B278FC">
            <w:pPr>
              <w:spacing w:line="300" w:lineRule="exact"/>
              <w:rPr>
                <w:bCs/>
                <w:color w:val="808080" w:themeColor="background1" w:themeShade="80"/>
                <w:sz w:val="20"/>
                <w:szCs w:val="20"/>
                <w:lang w:val="en-GB"/>
              </w:rPr>
            </w:pPr>
          </w:p>
        </w:tc>
        <w:tc>
          <w:tcPr>
            <w:tcW w:w="3970" w:type="dxa"/>
            <w:shd w:val="clear" w:color="auto" w:fill="FFFFFF" w:themeFill="background1"/>
          </w:tcPr>
          <w:p w14:paraId="4857CAD9" w14:textId="77777777" w:rsidR="007A77E7" w:rsidRPr="009C515A" w:rsidRDefault="007A77E7" w:rsidP="00B278FC">
            <w:pPr>
              <w:spacing w:line="300" w:lineRule="exact"/>
              <w:rPr>
                <w:bCs/>
                <w:color w:val="808080" w:themeColor="background1" w:themeShade="80"/>
                <w:sz w:val="20"/>
                <w:szCs w:val="20"/>
                <w:lang w:val="en-GB"/>
              </w:rPr>
            </w:pPr>
          </w:p>
        </w:tc>
        <w:tc>
          <w:tcPr>
            <w:tcW w:w="2015" w:type="dxa"/>
            <w:shd w:val="clear" w:color="auto" w:fill="FFFFFF" w:themeFill="background1"/>
          </w:tcPr>
          <w:p w14:paraId="6B0DBCEC" w14:textId="52BF8781" w:rsidR="007A77E7" w:rsidRPr="009C515A" w:rsidRDefault="00315CA6" w:rsidP="00B278FC">
            <w:pPr>
              <w:spacing w:line="300" w:lineRule="exact"/>
              <w:jc w:val="right"/>
              <w:rPr>
                <w:bCs/>
                <w:color w:val="808080" w:themeColor="background1" w:themeShade="80"/>
                <w:lang w:val="en-GB"/>
              </w:rPr>
            </w:pPr>
            <w:r w:rsidRPr="009C515A">
              <w:rPr>
                <w:color w:val="808080" w:themeColor="background1" w:themeShade="80"/>
                <w:lang w:val="en-GB"/>
              </w:rPr>
              <w:t>999,526</w:t>
            </w:r>
          </w:p>
        </w:tc>
        <w:tc>
          <w:tcPr>
            <w:tcW w:w="1134" w:type="dxa"/>
            <w:shd w:val="clear" w:color="auto" w:fill="FFFFFF" w:themeFill="background1"/>
          </w:tcPr>
          <w:p w14:paraId="09159EA0" w14:textId="77777777" w:rsidR="007A77E7" w:rsidRPr="009C515A" w:rsidRDefault="007A77E7" w:rsidP="00B278FC">
            <w:pPr>
              <w:spacing w:line="300" w:lineRule="exact"/>
              <w:jc w:val="right"/>
              <w:rPr>
                <w:bCs/>
                <w:color w:val="808080" w:themeColor="background1" w:themeShade="80"/>
                <w:lang w:val="en-GB"/>
              </w:rPr>
            </w:pPr>
          </w:p>
        </w:tc>
      </w:tr>
      <w:tr w:rsidR="004D0C16" w:rsidRPr="009C515A" w14:paraId="722EF4AE" w14:textId="037364C4" w:rsidTr="00607CB7">
        <w:tc>
          <w:tcPr>
            <w:tcW w:w="5923" w:type="dxa"/>
            <w:gridSpan w:val="2"/>
            <w:shd w:val="clear" w:color="auto" w:fill="E2EFD9" w:themeFill="accent6" w:themeFillTint="33"/>
          </w:tcPr>
          <w:p w14:paraId="43F4301D" w14:textId="77777777" w:rsidR="004D0C16" w:rsidRPr="009C515A" w:rsidRDefault="004D0C16" w:rsidP="002901E0">
            <w:pPr>
              <w:spacing w:line="300" w:lineRule="exact"/>
              <w:jc w:val="right"/>
              <w:rPr>
                <w:b/>
                <w:lang w:val="en-GB"/>
              </w:rPr>
            </w:pPr>
            <w:r w:rsidRPr="009C515A">
              <w:rPr>
                <w:b/>
                <w:lang w:val="en-GB"/>
              </w:rPr>
              <w:t>2023</w:t>
            </w:r>
          </w:p>
        </w:tc>
        <w:tc>
          <w:tcPr>
            <w:tcW w:w="2015" w:type="dxa"/>
            <w:shd w:val="clear" w:color="auto" w:fill="E2EFD9" w:themeFill="accent6" w:themeFillTint="33"/>
          </w:tcPr>
          <w:p w14:paraId="09E6B15D" w14:textId="77777777" w:rsidR="004D0C16" w:rsidRPr="009C515A" w:rsidRDefault="004D0C16" w:rsidP="002901E0">
            <w:pPr>
              <w:spacing w:line="300" w:lineRule="exact"/>
              <w:jc w:val="right"/>
              <w:rPr>
                <w:b/>
                <w:lang w:val="en-GB"/>
              </w:rPr>
            </w:pPr>
          </w:p>
        </w:tc>
        <w:tc>
          <w:tcPr>
            <w:tcW w:w="1134" w:type="dxa"/>
            <w:shd w:val="clear" w:color="auto" w:fill="E2EFD9" w:themeFill="accent6" w:themeFillTint="33"/>
          </w:tcPr>
          <w:p w14:paraId="7CED7596" w14:textId="77777777" w:rsidR="004D0C16" w:rsidRPr="009C515A" w:rsidRDefault="004D0C16" w:rsidP="002901E0">
            <w:pPr>
              <w:spacing w:line="300" w:lineRule="exact"/>
              <w:jc w:val="right"/>
              <w:rPr>
                <w:b/>
                <w:lang w:val="en-GB"/>
              </w:rPr>
            </w:pPr>
          </w:p>
        </w:tc>
      </w:tr>
      <w:tr w:rsidR="004D0C16" w:rsidRPr="009C515A" w14:paraId="22897710" w14:textId="2350D58E" w:rsidTr="00607CB7">
        <w:tc>
          <w:tcPr>
            <w:tcW w:w="1953" w:type="dxa"/>
            <w:shd w:val="clear" w:color="auto" w:fill="FFFFFF" w:themeFill="background1"/>
          </w:tcPr>
          <w:p w14:paraId="0E6DA463" w14:textId="6F3EC11A" w:rsidR="004D0C16" w:rsidRPr="009C515A" w:rsidRDefault="004D0C16" w:rsidP="00BD0046">
            <w:pPr>
              <w:spacing w:line="300" w:lineRule="exact"/>
              <w:rPr>
                <w:bCs/>
                <w:color w:val="808080" w:themeColor="background1" w:themeShade="80"/>
                <w:lang w:val="en-GB"/>
              </w:rPr>
            </w:pPr>
            <w:r w:rsidRPr="009C515A">
              <w:rPr>
                <w:bCs/>
                <w:color w:val="808080" w:themeColor="background1" w:themeShade="80"/>
                <w:lang w:val="en-GB"/>
              </w:rPr>
              <w:t>Investment Area</w:t>
            </w:r>
          </w:p>
        </w:tc>
        <w:tc>
          <w:tcPr>
            <w:tcW w:w="3970" w:type="dxa"/>
            <w:shd w:val="clear" w:color="auto" w:fill="FFFFFF" w:themeFill="background1"/>
          </w:tcPr>
          <w:p w14:paraId="1F48101B" w14:textId="1CF298AC" w:rsidR="004D0C16" w:rsidRPr="009C515A" w:rsidRDefault="004D0C16" w:rsidP="00BD0046">
            <w:pPr>
              <w:spacing w:line="300" w:lineRule="exact"/>
              <w:rPr>
                <w:bCs/>
                <w:color w:val="808080" w:themeColor="background1" w:themeShade="80"/>
                <w:lang w:val="en-GB"/>
              </w:rPr>
            </w:pPr>
            <w:r w:rsidRPr="009C515A">
              <w:rPr>
                <w:bCs/>
                <w:color w:val="808080" w:themeColor="background1" w:themeShade="80"/>
                <w:lang w:val="en-GB"/>
              </w:rPr>
              <w:t xml:space="preserve">High-level objective </w:t>
            </w:r>
          </w:p>
        </w:tc>
        <w:tc>
          <w:tcPr>
            <w:tcW w:w="2015" w:type="dxa"/>
            <w:shd w:val="clear" w:color="auto" w:fill="FFFFFF" w:themeFill="background1"/>
          </w:tcPr>
          <w:p w14:paraId="2A9EA0BF" w14:textId="77777777" w:rsidR="004D0C16" w:rsidRPr="009C515A" w:rsidRDefault="004D0C16" w:rsidP="00BD0046">
            <w:pPr>
              <w:spacing w:line="300" w:lineRule="exact"/>
              <w:jc w:val="right"/>
              <w:rPr>
                <w:bCs/>
                <w:color w:val="808080" w:themeColor="background1" w:themeShade="80"/>
                <w:lang w:val="en-GB"/>
              </w:rPr>
            </w:pPr>
          </w:p>
        </w:tc>
        <w:tc>
          <w:tcPr>
            <w:tcW w:w="1134" w:type="dxa"/>
            <w:shd w:val="clear" w:color="auto" w:fill="FFFFFF" w:themeFill="background1"/>
          </w:tcPr>
          <w:p w14:paraId="6F1D7982" w14:textId="77777777" w:rsidR="004D0C16" w:rsidRPr="009C515A" w:rsidRDefault="004D0C16" w:rsidP="00BD0046">
            <w:pPr>
              <w:spacing w:line="300" w:lineRule="exact"/>
              <w:jc w:val="right"/>
              <w:rPr>
                <w:bCs/>
                <w:color w:val="808080" w:themeColor="background1" w:themeShade="80"/>
                <w:lang w:val="en-GB"/>
              </w:rPr>
            </w:pPr>
          </w:p>
        </w:tc>
      </w:tr>
      <w:tr w:rsidR="008D4FE6" w:rsidRPr="009C515A" w14:paraId="58292D70" w14:textId="77777777" w:rsidTr="00607CB7">
        <w:tc>
          <w:tcPr>
            <w:tcW w:w="1953" w:type="dxa"/>
            <w:shd w:val="clear" w:color="auto" w:fill="FFFFFF" w:themeFill="background1"/>
          </w:tcPr>
          <w:p w14:paraId="431B7F79" w14:textId="22D33DA5" w:rsidR="008D4FE6" w:rsidRPr="009C515A" w:rsidRDefault="008D4FE6" w:rsidP="008D4FE6">
            <w:pPr>
              <w:spacing w:line="300" w:lineRule="exact"/>
              <w:rPr>
                <w:bCs/>
                <w:color w:val="808080" w:themeColor="background1" w:themeShade="80"/>
                <w:lang w:val="en-GB"/>
              </w:rPr>
            </w:pPr>
            <w:r w:rsidRPr="009C515A">
              <w:rPr>
                <w:bCs/>
                <w:color w:val="808080" w:themeColor="background1" w:themeShade="80"/>
                <w:sz w:val="20"/>
                <w:szCs w:val="20"/>
                <w:lang w:val="en-GB"/>
              </w:rPr>
              <w:t>Service Delivery</w:t>
            </w:r>
          </w:p>
        </w:tc>
        <w:tc>
          <w:tcPr>
            <w:tcW w:w="3970" w:type="dxa"/>
            <w:shd w:val="clear" w:color="auto" w:fill="FFFFFF" w:themeFill="background1"/>
          </w:tcPr>
          <w:p w14:paraId="61A8CE86" w14:textId="77777777" w:rsidR="007F5C47" w:rsidRPr="009C515A" w:rsidRDefault="00C67536" w:rsidP="007F5C47">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 xml:space="preserve">1. </w:t>
            </w:r>
            <w:r w:rsidR="008D4FE6" w:rsidRPr="009C515A">
              <w:rPr>
                <w:bCs/>
                <w:color w:val="808080" w:themeColor="background1" w:themeShade="80"/>
                <w:sz w:val="20"/>
                <w:szCs w:val="20"/>
                <w:lang w:val="en-GB"/>
              </w:rPr>
              <w:t xml:space="preserve">Integrate the delivery of services to improve the efficiency, regularity and/or reliability of planned immunisation activities with a focus on zero-dose and </w:t>
            </w:r>
            <w:proofErr w:type="spellStart"/>
            <w:r w:rsidR="008D4FE6" w:rsidRPr="009C515A">
              <w:rPr>
                <w:bCs/>
                <w:color w:val="808080" w:themeColor="background1" w:themeShade="80"/>
                <w:sz w:val="20"/>
                <w:szCs w:val="20"/>
                <w:lang w:val="en-GB"/>
              </w:rPr>
              <w:t>underimmunised</w:t>
            </w:r>
            <w:proofErr w:type="spellEnd"/>
            <w:r w:rsidR="008D4FE6" w:rsidRPr="009C515A">
              <w:rPr>
                <w:bCs/>
                <w:color w:val="808080" w:themeColor="background1" w:themeShade="80"/>
                <w:sz w:val="20"/>
                <w:szCs w:val="20"/>
                <w:lang w:val="en-GB"/>
              </w:rPr>
              <w:t xml:space="preserve"> children and missed communities</w:t>
            </w:r>
          </w:p>
          <w:p w14:paraId="37557F2C" w14:textId="4D574A1D" w:rsidR="007F5C47" w:rsidRPr="009C515A" w:rsidRDefault="007F5C47" w:rsidP="008D4FE6">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2. Address gender</w:t>
            </w:r>
            <w:r w:rsidR="00C24718" w:rsidRPr="009C515A">
              <w:rPr>
                <w:bCs/>
                <w:color w:val="808080" w:themeColor="background1" w:themeShade="80"/>
                <w:sz w:val="20"/>
                <w:szCs w:val="20"/>
                <w:lang w:val="en-GB"/>
              </w:rPr>
              <w:t xml:space="preserve">, disability and social inclusiveness </w:t>
            </w:r>
            <w:r w:rsidRPr="009C515A">
              <w:rPr>
                <w:bCs/>
                <w:color w:val="808080" w:themeColor="background1" w:themeShade="80"/>
                <w:sz w:val="20"/>
                <w:szCs w:val="20"/>
                <w:lang w:val="en-GB"/>
              </w:rPr>
              <w:t>considerations in the planning and implementation of immunisation services</w:t>
            </w:r>
          </w:p>
          <w:p w14:paraId="3552D3F1" w14:textId="6C3F1F70" w:rsidR="00C67536" w:rsidRPr="009C515A" w:rsidRDefault="007F5C47" w:rsidP="008D4FE6">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3</w:t>
            </w:r>
            <w:r w:rsidR="00C67536" w:rsidRPr="009C515A">
              <w:rPr>
                <w:bCs/>
                <w:color w:val="808080" w:themeColor="background1" w:themeShade="80"/>
                <w:sz w:val="20"/>
                <w:szCs w:val="20"/>
                <w:lang w:val="en-GB"/>
              </w:rPr>
              <w:t>. Design and implement immunisation approaches for HPV, including reviewing the revised guidelines from WHO</w:t>
            </w:r>
            <w:r w:rsidR="00DD534E" w:rsidRPr="009C515A">
              <w:rPr>
                <w:bCs/>
                <w:color w:val="808080" w:themeColor="background1" w:themeShade="80"/>
                <w:sz w:val="20"/>
                <w:szCs w:val="20"/>
                <w:lang w:val="en-GB"/>
              </w:rPr>
              <w:t>,</w:t>
            </w:r>
            <w:r w:rsidR="00C67536" w:rsidRPr="009C515A">
              <w:rPr>
                <w:bCs/>
                <w:color w:val="808080" w:themeColor="background1" w:themeShade="80"/>
                <w:sz w:val="20"/>
                <w:szCs w:val="20"/>
                <w:lang w:val="en-GB"/>
              </w:rPr>
              <w:t xml:space="preserve"> conducting microplanning</w:t>
            </w:r>
            <w:r w:rsidR="00DD534E" w:rsidRPr="009C515A">
              <w:rPr>
                <w:bCs/>
                <w:color w:val="808080" w:themeColor="background1" w:themeShade="80"/>
                <w:sz w:val="20"/>
                <w:szCs w:val="20"/>
                <w:lang w:val="en-GB"/>
              </w:rPr>
              <w:t xml:space="preserve"> and monitoring HPV coverage</w:t>
            </w:r>
          </w:p>
          <w:p w14:paraId="1E821651" w14:textId="77777777" w:rsidR="00C24718" w:rsidRPr="009C515A" w:rsidRDefault="00C24718" w:rsidP="008D4FE6">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 xml:space="preserve">3. Support design and implementation of approaches reaching ZD children </w:t>
            </w:r>
          </w:p>
          <w:p w14:paraId="57F3B40B" w14:textId="65D773AE" w:rsidR="00DD534E" w:rsidRPr="009C515A" w:rsidRDefault="00976BB4">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4. TA to deliberations of any new WHO guidelines related to HPV dosing schedule (2 doses or 1 dose for girls aged 9 to 14 years)</w:t>
            </w:r>
          </w:p>
          <w:p w14:paraId="157DC62F" w14:textId="6398650B" w:rsidR="0041535E" w:rsidRPr="009C515A" w:rsidRDefault="0041535E" w:rsidP="0024749C">
            <w:pPr>
              <w:spacing w:line="300" w:lineRule="exact"/>
              <w:rPr>
                <w:bCs/>
                <w:color w:val="808080" w:themeColor="background1" w:themeShade="80"/>
                <w:sz w:val="20"/>
                <w:szCs w:val="20"/>
                <w:lang w:val="en-AU"/>
              </w:rPr>
            </w:pPr>
            <w:r w:rsidRPr="009C515A">
              <w:rPr>
                <w:bCs/>
                <w:color w:val="808080" w:themeColor="background1" w:themeShade="80"/>
                <w:sz w:val="20"/>
                <w:szCs w:val="20"/>
                <w:lang w:val="en-AU"/>
              </w:rPr>
              <w:t xml:space="preserve">5. </w:t>
            </w:r>
            <w:r w:rsidRPr="009C515A">
              <w:rPr>
                <w:bCs/>
                <w:color w:val="808080" w:themeColor="background1" w:themeShade="80"/>
                <w:sz w:val="20"/>
                <w:szCs w:val="20"/>
                <w:lang w:val="en-GB"/>
              </w:rPr>
              <w:t xml:space="preserve">Improved immunization coverage through development of tailored strategies and a carefully planned, </w:t>
            </w:r>
            <w:proofErr w:type="spellStart"/>
            <w:r w:rsidRPr="009C515A">
              <w:rPr>
                <w:bCs/>
                <w:color w:val="808080" w:themeColor="background1" w:themeShade="80"/>
                <w:sz w:val="20"/>
                <w:szCs w:val="20"/>
                <w:lang w:val="en-GB"/>
              </w:rPr>
              <w:t>well resourced</w:t>
            </w:r>
            <w:proofErr w:type="spellEnd"/>
            <w:r w:rsidRPr="009C515A">
              <w:rPr>
                <w:bCs/>
                <w:color w:val="808080" w:themeColor="background1" w:themeShade="80"/>
                <w:sz w:val="20"/>
                <w:szCs w:val="20"/>
                <w:lang w:val="en-GB"/>
              </w:rPr>
              <w:t xml:space="preserve"> and regular integrated immunization services with full engagement of communities targeted at zero-dose and under-vaccinated children</w:t>
            </w:r>
          </w:p>
          <w:p w14:paraId="3610EB40" w14:textId="270EF45D" w:rsidR="00D64E11" w:rsidRPr="009C515A" w:rsidRDefault="005874A6" w:rsidP="00D64E11">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6</w:t>
            </w:r>
            <w:r w:rsidR="00D64E11" w:rsidRPr="009C515A">
              <w:rPr>
                <w:bCs/>
                <w:color w:val="808080" w:themeColor="background1" w:themeShade="80"/>
                <w:sz w:val="20"/>
                <w:szCs w:val="20"/>
                <w:lang w:val="en-GB"/>
              </w:rPr>
              <w:t xml:space="preserve">. Develop tools and approaches to improve and sustain quality and safety of immunisation services </w:t>
            </w:r>
          </w:p>
          <w:p w14:paraId="421DCB85" w14:textId="03C148FD" w:rsidR="00D64E11" w:rsidRPr="009C515A" w:rsidRDefault="00D64E11" w:rsidP="00D64E11">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5.Implement EVM plans</w:t>
            </w:r>
          </w:p>
          <w:p w14:paraId="0C157BEB" w14:textId="7DD3EDEC" w:rsidR="00D64E11" w:rsidRPr="009C515A" w:rsidRDefault="00B310EF" w:rsidP="00D64E11">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7</w:t>
            </w:r>
            <w:r w:rsidR="00D64E11" w:rsidRPr="009C515A">
              <w:rPr>
                <w:bCs/>
                <w:color w:val="808080" w:themeColor="background1" w:themeShade="80"/>
                <w:sz w:val="20"/>
                <w:szCs w:val="20"/>
                <w:lang w:val="en-GB"/>
              </w:rPr>
              <w:t>. Reinvigorate and reboot vaccinations affected by the pandemic</w:t>
            </w:r>
          </w:p>
          <w:p w14:paraId="2F3FAE9A" w14:textId="3F953400" w:rsidR="00D64E11" w:rsidRPr="009C515A" w:rsidRDefault="00B310EF" w:rsidP="00D64E11">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8</w:t>
            </w:r>
            <w:r w:rsidR="00D64E11" w:rsidRPr="009C515A">
              <w:rPr>
                <w:bCs/>
                <w:color w:val="808080" w:themeColor="background1" w:themeShade="80"/>
                <w:sz w:val="20"/>
                <w:szCs w:val="20"/>
                <w:lang w:val="en-GB"/>
              </w:rPr>
              <w:t xml:space="preserve">. Conduct international EPI review and subnational EPI reviews </w:t>
            </w:r>
          </w:p>
          <w:p w14:paraId="1CB77846" w14:textId="77777777" w:rsidR="00976BB4" w:rsidRPr="009C515A" w:rsidRDefault="00976BB4" w:rsidP="0024749C">
            <w:pPr>
              <w:spacing w:line="300" w:lineRule="exact"/>
              <w:rPr>
                <w:bCs/>
                <w:color w:val="808080" w:themeColor="background1" w:themeShade="80"/>
                <w:sz w:val="20"/>
                <w:szCs w:val="20"/>
                <w:lang w:val="en-GB"/>
              </w:rPr>
            </w:pPr>
          </w:p>
          <w:p w14:paraId="10F60FF7" w14:textId="151D4238" w:rsidR="00976BB4" w:rsidRPr="009C515A" w:rsidRDefault="00976BB4" w:rsidP="008D4FE6">
            <w:pPr>
              <w:spacing w:line="300" w:lineRule="exact"/>
              <w:rPr>
                <w:bCs/>
                <w:color w:val="808080" w:themeColor="background1" w:themeShade="80"/>
                <w:lang w:val="en-GB"/>
              </w:rPr>
            </w:pPr>
          </w:p>
        </w:tc>
        <w:tc>
          <w:tcPr>
            <w:tcW w:w="2015" w:type="dxa"/>
            <w:shd w:val="clear" w:color="auto" w:fill="FFFFFF" w:themeFill="background1"/>
          </w:tcPr>
          <w:p w14:paraId="3C4AC9F3" w14:textId="7BA4E7F6" w:rsidR="00AB5F8D" w:rsidRPr="009C515A" w:rsidRDefault="00AB5F8D" w:rsidP="00AB5F8D">
            <w:pPr>
              <w:spacing w:line="240" w:lineRule="auto"/>
              <w:jc w:val="right"/>
              <w:rPr>
                <w:rFonts w:eastAsia="Times New Roman"/>
                <w:b/>
                <w:bCs/>
                <w:color w:val="000000"/>
                <w:lang w:val="en-AU" w:eastAsia="en-AU"/>
              </w:rPr>
            </w:pPr>
            <w:r w:rsidRPr="009C515A">
              <w:rPr>
                <w:b/>
                <w:bCs/>
                <w:color w:val="000000"/>
              </w:rPr>
              <w:t>271,000</w:t>
            </w:r>
          </w:p>
          <w:p w14:paraId="4ACF2363" w14:textId="2F0E4028" w:rsidR="00B841F0" w:rsidRPr="009C515A" w:rsidRDefault="00B841F0" w:rsidP="008D4FE6">
            <w:pPr>
              <w:spacing w:line="300" w:lineRule="exact"/>
              <w:jc w:val="right"/>
              <w:rPr>
                <w:bCs/>
                <w:color w:val="808080" w:themeColor="background1" w:themeShade="80"/>
                <w:lang w:val="en-GB"/>
              </w:rPr>
            </w:pPr>
          </w:p>
        </w:tc>
        <w:tc>
          <w:tcPr>
            <w:tcW w:w="1134" w:type="dxa"/>
            <w:shd w:val="clear" w:color="auto" w:fill="FFFFFF" w:themeFill="background1"/>
          </w:tcPr>
          <w:p w14:paraId="078D70B3" w14:textId="7BC17926" w:rsidR="008D4FE6" w:rsidRPr="009C515A" w:rsidRDefault="00AB5F8D" w:rsidP="008D4FE6">
            <w:pPr>
              <w:spacing w:line="300" w:lineRule="exact"/>
              <w:jc w:val="right"/>
              <w:rPr>
                <w:bCs/>
                <w:color w:val="808080" w:themeColor="background1" w:themeShade="80"/>
                <w:lang w:val="en-GB"/>
              </w:rPr>
            </w:pPr>
            <w:r w:rsidRPr="009C515A">
              <w:rPr>
                <w:bCs/>
                <w:color w:val="808080" w:themeColor="background1" w:themeShade="80"/>
                <w:lang w:val="en-GB"/>
              </w:rPr>
              <w:t>2</w:t>
            </w:r>
            <w:r w:rsidR="00A776DE">
              <w:rPr>
                <w:bCs/>
                <w:color w:val="808080" w:themeColor="background1" w:themeShade="80"/>
                <w:lang w:val="en-GB"/>
              </w:rPr>
              <w:t>5</w:t>
            </w:r>
            <w:r w:rsidRPr="009C515A">
              <w:rPr>
                <w:bCs/>
                <w:color w:val="808080" w:themeColor="background1" w:themeShade="80"/>
                <w:lang w:val="en-GB"/>
              </w:rPr>
              <w:t>%</w:t>
            </w:r>
          </w:p>
        </w:tc>
      </w:tr>
      <w:tr w:rsidR="008D4FE6" w:rsidRPr="009C515A" w14:paraId="53E286C0" w14:textId="77777777" w:rsidTr="00607CB7">
        <w:tc>
          <w:tcPr>
            <w:tcW w:w="1953" w:type="dxa"/>
            <w:shd w:val="clear" w:color="auto" w:fill="FFFFFF" w:themeFill="background1"/>
          </w:tcPr>
          <w:p w14:paraId="3EC0F42F" w14:textId="2BB16388" w:rsidR="008D4FE6" w:rsidRPr="009C515A" w:rsidRDefault="008D4FE6" w:rsidP="008D4FE6">
            <w:pPr>
              <w:spacing w:line="300" w:lineRule="exact"/>
              <w:rPr>
                <w:bCs/>
                <w:color w:val="808080" w:themeColor="background1" w:themeShade="80"/>
                <w:lang w:val="en-GB"/>
              </w:rPr>
            </w:pPr>
            <w:r w:rsidRPr="009C515A">
              <w:rPr>
                <w:bCs/>
                <w:color w:val="808080" w:themeColor="background1" w:themeShade="80"/>
                <w:sz w:val="20"/>
                <w:szCs w:val="20"/>
                <w:lang w:val="en-GB"/>
              </w:rPr>
              <w:lastRenderedPageBreak/>
              <w:t>Human Resources for Health</w:t>
            </w:r>
          </w:p>
        </w:tc>
        <w:tc>
          <w:tcPr>
            <w:tcW w:w="3970" w:type="dxa"/>
            <w:shd w:val="clear" w:color="auto" w:fill="FFFFFF" w:themeFill="background1"/>
          </w:tcPr>
          <w:p w14:paraId="0B648864" w14:textId="06D2DAC5" w:rsidR="008D4FE6" w:rsidRPr="009C515A" w:rsidRDefault="0041535E" w:rsidP="008D4FE6">
            <w:pPr>
              <w:spacing w:line="300" w:lineRule="exact"/>
              <w:rPr>
                <w:bCs/>
                <w:color w:val="808080" w:themeColor="background1" w:themeShade="80"/>
                <w:lang w:val="en-GB"/>
              </w:rPr>
            </w:pPr>
            <w:r w:rsidRPr="009C515A">
              <w:rPr>
                <w:bCs/>
                <w:color w:val="808080" w:themeColor="background1" w:themeShade="80"/>
                <w:sz w:val="20"/>
                <w:szCs w:val="20"/>
                <w:lang w:val="en-GB"/>
              </w:rPr>
              <w:t xml:space="preserve">1. </w:t>
            </w:r>
            <w:r w:rsidR="008D4FE6" w:rsidRPr="009C515A">
              <w:rPr>
                <w:bCs/>
                <w:color w:val="808080" w:themeColor="background1" w:themeShade="80"/>
                <w:sz w:val="20"/>
                <w:szCs w:val="20"/>
                <w:lang w:val="en-GB"/>
              </w:rPr>
              <w:t xml:space="preserve">Improve the distribution and retention of health workers </w:t>
            </w:r>
            <w:r w:rsidR="00A01918" w:rsidRPr="009C515A">
              <w:rPr>
                <w:bCs/>
                <w:color w:val="808080" w:themeColor="background1" w:themeShade="80"/>
                <w:sz w:val="20"/>
                <w:szCs w:val="20"/>
                <w:lang w:val="en-GB"/>
              </w:rPr>
              <w:t xml:space="preserve">to improve functioning of the system and </w:t>
            </w:r>
            <w:r w:rsidR="008D4FE6" w:rsidRPr="009C515A">
              <w:rPr>
                <w:bCs/>
                <w:color w:val="808080" w:themeColor="background1" w:themeShade="80"/>
                <w:sz w:val="20"/>
                <w:szCs w:val="20"/>
                <w:lang w:val="en-GB"/>
              </w:rPr>
              <w:t>increase equitable access to immunisation services</w:t>
            </w:r>
            <w:r w:rsidR="001D354A" w:rsidRPr="009C515A">
              <w:rPr>
                <w:bCs/>
                <w:color w:val="808080" w:themeColor="background1" w:themeShade="80"/>
                <w:sz w:val="20"/>
                <w:szCs w:val="20"/>
                <w:lang w:val="en-GB"/>
              </w:rPr>
              <w:t xml:space="preserve"> (This includes recruitment of a Financial Officer at national level., a Project Officer to assist national coordinator EPI and a Logistics Officer to assist national cold chain officer)</w:t>
            </w:r>
          </w:p>
        </w:tc>
        <w:tc>
          <w:tcPr>
            <w:tcW w:w="2015" w:type="dxa"/>
            <w:shd w:val="clear" w:color="auto" w:fill="FFFFFF" w:themeFill="background1"/>
          </w:tcPr>
          <w:p w14:paraId="6AB1A655" w14:textId="387BED1F" w:rsidR="00AB5F8D" w:rsidRPr="009C515A" w:rsidRDefault="00AB5F8D" w:rsidP="00AB5F8D">
            <w:pPr>
              <w:spacing w:line="240" w:lineRule="auto"/>
              <w:jc w:val="right"/>
              <w:rPr>
                <w:rFonts w:eastAsia="Times New Roman"/>
                <w:b/>
                <w:bCs/>
                <w:color w:val="000000"/>
                <w:lang w:val="en-AU" w:eastAsia="en-AU"/>
              </w:rPr>
            </w:pPr>
            <w:r w:rsidRPr="009C515A">
              <w:rPr>
                <w:b/>
                <w:bCs/>
                <w:color w:val="000000"/>
              </w:rPr>
              <w:t>150,000</w:t>
            </w:r>
          </w:p>
          <w:p w14:paraId="2AD12B96" w14:textId="07DD922D" w:rsidR="008D4FE6" w:rsidRPr="009C515A" w:rsidRDefault="008D4FE6" w:rsidP="008D4FE6">
            <w:pPr>
              <w:spacing w:line="300" w:lineRule="exact"/>
              <w:jc w:val="right"/>
              <w:rPr>
                <w:bCs/>
                <w:color w:val="808080" w:themeColor="background1" w:themeShade="80"/>
                <w:lang w:val="en-GB"/>
              </w:rPr>
            </w:pPr>
          </w:p>
        </w:tc>
        <w:tc>
          <w:tcPr>
            <w:tcW w:w="1134" w:type="dxa"/>
            <w:shd w:val="clear" w:color="auto" w:fill="FFFFFF" w:themeFill="background1"/>
          </w:tcPr>
          <w:p w14:paraId="3581E95E" w14:textId="5FFFAAC7" w:rsidR="008D4FE6" w:rsidRPr="009C515A" w:rsidRDefault="00AB5F8D" w:rsidP="008D4FE6">
            <w:pPr>
              <w:spacing w:line="300" w:lineRule="exact"/>
              <w:jc w:val="right"/>
              <w:rPr>
                <w:bCs/>
                <w:color w:val="808080" w:themeColor="background1" w:themeShade="80"/>
                <w:lang w:val="en-GB"/>
              </w:rPr>
            </w:pPr>
            <w:r w:rsidRPr="009C515A">
              <w:rPr>
                <w:bCs/>
                <w:color w:val="808080" w:themeColor="background1" w:themeShade="80"/>
                <w:lang w:val="en-GB"/>
              </w:rPr>
              <w:t>1</w:t>
            </w:r>
            <w:r w:rsidR="00A776DE">
              <w:rPr>
                <w:bCs/>
                <w:color w:val="808080" w:themeColor="background1" w:themeShade="80"/>
                <w:lang w:val="en-GB"/>
              </w:rPr>
              <w:t>4</w:t>
            </w:r>
            <w:r w:rsidRPr="009C515A">
              <w:rPr>
                <w:bCs/>
                <w:color w:val="808080" w:themeColor="background1" w:themeShade="80"/>
                <w:lang w:val="en-GB"/>
              </w:rPr>
              <w:t>%</w:t>
            </w:r>
          </w:p>
        </w:tc>
      </w:tr>
      <w:tr w:rsidR="008D4FE6" w:rsidRPr="009C515A" w14:paraId="3F9F0CA8" w14:textId="77777777" w:rsidTr="00607CB7">
        <w:tc>
          <w:tcPr>
            <w:tcW w:w="1953" w:type="dxa"/>
            <w:shd w:val="clear" w:color="auto" w:fill="FFFFFF" w:themeFill="background1"/>
          </w:tcPr>
          <w:p w14:paraId="4DBC5E5E" w14:textId="336B527E" w:rsidR="008D4FE6" w:rsidRPr="009C515A" w:rsidRDefault="008D4FE6" w:rsidP="008D4FE6">
            <w:pPr>
              <w:spacing w:line="300" w:lineRule="exact"/>
              <w:rPr>
                <w:bCs/>
                <w:color w:val="808080" w:themeColor="background1" w:themeShade="80"/>
                <w:lang w:val="en-GB"/>
              </w:rPr>
            </w:pPr>
            <w:r w:rsidRPr="009C515A">
              <w:rPr>
                <w:bCs/>
                <w:color w:val="808080" w:themeColor="background1" w:themeShade="80"/>
                <w:sz w:val="20"/>
                <w:szCs w:val="20"/>
                <w:lang w:val="en-GB"/>
              </w:rPr>
              <w:t>Health information systems and monitoring and learning</w:t>
            </w:r>
          </w:p>
        </w:tc>
        <w:tc>
          <w:tcPr>
            <w:tcW w:w="3970" w:type="dxa"/>
            <w:shd w:val="clear" w:color="auto" w:fill="FFFFFF" w:themeFill="background1"/>
          </w:tcPr>
          <w:p w14:paraId="37487A26" w14:textId="75255EB7" w:rsidR="008D4FE6" w:rsidRPr="009C515A" w:rsidRDefault="0041535E" w:rsidP="008D4FE6">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 xml:space="preserve">2. </w:t>
            </w:r>
            <w:r w:rsidR="008D4FE6" w:rsidRPr="009C515A">
              <w:rPr>
                <w:bCs/>
                <w:color w:val="808080" w:themeColor="background1" w:themeShade="80"/>
                <w:sz w:val="20"/>
                <w:szCs w:val="20"/>
                <w:lang w:val="en-GB"/>
              </w:rPr>
              <w:t>Ensure timely, fit-for-purpose information is available at all levels of the system and is used regularly and systematically</w:t>
            </w:r>
          </w:p>
          <w:p w14:paraId="6F5D1BB8" w14:textId="77777777" w:rsidR="008D4FE6" w:rsidRPr="009C515A" w:rsidRDefault="008D4FE6" w:rsidP="008D4FE6">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to improve programmatic reach and performance</w:t>
            </w:r>
          </w:p>
          <w:p w14:paraId="3B7DFB31" w14:textId="017E5E15" w:rsidR="00832D28" w:rsidRPr="009C515A" w:rsidRDefault="0041535E" w:rsidP="008D4FE6">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 xml:space="preserve">3. </w:t>
            </w:r>
            <w:r w:rsidR="00832D28" w:rsidRPr="009C515A">
              <w:rPr>
                <w:bCs/>
                <w:color w:val="808080" w:themeColor="background1" w:themeShade="80"/>
                <w:sz w:val="20"/>
                <w:szCs w:val="20"/>
                <w:lang w:val="en-GB"/>
              </w:rPr>
              <w:t>Support improvement of efficiency EPI data flow in DHIS and digitalisation</w:t>
            </w:r>
            <w:r w:rsidR="009032B7" w:rsidRPr="009C515A">
              <w:rPr>
                <w:bCs/>
                <w:color w:val="808080" w:themeColor="background1" w:themeShade="80"/>
                <w:sz w:val="20"/>
                <w:szCs w:val="20"/>
                <w:lang w:val="en-GB"/>
              </w:rPr>
              <w:t xml:space="preserve">/digital </w:t>
            </w:r>
            <w:proofErr w:type="gramStart"/>
            <w:r w:rsidR="009032B7" w:rsidRPr="009C515A">
              <w:rPr>
                <w:bCs/>
                <w:color w:val="808080" w:themeColor="background1" w:themeShade="80"/>
                <w:sz w:val="20"/>
                <w:szCs w:val="20"/>
                <w:lang w:val="en-GB"/>
              </w:rPr>
              <w:t xml:space="preserve">solution </w:t>
            </w:r>
            <w:r w:rsidR="00832D28" w:rsidRPr="009C515A">
              <w:rPr>
                <w:bCs/>
                <w:color w:val="808080" w:themeColor="background1" w:themeShade="80"/>
                <w:sz w:val="20"/>
                <w:szCs w:val="20"/>
                <w:lang w:val="en-GB"/>
              </w:rPr>
              <w:t xml:space="preserve"> efforts</w:t>
            </w:r>
            <w:proofErr w:type="gramEnd"/>
            <w:r w:rsidR="00832D28" w:rsidRPr="009C515A">
              <w:rPr>
                <w:bCs/>
                <w:color w:val="808080" w:themeColor="background1" w:themeShade="80"/>
                <w:sz w:val="20"/>
                <w:szCs w:val="20"/>
                <w:lang w:val="en-GB"/>
              </w:rPr>
              <w:t xml:space="preserve"> </w:t>
            </w:r>
          </w:p>
          <w:p w14:paraId="3A66E645" w14:textId="430CEBFB" w:rsidR="00B7193F" w:rsidRPr="009C515A" w:rsidRDefault="0041535E" w:rsidP="008D4FE6">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4.</w:t>
            </w:r>
            <w:r w:rsidR="00B7193F" w:rsidRPr="009C515A">
              <w:rPr>
                <w:bCs/>
                <w:color w:val="808080" w:themeColor="background1" w:themeShade="80"/>
                <w:sz w:val="20"/>
                <w:szCs w:val="20"/>
                <w:lang w:val="en-GB"/>
              </w:rPr>
              <w:t>TA for programmatic sustainability and system improvement at national and provincial level HPV data reporting and DHIS2 system modifications</w:t>
            </w:r>
          </w:p>
          <w:p w14:paraId="61C5C34A" w14:textId="552D3358" w:rsidR="0041535E" w:rsidRPr="009C515A" w:rsidRDefault="0041535E" w:rsidP="008D4FE6">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5. Support MHMS in the development of a highly motivated workforce, with adequate knowledge and skills in conducting vaccination, effective management of vaccines and cold chain through training, mentoring, supportive supervision and fostering a sound working environment</w:t>
            </w:r>
          </w:p>
          <w:p w14:paraId="4217A44A" w14:textId="4F6DDF8D" w:rsidR="00122007" w:rsidRPr="009C515A" w:rsidRDefault="00122007" w:rsidP="008D4FE6">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6. Strengthening of HIS by introducing a digital system to collect timely, high-quality information, to enable programme to monitor performance in real-time, zero-dose/drop-outs children, vaccines stock and cold chain, and institute timely corrective action and provide strategic direction for program planning</w:t>
            </w:r>
          </w:p>
          <w:p w14:paraId="4E7D0E45" w14:textId="66AA9D71" w:rsidR="00976BB4" w:rsidRPr="009C515A" w:rsidRDefault="00976BB4" w:rsidP="008D4FE6">
            <w:pPr>
              <w:spacing w:line="300" w:lineRule="exact"/>
              <w:rPr>
                <w:bCs/>
                <w:color w:val="808080" w:themeColor="background1" w:themeShade="80"/>
                <w:sz w:val="20"/>
                <w:szCs w:val="20"/>
                <w:lang w:val="en-GB"/>
              </w:rPr>
            </w:pPr>
          </w:p>
        </w:tc>
        <w:tc>
          <w:tcPr>
            <w:tcW w:w="2015" w:type="dxa"/>
            <w:shd w:val="clear" w:color="auto" w:fill="FFFFFF" w:themeFill="background1"/>
          </w:tcPr>
          <w:p w14:paraId="7A4C3DA0" w14:textId="0D4AA769" w:rsidR="00AB5F8D" w:rsidRPr="009C515A" w:rsidRDefault="00AB5F8D" w:rsidP="00AB5F8D">
            <w:pPr>
              <w:spacing w:line="240" w:lineRule="auto"/>
              <w:jc w:val="right"/>
              <w:rPr>
                <w:rFonts w:eastAsia="Times New Roman"/>
                <w:b/>
                <w:bCs/>
                <w:color w:val="000000"/>
                <w:lang w:val="en-AU" w:eastAsia="en-AU"/>
              </w:rPr>
            </w:pPr>
            <w:r w:rsidRPr="009C515A">
              <w:rPr>
                <w:b/>
                <w:bCs/>
                <w:color w:val="000000"/>
              </w:rPr>
              <w:t>47,500</w:t>
            </w:r>
          </w:p>
          <w:p w14:paraId="2E9949E7" w14:textId="5A3D7754" w:rsidR="00131A23" w:rsidRPr="009C515A" w:rsidRDefault="00131A23" w:rsidP="008D4FE6">
            <w:pPr>
              <w:spacing w:line="300" w:lineRule="exact"/>
              <w:jc w:val="right"/>
              <w:rPr>
                <w:bCs/>
                <w:color w:val="808080" w:themeColor="background1" w:themeShade="80"/>
                <w:lang w:val="en-GB"/>
              </w:rPr>
            </w:pPr>
          </w:p>
        </w:tc>
        <w:tc>
          <w:tcPr>
            <w:tcW w:w="1134" w:type="dxa"/>
            <w:shd w:val="clear" w:color="auto" w:fill="FFFFFF" w:themeFill="background1"/>
          </w:tcPr>
          <w:p w14:paraId="49B4FEC8" w14:textId="49413305" w:rsidR="008D4FE6" w:rsidRPr="009C515A" w:rsidRDefault="00AB5F8D" w:rsidP="008D4FE6">
            <w:pPr>
              <w:spacing w:line="300" w:lineRule="exact"/>
              <w:jc w:val="right"/>
              <w:rPr>
                <w:bCs/>
                <w:color w:val="808080" w:themeColor="background1" w:themeShade="80"/>
                <w:lang w:val="en-GB"/>
              </w:rPr>
            </w:pPr>
            <w:r w:rsidRPr="009C515A">
              <w:rPr>
                <w:bCs/>
                <w:color w:val="808080" w:themeColor="background1" w:themeShade="80"/>
                <w:lang w:val="en-GB"/>
              </w:rPr>
              <w:t>4%</w:t>
            </w:r>
          </w:p>
        </w:tc>
      </w:tr>
      <w:tr w:rsidR="002357ED" w:rsidRPr="009C515A" w14:paraId="4FDD5B2D" w14:textId="77777777" w:rsidTr="00607CB7">
        <w:tc>
          <w:tcPr>
            <w:tcW w:w="1953" w:type="dxa"/>
            <w:shd w:val="clear" w:color="auto" w:fill="FFFFFF" w:themeFill="background1"/>
          </w:tcPr>
          <w:p w14:paraId="53B5663E" w14:textId="6FA0114C" w:rsidR="002357ED" w:rsidRPr="009C515A" w:rsidRDefault="002357ED" w:rsidP="002357ED">
            <w:pPr>
              <w:spacing w:line="300" w:lineRule="exact"/>
              <w:rPr>
                <w:bCs/>
                <w:color w:val="808080" w:themeColor="background1" w:themeShade="80"/>
                <w:lang w:val="en-GB"/>
              </w:rPr>
            </w:pPr>
            <w:r w:rsidRPr="009C515A">
              <w:rPr>
                <w:bCs/>
                <w:color w:val="808080" w:themeColor="background1" w:themeShade="80"/>
                <w:sz w:val="20"/>
                <w:szCs w:val="20"/>
                <w:lang w:val="en-GB"/>
              </w:rPr>
              <w:t>VPD surveillance</w:t>
            </w:r>
          </w:p>
        </w:tc>
        <w:tc>
          <w:tcPr>
            <w:tcW w:w="3970" w:type="dxa"/>
            <w:shd w:val="clear" w:color="auto" w:fill="FFFFFF" w:themeFill="background1"/>
          </w:tcPr>
          <w:p w14:paraId="56D63941" w14:textId="7B017558" w:rsidR="0019193D" w:rsidRPr="009C515A" w:rsidRDefault="002357ED" w:rsidP="002357ED">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Use surveillance data to identify ways to improve immunisation programme effectiveness in preventing disease</w:t>
            </w:r>
            <w:r w:rsidR="0019193D" w:rsidRPr="009C515A">
              <w:rPr>
                <w:bCs/>
                <w:color w:val="808080" w:themeColor="background1" w:themeShade="80"/>
                <w:sz w:val="20"/>
                <w:szCs w:val="20"/>
                <w:lang w:val="en-GB"/>
              </w:rPr>
              <w:t xml:space="preserve"> </w:t>
            </w:r>
          </w:p>
          <w:p w14:paraId="6B53792B" w14:textId="77777777" w:rsidR="0019193D" w:rsidRPr="009C515A" w:rsidRDefault="0019193D" w:rsidP="002357ED">
            <w:pPr>
              <w:spacing w:line="300" w:lineRule="exact"/>
              <w:rPr>
                <w:bCs/>
                <w:color w:val="808080" w:themeColor="background1" w:themeShade="80"/>
                <w:sz w:val="20"/>
                <w:szCs w:val="20"/>
                <w:lang w:val="en-GB"/>
              </w:rPr>
            </w:pPr>
          </w:p>
          <w:p w14:paraId="712030DC" w14:textId="4B42D6C1" w:rsidR="002357ED" w:rsidRPr="009C515A" w:rsidRDefault="00F55550" w:rsidP="002357ED">
            <w:pPr>
              <w:spacing w:line="300" w:lineRule="exact"/>
              <w:rPr>
                <w:bCs/>
                <w:color w:val="808080" w:themeColor="background1" w:themeShade="80"/>
                <w:lang w:val="en-GB"/>
              </w:rPr>
            </w:pPr>
            <w:r w:rsidRPr="009C515A">
              <w:rPr>
                <w:bCs/>
                <w:color w:val="808080" w:themeColor="background1" w:themeShade="80"/>
                <w:sz w:val="20"/>
                <w:szCs w:val="20"/>
                <w:lang w:val="en-GB"/>
              </w:rPr>
              <w:lastRenderedPageBreak/>
              <w:t>TA to i</w:t>
            </w:r>
            <w:r w:rsidR="0019193D" w:rsidRPr="009C515A">
              <w:rPr>
                <w:bCs/>
                <w:color w:val="808080" w:themeColor="background1" w:themeShade="80"/>
                <w:sz w:val="20"/>
                <w:szCs w:val="20"/>
                <w:lang w:val="en-GB"/>
              </w:rPr>
              <w:t>mprove monitoring vaccine safety and adverse events</w:t>
            </w:r>
            <w:r w:rsidRPr="009C515A">
              <w:rPr>
                <w:bCs/>
                <w:color w:val="808080" w:themeColor="background1" w:themeShade="80"/>
                <w:sz w:val="20"/>
                <w:szCs w:val="20"/>
                <w:lang w:val="en-GB"/>
              </w:rPr>
              <w:t xml:space="preserve"> following immunisation</w:t>
            </w:r>
          </w:p>
        </w:tc>
        <w:tc>
          <w:tcPr>
            <w:tcW w:w="2015" w:type="dxa"/>
            <w:shd w:val="clear" w:color="auto" w:fill="FFFFFF" w:themeFill="background1"/>
          </w:tcPr>
          <w:p w14:paraId="5C261A6D" w14:textId="23FE17C0" w:rsidR="00F875A1" w:rsidRPr="009C515A" w:rsidRDefault="00F875A1" w:rsidP="00F875A1">
            <w:pPr>
              <w:spacing w:line="240" w:lineRule="auto"/>
              <w:jc w:val="right"/>
              <w:rPr>
                <w:rFonts w:eastAsia="Times New Roman"/>
                <w:b/>
                <w:bCs/>
                <w:color w:val="000000"/>
                <w:lang w:val="en-AU" w:eastAsia="en-AU"/>
              </w:rPr>
            </w:pPr>
            <w:r w:rsidRPr="009C515A">
              <w:rPr>
                <w:b/>
                <w:bCs/>
                <w:color w:val="000000"/>
              </w:rPr>
              <w:lastRenderedPageBreak/>
              <w:t>22</w:t>
            </w:r>
            <w:r w:rsidR="00E822F1" w:rsidRPr="009C515A">
              <w:rPr>
                <w:b/>
                <w:bCs/>
                <w:color w:val="000000"/>
              </w:rPr>
              <w:t>,</w:t>
            </w:r>
            <w:r w:rsidRPr="009C515A">
              <w:rPr>
                <w:b/>
                <w:bCs/>
                <w:color w:val="000000"/>
              </w:rPr>
              <w:t>500</w:t>
            </w:r>
          </w:p>
          <w:p w14:paraId="7AFF6E0A" w14:textId="4CFF0066" w:rsidR="00131A23" w:rsidRPr="009C515A" w:rsidRDefault="00131A23" w:rsidP="00131A23">
            <w:pPr>
              <w:spacing w:line="300" w:lineRule="exact"/>
              <w:jc w:val="right"/>
              <w:rPr>
                <w:bCs/>
                <w:color w:val="808080" w:themeColor="background1" w:themeShade="80"/>
                <w:lang w:val="en-GB"/>
              </w:rPr>
            </w:pPr>
          </w:p>
        </w:tc>
        <w:tc>
          <w:tcPr>
            <w:tcW w:w="1134" w:type="dxa"/>
            <w:shd w:val="clear" w:color="auto" w:fill="FFFFFF" w:themeFill="background1"/>
          </w:tcPr>
          <w:p w14:paraId="342D7B3B" w14:textId="2565B892" w:rsidR="002357ED" w:rsidRPr="009C515A" w:rsidRDefault="00AB5F8D" w:rsidP="002357ED">
            <w:pPr>
              <w:spacing w:line="300" w:lineRule="exact"/>
              <w:jc w:val="right"/>
              <w:rPr>
                <w:bCs/>
                <w:color w:val="808080" w:themeColor="background1" w:themeShade="80"/>
                <w:lang w:val="en-GB"/>
              </w:rPr>
            </w:pPr>
            <w:r w:rsidRPr="009C515A">
              <w:rPr>
                <w:bCs/>
                <w:color w:val="808080" w:themeColor="background1" w:themeShade="80"/>
                <w:lang w:val="en-GB"/>
              </w:rPr>
              <w:t>2%</w:t>
            </w:r>
          </w:p>
        </w:tc>
      </w:tr>
      <w:tr w:rsidR="002357ED" w:rsidRPr="009C515A" w14:paraId="48B22210" w14:textId="77777777" w:rsidTr="00607CB7">
        <w:tc>
          <w:tcPr>
            <w:tcW w:w="1953" w:type="dxa"/>
            <w:shd w:val="clear" w:color="auto" w:fill="FFFFFF" w:themeFill="background1"/>
          </w:tcPr>
          <w:p w14:paraId="79FFB7E4" w14:textId="2F554826" w:rsidR="002357ED" w:rsidRPr="009C515A" w:rsidRDefault="002357ED" w:rsidP="002357ED">
            <w:pPr>
              <w:spacing w:line="300" w:lineRule="exact"/>
              <w:rPr>
                <w:bCs/>
                <w:color w:val="808080" w:themeColor="background1" w:themeShade="80"/>
                <w:lang w:val="en-GB"/>
              </w:rPr>
            </w:pPr>
            <w:r w:rsidRPr="009C515A">
              <w:rPr>
                <w:bCs/>
                <w:color w:val="808080" w:themeColor="background1" w:themeShade="80"/>
                <w:sz w:val="20"/>
                <w:szCs w:val="20"/>
                <w:lang w:val="en-GB"/>
              </w:rPr>
              <w:t>Governance, policy, strategic planning and program management</w:t>
            </w:r>
          </w:p>
        </w:tc>
        <w:tc>
          <w:tcPr>
            <w:tcW w:w="3970" w:type="dxa"/>
            <w:shd w:val="clear" w:color="auto" w:fill="FFFFFF" w:themeFill="background1"/>
          </w:tcPr>
          <w:p w14:paraId="020B5265" w14:textId="1B015476" w:rsidR="002357ED" w:rsidRPr="009C515A" w:rsidRDefault="006308AC" w:rsidP="002357ED">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 xml:space="preserve">1. </w:t>
            </w:r>
            <w:r w:rsidR="002357ED" w:rsidRPr="009C515A">
              <w:rPr>
                <w:bCs/>
                <w:color w:val="808080" w:themeColor="background1" w:themeShade="80"/>
                <w:sz w:val="20"/>
                <w:szCs w:val="20"/>
                <w:lang w:val="en-GB"/>
              </w:rPr>
              <w:t>Strengthen the capacity of governance/technical bodies for planning, coordination and tracking progress at all levels, particularly for reaching zero-dose children</w:t>
            </w:r>
          </w:p>
          <w:p w14:paraId="6FF8873C" w14:textId="25999525" w:rsidR="006308AC" w:rsidRPr="009C515A" w:rsidRDefault="006308AC" w:rsidP="006308AC">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2. Strengthen the capacity of governance/technical</w:t>
            </w:r>
          </w:p>
          <w:p w14:paraId="2C69081A" w14:textId="77777777" w:rsidR="006308AC" w:rsidRPr="009C515A" w:rsidRDefault="006308AC" w:rsidP="006308AC">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bodies for planning, coordination and tracking progress at all levels, particularly for reaching zero-dose children.</w:t>
            </w:r>
          </w:p>
          <w:p w14:paraId="306A6D81" w14:textId="77777777" w:rsidR="006308AC" w:rsidRPr="009C515A" w:rsidRDefault="00F27461" w:rsidP="00F27461">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 xml:space="preserve">3. </w:t>
            </w:r>
            <w:r w:rsidR="006308AC" w:rsidRPr="009C515A">
              <w:rPr>
                <w:bCs/>
                <w:color w:val="808080" w:themeColor="background1" w:themeShade="80"/>
                <w:sz w:val="20"/>
                <w:szCs w:val="20"/>
                <w:lang w:val="en-GB"/>
              </w:rPr>
              <w:t>Support annual operational planning (AOP process)</w:t>
            </w:r>
          </w:p>
          <w:p w14:paraId="623EB145" w14:textId="33C77736" w:rsidR="00B573A1" w:rsidRPr="009C515A" w:rsidRDefault="00B573A1" w:rsidP="00F27461">
            <w:pPr>
              <w:spacing w:line="300" w:lineRule="exact"/>
              <w:rPr>
                <w:bCs/>
                <w:color w:val="808080" w:themeColor="background1" w:themeShade="80"/>
                <w:lang w:val="en-GB"/>
              </w:rPr>
            </w:pPr>
            <w:r w:rsidRPr="009C515A">
              <w:rPr>
                <w:bCs/>
                <w:color w:val="808080" w:themeColor="background1" w:themeShade="80"/>
                <w:sz w:val="20"/>
                <w:szCs w:val="20"/>
                <w:lang w:val="en-GB"/>
              </w:rPr>
              <w:t>4. Support MHMS in strengthening capacities of technical bodies on policy development, and  coordination mechanisms to enhance and sustain multi-sectoral collaboration and partnerships in planning, provision of resources in the implementation and monitoring of strong immunization systems</w:t>
            </w:r>
          </w:p>
        </w:tc>
        <w:tc>
          <w:tcPr>
            <w:tcW w:w="2015" w:type="dxa"/>
            <w:shd w:val="clear" w:color="auto" w:fill="FFFFFF" w:themeFill="background1"/>
          </w:tcPr>
          <w:p w14:paraId="5C9E7770" w14:textId="785D72CD" w:rsidR="00F875A1" w:rsidRPr="009C515A" w:rsidRDefault="004501B5" w:rsidP="00F875A1">
            <w:pPr>
              <w:spacing w:line="240" w:lineRule="auto"/>
              <w:jc w:val="right"/>
              <w:rPr>
                <w:rFonts w:eastAsia="Times New Roman"/>
                <w:b/>
                <w:bCs/>
                <w:color w:val="000000"/>
                <w:lang w:val="en-AU" w:eastAsia="en-AU"/>
              </w:rPr>
            </w:pPr>
            <w:r w:rsidRPr="009C515A">
              <w:rPr>
                <w:b/>
                <w:bCs/>
                <w:color w:val="000000"/>
              </w:rPr>
              <w:t>287,400</w:t>
            </w:r>
          </w:p>
          <w:p w14:paraId="1A237F42" w14:textId="2AA2BD5E" w:rsidR="00274945" w:rsidRPr="009C515A" w:rsidRDefault="00274945" w:rsidP="002357ED">
            <w:pPr>
              <w:spacing w:line="300" w:lineRule="exact"/>
              <w:jc w:val="right"/>
              <w:rPr>
                <w:bCs/>
                <w:color w:val="808080" w:themeColor="background1" w:themeShade="80"/>
                <w:lang w:val="en-GB"/>
              </w:rPr>
            </w:pPr>
          </w:p>
        </w:tc>
        <w:tc>
          <w:tcPr>
            <w:tcW w:w="1134" w:type="dxa"/>
            <w:shd w:val="clear" w:color="auto" w:fill="FFFFFF" w:themeFill="background1"/>
          </w:tcPr>
          <w:p w14:paraId="5ED5BCA0" w14:textId="340A1C4F" w:rsidR="002357ED" w:rsidRPr="009C515A" w:rsidRDefault="004501B5" w:rsidP="002357ED">
            <w:pPr>
              <w:spacing w:line="300" w:lineRule="exact"/>
              <w:jc w:val="right"/>
              <w:rPr>
                <w:bCs/>
                <w:color w:val="808080" w:themeColor="background1" w:themeShade="80"/>
                <w:lang w:val="en-GB"/>
              </w:rPr>
            </w:pPr>
            <w:r w:rsidRPr="009C515A">
              <w:rPr>
                <w:bCs/>
                <w:color w:val="808080" w:themeColor="background1" w:themeShade="80"/>
                <w:lang w:val="en-GB"/>
              </w:rPr>
              <w:t>26%</w:t>
            </w:r>
          </w:p>
        </w:tc>
      </w:tr>
      <w:tr w:rsidR="00A31911" w:rsidRPr="009C515A" w14:paraId="7F0F58C7" w14:textId="77777777" w:rsidTr="00607CB7">
        <w:tc>
          <w:tcPr>
            <w:tcW w:w="1953" w:type="dxa"/>
            <w:shd w:val="clear" w:color="auto" w:fill="FFFFFF" w:themeFill="background1"/>
          </w:tcPr>
          <w:p w14:paraId="78BB31A9" w14:textId="77E28873" w:rsidR="00A31911" w:rsidRPr="009C515A" w:rsidRDefault="00A31911" w:rsidP="00A31911">
            <w:pPr>
              <w:spacing w:line="300" w:lineRule="exact"/>
              <w:rPr>
                <w:rFonts w:eastAsia="Times New Roman"/>
                <w:color w:val="323130"/>
                <w:lang w:val="en-US" w:eastAsia="en-AU"/>
              </w:rPr>
            </w:pPr>
            <w:r w:rsidRPr="009C515A">
              <w:rPr>
                <w:bCs/>
                <w:color w:val="808080" w:themeColor="background1" w:themeShade="80"/>
                <w:sz w:val="20"/>
                <w:szCs w:val="20"/>
                <w:lang w:val="en-GB"/>
              </w:rPr>
              <w:t>Sustainable health financing</w:t>
            </w:r>
          </w:p>
        </w:tc>
        <w:tc>
          <w:tcPr>
            <w:tcW w:w="3970" w:type="dxa"/>
            <w:shd w:val="clear" w:color="auto" w:fill="FFFFFF" w:themeFill="background1"/>
          </w:tcPr>
          <w:p w14:paraId="5960D299" w14:textId="0D7503AB" w:rsidR="00BC1E06" w:rsidRPr="009C515A" w:rsidRDefault="00172D1B" w:rsidP="00BC1E06">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1</w:t>
            </w:r>
            <w:r w:rsidR="00BC1E06" w:rsidRPr="009C515A">
              <w:rPr>
                <w:bCs/>
                <w:color w:val="808080" w:themeColor="background1" w:themeShade="80"/>
                <w:sz w:val="20"/>
                <w:szCs w:val="20"/>
                <w:lang w:val="en-GB"/>
              </w:rPr>
              <w:t>. Supporting budgeting and targeting of domestic resources and donor partner contributions to PHC based on ZD and equity considerations AND reviewing provincial level expenditure against budget</w:t>
            </w:r>
          </w:p>
          <w:p w14:paraId="727C17F0" w14:textId="77777777" w:rsidR="00BC1E06" w:rsidRPr="009C515A" w:rsidRDefault="00BC1E06" w:rsidP="00BC1E06">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2. Provide support to the transition planning process and engage in high level dialogue on health financing and the budget impact of the transition. This includes presenting analytics resources develops to the EPI team and MHMS executives</w:t>
            </w:r>
          </w:p>
          <w:p w14:paraId="1DAF42A8" w14:textId="77777777" w:rsidR="00BC1E06" w:rsidRPr="009C515A" w:rsidRDefault="00BC1E06" w:rsidP="00BC1E06">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 xml:space="preserve">3. Providing training to donor and EPI team on AOP &amp; B process, and support review of the EPI AOP and multiyear budgeting during budget process. </w:t>
            </w:r>
          </w:p>
          <w:p w14:paraId="679CF33B" w14:textId="77777777" w:rsidR="00BC1E06" w:rsidRPr="009C515A" w:rsidRDefault="00BC1E06" w:rsidP="00BC1E06">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 xml:space="preserve">4. Supporting development of Gavi transition plan as part of the national health strategic plan development. </w:t>
            </w:r>
          </w:p>
          <w:p w14:paraId="0B2C1439" w14:textId="77777777" w:rsidR="00BC1E06" w:rsidRPr="009C515A" w:rsidRDefault="00BC1E06" w:rsidP="00BC1E06">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lastRenderedPageBreak/>
              <w:t>5. Improve the efficient use and tracking of domestic fund flows going to the frontline, including for reaching zero-dose children. This includes developing tools and processes building on existing expenditure tracking activities, including BETA tracking of funding sources (domestic and external) to improve the transparency of funding flows to all stakeholders</w:t>
            </w:r>
          </w:p>
          <w:p w14:paraId="406D1595" w14:textId="64C36473" w:rsidR="00A31911" w:rsidRPr="009C515A" w:rsidRDefault="00BC1E06" w:rsidP="00A31911">
            <w:pPr>
              <w:spacing w:line="300" w:lineRule="exact"/>
              <w:rPr>
                <w:rFonts w:eastAsia="Times New Roman"/>
                <w:color w:val="323130"/>
                <w:lang w:val="en-US" w:eastAsia="en-AU"/>
              </w:rPr>
            </w:pPr>
            <w:r w:rsidRPr="009C515A">
              <w:rPr>
                <w:bCs/>
                <w:color w:val="808080" w:themeColor="background1" w:themeShade="80"/>
                <w:sz w:val="20"/>
                <w:szCs w:val="20"/>
                <w:lang w:val="en-GB"/>
              </w:rPr>
              <w:t>6.Support the planning of Gavi and non-Gavi-supported vaccine procurement costs based on quality vaccine forecasts as part of national and subnational health budgets</w:t>
            </w:r>
          </w:p>
        </w:tc>
        <w:tc>
          <w:tcPr>
            <w:tcW w:w="2015" w:type="dxa"/>
            <w:shd w:val="clear" w:color="auto" w:fill="FFFFFF" w:themeFill="background1"/>
          </w:tcPr>
          <w:p w14:paraId="528E8E01" w14:textId="2D8AF7C5" w:rsidR="00E822F1" w:rsidRPr="009C515A" w:rsidRDefault="00E822F1" w:rsidP="00E822F1">
            <w:pPr>
              <w:spacing w:line="240" w:lineRule="auto"/>
              <w:jc w:val="right"/>
              <w:rPr>
                <w:rFonts w:eastAsia="Times New Roman"/>
                <w:b/>
                <w:bCs/>
                <w:color w:val="000000"/>
                <w:lang w:val="en-AU" w:eastAsia="en-AU"/>
              </w:rPr>
            </w:pPr>
            <w:r w:rsidRPr="009C515A">
              <w:rPr>
                <w:b/>
                <w:bCs/>
                <w:color w:val="000000"/>
              </w:rPr>
              <w:lastRenderedPageBreak/>
              <w:t>8</w:t>
            </w:r>
            <w:r w:rsidR="00462D35" w:rsidRPr="009C515A">
              <w:rPr>
                <w:b/>
                <w:bCs/>
                <w:color w:val="000000"/>
              </w:rPr>
              <w:t>0</w:t>
            </w:r>
            <w:r w:rsidRPr="009C515A">
              <w:rPr>
                <w:b/>
                <w:bCs/>
                <w:color w:val="000000"/>
              </w:rPr>
              <w:t>,000</w:t>
            </w:r>
          </w:p>
          <w:p w14:paraId="33E1D244" w14:textId="4F78EE47" w:rsidR="00A31911" w:rsidRPr="009C515A" w:rsidRDefault="00A31911" w:rsidP="00A31911">
            <w:pPr>
              <w:spacing w:line="300" w:lineRule="exact"/>
              <w:jc w:val="right"/>
              <w:rPr>
                <w:bCs/>
                <w:color w:val="808080" w:themeColor="background1" w:themeShade="80"/>
                <w:lang w:val="en-GB"/>
              </w:rPr>
            </w:pPr>
          </w:p>
        </w:tc>
        <w:tc>
          <w:tcPr>
            <w:tcW w:w="1134" w:type="dxa"/>
            <w:shd w:val="clear" w:color="auto" w:fill="FFFFFF" w:themeFill="background1"/>
          </w:tcPr>
          <w:p w14:paraId="794C4C12" w14:textId="59157654" w:rsidR="00A31911" w:rsidRPr="009C515A" w:rsidRDefault="00462D35" w:rsidP="00A31911">
            <w:pPr>
              <w:spacing w:line="300" w:lineRule="exact"/>
              <w:jc w:val="right"/>
              <w:rPr>
                <w:bCs/>
                <w:color w:val="808080" w:themeColor="background1" w:themeShade="80"/>
                <w:lang w:val="en-GB"/>
              </w:rPr>
            </w:pPr>
            <w:r w:rsidRPr="009C515A">
              <w:rPr>
                <w:bCs/>
                <w:color w:val="808080" w:themeColor="background1" w:themeShade="80"/>
                <w:lang w:val="en-GB"/>
              </w:rPr>
              <w:t>7%</w:t>
            </w:r>
          </w:p>
        </w:tc>
      </w:tr>
      <w:tr w:rsidR="001E5728" w:rsidRPr="009C515A" w14:paraId="4414ABF2" w14:textId="77777777" w:rsidTr="00607CB7">
        <w:tc>
          <w:tcPr>
            <w:tcW w:w="1953" w:type="dxa"/>
            <w:shd w:val="clear" w:color="auto" w:fill="FFFFFF" w:themeFill="background1"/>
          </w:tcPr>
          <w:p w14:paraId="74D194C7" w14:textId="4C4BAF1F" w:rsidR="001E5728" w:rsidRPr="009C515A" w:rsidRDefault="001E5728" w:rsidP="001E5728">
            <w:pPr>
              <w:spacing w:line="300" w:lineRule="exact"/>
              <w:rPr>
                <w:bCs/>
                <w:color w:val="808080" w:themeColor="background1" w:themeShade="80"/>
                <w:lang w:val="en-GB"/>
              </w:rPr>
            </w:pPr>
            <w:r w:rsidRPr="009C515A">
              <w:rPr>
                <w:rFonts w:eastAsia="Times New Roman"/>
                <w:color w:val="323130"/>
                <w:lang w:val="en-US" w:eastAsia="en-AU"/>
              </w:rPr>
              <w:t>Demand generation and community engagement</w:t>
            </w:r>
          </w:p>
        </w:tc>
        <w:tc>
          <w:tcPr>
            <w:tcW w:w="3970" w:type="dxa"/>
            <w:shd w:val="clear" w:color="auto" w:fill="FFFFFF" w:themeFill="background1"/>
          </w:tcPr>
          <w:p w14:paraId="75EDB9D7" w14:textId="77777777" w:rsidR="001E5728" w:rsidRPr="009C515A" w:rsidRDefault="001E5728" w:rsidP="001E5728">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 xml:space="preserve">1. Design and support implementation social and </w:t>
            </w:r>
            <w:proofErr w:type="spellStart"/>
            <w:r w:rsidRPr="009C515A">
              <w:rPr>
                <w:bCs/>
                <w:color w:val="808080" w:themeColor="background1" w:themeShade="80"/>
                <w:sz w:val="20"/>
                <w:szCs w:val="20"/>
                <w:lang w:val="en-GB"/>
              </w:rPr>
              <w:t>behavioral</w:t>
            </w:r>
            <w:proofErr w:type="spellEnd"/>
            <w:r w:rsidRPr="009C515A">
              <w:rPr>
                <w:bCs/>
                <w:color w:val="808080" w:themeColor="background1" w:themeShade="80"/>
                <w:sz w:val="20"/>
                <w:szCs w:val="20"/>
                <w:lang w:val="en-GB"/>
              </w:rPr>
              <w:t xml:space="preserve"> change interventions</w:t>
            </w:r>
          </w:p>
          <w:p w14:paraId="3BFF587A" w14:textId="77777777" w:rsidR="001E5728" w:rsidRPr="009C515A" w:rsidRDefault="001E5728" w:rsidP="001E5728">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 xml:space="preserve">2. Provide programme monitoring and technical assurance to the implementation of the CSO demand generation project in four provinces </w:t>
            </w:r>
          </w:p>
          <w:p w14:paraId="5836470A" w14:textId="359C8675" w:rsidR="001E5728" w:rsidRPr="009C515A" w:rsidRDefault="001E5728" w:rsidP="001E5728">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3. Conduct social mobilization for EPI covering (a) continued implementation of immunization and child health communication strategy (b) evaluate and update communication plan and materials to reflect additional pandemic response challenges</w:t>
            </w:r>
          </w:p>
          <w:p w14:paraId="50DF03E7" w14:textId="4644C0A2" w:rsidR="00B573A1" w:rsidRPr="009C515A" w:rsidRDefault="00B573A1" w:rsidP="001E5728">
            <w:pPr>
              <w:spacing w:line="300" w:lineRule="exact"/>
              <w:rPr>
                <w:bCs/>
                <w:color w:val="808080" w:themeColor="background1" w:themeShade="80"/>
                <w:sz w:val="20"/>
                <w:szCs w:val="20"/>
                <w:lang w:val="en-GB"/>
              </w:rPr>
            </w:pPr>
            <w:r w:rsidRPr="009C515A">
              <w:rPr>
                <w:rFonts w:eastAsia="Times New Roman"/>
                <w:color w:val="323130"/>
                <w:lang w:val="en-US" w:eastAsia="en-AU"/>
              </w:rPr>
              <w:t xml:space="preserve">4. </w:t>
            </w:r>
            <w:r w:rsidRPr="009C515A">
              <w:rPr>
                <w:bCs/>
                <w:color w:val="808080" w:themeColor="background1" w:themeShade="80"/>
                <w:sz w:val="20"/>
                <w:szCs w:val="20"/>
                <w:lang w:val="en-GB"/>
              </w:rPr>
              <w:t>Engaging stakeholders and empowering local communities aimed at zero-dose and under-vaccinated children to generate demands for immunization, participate in planning, improvements in the quality of services, coverage and sustainability of the programme</w:t>
            </w:r>
          </w:p>
          <w:p w14:paraId="274595BF" w14:textId="030E5425" w:rsidR="00584991" w:rsidRPr="009C515A" w:rsidRDefault="00584991" w:rsidP="001E5728">
            <w:pPr>
              <w:spacing w:line="300" w:lineRule="exact"/>
              <w:rPr>
                <w:bCs/>
                <w:color w:val="808080" w:themeColor="background1" w:themeShade="80"/>
                <w:lang w:val="en-GB"/>
              </w:rPr>
            </w:pPr>
            <w:r w:rsidRPr="009C515A">
              <w:rPr>
                <w:bCs/>
                <w:color w:val="808080" w:themeColor="background1" w:themeShade="80"/>
                <w:sz w:val="20"/>
                <w:szCs w:val="20"/>
                <w:lang w:val="en-GB"/>
              </w:rPr>
              <w:t>4. Provide assistance to use behaviour modification frameworks and evidence based data to improve communication and community engagement</w:t>
            </w:r>
            <w:r w:rsidRPr="009C515A">
              <w:rPr>
                <w:bCs/>
                <w:color w:val="323130"/>
                <w:lang w:val="en-GB" w:eastAsia="en-AU"/>
              </w:rPr>
              <w:t xml:space="preserve"> </w:t>
            </w:r>
          </w:p>
        </w:tc>
        <w:tc>
          <w:tcPr>
            <w:tcW w:w="2015" w:type="dxa"/>
            <w:shd w:val="clear" w:color="auto" w:fill="FFFFFF" w:themeFill="background1"/>
          </w:tcPr>
          <w:p w14:paraId="387628DD" w14:textId="696481ED" w:rsidR="00E822F1" w:rsidRPr="009C515A" w:rsidRDefault="004501B5" w:rsidP="00E822F1">
            <w:pPr>
              <w:spacing w:line="240" w:lineRule="auto"/>
              <w:jc w:val="right"/>
              <w:rPr>
                <w:rFonts w:eastAsia="Times New Roman"/>
                <w:b/>
                <w:bCs/>
                <w:color w:val="000000"/>
                <w:lang w:val="en-AU" w:eastAsia="en-AU"/>
              </w:rPr>
            </w:pPr>
            <w:r w:rsidRPr="009C515A">
              <w:rPr>
                <w:b/>
                <w:bCs/>
                <w:color w:val="000000"/>
              </w:rPr>
              <w:t>151,210</w:t>
            </w:r>
          </w:p>
          <w:p w14:paraId="338E992E" w14:textId="306082D1" w:rsidR="00274945" w:rsidRPr="009C515A" w:rsidRDefault="00274945" w:rsidP="001E5728">
            <w:pPr>
              <w:spacing w:line="300" w:lineRule="exact"/>
              <w:jc w:val="right"/>
              <w:rPr>
                <w:bCs/>
                <w:color w:val="808080" w:themeColor="background1" w:themeShade="80"/>
                <w:lang w:val="en-GB"/>
              </w:rPr>
            </w:pPr>
          </w:p>
        </w:tc>
        <w:tc>
          <w:tcPr>
            <w:tcW w:w="1134" w:type="dxa"/>
            <w:shd w:val="clear" w:color="auto" w:fill="FFFFFF" w:themeFill="background1"/>
          </w:tcPr>
          <w:p w14:paraId="0097368F" w14:textId="2C429A91" w:rsidR="001E5728" w:rsidRPr="009C515A" w:rsidRDefault="004501B5" w:rsidP="001E5728">
            <w:pPr>
              <w:spacing w:line="300" w:lineRule="exact"/>
              <w:jc w:val="right"/>
              <w:rPr>
                <w:bCs/>
                <w:color w:val="808080" w:themeColor="background1" w:themeShade="80"/>
                <w:lang w:val="en-GB"/>
              </w:rPr>
            </w:pPr>
            <w:r w:rsidRPr="009C515A">
              <w:rPr>
                <w:bCs/>
                <w:color w:val="808080" w:themeColor="background1" w:themeShade="80"/>
                <w:lang w:val="en-GB"/>
              </w:rPr>
              <w:t>1</w:t>
            </w:r>
            <w:r w:rsidR="00A776DE">
              <w:rPr>
                <w:bCs/>
                <w:color w:val="808080" w:themeColor="background1" w:themeShade="80"/>
                <w:lang w:val="en-GB"/>
              </w:rPr>
              <w:t>4</w:t>
            </w:r>
            <w:r w:rsidRPr="009C515A">
              <w:rPr>
                <w:bCs/>
                <w:color w:val="808080" w:themeColor="background1" w:themeShade="80"/>
                <w:lang w:val="en-GB"/>
              </w:rPr>
              <w:t>%</w:t>
            </w:r>
          </w:p>
        </w:tc>
      </w:tr>
      <w:tr w:rsidR="001E5728" w:rsidRPr="009C515A" w14:paraId="2613F6BD" w14:textId="77777777" w:rsidTr="00607CB7">
        <w:tc>
          <w:tcPr>
            <w:tcW w:w="1953" w:type="dxa"/>
            <w:shd w:val="clear" w:color="auto" w:fill="FFFFFF" w:themeFill="background1"/>
          </w:tcPr>
          <w:p w14:paraId="1EBBB082" w14:textId="26A0B0E3" w:rsidR="001E5728" w:rsidRPr="009C515A" w:rsidRDefault="001E5728" w:rsidP="001E5728">
            <w:pPr>
              <w:spacing w:line="300" w:lineRule="exact"/>
              <w:rPr>
                <w:bCs/>
                <w:color w:val="808080" w:themeColor="background1" w:themeShade="80"/>
                <w:lang w:val="en-GB"/>
              </w:rPr>
            </w:pPr>
            <w:r w:rsidRPr="009C515A">
              <w:rPr>
                <w:rFonts w:eastAsia="Times New Roman"/>
                <w:color w:val="323130"/>
                <w:lang w:val="en-US" w:eastAsia="en-AU"/>
              </w:rPr>
              <w:t>Supply chain</w:t>
            </w:r>
          </w:p>
        </w:tc>
        <w:tc>
          <w:tcPr>
            <w:tcW w:w="3970" w:type="dxa"/>
            <w:shd w:val="clear" w:color="auto" w:fill="FFFFFF" w:themeFill="background1"/>
          </w:tcPr>
          <w:p w14:paraId="3AE6E413" w14:textId="77777777" w:rsidR="001E5728" w:rsidRPr="009C515A" w:rsidRDefault="001E5728" w:rsidP="001E5728">
            <w:pPr>
              <w:spacing w:line="300" w:lineRule="exact"/>
              <w:rPr>
                <w:rFonts w:eastAsia="Times New Roman"/>
                <w:color w:val="323130"/>
                <w:lang w:val="en-US" w:eastAsia="en-AU"/>
              </w:rPr>
            </w:pPr>
            <w:r w:rsidRPr="009C515A">
              <w:rPr>
                <w:bCs/>
                <w:color w:val="808080" w:themeColor="background1" w:themeShade="80"/>
                <w:sz w:val="20"/>
                <w:szCs w:val="20"/>
                <w:lang w:val="en-GB"/>
              </w:rPr>
              <w:t xml:space="preserve">1. Facilitate the implementation of EVM recommendations to improve the immunization and broader PHC supply </w:t>
            </w:r>
            <w:r w:rsidRPr="009C515A">
              <w:rPr>
                <w:bCs/>
                <w:color w:val="808080" w:themeColor="background1" w:themeShade="80"/>
                <w:sz w:val="20"/>
                <w:szCs w:val="20"/>
                <w:lang w:val="en-GB"/>
              </w:rPr>
              <w:lastRenderedPageBreak/>
              <w:t>chain; and implementation of the vaccine wastage reduction strategy</w:t>
            </w:r>
            <w:r w:rsidRPr="009C515A">
              <w:rPr>
                <w:rFonts w:eastAsia="Times New Roman"/>
                <w:color w:val="323130"/>
                <w:lang w:val="en-US" w:eastAsia="en-AU"/>
              </w:rPr>
              <w:t xml:space="preserve"> </w:t>
            </w:r>
          </w:p>
          <w:p w14:paraId="023C1BE2" w14:textId="77777777" w:rsidR="001E5728" w:rsidRPr="009C515A" w:rsidRDefault="001E5728" w:rsidP="001E5728">
            <w:pPr>
              <w:spacing w:line="300" w:lineRule="exact"/>
              <w:rPr>
                <w:bCs/>
                <w:color w:val="808080" w:themeColor="background1" w:themeShade="80"/>
                <w:sz w:val="20"/>
                <w:szCs w:val="20"/>
                <w:lang w:val="en-GB"/>
              </w:rPr>
            </w:pPr>
            <w:r w:rsidRPr="009C515A">
              <w:rPr>
                <w:bCs/>
                <w:color w:val="808080" w:themeColor="background1" w:themeShade="80"/>
                <w:sz w:val="20"/>
                <w:szCs w:val="20"/>
                <w:lang w:val="en-GB"/>
              </w:rPr>
              <w:t>2. Provide technical and operational support to government counterparts and partners on best practices of supply, logistics and cold chain management</w:t>
            </w:r>
          </w:p>
          <w:p w14:paraId="216F1F4E" w14:textId="0122C6A5" w:rsidR="00B573A1" w:rsidRPr="009C515A" w:rsidRDefault="00B573A1" w:rsidP="001E5728">
            <w:pPr>
              <w:spacing w:line="300" w:lineRule="exact"/>
              <w:rPr>
                <w:bCs/>
                <w:color w:val="808080" w:themeColor="background1" w:themeShade="80"/>
                <w:lang w:val="en-GB"/>
              </w:rPr>
            </w:pPr>
            <w:r w:rsidRPr="009C515A">
              <w:rPr>
                <w:bCs/>
                <w:color w:val="808080" w:themeColor="background1" w:themeShade="80"/>
                <w:lang w:val="en-GB"/>
              </w:rPr>
              <w:t xml:space="preserve">3. </w:t>
            </w:r>
            <w:r w:rsidRPr="009C515A">
              <w:rPr>
                <w:bCs/>
                <w:color w:val="808080" w:themeColor="background1" w:themeShade="80"/>
                <w:sz w:val="20"/>
                <w:szCs w:val="20"/>
                <w:lang w:val="en-GB"/>
              </w:rPr>
              <w:t>Strengthen supply, logistics and cold chain management to improve efficiency, accessibility and reliability of vaccines and other essential supplies to be readily available and in good condition</w:t>
            </w:r>
          </w:p>
        </w:tc>
        <w:tc>
          <w:tcPr>
            <w:tcW w:w="2015" w:type="dxa"/>
            <w:shd w:val="clear" w:color="auto" w:fill="FFFFFF" w:themeFill="background1"/>
          </w:tcPr>
          <w:p w14:paraId="116DAB32" w14:textId="4564C23F" w:rsidR="00E822F1" w:rsidRPr="009C515A" w:rsidRDefault="00E822F1" w:rsidP="00E822F1">
            <w:pPr>
              <w:spacing w:line="240" w:lineRule="auto"/>
              <w:jc w:val="right"/>
              <w:rPr>
                <w:rFonts w:eastAsia="Times New Roman"/>
                <w:b/>
                <w:bCs/>
                <w:color w:val="000000"/>
                <w:lang w:val="en-AU" w:eastAsia="en-AU"/>
              </w:rPr>
            </w:pPr>
            <w:r w:rsidRPr="009C515A">
              <w:rPr>
                <w:b/>
                <w:bCs/>
                <w:color w:val="000000"/>
              </w:rPr>
              <w:lastRenderedPageBreak/>
              <w:t>95,700</w:t>
            </w:r>
          </w:p>
          <w:p w14:paraId="3F10B007" w14:textId="24850214" w:rsidR="00211C9F" w:rsidRPr="009C515A" w:rsidRDefault="00211C9F" w:rsidP="001E5728">
            <w:pPr>
              <w:spacing w:line="300" w:lineRule="exact"/>
              <w:jc w:val="right"/>
              <w:rPr>
                <w:bCs/>
                <w:color w:val="808080" w:themeColor="background1" w:themeShade="80"/>
                <w:lang w:val="en-GB"/>
              </w:rPr>
            </w:pPr>
          </w:p>
        </w:tc>
        <w:tc>
          <w:tcPr>
            <w:tcW w:w="1134" w:type="dxa"/>
            <w:shd w:val="clear" w:color="auto" w:fill="FFFFFF" w:themeFill="background1"/>
          </w:tcPr>
          <w:p w14:paraId="7E3DDB53" w14:textId="2902FC2E" w:rsidR="001E5728" w:rsidRPr="009C515A" w:rsidRDefault="00A776DE" w:rsidP="001E5728">
            <w:pPr>
              <w:spacing w:line="300" w:lineRule="exact"/>
              <w:jc w:val="right"/>
              <w:rPr>
                <w:bCs/>
                <w:color w:val="808080" w:themeColor="background1" w:themeShade="80"/>
                <w:lang w:val="en-GB"/>
              </w:rPr>
            </w:pPr>
            <w:r>
              <w:rPr>
                <w:bCs/>
                <w:color w:val="808080" w:themeColor="background1" w:themeShade="80"/>
                <w:lang w:val="en-GB"/>
              </w:rPr>
              <w:t>9</w:t>
            </w:r>
            <w:r w:rsidR="00E822F1" w:rsidRPr="009C515A">
              <w:rPr>
                <w:bCs/>
                <w:color w:val="808080" w:themeColor="background1" w:themeShade="80"/>
                <w:lang w:val="en-GB"/>
              </w:rPr>
              <w:t>%</w:t>
            </w:r>
          </w:p>
        </w:tc>
      </w:tr>
      <w:tr w:rsidR="001E5728" w:rsidRPr="009C515A" w14:paraId="72502202" w14:textId="77777777" w:rsidTr="00607CB7">
        <w:tc>
          <w:tcPr>
            <w:tcW w:w="1953" w:type="dxa"/>
            <w:shd w:val="clear" w:color="auto" w:fill="FFFFFF" w:themeFill="background1"/>
          </w:tcPr>
          <w:p w14:paraId="66ED869A" w14:textId="77777777" w:rsidR="001E5728" w:rsidRPr="009C515A" w:rsidRDefault="001E5728" w:rsidP="001E5728">
            <w:pPr>
              <w:spacing w:line="300" w:lineRule="exact"/>
              <w:rPr>
                <w:bCs/>
                <w:color w:val="808080" w:themeColor="background1" w:themeShade="80"/>
                <w:lang w:val="en-GB"/>
              </w:rPr>
            </w:pPr>
          </w:p>
        </w:tc>
        <w:tc>
          <w:tcPr>
            <w:tcW w:w="3970" w:type="dxa"/>
            <w:shd w:val="clear" w:color="auto" w:fill="FFFFFF" w:themeFill="background1"/>
          </w:tcPr>
          <w:p w14:paraId="4151A8E6" w14:textId="77777777" w:rsidR="001E5728" w:rsidRPr="009C515A" w:rsidRDefault="001E5728" w:rsidP="001E5728">
            <w:pPr>
              <w:spacing w:line="300" w:lineRule="exact"/>
              <w:rPr>
                <w:bCs/>
                <w:color w:val="808080" w:themeColor="background1" w:themeShade="80"/>
                <w:lang w:val="en-GB"/>
              </w:rPr>
            </w:pPr>
          </w:p>
        </w:tc>
        <w:tc>
          <w:tcPr>
            <w:tcW w:w="2015" w:type="dxa"/>
            <w:shd w:val="clear" w:color="auto" w:fill="FFFFFF" w:themeFill="background1"/>
          </w:tcPr>
          <w:p w14:paraId="74C9490E" w14:textId="77777777" w:rsidR="001E5728" w:rsidRPr="009C515A" w:rsidRDefault="001E5728" w:rsidP="001E5728">
            <w:pPr>
              <w:spacing w:line="300" w:lineRule="exact"/>
              <w:jc w:val="right"/>
              <w:rPr>
                <w:bCs/>
                <w:color w:val="808080" w:themeColor="background1" w:themeShade="80"/>
                <w:lang w:val="en-GB"/>
              </w:rPr>
            </w:pPr>
          </w:p>
        </w:tc>
        <w:tc>
          <w:tcPr>
            <w:tcW w:w="1134" w:type="dxa"/>
            <w:shd w:val="clear" w:color="auto" w:fill="FFFFFF" w:themeFill="background1"/>
          </w:tcPr>
          <w:p w14:paraId="6904A58E" w14:textId="77777777" w:rsidR="001E5728" w:rsidRPr="009C515A" w:rsidRDefault="001E5728" w:rsidP="001E5728">
            <w:pPr>
              <w:spacing w:line="300" w:lineRule="exact"/>
              <w:jc w:val="right"/>
              <w:rPr>
                <w:bCs/>
                <w:color w:val="808080" w:themeColor="background1" w:themeShade="80"/>
                <w:lang w:val="en-GB"/>
              </w:rPr>
            </w:pPr>
          </w:p>
        </w:tc>
      </w:tr>
    </w:tbl>
    <w:p w14:paraId="62A44A29" w14:textId="77777777" w:rsidR="00372D1F" w:rsidRPr="009C515A" w:rsidRDefault="00372D1F"/>
    <w:tbl>
      <w:tblPr>
        <w:tblStyle w:val="TableGrid"/>
        <w:tblW w:w="9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2"/>
      </w:tblGrid>
      <w:tr w:rsidR="00372D1F" w:rsidRPr="009C515A" w14:paraId="42B6E5C8" w14:textId="77777777" w:rsidTr="00EF03AD">
        <w:tc>
          <w:tcPr>
            <w:tcW w:w="9192" w:type="dxa"/>
            <w:tcBorders>
              <w:bottom w:val="single" w:sz="4" w:space="0" w:color="auto"/>
            </w:tcBorders>
            <w:shd w:val="clear" w:color="auto" w:fill="F2F2F2" w:themeFill="background1" w:themeFillShade="F2"/>
          </w:tcPr>
          <w:p w14:paraId="5594A626" w14:textId="06689130" w:rsidR="00372D1F" w:rsidRPr="009C515A" w:rsidRDefault="00372D1F" w:rsidP="00372D1F">
            <w:pPr>
              <w:spacing w:line="300" w:lineRule="exact"/>
              <w:rPr>
                <w:b/>
                <w:bCs/>
                <w:i/>
                <w:iCs/>
                <w:sz w:val="20"/>
                <w:szCs w:val="20"/>
              </w:rPr>
            </w:pPr>
            <w:r w:rsidRPr="009C515A">
              <w:rPr>
                <w:b/>
                <w:bCs/>
                <w:i/>
                <w:iCs/>
                <w:sz w:val="20"/>
                <w:szCs w:val="20"/>
              </w:rPr>
              <w:t>2.1 Please reflect and describe your immunisation system</w:t>
            </w:r>
            <w:r w:rsidR="008447E6" w:rsidRPr="009C515A">
              <w:rPr>
                <w:b/>
                <w:bCs/>
                <w:i/>
                <w:iCs/>
                <w:sz w:val="20"/>
                <w:szCs w:val="20"/>
              </w:rPr>
              <w:t>'</w:t>
            </w:r>
            <w:r w:rsidRPr="009C515A">
              <w:rPr>
                <w:b/>
                <w:bCs/>
                <w:i/>
                <w:iCs/>
                <w:sz w:val="20"/>
                <w:szCs w:val="20"/>
              </w:rPr>
              <w:t xml:space="preserve">s current TA needs as they are aligned with investments made by Government, Gavi and bilateral/multilateral donors. Your answers shall provide the context of and rationale for </w:t>
            </w:r>
            <w:r w:rsidR="0076309A" w:rsidRPr="009C515A">
              <w:rPr>
                <w:b/>
                <w:bCs/>
                <w:i/>
                <w:iCs/>
                <w:sz w:val="20"/>
                <w:szCs w:val="20"/>
              </w:rPr>
              <w:t>the requeste</w:t>
            </w:r>
            <w:r w:rsidR="007203BA" w:rsidRPr="009C515A">
              <w:rPr>
                <w:b/>
                <w:bCs/>
                <w:i/>
                <w:iCs/>
                <w:sz w:val="20"/>
                <w:szCs w:val="20"/>
              </w:rPr>
              <w:t>d TCA support from Gavi.</w:t>
            </w:r>
            <w:r w:rsidRPr="009C515A">
              <w:rPr>
                <w:b/>
                <w:bCs/>
                <w:sz w:val="20"/>
                <w:szCs w:val="20"/>
              </w:rPr>
              <w:t xml:space="preserve"> </w:t>
            </w:r>
            <w:r w:rsidRPr="009C515A">
              <w:rPr>
                <w:b/>
                <w:bCs/>
                <w:i/>
                <w:iCs/>
                <w:sz w:val="20"/>
                <w:szCs w:val="20"/>
              </w:rPr>
              <w:t xml:space="preserve">Please explicitly note the duration of </w:t>
            </w:r>
            <w:r w:rsidR="007203BA" w:rsidRPr="009C515A">
              <w:rPr>
                <w:b/>
                <w:bCs/>
                <w:i/>
                <w:iCs/>
                <w:sz w:val="20"/>
                <w:szCs w:val="20"/>
              </w:rPr>
              <w:t>the requested support</w:t>
            </w:r>
            <w:r w:rsidRPr="009C515A">
              <w:rPr>
                <w:b/>
                <w:bCs/>
                <w:i/>
                <w:iCs/>
                <w:sz w:val="20"/>
                <w:szCs w:val="20"/>
              </w:rPr>
              <w:t>.</w:t>
            </w:r>
          </w:p>
        </w:tc>
      </w:tr>
      <w:tr w:rsidR="00372D1F" w:rsidRPr="009C515A" w14:paraId="19BE42B7" w14:textId="77777777" w:rsidTr="00EF03AD">
        <w:tc>
          <w:tcPr>
            <w:tcW w:w="9192" w:type="dxa"/>
            <w:tcBorders>
              <w:top w:val="single" w:sz="4" w:space="0" w:color="auto"/>
              <w:left w:val="single" w:sz="4" w:space="0" w:color="auto"/>
              <w:bottom w:val="single" w:sz="4" w:space="0" w:color="auto"/>
              <w:right w:val="single" w:sz="4" w:space="0" w:color="auto"/>
            </w:tcBorders>
          </w:tcPr>
          <w:p w14:paraId="2AC99AF3" w14:textId="324AE288" w:rsidR="00BD39C9" w:rsidRPr="009C515A" w:rsidRDefault="00BD39C9" w:rsidP="00CB5C96">
            <w:pPr>
              <w:pStyle w:val="pf0"/>
              <w:rPr>
                <w:rFonts w:ascii="Arial" w:hAnsi="Arial" w:cs="Arial"/>
                <w:color w:val="000000"/>
                <w:sz w:val="20"/>
                <w:szCs w:val="20"/>
                <w:lang w:eastAsia="es-PE"/>
              </w:rPr>
            </w:pPr>
            <w:r w:rsidRPr="009C515A">
              <w:rPr>
                <w:rFonts w:ascii="Arial" w:eastAsiaTheme="minorHAnsi" w:hAnsi="Arial" w:cs="Arial"/>
                <w:sz w:val="20"/>
                <w:szCs w:val="20"/>
                <w:lang w:val="en-US" w:eastAsia="en-US"/>
              </w:rPr>
              <w:t xml:space="preserve">The requested TA supports are primarily the felt needs of the EPI program identified together by partners and program managers. The TA will further strengthen and increase the effectiveness of SIG investments and immunization partners. </w:t>
            </w:r>
            <w:r w:rsidRPr="009C515A">
              <w:rPr>
                <w:rFonts w:ascii="Arial" w:hAnsi="Arial" w:cs="Arial"/>
                <w:color w:val="000000"/>
                <w:sz w:val="20"/>
                <w:szCs w:val="20"/>
                <w:lang w:eastAsia="es-PE"/>
              </w:rPr>
              <w:t xml:space="preserve">There is a need for ongoing support at the national level of the immunization program to improve their service delivery to provide regular and reliable immunization services, including outreach activities to reach the hard-to-reach individuals, as part of an integrated package of health services. These include short term TA for EPI Review and the development of a multi-year National Immunization Plan. </w:t>
            </w:r>
            <w:r w:rsidR="00C139A2" w:rsidRPr="009C515A">
              <w:rPr>
                <w:rFonts w:ascii="Arial" w:hAnsi="Arial" w:cs="Arial"/>
                <w:color w:val="000000"/>
                <w:sz w:val="20"/>
                <w:szCs w:val="20"/>
                <w:lang w:eastAsia="es-PE"/>
              </w:rPr>
              <w:t xml:space="preserve">Both an annual operational plan (AOP) and a multi-year national immunisation plan should be developed. </w:t>
            </w:r>
            <w:r w:rsidR="00C139A2" w:rsidRPr="009C515A">
              <w:rPr>
                <w:rStyle w:val="cf01"/>
                <w:rFonts w:ascii="Arial" w:hAnsi="Arial" w:cs="Arial"/>
                <w:sz w:val="20"/>
                <w:szCs w:val="20"/>
              </w:rPr>
              <w:t xml:space="preserve">AOP is an annual operational </w:t>
            </w:r>
            <w:r w:rsidR="00C139A2" w:rsidRPr="009C515A">
              <w:rPr>
                <w:rStyle w:val="cf11"/>
                <w:rFonts w:ascii="Arial" w:hAnsi="Arial" w:cs="Arial"/>
                <w:sz w:val="20"/>
                <w:szCs w:val="20"/>
              </w:rPr>
              <w:t xml:space="preserve">budgeting for immunization which is done through </w:t>
            </w:r>
            <w:r w:rsidR="00C139A2" w:rsidRPr="009C515A">
              <w:rPr>
                <w:rStyle w:val="cf21"/>
                <w:rFonts w:ascii="Arial" w:hAnsi="Arial" w:cs="Arial"/>
                <w:sz w:val="20"/>
                <w:szCs w:val="20"/>
              </w:rPr>
              <w:t>“</w:t>
            </w:r>
            <w:r w:rsidR="00C139A2" w:rsidRPr="009C515A">
              <w:rPr>
                <w:rStyle w:val="cf11"/>
                <w:rFonts w:ascii="Arial" w:hAnsi="Arial" w:cs="Arial"/>
                <w:sz w:val="20"/>
                <w:szCs w:val="20"/>
              </w:rPr>
              <w:t>AOP</w:t>
            </w:r>
            <w:r w:rsidR="00C139A2" w:rsidRPr="009C515A">
              <w:rPr>
                <w:rStyle w:val="cf21"/>
                <w:rFonts w:ascii="Arial" w:hAnsi="Arial" w:cs="Arial"/>
                <w:sz w:val="20"/>
                <w:szCs w:val="20"/>
              </w:rPr>
              <w:t>”</w:t>
            </w:r>
            <w:r w:rsidR="00C139A2" w:rsidRPr="009C515A">
              <w:rPr>
                <w:rStyle w:val="cf11"/>
                <w:rFonts w:ascii="Arial" w:hAnsi="Arial" w:cs="Arial"/>
                <w:sz w:val="20"/>
                <w:szCs w:val="20"/>
              </w:rPr>
              <w:t xml:space="preserve"> process, an annual corporate planning exercise for the MHMS. But multi-Year National immunization plan should outline annual objectives of </w:t>
            </w:r>
            <w:r w:rsidR="004A6967" w:rsidRPr="009C515A">
              <w:rPr>
                <w:rStyle w:val="cf11"/>
                <w:rFonts w:ascii="Arial" w:hAnsi="Arial" w:cs="Arial"/>
                <w:sz w:val="20"/>
                <w:szCs w:val="20"/>
              </w:rPr>
              <w:t xml:space="preserve">the </w:t>
            </w:r>
            <w:proofErr w:type="gramStart"/>
            <w:r w:rsidR="004A6967" w:rsidRPr="009C515A">
              <w:rPr>
                <w:rStyle w:val="cf11"/>
                <w:rFonts w:ascii="Arial" w:hAnsi="Arial" w:cs="Arial"/>
                <w:sz w:val="20"/>
                <w:szCs w:val="20"/>
              </w:rPr>
              <w:t>Immunization</w:t>
            </w:r>
            <w:proofErr w:type="gramEnd"/>
            <w:r w:rsidR="00C139A2" w:rsidRPr="009C515A">
              <w:rPr>
                <w:rStyle w:val="cf11"/>
                <w:rFonts w:ascii="Arial" w:hAnsi="Arial" w:cs="Arial"/>
                <w:sz w:val="20"/>
                <w:szCs w:val="20"/>
              </w:rPr>
              <w:t xml:space="preserve"> program, define SIA and ongoing strengthening of the RI activities. This is a document that should also guide annual budgeting at national and provincial level. </w:t>
            </w:r>
          </w:p>
          <w:p w14:paraId="0C188E3B" w14:textId="77777777" w:rsidR="0024749C" w:rsidRPr="009C515A" w:rsidRDefault="00BD39C9" w:rsidP="00BD39C9">
            <w:pPr>
              <w:spacing w:after="160" w:line="259" w:lineRule="auto"/>
              <w:contextualSpacing/>
              <w:rPr>
                <w:rFonts w:eastAsia="Times New Roman"/>
                <w:color w:val="000000"/>
                <w:sz w:val="20"/>
                <w:szCs w:val="20"/>
                <w:lang w:eastAsia="es-PE"/>
              </w:rPr>
            </w:pPr>
            <w:r w:rsidRPr="009C515A">
              <w:rPr>
                <w:rFonts w:eastAsia="Times New Roman"/>
                <w:color w:val="000000"/>
                <w:sz w:val="20"/>
                <w:szCs w:val="20"/>
                <w:lang w:eastAsia="es-PE"/>
              </w:rPr>
              <w:t xml:space="preserve">In the context of evolving pandemic impact and recent drastic drop in routine immunization coverage, efficient coordination and management of partnerships and financial resources for immunization program has gained central attention. Pandemic has stalled the progress of recently introduced vaccines such as HPV and Rotavirus. HPV vaccination requires rebooting and fine-tuning to upgrade with potentially new strategies and integrate with other services. </w:t>
            </w:r>
          </w:p>
          <w:p w14:paraId="51A1B3F5" w14:textId="3B0B2FAD" w:rsidR="00211C9F" w:rsidRPr="009C515A" w:rsidRDefault="008975A9" w:rsidP="00BD39C9">
            <w:pPr>
              <w:spacing w:after="160" w:line="259" w:lineRule="auto"/>
              <w:contextualSpacing/>
              <w:rPr>
                <w:rFonts w:eastAsia="Times New Roman"/>
                <w:color w:val="000000"/>
                <w:sz w:val="20"/>
                <w:szCs w:val="20"/>
                <w:lang w:eastAsia="es-PE"/>
              </w:rPr>
            </w:pPr>
            <w:r w:rsidRPr="009C515A">
              <w:rPr>
                <w:rFonts w:eastAsia="Times New Roman"/>
                <w:color w:val="000000"/>
                <w:sz w:val="20"/>
                <w:szCs w:val="20"/>
                <w:lang w:eastAsia="es-PE"/>
              </w:rPr>
              <w:t xml:space="preserve">Interventions must also address low coverage of MCV that is poising the country at risk measles outbreak and TA in this regard include </w:t>
            </w:r>
            <w:r w:rsidR="0024749C" w:rsidRPr="009C515A">
              <w:rPr>
                <w:rFonts w:eastAsia="Times New Roman"/>
                <w:color w:val="000000"/>
                <w:sz w:val="20"/>
                <w:szCs w:val="20"/>
                <w:lang w:eastAsia="es-PE"/>
              </w:rPr>
              <w:t xml:space="preserve">support </w:t>
            </w:r>
            <w:r w:rsidRPr="009C515A">
              <w:rPr>
                <w:rFonts w:eastAsia="Times New Roman"/>
                <w:color w:val="000000"/>
                <w:sz w:val="20"/>
                <w:szCs w:val="20"/>
                <w:lang w:eastAsia="es-PE"/>
              </w:rPr>
              <w:t xml:space="preserve">for planning and conducting </w:t>
            </w:r>
            <w:r w:rsidR="00A766ED" w:rsidRPr="009C515A">
              <w:rPr>
                <w:rFonts w:eastAsia="Times New Roman"/>
                <w:color w:val="000000"/>
                <w:sz w:val="20"/>
                <w:szCs w:val="20"/>
                <w:lang w:eastAsia="es-PE"/>
              </w:rPr>
              <w:t xml:space="preserve">SIA in 2022. </w:t>
            </w:r>
          </w:p>
          <w:p w14:paraId="3C6247BF" w14:textId="77777777" w:rsidR="0040721F" w:rsidRPr="009C515A" w:rsidRDefault="00211C9F" w:rsidP="0024749C">
            <w:pPr>
              <w:spacing w:after="160" w:line="259" w:lineRule="auto"/>
              <w:contextualSpacing/>
              <w:rPr>
                <w:rFonts w:eastAsia="Times New Roman"/>
                <w:color w:val="000000"/>
                <w:sz w:val="20"/>
                <w:szCs w:val="20"/>
                <w:lang w:eastAsia="es-PE"/>
              </w:rPr>
            </w:pPr>
            <w:r w:rsidRPr="009C515A">
              <w:rPr>
                <w:rFonts w:eastAsia="Times New Roman"/>
                <w:color w:val="000000"/>
                <w:sz w:val="20"/>
                <w:szCs w:val="20"/>
                <w:lang w:eastAsia="es-PE"/>
              </w:rPr>
              <w:t xml:space="preserve">Further, the proposed TA will provide a consolidated effort working closely with partners and the MHMS for an evidence-based planning and build a </w:t>
            </w:r>
            <w:proofErr w:type="gramStart"/>
            <w:r w:rsidRPr="009C515A">
              <w:rPr>
                <w:rFonts w:eastAsia="Times New Roman"/>
                <w:color w:val="000000"/>
                <w:sz w:val="20"/>
                <w:szCs w:val="20"/>
                <w:lang w:eastAsia="es-PE"/>
              </w:rPr>
              <w:t>stronger health systems</w:t>
            </w:r>
            <w:proofErr w:type="gramEnd"/>
            <w:r w:rsidRPr="009C515A">
              <w:rPr>
                <w:rFonts w:eastAsia="Times New Roman"/>
                <w:color w:val="000000"/>
                <w:sz w:val="20"/>
                <w:szCs w:val="20"/>
                <w:lang w:eastAsia="es-PE"/>
              </w:rPr>
              <w:t xml:space="preserve"> towards a well-functioning immunization programme. Strong health systems </w:t>
            </w:r>
            <w:proofErr w:type="gramStart"/>
            <w:r w:rsidRPr="009C515A">
              <w:rPr>
                <w:rFonts w:eastAsia="Times New Roman"/>
                <w:color w:val="000000"/>
                <w:sz w:val="20"/>
                <w:szCs w:val="20"/>
                <w:lang w:eastAsia="es-PE"/>
              </w:rPr>
              <w:t>requires</w:t>
            </w:r>
            <w:proofErr w:type="gramEnd"/>
            <w:r w:rsidRPr="009C515A">
              <w:rPr>
                <w:rFonts w:eastAsia="Times New Roman"/>
                <w:color w:val="000000"/>
                <w:sz w:val="20"/>
                <w:szCs w:val="20"/>
                <w:lang w:eastAsia="es-PE"/>
              </w:rPr>
              <w:t xml:space="preserve"> a motivated and trained workforce along with functioning and integrated logistics, supplies and cold management systems and provision of adequate resources and funding to reach-out marginalized zero-dose children and missed communities with an integrated immunization services and primary care. In addition, creating demand by improving community awareness and engagement regarding the benefits of immunization will improve coverage and sustain the programme in the long-term.</w:t>
            </w:r>
            <w:r w:rsidR="004A6DFD" w:rsidRPr="009C515A">
              <w:rPr>
                <w:rFonts w:eastAsia="Times New Roman"/>
                <w:color w:val="000000"/>
                <w:sz w:val="20"/>
                <w:szCs w:val="20"/>
                <w:lang w:eastAsia="es-PE"/>
              </w:rPr>
              <w:t xml:space="preserve"> </w:t>
            </w:r>
          </w:p>
          <w:p w14:paraId="2581EE42" w14:textId="3F4DFD41" w:rsidR="00F7718C" w:rsidRPr="009C515A" w:rsidRDefault="00864936" w:rsidP="00F607A0">
            <w:pPr>
              <w:pStyle w:val="pf0"/>
              <w:rPr>
                <w:rFonts w:ascii="Arial" w:hAnsi="Arial" w:cs="Arial"/>
                <w:sz w:val="20"/>
                <w:szCs w:val="20"/>
              </w:rPr>
            </w:pPr>
            <w:r w:rsidRPr="009C515A">
              <w:rPr>
                <w:rFonts w:ascii="Arial" w:hAnsi="Arial" w:cs="Arial"/>
                <w:color w:val="000000"/>
                <w:sz w:val="20"/>
                <w:szCs w:val="20"/>
                <w:lang w:eastAsia="es-PE"/>
              </w:rPr>
              <w:t>For instance, t</w:t>
            </w:r>
            <w:r w:rsidRPr="009C515A">
              <w:rPr>
                <w:rFonts w:ascii="Arial" w:hAnsi="Arial" w:cs="Arial"/>
                <w:color w:val="000000"/>
                <w:sz w:val="20"/>
                <w:szCs w:val="20"/>
                <w:lang w:val="en" w:eastAsia="es-PE"/>
              </w:rPr>
              <w:t xml:space="preserve">he </w:t>
            </w:r>
            <w:r w:rsidRPr="009C515A">
              <w:rPr>
                <w:rFonts w:ascii="Arial" w:hAnsi="Arial" w:cs="Arial"/>
                <w:color w:val="000000"/>
                <w:sz w:val="20"/>
                <w:szCs w:val="20"/>
                <w:lang w:eastAsia="es-PE"/>
              </w:rPr>
              <w:t>l</w:t>
            </w:r>
            <w:proofErr w:type="spellStart"/>
            <w:r w:rsidRPr="009C515A">
              <w:rPr>
                <w:rFonts w:ascii="Arial" w:hAnsi="Arial" w:cs="Arial"/>
                <w:color w:val="000000"/>
                <w:sz w:val="20"/>
                <w:szCs w:val="20"/>
                <w:lang w:val="en" w:eastAsia="es-PE"/>
              </w:rPr>
              <w:t>ong</w:t>
            </w:r>
            <w:proofErr w:type="spellEnd"/>
            <w:r w:rsidRPr="009C515A">
              <w:rPr>
                <w:rFonts w:ascii="Arial" w:hAnsi="Arial" w:cs="Arial"/>
                <w:color w:val="000000"/>
                <w:sz w:val="20"/>
                <w:szCs w:val="20"/>
                <w:lang w:eastAsia="es-PE"/>
              </w:rPr>
              <w:t>-t</w:t>
            </w:r>
            <w:r w:rsidRPr="009C515A">
              <w:rPr>
                <w:rFonts w:ascii="Arial" w:hAnsi="Arial" w:cs="Arial"/>
                <w:color w:val="000000"/>
                <w:sz w:val="20"/>
                <w:szCs w:val="20"/>
                <w:lang w:val="en" w:eastAsia="es-PE"/>
              </w:rPr>
              <w:t>erm TA</w:t>
            </w:r>
            <w:r w:rsidRPr="009C515A">
              <w:rPr>
                <w:rFonts w:ascii="Arial" w:hAnsi="Arial" w:cs="Arial"/>
                <w:color w:val="000000"/>
                <w:sz w:val="20"/>
                <w:szCs w:val="20"/>
                <w:lang w:eastAsia="es-PE"/>
              </w:rPr>
              <w:t xml:space="preserve"> proposed in the TCA (</w:t>
            </w:r>
            <w:r w:rsidRPr="009C515A">
              <w:rPr>
                <w:rFonts w:ascii="Arial" w:hAnsi="Arial" w:cs="Arial"/>
                <w:color w:val="000000"/>
                <w:sz w:val="20"/>
                <w:szCs w:val="20"/>
                <w:lang w:val="en" w:eastAsia="es-PE"/>
              </w:rPr>
              <w:t>WHO P5) would provide direct support to MHMS Partnership Coordination Unit to coordinate and strengthen partnerships between development partners and the Government, including technical support to the MHMS</w:t>
            </w:r>
            <w:r w:rsidRPr="009C515A">
              <w:rPr>
                <w:rFonts w:ascii="Arial" w:hAnsi="Arial" w:cs="Arial"/>
                <w:color w:val="000000"/>
                <w:sz w:val="20"/>
                <w:szCs w:val="20"/>
                <w:lang w:eastAsia="es-PE"/>
              </w:rPr>
              <w:t xml:space="preserve"> for strengthening the health system</w:t>
            </w:r>
            <w:r w:rsidRPr="009C515A">
              <w:rPr>
                <w:rFonts w:ascii="Arial" w:hAnsi="Arial" w:cs="Arial"/>
                <w:color w:val="000000"/>
                <w:sz w:val="20"/>
                <w:szCs w:val="20"/>
                <w:lang w:val="en" w:eastAsia="es-PE"/>
              </w:rPr>
              <w:t xml:space="preserve">. This would require regular support for monitoring, evaluation, </w:t>
            </w:r>
            <w:r w:rsidRPr="009C515A">
              <w:rPr>
                <w:rFonts w:ascii="Arial" w:hAnsi="Arial" w:cs="Arial"/>
                <w:color w:val="000000"/>
                <w:sz w:val="20"/>
                <w:szCs w:val="20"/>
                <w:lang w:val="en" w:eastAsia="es-PE"/>
              </w:rPr>
              <w:lastRenderedPageBreak/>
              <w:t xml:space="preserve">provincial </w:t>
            </w:r>
            <w:proofErr w:type="gramStart"/>
            <w:r w:rsidRPr="009C515A">
              <w:rPr>
                <w:rFonts w:ascii="Arial" w:hAnsi="Arial" w:cs="Arial"/>
                <w:color w:val="000000"/>
                <w:sz w:val="20"/>
                <w:szCs w:val="20"/>
                <w:lang w:val="en" w:eastAsia="es-PE"/>
              </w:rPr>
              <w:t>linkages</w:t>
            </w:r>
            <w:proofErr w:type="gramEnd"/>
            <w:r w:rsidRPr="009C515A">
              <w:rPr>
                <w:rFonts w:ascii="Arial" w:hAnsi="Arial" w:cs="Arial"/>
                <w:color w:val="000000"/>
                <w:sz w:val="20"/>
                <w:szCs w:val="20"/>
                <w:lang w:val="en" w:eastAsia="es-PE"/>
              </w:rPr>
              <w:t xml:space="preserve"> and a synchronized approach in various aspects of Health System support to deliver for immunization program.</w:t>
            </w:r>
            <w:r w:rsidRPr="009C515A">
              <w:rPr>
                <w:rFonts w:ascii="Arial" w:hAnsi="Arial" w:cs="Arial"/>
                <w:color w:val="000000"/>
                <w:sz w:val="20"/>
                <w:szCs w:val="20"/>
                <w:lang w:eastAsia="es-PE"/>
              </w:rPr>
              <w:t xml:space="preserve"> TA proposed (</w:t>
            </w:r>
            <w:proofErr w:type="gramStart"/>
            <w:r w:rsidRPr="009C515A">
              <w:rPr>
                <w:rFonts w:ascii="Arial" w:hAnsi="Arial" w:cs="Arial"/>
                <w:color w:val="000000"/>
                <w:sz w:val="20"/>
                <w:szCs w:val="20"/>
                <w:lang w:eastAsia="es-PE"/>
              </w:rPr>
              <w:t>e.g.</w:t>
            </w:r>
            <w:proofErr w:type="gramEnd"/>
            <w:r w:rsidRPr="009C515A">
              <w:rPr>
                <w:rFonts w:ascii="Arial" w:hAnsi="Arial" w:cs="Arial"/>
                <w:color w:val="000000"/>
                <w:sz w:val="20"/>
                <w:szCs w:val="20"/>
                <w:lang w:eastAsia="es-PE"/>
              </w:rPr>
              <w:t xml:space="preserve"> through UNICEF) will assist MHMS in improving logistics, supplies and cold management systems, demand generation and microplanning to reach out to remote communities, including marginalized zero-dose children. These TAs will create opportunities to engage local staff, support their leadership, and for the</w:t>
            </w:r>
            <w:r w:rsidRPr="009C515A">
              <w:rPr>
                <w:rFonts w:ascii="Arial" w:hAnsi="Arial" w:cs="Arial"/>
                <w:sz w:val="20"/>
                <w:szCs w:val="20"/>
              </w:rPr>
              <w:t xml:space="preserve"> MHMS workforce to take ownership.</w:t>
            </w:r>
          </w:p>
          <w:p w14:paraId="405056AF" w14:textId="77777777" w:rsidR="00F607A0" w:rsidRPr="009C515A" w:rsidRDefault="00BD39C9" w:rsidP="00BD39C9">
            <w:pPr>
              <w:spacing w:after="160" w:line="259" w:lineRule="auto"/>
              <w:contextualSpacing/>
              <w:rPr>
                <w:rFonts w:eastAsia="Times New Roman"/>
                <w:color w:val="000000"/>
                <w:sz w:val="20"/>
                <w:szCs w:val="20"/>
                <w:lang w:val="en-AU" w:eastAsia="es-PE"/>
              </w:rPr>
            </w:pPr>
            <w:r w:rsidRPr="009C515A">
              <w:rPr>
                <w:rFonts w:eastAsia="Times New Roman"/>
                <w:color w:val="000000"/>
                <w:sz w:val="20"/>
                <w:szCs w:val="20"/>
                <w:lang w:eastAsia="es-PE"/>
              </w:rPr>
              <w:t xml:space="preserve">Targeted investments </w:t>
            </w:r>
            <w:r w:rsidR="00A87520" w:rsidRPr="009C515A">
              <w:rPr>
                <w:rFonts w:eastAsia="Times New Roman"/>
                <w:color w:val="000000"/>
                <w:sz w:val="20"/>
                <w:szCs w:val="20"/>
                <w:lang w:eastAsia="es-PE"/>
              </w:rPr>
              <w:t xml:space="preserve">are needed </w:t>
            </w:r>
            <w:r w:rsidRPr="009C515A">
              <w:rPr>
                <w:rFonts w:eastAsia="Times New Roman"/>
                <w:color w:val="000000"/>
                <w:sz w:val="20"/>
                <w:szCs w:val="20"/>
                <w:lang w:eastAsia="es-PE"/>
              </w:rPr>
              <w:t>to support innovative context-specific policy measures to help MHMS identify, test, adapt and scale up such approaches to address challenges faced by EPI. Further strengthening of the capacity of governance/technical bodies for planning, coordination and tracking progress at all levels, particularly for reaching zero-dose children, is needed. There is a continuous need to improve the distribution and retention of health workers to increase equitable access to immunization services.</w:t>
            </w:r>
            <w:r w:rsidR="00A87520" w:rsidRPr="009C515A">
              <w:rPr>
                <w:rFonts w:eastAsia="Times New Roman"/>
                <w:color w:val="000000"/>
                <w:sz w:val="20"/>
                <w:szCs w:val="20"/>
                <w:lang w:eastAsia="es-PE"/>
              </w:rPr>
              <w:t xml:space="preserve">  These </w:t>
            </w:r>
            <w:r w:rsidRPr="009C515A">
              <w:rPr>
                <w:rFonts w:eastAsia="Times New Roman"/>
                <w:color w:val="000000"/>
                <w:sz w:val="20"/>
                <w:szCs w:val="20"/>
                <w:lang w:eastAsia="es-PE"/>
              </w:rPr>
              <w:t xml:space="preserve">include the need for long-term, ongoing TA to be provided to coordinate and strengthen partnerships between development partners and the Government, including technical support to the MHMS Partnership Coordination Unit, to overcome the delays and obstacles in implementing the previous GAVI agreement. </w:t>
            </w:r>
            <w:r w:rsidR="004A6DFD" w:rsidRPr="009C515A">
              <w:rPr>
                <w:rFonts w:eastAsia="Times New Roman"/>
                <w:color w:val="000000"/>
                <w:sz w:val="20"/>
                <w:szCs w:val="20"/>
                <w:lang w:eastAsia="es-PE"/>
              </w:rPr>
              <w:t xml:space="preserve"> </w:t>
            </w:r>
          </w:p>
          <w:p w14:paraId="7D50908B" w14:textId="77777777" w:rsidR="00F607A0" w:rsidRPr="009C515A" w:rsidRDefault="00F607A0" w:rsidP="00BD39C9">
            <w:pPr>
              <w:spacing w:after="160" w:line="259" w:lineRule="auto"/>
              <w:contextualSpacing/>
              <w:rPr>
                <w:rFonts w:eastAsia="Times New Roman"/>
                <w:color w:val="000000"/>
                <w:sz w:val="20"/>
                <w:szCs w:val="20"/>
                <w:lang w:val="en-AU" w:eastAsia="es-PE"/>
              </w:rPr>
            </w:pPr>
          </w:p>
          <w:p w14:paraId="1C3E98B3" w14:textId="4588341B" w:rsidR="007D272D" w:rsidRPr="009C515A" w:rsidRDefault="00BD39C9" w:rsidP="00BD39C9">
            <w:pPr>
              <w:spacing w:after="160" w:line="259" w:lineRule="auto"/>
              <w:contextualSpacing/>
              <w:rPr>
                <w:rFonts w:eastAsia="Times New Roman"/>
                <w:color w:val="000000"/>
                <w:sz w:val="20"/>
                <w:szCs w:val="20"/>
                <w:lang w:eastAsia="es-PE"/>
              </w:rPr>
            </w:pPr>
            <w:r w:rsidRPr="009C515A">
              <w:rPr>
                <w:rFonts w:eastAsia="Times New Roman"/>
                <w:color w:val="000000"/>
                <w:sz w:val="20"/>
                <w:szCs w:val="20"/>
                <w:lang w:eastAsia="es-PE"/>
              </w:rPr>
              <w:t>Continuous TA, throughout this grant (</w:t>
            </w:r>
            <w:r w:rsidR="00582E36" w:rsidRPr="009C515A">
              <w:rPr>
                <w:rFonts w:eastAsia="Times New Roman"/>
                <w:color w:val="000000"/>
                <w:sz w:val="20"/>
                <w:szCs w:val="20"/>
                <w:lang w:eastAsia="es-PE"/>
              </w:rPr>
              <w:t>15</w:t>
            </w:r>
            <w:r w:rsidRPr="009C515A">
              <w:rPr>
                <w:rFonts w:eastAsia="Times New Roman"/>
                <w:color w:val="000000"/>
                <w:sz w:val="20"/>
                <w:szCs w:val="20"/>
                <w:lang w:eastAsia="es-PE"/>
              </w:rPr>
              <w:t xml:space="preserve"> months), would need to be provided to support the health system in delivering the Immunization Program, including Annual Operational Planning support at the national and sub-national levels. Short term TA will be needed to develop human resources strategy and health workforce by mapping against target populations, including zero-dose and under-immunized children. Ongoing TA will be required to strengthen systems for the use of data to improve programmatic performance and reach zero-dose children and routine facility</w:t>
            </w:r>
            <w:r w:rsidR="00274945" w:rsidRPr="009C515A">
              <w:rPr>
                <w:rFonts w:eastAsia="Times New Roman"/>
                <w:color w:val="000000"/>
                <w:sz w:val="20"/>
                <w:szCs w:val="20"/>
                <w:lang w:eastAsia="es-PE"/>
              </w:rPr>
              <w:t>-</w:t>
            </w:r>
            <w:r w:rsidRPr="009C515A">
              <w:rPr>
                <w:rFonts w:eastAsia="Times New Roman"/>
                <w:color w:val="000000"/>
                <w:sz w:val="20"/>
                <w:szCs w:val="20"/>
                <w:lang w:eastAsia="es-PE"/>
              </w:rPr>
              <w:t xml:space="preserve">reporting; strengthen health information systems for decision-making at the programme level and immunization programme planning and management at national and provincial levels. </w:t>
            </w:r>
          </w:p>
          <w:p w14:paraId="02F51C9F" w14:textId="1057BA95" w:rsidR="007D272D" w:rsidRPr="009C515A" w:rsidRDefault="007D272D" w:rsidP="00BD39C9">
            <w:pPr>
              <w:spacing w:after="160" w:line="259" w:lineRule="auto"/>
              <w:contextualSpacing/>
              <w:rPr>
                <w:rFonts w:eastAsia="Times New Roman"/>
                <w:color w:val="000000"/>
                <w:sz w:val="20"/>
                <w:szCs w:val="20"/>
                <w:lang w:eastAsia="es-PE"/>
              </w:rPr>
            </w:pPr>
          </w:p>
          <w:p w14:paraId="109DB02A" w14:textId="083E18D8" w:rsidR="007D272D" w:rsidRPr="009C515A" w:rsidRDefault="007D272D" w:rsidP="00BD39C9">
            <w:pPr>
              <w:spacing w:after="160" w:line="259" w:lineRule="auto"/>
              <w:contextualSpacing/>
              <w:rPr>
                <w:rFonts w:eastAsia="Times New Roman"/>
                <w:color w:val="000000"/>
                <w:sz w:val="20"/>
                <w:szCs w:val="20"/>
                <w:lang w:eastAsia="es-PE"/>
              </w:rPr>
            </w:pPr>
            <w:r w:rsidRPr="009C515A">
              <w:rPr>
                <w:rFonts w:eastAsia="Times New Roman"/>
                <w:color w:val="000000"/>
                <w:sz w:val="20"/>
                <w:szCs w:val="20"/>
                <w:lang w:eastAsia="es-PE"/>
              </w:rPr>
              <w:t>Surveillance of VPD and AEFI needs improvement. There is also a need for incorporating them into one system (DHIS2) and improve regular reporting. Technical assistance to the MHMS in this regard is proposed in the TCA.</w:t>
            </w:r>
          </w:p>
          <w:p w14:paraId="26325932" w14:textId="77777777" w:rsidR="007D272D" w:rsidRPr="009C515A" w:rsidRDefault="007D272D" w:rsidP="00BD39C9">
            <w:pPr>
              <w:spacing w:after="160" w:line="259" w:lineRule="auto"/>
              <w:contextualSpacing/>
              <w:rPr>
                <w:rFonts w:eastAsia="Times New Roman"/>
                <w:color w:val="000000"/>
                <w:sz w:val="20"/>
                <w:szCs w:val="20"/>
                <w:lang w:eastAsia="es-PE"/>
              </w:rPr>
            </w:pPr>
          </w:p>
          <w:p w14:paraId="4C3B1965" w14:textId="1543C395" w:rsidR="00F7718C" w:rsidRPr="009C515A" w:rsidRDefault="00BD39C9" w:rsidP="00BD39C9">
            <w:pPr>
              <w:spacing w:after="160" w:line="259" w:lineRule="auto"/>
              <w:contextualSpacing/>
              <w:rPr>
                <w:rFonts w:eastAsia="Times New Roman"/>
                <w:color w:val="000000"/>
                <w:sz w:val="20"/>
                <w:szCs w:val="20"/>
                <w:lang w:eastAsia="es-PE"/>
              </w:rPr>
            </w:pPr>
            <w:r w:rsidRPr="009C515A">
              <w:rPr>
                <w:rFonts w:eastAsia="Times New Roman"/>
                <w:color w:val="000000"/>
                <w:sz w:val="20"/>
                <w:szCs w:val="20"/>
                <w:lang w:eastAsia="es-PE"/>
              </w:rPr>
              <w:t xml:space="preserve">EPI considers the proper communication and community engagement as the cornerstone for achieving high coverage; thus, there is a strong desire to improve EPI communication; TA is </w:t>
            </w:r>
            <w:r w:rsidR="009A4670" w:rsidRPr="009C515A">
              <w:rPr>
                <w:rFonts w:eastAsia="Times New Roman"/>
                <w:color w:val="000000"/>
                <w:sz w:val="20"/>
                <w:szCs w:val="20"/>
                <w:lang w:eastAsia="es-PE"/>
              </w:rPr>
              <w:t>required</w:t>
            </w:r>
            <w:r w:rsidRPr="009C515A">
              <w:rPr>
                <w:rFonts w:eastAsia="Times New Roman"/>
                <w:color w:val="000000"/>
                <w:sz w:val="20"/>
                <w:szCs w:val="20"/>
                <w:lang w:eastAsia="es-PE"/>
              </w:rPr>
              <w:t xml:space="preserve"> for 6 – 12 months. </w:t>
            </w:r>
          </w:p>
          <w:p w14:paraId="629CC90E" w14:textId="77777777" w:rsidR="00F7718C" w:rsidRPr="009C515A" w:rsidRDefault="00F7718C" w:rsidP="00F7718C">
            <w:pPr>
              <w:spacing w:after="160" w:line="259" w:lineRule="auto"/>
              <w:contextualSpacing/>
              <w:rPr>
                <w:rFonts w:eastAsia="Times New Roman"/>
                <w:lang w:val="en-US" w:eastAsia="en-AU"/>
              </w:rPr>
            </w:pPr>
          </w:p>
          <w:p w14:paraId="3C2CF4F8" w14:textId="22B05AEC" w:rsidR="00F7718C" w:rsidRPr="009C515A" w:rsidRDefault="00F7718C" w:rsidP="00F7718C">
            <w:pPr>
              <w:spacing w:after="160" w:line="259" w:lineRule="auto"/>
              <w:contextualSpacing/>
              <w:rPr>
                <w:rFonts w:eastAsia="Times New Roman"/>
                <w:lang w:val="en-US" w:eastAsia="en-AU"/>
              </w:rPr>
            </w:pPr>
            <w:r w:rsidRPr="009C515A">
              <w:rPr>
                <w:rFonts w:eastAsia="Times New Roman"/>
                <w:lang w:val="en-US" w:eastAsia="en-AU"/>
              </w:rPr>
              <w:t>Gender analysis of health policy is a critical element of effective and efficient health systems and services. The proposed TA (within proposed WHO TA) will assist in strengthening gender analysis and gender costing of health issues in Ministry of Health and Medical Services budgeting, strategic planning, and programming. It will help enhance health sector data collection, monitoring, and evaluation at local levels to assess improvements in health outcomes and identify specific constraints to health service delivery across different provinces.</w:t>
            </w:r>
          </w:p>
          <w:p w14:paraId="174E070A" w14:textId="08EDCBA3" w:rsidR="0000007D" w:rsidRPr="009C515A" w:rsidRDefault="00F7718C" w:rsidP="00BD39C9">
            <w:pPr>
              <w:spacing w:after="160" w:line="259" w:lineRule="auto"/>
              <w:contextualSpacing/>
              <w:rPr>
                <w:rFonts w:eastAsia="Times New Roman"/>
                <w:color w:val="000000"/>
                <w:sz w:val="20"/>
                <w:szCs w:val="20"/>
                <w:lang w:eastAsia="es-PE"/>
              </w:rPr>
            </w:pPr>
            <w:r w:rsidRPr="009C515A">
              <w:rPr>
                <w:rFonts w:eastAsia="Times New Roman"/>
                <w:lang w:val="en-US" w:eastAsia="en-AU"/>
              </w:rPr>
              <w:t xml:space="preserve"> </w:t>
            </w:r>
          </w:p>
          <w:p w14:paraId="5AE641F7" w14:textId="5748F93E" w:rsidR="00F27461" w:rsidRPr="009C515A" w:rsidRDefault="0000007D" w:rsidP="0024749C">
            <w:pPr>
              <w:spacing w:after="160" w:line="259" w:lineRule="auto"/>
              <w:contextualSpacing/>
              <w:rPr>
                <w:rFonts w:eastAsia="Times New Roman"/>
                <w:color w:val="000000"/>
                <w:sz w:val="20"/>
                <w:szCs w:val="20"/>
                <w:lang w:eastAsia="es-PE"/>
              </w:rPr>
            </w:pPr>
            <w:r w:rsidRPr="009C515A">
              <w:rPr>
                <w:rFonts w:eastAsia="Times New Roman"/>
                <w:color w:val="000000"/>
                <w:sz w:val="20"/>
                <w:szCs w:val="20"/>
                <w:lang w:eastAsia="es-PE"/>
              </w:rPr>
              <w:t>TA</w:t>
            </w:r>
            <w:r w:rsidR="0074737E" w:rsidRPr="009C515A">
              <w:rPr>
                <w:rFonts w:eastAsia="Times New Roman"/>
                <w:color w:val="000000"/>
                <w:sz w:val="20"/>
                <w:szCs w:val="20"/>
                <w:lang w:eastAsia="es-PE"/>
              </w:rPr>
              <w:t>s</w:t>
            </w:r>
            <w:r w:rsidRPr="009C515A">
              <w:rPr>
                <w:rFonts w:eastAsia="Times New Roman"/>
                <w:color w:val="000000"/>
                <w:sz w:val="20"/>
                <w:szCs w:val="20"/>
                <w:lang w:eastAsia="es-PE"/>
              </w:rPr>
              <w:t xml:space="preserve"> for public financial management (PFM) strengthening activities is aimed at addressing PFM bottlenecks,</w:t>
            </w:r>
            <w:r w:rsidR="009C515A">
              <w:rPr>
                <w:rFonts w:eastAsia="Times New Roman"/>
                <w:color w:val="000000"/>
                <w:sz w:val="20"/>
                <w:szCs w:val="20"/>
                <w:lang w:eastAsia="es-PE"/>
              </w:rPr>
              <w:t xml:space="preserve"> </w:t>
            </w:r>
            <w:r w:rsidR="00001F82" w:rsidRPr="009C515A">
              <w:rPr>
                <w:rFonts w:eastAsia="Times New Roman"/>
                <w:color w:val="000000"/>
                <w:sz w:val="20"/>
                <w:szCs w:val="20"/>
                <w:lang w:eastAsia="es-PE"/>
              </w:rPr>
              <w:t>d</w:t>
            </w:r>
            <w:r w:rsidRPr="009C515A">
              <w:rPr>
                <w:rFonts w:eastAsia="Times New Roman"/>
                <w:color w:val="000000"/>
                <w:sz w:val="20"/>
                <w:szCs w:val="20"/>
                <w:lang w:eastAsia="es-PE"/>
              </w:rPr>
              <w:t>eveloping tools and processes building on existing expenditure tracking activities, including BETA tracking of funding sources (domestic and external) to improve the transparency of funding flows to all stakeholders</w:t>
            </w:r>
            <w:r w:rsidR="0074737E" w:rsidRPr="009C515A">
              <w:rPr>
                <w:rFonts w:eastAsia="Times New Roman"/>
                <w:color w:val="000000"/>
                <w:sz w:val="20"/>
                <w:szCs w:val="20"/>
                <w:lang w:eastAsia="es-PE"/>
              </w:rPr>
              <w:t xml:space="preserve">. They will also encompass capacity building on the planning and budgeting process (AOP) which includes for vaccines, both with Ministry and DPs, </w:t>
            </w:r>
            <w:r w:rsidR="00DA1EF3" w:rsidRPr="009C515A">
              <w:rPr>
                <w:rFonts w:eastAsia="Times New Roman"/>
                <w:color w:val="000000"/>
                <w:sz w:val="20"/>
                <w:szCs w:val="20"/>
                <w:lang w:eastAsia="es-PE"/>
              </w:rPr>
              <w:t>adherence</w:t>
            </w:r>
            <w:r w:rsidR="0074737E" w:rsidRPr="009C515A">
              <w:rPr>
                <w:rFonts w:eastAsia="Times New Roman"/>
                <w:color w:val="000000"/>
                <w:sz w:val="20"/>
                <w:szCs w:val="20"/>
                <w:lang w:eastAsia="es-PE"/>
              </w:rPr>
              <w:t xml:space="preserve"> to co-financing agreements for vaccine as well as considering improving commitments of domestic financing to vaccine procurement</w:t>
            </w:r>
            <w:r w:rsidR="0055727A" w:rsidRPr="009C515A">
              <w:rPr>
                <w:rFonts w:eastAsia="Times New Roman"/>
                <w:color w:val="000000"/>
                <w:sz w:val="20"/>
                <w:szCs w:val="20"/>
                <w:lang w:eastAsia="es-PE"/>
              </w:rPr>
              <w:t xml:space="preserve"> and i</w:t>
            </w:r>
            <w:r w:rsidR="0074737E" w:rsidRPr="009C515A">
              <w:rPr>
                <w:rFonts w:eastAsia="Times New Roman"/>
                <w:color w:val="000000"/>
                <w:sz w:val="20"/>
                <w:szCs w:val="20"/>
                <w:lang w:eastAsia="es-PE"/>
              </w:rPr>
              <w:t xml:space="preserve">ntegration of vaccine cost pressures into the </w:t>
            </w:r>
            <w:r w:rsidR="007D272D" w:rsidRPr="009C515A">
              <w:rPr>
                <w:rFonts w:eastAsia="Times New Roman"/>
                <w:color w:val="000000"/>
                <w:sz w:val="20"/>
                <w:szCs w:val="20"/>
                <w:lang w:eastAsia="es-PE"/>
              </w:rPr>
              <w:t>Medium-Term</w:t>
            </w:r>
            <w:r w:rsidR="0074737E" w:rsidRPr="009C515A">
              <w:rPr>
                <w:rFonts w:eastAsia="Times New Roman"/>
                <w:color w:val="000000"/>
                <w:sz w:val="20"/>
                <w:szCs w:val="20"/>
                <w:lang w:eastAsia="es-PE"/>
              </w:rPr>
              <w:t xml:space="preserve"> Expenditure Frameworks for health</w:t>
            </w:r>
            <w:r w:rsidR="00F27461" w:rsidRPr="009C515A">
              <w:rPr>
                <w:rFonts w:eastAsia="Times New Roman"/>
                <w:color w:val="000000"/>
                <w:sz w:val="20"/>
                <w:szCs w:val="20"/>
                <w:lang w:eastAsia="es-PE"/>
              </w:rPr>
              <w:t>.</w:t>
            </w:r>
          </w:p>
          <w:p w14:paraId="65A5C288" w14:textId="77777777" w:rsidR="007D272D" w:rsidRPr="009C515A" w:rsidRDefault="007D272D" w:rsidP="0024749C">
            <w:pPr>
              <w:spacing w:after="160" w:line="259" w:lineRule="auto"/>
              <w:contextualSpacing/>
              <w:rPr>
                <w:rFonts w:eastAsia="Times New Roman"/>
                <w:color w:val="000000"/>
                <w:sz w:val="20"/>
                <w:szCs w:val="20"/>
                <w:lang w:eastAsia="es-PE"/>
              </w:rPr>
            </w:pPr>
          </w:p>
          <w:p w14:paraId="2D1F1C71" w14:textId="41A99455" w:rsidR="00372D1F" w:rsidRPr="009C515A" w:rsidRDefault="00BD39C9" w:rsidP="00001F82">
            <w:pPr>
              <w:spacing w:after="160" w:line="259" w:lineRule="auto"/>
              <w:contextualSpacing/>
              <w:rPr>
                <w:rFonts w:eastAsia="Times New Roman"/>
                <w:color w:val="000000"/>
                <w:sz w:val="20"/>
                <w:szCs w:val="20"/>
                <w:lang w:eastAsia="es-PE"/>
              </w:rPr>
            </w:pPr>
            <w:r w:rsidRPr="009C515A">
              <w:rPr>
                <w:rFonts w:eastAsia="Times New Roman"/>
                <w:color w:val="000000"/>
                <w:sz w:val="20"/>
                <w:szCs w:val="20"/>
                <w:lang w:eastAsia="es-PE"/>
              </w:rPr>
              <w:lastRenderedPageBreak/>
              <w:t xml:space="preserve">The Solomon Islands will transit from Gavi support by 2023, and SIG must prepare. TA will be required to assist SIG in </w:t>
            </w:r>
            <w:r w:rsidR="00061FF5" w:rsidRPr="009C515A">
              <w:rPr>
                <w:rFonts w:eastAsia="Times New Roman"/>
                <w:color w:val="000000"/>
                <w:sz w:val="20"/>
                <w:szCs w:val="20"/>
                <w:lang w:eastAsia="es-PE"/>
              </w:rPr>
              <w:t xml:space="preserve">integrating transition activities into National Immunisation Plans. </w:t>
            </w:r>
          </w:p>
          <w:p w14:paraId="778B9332" w14:textId="7CDF17F1" w:rsidR="000952F7" w:rsidRPr="009C515A" w:rsidRDefault="000952F7" w:rsidP="00CB5C96">
            <w:pPr>
              <w:spacing w:after="160" w:line="259" w:lineRule="auto"/>
              <w:contextualSpacing/>
              <w:rPr>
                <w:rFonts w:eastAsia="Times New Roman"/>
                <w:color w:val="000000"/>
                <w:sz w:val="20"/>
                <w:szCs w:val="20"/>
                <w:lang w:eastAsia="es-PE"/>
              </w:rPr>
            </w:pPr>
            <w:r w:rsidRPr="009C515A">
              <w:rPr>
                <w:rFonts w:eastAsia="Times New Roman"/>
                <w:color w:val="000000"/>
                <w:sz w:val="20"/>
                <w:szCs w:val="20"/>
                <w:lang w:eastAsia="es-PE"/>
              </w:rPr>
              <w:t xml:space="preserve">A plan of this transition will need to be developed, which among various other things, will also need to outline what financing will be needed from </w:t>
            </w:r>
            <w:r w:rsidR="00773AAA" w:rsidRPr="009C515A">
              <w:rPr>
                <w:rFonts w:eastAsia="Times New Roman"/>
                <w:color w:val="000000"/>
                <w:sz w:val="20"/>
                <w:szCs w:val="20"/>
                <w:lang w:eastAsia="es-PE"/>
              </w:rPr>
              <w:t>Government. To</w:t>
            </w:r>
            <w:r w:rsidRPr="009C515A">
              <w:rPr>
                <w:rFonts w:eastAsia="Times New Roman"/>
                <w:color w:val="000000"/>
                <w:sz w:val="20"/>
                <w:szCs w:val="20"/>
                <w:lang w:eastAsia="es-PE"/>
              </w:rPr>
              <w:t xml:space="preserve"> support these efforts, the specific technical assistance to the EPI program will focus on:</w:t>
            </w:r>
            <w:r w:rsidR="00773AAA" w:rsidRPr="009C515A">
              <w:rPr>
                <w:rFonts w:eastAsia="Times New Roman"/>
                <w:color w:val="000000"/>
                <w:sz w:val="20"/>
                <w:szCs w:val="20"/>
                <w:lang w:eastAsia="es-PE"/>
              </w:rPr>
              <w:t xml:space="preserve"> </w:t>
            </w:r>
            <w:r w:rsidRPr="009C515A">
              <w:rPr>
                <w:rFonts w:eastAsia="Times New Roman"/>
                <w:color w:val="000000"/>
                <w:sz w:val="20"/>
                <w:szCs w:val="20"/>
                <w:lang w:eastAsia="es-PE"/>
              </w:rPr>
              <w:t xml:space="preserve">Actively engage with GAVI and other Partners to support the transition planning process and engage in high level dialogue on health financing and the impact this transition will have on domestic health financing and budgets; Engage with the MHMS during the annual budgeting process to </w:t>
            </w:r>
            <w:r w:rsidR="00773AAA" w:rsidRPr="009C515A">
              <w:rPr>
                <w:rFonts w:eastAsia="Times New Roman"/>
                <w:color w:val="000000"/>
                <w:sz w:val="20"/>
                <w:szCs w:val="20"/>
                <w:lang w:eastAsia="es-PE"/>
              </w:rPr>
              <w:t>highlight</w:t>
            </w:r>
            <w:r w:rsidRPr="009C515A">
              <w:rPr>
                <w:rFonts w:eastAsia="Times New Roman"/>
                <w:color w:val="000000"/>
                <w:sz w:val="20"/>
                <w:szCs w:val="20"/>
                <w:lang w:eastAsia="es-PE"/>
              </w:rPr>
              <w:t xml:space="preserve"> the need for increased domestic resourcing for procurement and co-financing of vaccines, as well ensure that this is </w:t>
            </w:r>
            <w:r w:rsidR="00773AAA" w:rsidRPr="009C515A">
              <w:rPr>
                <w:rFonts w:eastAsia="Times New Roman"/>
                <w:color w:val="000000"/>
                <w:sz w:val="20"/>
                <w:szCs w:val="20"/>
                <w:lang w:eastAsia="es-PE"/>
              </w:rPr>
              <w:t>highlighted</w:t>
            </w:r>
            <w:r w:rsidRPr="009C515A">
              <w:rPr>
                <w:rFonts w:eastAsia="Times New Roman"/>
                <w:color w:val="000000"/>
                <w:sz w:val="20"/>
                <w:szCs w:val="20"/>
                <w:lang w:eastAsia="es-PE"/>
              </w:rPr>
              <w:t xml:space="preserve"> in the joint medium term expenditure pressures (MTEP) and budget expenditure trend analysis (BETA); and</w:t>
            </w:r>
            <w:r w:rsidR="00773AAA" w:rsidRPr="009C515A">
              <w:rPr>
                <w:rFonts w:eastAsia="Times New Roman"/>
                <w:color w:val="000000"/>
                <w:sz w:val="20"/>
                <w:szCs w:val="20"/>
                <w:lang w:eastAsia="es-PE"/>
              </w:rPr>
              <w:t xml:space="preserve"> s</w:t>
            </w:r>
            <w:r w:rsidRPr="009C515A">
              <w:rPr>
                <w:rFonts w:eastAsia="Times New Roman"/>
                <w:color w:val="000000"/>
                <w:sz w:val="20"/>
                <w:szCs w:val="20"/>
                <w:lang w:eastAsia="es-PE"/>
              </w:rPr>
              <w:t>upport the Ministry and working with other partners, try to identify how key barriers can be addressed and opportunities harnessed to enable moving funding from off-system to on-system as part of strengthening the country’s public financial management systems, improving financial reporting of the immunization program, and improving the financing of the immunization program at the provincial levels.</w:t>
            </w:r>
          </w:p>
          <w:p w14:paraId="7D9A0BA9" w14:textId="3EE9DF0F" w:rsidR="000952F7" w:rsidRPr="009C515A" w:rsidRDefault="000952F7" w:rsidP="00001F82">
            <w:pPr>
              <w:spacing w:after="160" w:line="259" w:lineRule="auto"/>
              <w:contextualSpacing/>
              <w:rPr>
                <w:color w:val="92D050"/>
                <w:sz w:val="20"/>
                <w:szCs w:val="20"/>
                <w:lang w:val="en-GB"/>
              </w:rPr>
            </w:pPr>
          </w:p>
        </w:tc>
      </w:tr>
      <w:tr w:rsidR="0071439C" w:rsidRPr="009C515A" w14:paraId="0D9AF231" w14:textId="77777777" w:rsidTr="007B53D1">
        <w:tc>
          <w:tcPr>
            <w:tcW w:w="9192" w:type="dxa"/>
            <w:tcBorders>
              <w:top w:val="single" w:sz="4" w:space="0" w:color="auto"/>
              <w:bottom w:val="single" w:sz="4" w:space="0" w:color="auto"/>
            </w:tcBorders>
            <w:shd w:val="clear" w:color="auto" w:fill="F2F2F2" w:themeFill="background1" w:themeFillShade="F2"/>
          </w:tcPr>
          <w:p w14:paraId="14533925" w14:textId="50C71BD7" w:rsidR="00E165B4" w:rsidRPr="009C515A" w:rsidRDefault="0071439C" w:rsidP="00CE1F57">
            <w:pPr>
              <w:pStyle w:val="ListParagraph"/>
              <w:numPr>
                <w:ilvl w:val="1"/>
                <w:numId w:val="4"/>
              </w:numPr>
              <w:spacing w:line="300" w:lineRule="exact"/>
              <w:ind w:left="316" w:hanging="316"/>
              <w:rPr>
                <w:b/>
                <w:bCs/>
                <w:i/>
                <w:iCs/>
                <w:sz w:val="20"/>
                <w:szCs w:val="20"/>
              </w:rPr>
            </w:pPr>
            <w:r w:rsidRPr="009C515A">
              <w:rPr>
                <w:b/>
                <w:bCs/>
                <w:i/>
                <w:iCs/>
                <w:sz w:val="20"/>
                <w:szCs w:val="20"/>
              </w:rPr>
              <w:lastRenderedPageBreak/>
              <w:t xml:space="preserve">How </w:t>
            </w:r>
            <w:r w:rsidR="00BE4270" w:rsidRPr="009C515A">
              <w:rPr>
                <w:b/>
                <w:bCs/>
                <w:i/>
                <w:iCs/>
                <w:sz w:val="20"/>
                <w:szCs w:val="20"/>
              </w:rPr>
              <w:t xml:space="preserve">will </w:t>
            </w:r>
            <w:r w:rsidR="00120AAE" w:rsidRPr="009C515A">
              <w:rPr>
                <w:b/>
                <w:bCs/>
                <w:i/>
                <w:iCs/>
                <w:sz w:val="20"/>
                <w:szCs w:val="20"/>
              </w:rPr>
              <w:t>the requested TCA support advance</w:t>
            </w:r>
            <w:r w:rsidR="00257A1B" w:rsidRPr="009C515A">
              <w:rPr>
                <w:b/>
                <w:bCs/>
                <w:i/>
                <w:iCs/>
                <w:sz w:val="20"/>
                <w:szCs w:val="20"/>
              </w:rPr>
              <w:t xml:space="preserve"> </w:t>
            </w:r>
            <w:r w:rsidR="00393D45" w:rsidRPr="009C515A">
              <w:rPr>
                <w:b/>
                <w:bCs/>
                <w:i/>
                <w:iCs/>
                <w:sz w:val="20"/>
                <w:szCs w:val="20"/>
              </w:rPr>
              <w:t xml:space="preserve">Gavi's 5.0 mission </w:t>
            </w:r>
            <w:r w:rsidR="00A95F01" w:rsidRPr="009C515A">
              <w:rPr>
                <w:b/>
                <w:bCs/>
                <w:i/>
                <w:iCs/>
                <w:sz w:val="20"/>
                <w:szCs w:val="20"/>
              </w:rPr>
              <w:t>per the country</w:t>
            </w:r>
            <w:r w:rsidR="008447E6" w:rsidRPr="009C515A">
              <w:rPr>
                <w:b/>
                <w:bCs/>
                <w:i/>
                <w:iCs/>
                <w:sz w:val="20"/>
                <w:szCs w:val="20"/>
              </w:rPr>
              <w:t>'</w:t>
            </w:r>
            <w:r w:rsidR="00A95F01" w:rsidRPr="009C515A">
              <w:rPr>
                <w:b/>
                <w:bCs/>
                <w:i/>
                <w:iCs/>
                <w:sz w:val="20"/>
                <w:szCs w:val="20"/>
              </w:rPr>
              <w:t xml:space="preserve">s context </w:t>
            </w:r>
            <w:r w:rsidR="00296E78" w:rsidRPr="009C515A">
              <w:rPr>
                <w:b/>
                <w:bCs/>
                <w:i/>
                <w:iCs/>
                <w:sz w:val="20"/>
                <w:szCs w:val="20"/>
              </w:rPr>
              <w:t>with focus</w:t>
            </w:r>
            <w:r w:rsidR="004435AF" w:rsidRPr="009C515A">
              <w:rPr>
                <w:b/>
                <w:bCs/>
                <w:i/>
                <w:iCs/>
                <w:sz w:val="20"/>
                <w:szCs w:val="20"/>
              </w:rPr>
              <w:t xml:space="preserve"> on</w:t>
            </w:r>
            <w:r w:rsidR="00E165B4" w:rsidRPr="009C515A">
              <w:rPr>
                <w:b/>
                <w:bCs/>
                <w:i/>
                <w:iCs/>
                <w:sz w:val="20"/>
                <w:szCs w:val="20"/>
              </w:rPr>
              <w:t>:</w:t>
            </w:r>
          </w:p>
          <w:p w14:paraId="2112DA8C" w14:textId="427D12AB" w:rsidR="00544D9B" w:rsidRPr="009C515A" w:rsidRDefault="00544D9B" w:rsidP="00CE1F57">
            <w:pPr>
              <w:pStyle w:val="ListParagraph"/>
              <w:numPr>
                <w:ilvl w:val="0"/>
                <w:numId w:val="5"/>
              </w:numPr>
              <w:spacing w:line="300" w:lineRule="exact"/>
              <w:ind w:left="741"/>
              <w:rPr>
                <w:b/>
                <w:bCs/>
                <w:i/>
                <w:iCs/>
                <w:sz w:val="20"/>
                <w:szCs w:val="20"/>
              </w:rPr>
            </w:pPr>
            <w:r w:rsidRPr="009C515A">
              <w:rPr>
                <w:b/>
                <w:bCs/>
                <w:i/>
                <w:iCs/>
                <w:sz w:val="20"/>
                <w:szCs w:val="20"/>
              </w:rPr>
              <w:t xml:space="preserve">identifying </w:t>
            </w:r>
            <w:r w:rsidR="00393D45" w:rsidRPr="009C515A">
              <w:rPr>
                <w:b/>
                <w:bCs/>
                <w:i/>
                <w:iCs/>
                <w:sz w:val="20"/>
                <w:szCs w:val="20"/>
              </w:rPr>
              <w:t xml:space="preserve">and reaching zero-dose </w:t>
            </w:r>
            <w:r w:rsidR="00A95F01" w:rsidRPr="009C515A">
              <w:rPr>
                <w:b/>
                <w:bCs/>
                <w:i/>
                <w:iCs/>
                <w:sz w:val="20"/>
                <w:szCs w:val="20"/>
              </w:rPr>
              <w:t xml:space="preserve">and </w:t>
            </w:r>
            <w:r w:rsidRPr="009C515A">
              <w:rPr>
                <w:b/>
                <w:bCs/>
                <w:i/>
                <w:iCs/>
                <w:sz w:val="20"/>
                <w:szCs w:val="20"/>
              </w:rPr>
              <w:t xml:space="preserve">consistently </w:t>
            </w:r>
            <w:r w:rsidR="00A95F01" w:rsidRPr="009C515A">
              <w:rPr>
                <w:b/>
                <w:bCs/>
                <w:i/>
                <w:iCs/>
                <w:sz w:val="20"/>
                <w:szCs w:val="20"/>
              </w:rPr>
              <w:t xml:space="preserve">missed </w:t>
            </w:r>
            <w:r w:rsidRPr="009C515A">
              <w:rPr>
                <w:b/>
                <w:bCs/>
                <w:i/>
                <w:iCs/>
                <w:sz w:val="20"/>
                <w:szCs w:val="20"/>
              </w:rPr>
              <w:t xml:space="preserve">children </w:t>
            </w:r>
            <w:r w:rsidR="002C0185" w:rsidRPr="009C515A">
              <w:rPr>
                <w:b/>
                <w:bCs/>
                <w:i/>
                <w:iCs/>
                <w:sz w:val="20"/>
                <w:szCs w:val="20"/>
              </w:rPr>
              <w:t>and communities</w:t>
            </w:r>
            <w:r w:rsidRPr="009C515A">
              <w:rPr>
                <w:b/>
                <w:bCs/>
                <w:i/>
                <w:iCs/>
                <w:sz w:val="20"/>
                <w:szCs w:val="20"/>
              </w:rPr>
              <w:t>;</w:t>
            </w:r>
          </w:p>
          <w:p w14:paraId="6B56EB6C" w14:textId="77777777" w:rsidR="00544D9B" w:rsidRPr="009C515A" w:rsidRDefault="00544D9B" w:rsidP="00CE1F57">
            <w:pPr>
              <w:pStyle w:val="ListParagraph"/>
              <w:numPr>
                <w:ilvl w:val="0"/>
                <w:numId w:val="5"/>
              </w:numPr>
              <w:spacing w:line="300" w:lineRule="exact"/>
              <w:ind w:left="741"/>
              <w:rPr>
                <w:b/>
                <w:bCs/>
                <w:i/>
                <w:iCs/>
                <w:sz w:val="20"/>
                <w:szCs w:val="20"/>
              </w:rPr>
            </w:pPr>
            <w:r w:rsidRPr="009C515A">
              <w:rPr>
                <w:b/>
                <w:bCs/>
                <w:i/>
                <w:iCs/>
                <w:sz w:val="20"/>
                <w:szCs w:val="20"/>
              </w:rPr>
              <w:t>improving</w:t>
            </w:r>
            <w:r w:rsidR="001B19F2" w:rsidRPr="009C515A">
              <w:rPr>
                <w:b/>
                <w:bCs/>
                <w:i/>
                <w:iCs/>
                <w:sz w:val="20"/>
                <w:szCs w:val="20"/>
              </w:rPr>
              <w:t xml:space="preserve"> </w:t>
            </w:r>
            <w:r w:rsidR="00316DE0" w:rsidRPr="009C515A">
              <w:rPr>
                <w:b/>
                <w:bCs/>
                <w:i/>
                <w:iCs/>
                <w:sz w:val="20"/>
                <w:szCs w:val="20"/>
              </w:rPr>
              <w:t>stock reporting and vaccine management at sub-national level</w:t>
            </w:r>
            <w:r w:rsidRPr="009C515A">
              <w:rPr>
                <w:b/>
                <w:bCs/>
                <w:i/>
                <w:iCs/>
                <w:sz w:val="20"/>
                <w:szCs w:val="20"/>
              </w:rPr>
              <w:t>;</w:t>
            </w:r>
          </w:p>
          <w:p w14:paraId="009281C7" w14:textId="77777777" w:rsidR="00544D9B" w:rsidRPr="009C515A" w:rsidRDefault="00544D9B" w:rsidP="00CE1F57">
            <w:pPr>
              <w:pStyle w:val="ListParagraph"/>
              <w:numPr>
                <w:ilvl w:val="0"/>
                <w:numId w:val="5"/>
              </w:numPr>
              <w:spacing w:line="300" w:lineRule="exact"/>
              <w:ind w:left="741"/>
              <w:rPr>
                <w:b/>
                <w:bCs/>
                <w:i/>
                <w:iCs/>
                <w:sz w:val="20"/>
                <w:szCs w:val="20"/>
              </w:rPr>
            </w:pPr>
            <w:r w:rsidRPr="009C515A">
              <w:rPr>
                <w:b/>
                <w:bCs/>
                <w:i/>
                <w:iCs/>
                <w:sz w:val="20"/>
                <w:szCs w:val="20"/>
              </w:rPr>
              <w:t>enhancing</w:t>
            </w:r>
            <w:r w:rsidR="00316DE0" w:rsidRPr="009C515A">
              <w:rPr>
                <w:b/>
                <w:bCs/>
                <w:i/>
                <w:iCs/>
                <w:sz w:val="20"/>
                <w:szCs w:val="20"/>
              </w:rPr>
              <w:t xml:space="preserve"> stron</w:t>
            </w:r>
            <w:r w:rsidR="00F45522" w:rsidRPr="009C515A">
              <w:rPr>
                <w:b/>
                <w:bCs/>
                <w:i/>
                <w:iCs/>
                <w:sz w:val="20"/>
                <w:szCs w:val="20"/>
              </w:rPr>
              <w:t>g leadership, management and coordination</w:t>
            </w:r>
            <w:r w:rsidRPr="009C515A">
              <w:rPr>
                <w:b/>
                <w:bCs/>
                <w:i/>
                <w:iCs/>
                <w:sz w:val="20"/>
                <w:szCs w:val="20"/>
              </w:rPr>
              <w:t>, including use of data for decision-making;</w:t>
            </w:r>
          </w:p>
          <w:p w14:paraId="35EE3F38" w14:textId="2CC43B41" w:rsidR="00532C23" w:rsidRPr="009C515A" w:rsidRDefault="009912B7" w:rsidP="00CE1F57">
            <w:pPr>
              <w:pStyle w:val="ListParagraph"/>
              <w:numPr>
                <w:ilvl w:val="0"/>
                <w:numId w:val="5"/>
              </w:numPr>
              <w:spacing w:line="300" w:lineRule="exact"/>
              <w:ind w:left="741"/>
              <w:rPr>
                <w:b/>
                <w:i/>
                <w:sz w:val="20"/>
                <w:szCs w:val="20"/>
              </w:rPr>
            </w:pPr>
            <w:r w:rsidRPr="009C515A">
              <w:rPr>
                <w:b/>
                <w:bCs/>
                <w:i/>
                <w:iCs/>
                <w:sz w:val="20"/>
                <w:szCs w:val="20"/>
              </w:rPr>
              <w:t xml:space="preserve">introduction and scale up of </w:t>
            </w:r>
            <w:r w:rsidR="00E75616" w:rsidRPr="009C515A">
              <w:rPr>
                <w:b/>
                <w:bCs/>
                <w:i/>
                <w:iCs/>
                <w:sz w:val="20"/>
                <w:szCs w:val="20"/>
              </w:rPr>
              <w:t>vaccines</w:t>
            </w:r>
            <w:r w:rsidR="001708D2" w:rsidRPr="009C515A">
              <w:rPr>
                <w:b/>
                <w:bCs/>
                <w:i/>
                <w:iCs/>
                <w:sz w:val="20"/>
                <w:szCs w:val="20"/>
              </w:rPr>
              <w:t>;</w:t>
            </w:r>
          </w:p>
          <w:p w14:paraId="1DC79B3B" w14:textId="2E55360D" w:rsidR="0071439C" w:rsidRPr="009C515A" w:rsidRDefault="00532C23" w:rsidP="00CE1F57">
            <w:pPr>
              <w:pStyle w:val="ListParagraph"/>
              <w:numPr>
                <w:ilvl w:val="0"/>
                <w:numId w:val="5"/>
              </w:numPr>
              <w:spacing w:line="300" w:lineRule="exact"/>
              <w:ind w:left="741"/>
              <w:rPr>
                <w:b/>
                <w:i/>
                <w:sz w:val="20"/>
                <w:szCs w:val="20"/>
              </w:rPr>
            </w:pPr>
            <w:r w:rsidRPr="009C515A">
              <w:rPr>
                <w:b/>
                <w:bCs/>
                <w:i/>
                <w:iCs/>
                <w:sz w:val="20"/>
                <w:szCs w:val="20"/>
              </w:rPr>
              <w:t>programm</w:t>
            </w:r>
            <w:r w:rsidR="00D740FF" w:rsidRPr="009C515A">
              <w:rPr>
                <w:b/>
                <w:bCs/>
                <w:i/>
                <w:iCs/>
                <w:sz w:val="20"/>
                <w:szCs w:val="20"/>
              </w:rPr>
              <w:t>a</w:t>
            </w:r>
            <w:r w:rsidR="0034188F" w:rsidRPr="009C515A">
              <w:rPr>
                <w:b/>
                <w:bCs/>
                <w:i/>
                <w:iCs/>
                <w:sz w:val="20"/>
                <w:szCs w:val="20"/>
              </w:rPr>
              <w:t>tic sustainability</w:t>
            </w:r>
            <w:r w:rsidR="00544D9B" w:rsidRPr="009C515A">
              <w:rPr>
                <w:b/>
                <w:bCs/>
                <w:i/>
                <w:iCs/>
                <w:sz w:val="20"/>
                <w:szCs w:val="20"/>
              </w:rPr>
              <w:t>.</w:t>
            </w:r>
          </w:p>
        </w:tc>
      </w:tr>
      <w:tr w:rsidR="0071439C" w:rsidRPr="009C515A" w14:paraId="0A3FAE65" w14:textId="77777777" w:rsidTr="007B53D1">
        <w:tc>
          <w:tcPr>
            <w:tcW w:w="9192" w:type="dxa"/>
            <w:tcBorders>
              <w:top w:val="single" w:sz="4" w:space="0" w:color="auto"/>
              <w:left w:val="single" w:sz="4" w:space="0" w:color="auto"/>
              <w:bottom w:val="single" w:sz="4" w:space="0" w:color="auto"/>
              <w:right w:val="single" w:sz="4" w:space="0" w:color="auto"/>
            </w:tcBorders>
          </w:tcPr>
          <w:p w14:paraId="22016528" w14:textId="258EAC8C" w:rsidR="00F35446" w:rsidRDefault="00F35446" w:rsidP="00F35446">
            <w:pPr>
              <w:pStyle w:val="ListParagraph"/>
              <w:spacing w:line="240" w:lineRule="auto"/>
              <w:ind w:left="67"/>
              <w:rPr>
                <w:rFonts w:eastAsia="Times New Roman"/>
                <w:color w:val="000000"/>
                <w:sz w:val="20"/>
                <w:szCs w:val="20"/>
                <w:lang w:eastAsia="es-PE"/>
              </w:rPr>
            </w:pPr>
            <w:bookmarkStart w:id="3" w:name="_Hlk103839178"/>
            <w:r w:rsidRPr="009C515A">
              <w:rPr>
                <w:rFonts w:eastAsia="Times New Roman"/>
                <w:color w:val="000000"/>
                <w:sz w:val="20"/>
                <w:szCs w:val="20"/>
                <w:lang w:eastAsia="es-PE"/>
              </w:rPr>
              <w:t>Service Delivery for immunization will need to be continuously supported to provide regular and reliable immunization sessions, including outreach, for targeted individuals, particularly zero-dose and consistently missed children and communities, packaged as part of integrated health services. Such interventions will need to be further fine-tuned, and new context-specific innovations might be developed following the ZD analysis. The suitable technical expertise provided at the critical positions of the national program through the requested TA could be expected to improve LMC and assist in the use of data for decision-making. TA support to enhance the existing stock management capacity will enable addressing existing issues on stock reporting and vaccine management at all levels.</w:t>
            </w:r>
          </w:p>
          <w:p w14:paraId="6D7E3559" w14:textId="77777777" w:rsidR="009C515A" w:rsidRPr="009C515A" w:rsidRDefault="009C515A" w:rsidP="00F35446">
            <w:pPr>
              <w:pStyle w:val="ListParagraph"/>
              <w:spacing w:line="240" w:lineRule="auto"/>
              <w:ind w:left="67"/>
              <w:rPr>
                <w:rFonts w:eastAsia="Times New Roman"/>
                <w:color w:val="000000"/>
                <w:sz w:val="20"/>
                <w:szCs w:val="20"/>
                <w:lang w:eastAsia="es-PE"/>
              </w:rPr>
            </w:pPr>
          </w:p>
          <w:p w14:paraId="2A92730B" w14:textId="77777777" w:rsidR="00F35446" w:rsidRPr="009C515A" w:rsidRDefault="00F35446" w:rsidP="00F35446">
            <w:pPr>
              <w:pStyle w:val="ListParagraph"/>
              <w:spacing w:line="240" w:lineRule="auto"/>
              <w:ind w:left="67"/>
              <w:rPr>
                <w:rFonts w:eastAsia="Times New Roman"/>
                <w:color w:val="000000"/>
                <w:sz w:val="20"/>
                <w:szCs w:val="20"/>
                <w:lang w:eastAsia="es-PE"/>
              </w:rPr>
            </w:pPr>
            <w:r w:rsidRPr="009C515A">
              <w:rPr>
                <w:rFonts w:eastAsia="Times New Roman"/>
                <w:color w:val="000000"/>
                <w:sz w:val="20"/>
                <w:szCs w:val="20"/>
                <w:lang w:eastAsia="es-PE"/>
              </w:rPr>
              <w:t xml:space="preserve">The short term </w:t>
            </w:r>
            <w:proofErr w:type="gramStart"/>
            <w:r w:rsidRPr="009C515A">
              <w:rPr>
                <w:rFonts w:eastAsia="Times New Roman"/>
                <w:color w:val="000000"/>
                <w:sz w:val="20"/>
                <w:szCs w:val="20"/>
                <w:lang w:eastAsia="es-PE"/>
              </w:rPr>
              <w:t>TA  for</w:t>
            </w:r>
            <w:proofErr w:type="gramEnd"/>
            <w:r w:rsidRPr="009C515A">
              <w:rPr>
                <w:rFonts w:eastAsia="Times New Roman"/>
                <w:color w:val="000000"/>
                <w:sz w:val="20"/>
                <w:szCs w:val="20"/>
                <w:lang w:eastAsia="es-PE"/>
              </w:rPr>
              <w:t xml:space="preserve"> an EPI Review will be expected to increase the understanding of the current bottlenecks in the program. Developing a multi-year National Immunization Plan and other TAs would further streamline and strengthen immunization coverage, AEFFI and VPD surveillance. </w:t>
            </w:r>
          </w:p>
          <w:p w14:paraId="4F5439B9" w14:textId="1DD183E8" w:rsidR="00F35446" w:rsidRDefault="00F35446" w:rsidP="00F35446">
            <w:pPr>
              <w:pStyle w:val="ListParagraph"/>
              <w:spacing w:line="240" w:lineRule="auto"/>
              <w:ind w:left="67"/>
              <w:rPr>
                <w:rFonts w:eastAsia="Times New Roman"/>
                <w:color w:val="000000"/>
                <w:sz w:val="20"/>
                <w:szCs w:val="20"/>
                <w:lang w:eastAsia="es-PE"/>
              </w:rPr>
            </w:pPr>
            <w:r w:rsidRPr="009C515A">
              <w:rPr>
                <w:rFonts w:eastAsia="Times New Roman"/>
                <w:color w:val="000000"/>
                <w:sz w:val="20"/>
                <w:szCs w:val="20"/>
                <w:lang w:eastAsia="es-PE"/>
              </w:rPr>
              <w:t xml:space="preserve">TA component is identified as required to provide support to coordinate and strengthen partnerships between development partners and the Government, including technical support to the MHMS Partnership Coordination Unit, to overcome the delays and obstacles in the previous GAVI agreement. Continuous TA, throughout this grant, is requested to provide support Health System to deliver for the Immunization Program, including Annual Operational Planning at the national and sub-national levels. The continuous short-term TA must support the Human Resources strategy and health workforce development by mapping against target populations, including zero-dose and under-immunized children. Ongoing TA is needed to strengthen systems for the use of data to improve programmatic performance and reach zero-dose children and routine facility reporting ensuring capacity strengthening and addressing critical gaps, thus contributing to programme sustainability. </w:t>
            </w:r>
          </w:p>
          <w:p w14:paraId="09BE1667" w14:textId="77777777" w:rsidR="009C515A" w:rsidRPr="009C515A" w:rsidRDefault="009C515A" w:rsidP="00F35446">
            <w:pPr>
              <w:pStyle w:val="ListParagraph"/>
              <w:spacing w:line="240" w:lineRule="auto"/>
              <w:ind w:left="67"/>
              <w:rPr>
                <w:rFonts w:eastAsia="Times New Roman"/>
                <w:color w:val="000000"/>
                <w:sz w:val="20"/>
                <w:szCs w:val="20"/>
                <w:lang w:eastAsia="es-PE"/>
              </w:rPr>
            </w:pPr>
          </w:p>
          <w:p w14:paraId="7CD3C607" w14:textId="032E4DC3" w:rsidR="00F35446" w:rsidRPr="009C515A" w:rsidRDefault="00F35446" w:rsidP="00A3728C">
            <w:pPr>
              <w:pStyle w:val="ListParagraph"/>
              <w:spacing w:line="240" w:lineRule="auto"/>
              <w:ind w:left="67"/>
              <w:rPr>
                <w:rFonts w:eastAsia="Times New Roman"/>
                <w:color w:val="000000"/>
                <w:sz w:val="20"/>
                <w:szCs w:val="20"/>
                <w:lang w:eastAsia="es-PE"/>
              </w:rPr>
            </w:pPr>
            <w:r w:rsidRPr="009C515A">
              <w:rPr>
                <w:rFonts w:eastAsia="Times New Roman"/>
                <w:color w:val="000000"/>
                <w:sz w:val="20"/>
                <w:szCs w:val="20"/>
                <w:lang w:eastAsia="es-PE"/>
              </w:rPr>
              <w:t>TA will coordinate with partners/stakeholders and work closely with MHMS to provide technical guidance on the overall programme planning. It will contribute to the development of national immunization strategy, particularly in strengthening service delivery to zero-dose or under-</w:t>
            </w:r>
            <w:r w:rsidRPr="009C515A">
              <w:rPr>
                <w:rFonts w:eastAsia="Times New Roman"/>
                <w:color w:val="000000"/>
                <w:sz w:val="20"/>
                <w:szCs w:val="20"/>
                <w:lang w:eastAsia="es-PE"/>
              </w:rPr>
              <w:lastRenderedPageBreak/>
              <w:t xml:space="preserve">immunized children and improving vaccination coverage to reduce immunity gaps and prevent future outbreaks of vaccine-preventable diseases. It will include capacity building and mentoring of human resources to effectively carry out and manage the immunization programme. The TA will incorporate guidance and actions to maximize the efficiency of the supply chain and cold chain system and improve its accessibility, creating demand for immunization through stakeholders and community engagement and timely collection of high-quality information for immediate corrective action, decision making and programme planning direction.   </w:t>
            </w:r>
          </w:p>
          <w:p w14:paraId="200D74FE" w14:textId="77777777" w:rsidR="009C515A" w:rsidRDefault="009C515A" w:rsidP="00A3728C">
            <w:pPr>
              <w:pStyle w:val="ListParagraph"/>
              <w:spacing w:line="240" w:lineRule="auto"/>
              <w:ind w:left="67"/>
              <w:rPr>
                <w:rFonts w:eastAsia="Times New Roman"/>
                <w:color w:val="000000"/>
                <w:sz w:val="20"/>
                <w:szCs w:val="20"/>
                <w:lang w:eastAsia="es-PE"/>
              </w:rPr>
            </w:pPr>
          </w:p>
          <w:p w14:paraId="427E491A" w14:textId="62CAFB09" w:rsidR="0071439C" w:rsidRPr="009C515A" w:rsidRDefault="00F35446" w:rsidP="00A3728C">
            <w:pPr>
              <w:pStyle w:val="ListParagraph"/>
              <w:spacing w:line="240" w:lineRule="auto"/>
              <w:ind w:left="67"/>
              <w:rPr>
                <w:rFonts w:eastAsia="Times New Roman"/>
                <w:color w:val="000000"/>
                <w:sz w:val="20"/>
                <w:szCs w:val="20"/>
                <w:lang w:eastAsia="es-PE"/>
              </w:rPr>
            </w:pPr>
            <w:r w:rsidRPr="009C515A">
              <w:rPr>
                <w:rFonts w:eastAsia="Times New Roman"/>
                <w:color w:val="000000"/>
                <w:sz w:val="20"/>
                <w:szCs w:val="20"/>
                <w:lang w:eastAsia="es-PE"/>
              </w:rPr>
              <w:t>The Director-RMNCAH, the head of the immunization programme in SI, will be taking time off abroad for higher studies for two years. A new officer would take charge during the period, which coincides with the current TCA period. Most of the TAs requested above would also have indirect hand-holding assistance to mitigate any additional stress from the top-level changes to the programme and contribute to programme sustainability.</w:t>
            </w:r>
          </w:p>
          <w:p w14:paraId="44B4AFD9" w14:textId="77777777" w:rsidR="009C515A" w:rsidRDefault="009C515A" w:rsidP="00CB5C96">
            <w:pPr>
              <w:pStyle w:val="ListParagraph"/>
              <w:spacing w:line="240" w:lineRule="auto"/>
              <w:ind w:left="67"/>
              <w:rPr>
                <w:rFonts w:eastAsia="Times New Roman"/>
                <w:color w:val="000000"/>
                <w:sz w:val="20"/>
                <w:szCs w:val="20"/>
                <w:lang w:eastAsia="es-PE"/>
              </w:rPr>
            </w:pPr>
          </w:p>
          <w:p w14:paraId="0C49E76B" w14:textId="2377C45C" w:rsidR="00A3728C" w:rsidRPr="009C515A" w:rsidRDefault="00A3728C" w:rsidP="00CB5C96">
            <w:pPr>
              <w:pStyle w:val="ListParagraph"/>
              <w:spacing w:line="240" w:lineRule="auto"/>
              <w:ind w:left="67"/>
            </w:pPr>
            <w:r w:rsidRPr="009C515A">
              <w:rPr>
                <w:rFonts w:eastAsia="Times New Roman"/>
                <w:color w:val="000000"/>
                <w:sz w:val="20"/>
                <w:szCs w:val="20"/>
                <w:lang w:eastAsia="es-PE"/>
              </w:rPr>
              <w:t>Sustaining the programme without any deterioration beyond 2023 is also being considered. One of the critical aspects for maintaining services is a good HR plan. Under the umbrella of the development of the new NHSP (that is currently ongoing with GAVI support), one of the key aspects identified is development of the 10 year HR strategy for the Ministry, applying the lens of UHC and with accent on PHC. One of the deliverables by WHO would be this Plan.</w:t>
            </w:r>
          </w:p>
        </w:tc>
      </w:tr>
      <w:bookmarkEnd w:id="3"/>
      <w:tr w:rsidR="002E0882" w:rsidRPr="009C515A" w14:paraId="733DCE72" w14:textId="77777777" w:rsidTr="007B53D1">
        <w:tc>
          <w:tcPr>
            <w:tcW w:w="9192" w:type="dxa"/>
            <w:tcBorders>
              <w:top w:val="single" w:sz="4" w:space="0" w:color="auto"/>
              <w:bottom w:val="single" w:sz="4" w:space="0" w:color="auto"/>
            </w:tcBorders>
            <w:shd w:val="clear" w:color="auto" w:fill="F2F2F2" w:themeFill="background1" w:themeFillShade="F2"/>
          </w:tcPr>
          <w:p w14:paraId="39970F96" w14:textId="5B7ADA76" w:rsidR="002E0882" w:rsidRPr="009C515A" w:rsidRDefault="002E0882" w:rsidP="007B53D1">
            <w:pPr>
              <w:pStyle w:val="ListParagraph"/>
              <w:spacing w:line="300" w:lineRule="exact"/>
              <w:ind w:left="0"/>
              <w:rPr>
                <w:b/>
                <w:bCs/>
                <w:i/>
                <w:iCs/>
                <w:color w:val="000000" w:themeColor="text1"/>
                <w:sz w:val="20"/>
                <w:szCs w:val="20"/>
              </w:rPr>
            </w:pPr>
            <w:r w:rsidRPr="009C515A">
              <w:rPr>
                <w:b/>
                <w:bCs/>
                <w:i/>
                <w:iCs/>
                <w:sz w:val="20"/>
                <w:szCs w:val="20"/>
              </w:rPr>
              <w:lastRenderedPageBreak/>
              <w:t xml:space="preserve">2.3 How will you use new vaccine introductions and campaigns planned during this period to further </w:t>
            </w:r>
            <w:r w:rsidR="00BE66F8" w:rsidRPr="009C515A">
              <w:rPr>
                <w:b/>
                <w:bCs/>
                <w:i/>
                <w:iCs/>
                <w:sz w:val="20"/>
                <w:szCs w:val="20"/>
              </w:rPr>
              <w:t>stre</w:t>
            </w:r>
            <w:r w:rsidR="00AF4BE7" w:rsidRPr="009C515A">
              <w:rPr>
                <w:b/>
                <w:bCs/>
                <w:i/>
                <w:iCs/>
                <w:sz w:val="20"/>
                <w:szCs w:val="20"/>
              </w:rPr>
              <w:t>ngthen the areas indicated under question 2.2?</w:t>
            </w:r>
            <w:r w:rsidR="00BE66F8" w:rsidRPr="009C515A">
              <w:rPr>
                <w:b/>
                <w:bCs/>
                <w:i/>
                <w:iCs/>
                <w:sz w:val="20"/>
                <w:szCs w:val="20"/>
              </w:rPr>
              <w:t xml:space="preserve"> </w:t>
            </w:r>
          </w:p>
        </w:tc>
      </w:tr>
      <w:tr w:rsidR="002E0882" w:rsidRPr="009C515A" w14:paraId="3B0C1B4D" w14:textId="77777777" w:rsidTr="007B53D1">
        <w:tc>
          <w:tcPr>
            <w:tcW w:w="9192" w:type="dxa"/>
            <w:tcBorders>
              <w:top w:val="single" w:sz="4" w:space="0" w:color="auto"/>
              <w:left w:val="single" w:sz="4" w:space="0" w:color="auto"/>
              <w:bottom w:val="single" w:sz="4" w:space="0" w:color="auto"/>
              <w:right w:val="single" w:sz="4" w:space="0" w:color="auto"/>
            </w:tcBorders>
          </w:tcPr>
          <w:p w14:paraId="2525ED44" w14:textId="7F703D40" w:rsidR="002E0882" w:rsidRPr="009C515A" w:rsidRDefault="00D557E5" w:rsidP="00D557E5">
            <w:r w:rsidRPr="009C515A">
              <w:rPr>
                <w:rFonts w:eastAsia="Times New Roman"/>
                <w:color w:val="000000"/>
                <w:sz w:val="20"/>
                <w:szCs w:val="20"/>
                <w:lang w:eastAsia="es-PE"/>
              </w:rPr>
              <w:t>There is no planned new vaccine introduction in the current TCA period. However, the new vaccines, HPV and Rotavirus, introduced during the last TCA provided opportunities to strengthen the RI further. Vaccine introductions further enhance better planning and building staff capacity through training on various immunization programme areas such as service delivery strategies, safe injection practices and waste management; supply and cold chain management; and demand creation through effective communication, social mobilization and community engagement. Likewise, vaccine introduction can be maximally used to improve overall EPI coverage and high-impact health interventions such as Vitamin A supplementation and de-worming. However, the pandemic was the likely most substantial cause that prevented full benefits and implementation. Current TCA will focus on rebooting HPV vaccination by fine tuning the delivery approaches.</w:t>
            </w:r>
          </w:p>
        </w:tc>
      </w:tr>
      <w:tr w:rsidR="00D353AF" w:rsidRPr="009C515A" w14:paraId="124CC764" w14:textId="77777777" w:rsidTr="007B53D1">
        <w:tc>
          <w:tcPr>
            <w:tcW w:w="9192" w:type="dxa"/>
            <w:tcBorders>
              <w:top w:val="single" w:sz="4" w:space="0" w:color="auto"/>
              <w:bottom w:val="single" w:sz="4" w:space="0" w:color="auto"/>
            </w:tcBorders>
            <w:shd w:val="clear" w:color="auto" w:fill="F2F2F2" w:themeFill="background1" w:themeFillShade="F2"/>
          </w:tcPr>
          <w:p w14:paraId="374B434F" w14:textId="56886AD9" w:rsidR="00D353AF" w:rsidRPr="009C515A" w:rsidRDefault="00D353AF" w:rsidP="007B53D1">
            <w:pPr>
              <w:spacing w:line="300" w:lineRule="exact"/>
              <w:rPr>
                <w:b/>
                <w:i/>
                <w:iCs/>
                <w:color w:val="000000" w:themeColor="text1"/>
                <w:sz w:val="20"/>
                <w:szCs w:val="20"/>
                <w:lang w:val="en-GB"/>
              </w:rPr>
            </w:pPr>
            <w:r w:rsidRPr="009C515A">
              <w:rPr>
                <w:b/>
                <w:i/>
                <w:iCs/>
                <w:color w:val="000000" w:themeColor="text1"/>
                <w:sz w:val="20"/>
                <w:szCs w:val="20"/>
                <w:lang w:val="en-GB"/>
              </w:rPr>
              <w:t xml:space="preserve">2.4 Describe how the TCA </w:t>
            </w:r>
            <w:r w:rsidR="00C21E0A" w:rsidRPr="009C515A">
              <w:rPr>
                <w:b/>
                <w:i/>
                <w:iCs/>
                <w:color w:val="000000" w:themeColor="text1"/>
                <w:sz w:val="20"/>
                <w:szCs w:val="20"/>
                <w:lang w:val="en-GB"/>
              </w:rPr>
              <w:t>support</w:t>
            </w:r>
            <w:r w:rsidRPr="009C515A">
              <w:rPr>
                <w:b/>
                <w:i/>
                <w:iCs/>
                <w:color w:val="000000" w:themeColor="text1"/>
                <w:sz w:val="20"/>
                <w:szCs w:val="20"/>
                <w:lang w:val="en-GB"/>
              </w:rPr>
              <w:t xml:space="preserve"> will help re-establish routine immunisation services and any other COVID-19 related recovery activities. </w:t>
            </w:r>
          </w:p>
          <w:p w14:paraId="5D61F6FA" w14:textId="77777777" w:rsidR="00D353AF" w:rsidRPr="009C515A" w:rsidRDefault="00D353AF" w:rsidP="007B53D1">
            <w:pPr>
              <w:spacing w:line="300" w:lineRule="exact"/>
              <w:rPr>
                <w:b/>
                <w:bCs/>
                <w:i/>
                <w:iCs/>
                <w:color w:val="70AD47" w:themeColor="accent6"/>
                <w:sz w:val="20"/>
                <w:szCs w:val="20"/>
                <w:lang w:val="en-GB"/>
              </w:rPr>
            </w:pPr>
            <w:r w:rsidRPr="009C515A">
              <w:rPr>
                <w:bCs/>
                <w:i/>
                <w:iCs/>
                <w:color w:val="000000" w:themeColor="text1"/>
                <w:sz w:val="20"/>
                <w:szCs w:val="20"/>
                <w:lang w:val="en-GB"/>
              </w:rPr>
              <w:t>P</w:t>
            </w:r>
            <w:r w:rsidRPr="009C515A">
              <w:rPr>
                <w:bCs/>
                <w:i/>
                <w:iCs/>
                <w:sz w:val="20"/>
                <w:szCs w:val="20"/>
                <w:lang w:val="en-GB"/>
              </w:rPr>
              <w:t>lease indicate any COVID-19 related reallocation that may have occurred for previous TCA funds (if applicable); does this reallocation remain relevant for this proposal.</w:t>
            </w:r>
          </w:p>
        </w:tc>
      </w:tr>
      <w:tr w:rsidR="00D353AF" w:rsidRPr="009C515A" w14:paraId="14D7F47D" w14:textId="77777777" w:rsidTr="007B53D1">
        <w:tc>
          <w:tcPr>
            <w:tcW w:w="9192" w:type="dxa"/>
            <w:tcBorders>
              <w:top w:val="single" w:sz="4" w:space="0" w:color="auto"/>
              <w:left w:val="single" w:sz="4" w:space="0" w:color="auto"/>
              <w:bottom w:val="single" w:sz="4" w:space="0" w:color="auto"/>
              <w:right w:val="single" w:sz="4" w:space="0" w:color="auto"/>
            </w:tcBorders>
          </w:tcPr>
          <w:p w14:paraId="2689F064" w14:textId="3D4A5D5C" w:rsidR="00D353AF" w:rsidRPr="009C515A" w:rsidRDefault="00FE2D63" w:rsidP="00FE2D63">
            <w:pPr>
              <w:rPr>
                <w:color w:val="92D050"/>
                <w:lang w:val="en-GB"/>
              </w:rPr>
            </w:pPr>
            <w:r w:rsidRPr="009C515A">
              <w:rPr>
                <w:rFonts w:eastAsia="Times New Roman"/>
                <w:color w:val="000000"/>
                <w:sz w:val="20"/>
                <w:szCs w:val="20"/>
                <w:lang w:eastAsia="es-PE"/>
              </w:rPr>
              <w:t>As described under 1.1 above, the pandemic significantly impacted the RI, reducing coverage levels by almost 20%. What contributed to the decline of RI coverage during the pandemic period is not investigated yet. However, the RI is now in the recovery mode, and the proposed TCA includes TA assistance for initiatives such as SIA and EPI review. The TCA support also drives the effort of re-establishing routine immunization services through a planned activity of integrating COVID-19 vaccination roll-out and routine vaccination whenever feasible and ensuring that the safety and protection of health personnel and the public are not compromised. The Plan to Accelerate the COVID-19 Vaccination Roll-out for Solomon Islands 2022 includes the integration of routine immunization and has been approved for implementation by the senior management.</w:t>
            </w:r>
          </w:p>
        </w:tc>
      </w:tr>
      <w:tr w:rsidR="00D353AF" w:rsidRPr="009C515A" w14:paraId="7CB90E66" w14:textId="77777777" w:rsidTr="007B53D1">
        <w:tc>
          <w:tcPr>
            <w:tcW w:w="9192" w:type="dxa"/>
            <w:tcBorders>
              <w:top w:val="single" w:sz="4" w:space="0" w:color="auto"/>
              <w:bottom w:val="single" w:sz="4" w:space="0" w:color="auto"/>
            </w:tcBorders>
            <w:shd w:val="clear" w:color="auto" w:fill="F2F2F2" w:themeFill="background1" w:themeFillShade="F2"/>
          </w:tcPr>
          <w:p w14:paraId="341DF7D2" w14:textId="20697518" w:rsidR="00D353AF" w:rsidRPr="009C515A" w:rsidRDefault="00D353AF" w:rsidP="007B53D1">
            <w:pPr>
              <w:spacing w:line="300" w:lineRule="exact"/>
              <w:rPr>
                <w:bCs/>
                <w:i/>
                <w:iCs/>
                <w:sz w:val="20"/>
                <w:szCs w:val="20"/>
                <w:lang w:val="en-GB"/>
              </w:rPr>
            </w:pPr>
            <w:r w:rsidRPr="009C515A">
              <w:rPr>
                <w:b/>
                <w:i/>
                <w:iCs/>
                <w:color w:val="000000" w:themeColor="text1"/>
                <w:sz w:val="20"/>
                <w:szCs w:val="20"/>
                <w:lang w:val="en-GB"/>
              </w:rPr>
              <w:t xml:space="preserve">2.5 Describe how the TCA </w:t>
            </w:r>
            <w:r w:rsidR="00630A26" w:rsidRPr="009C515A">
              <w:rPr>
                <w:b/>
                <w:i/>
                <w:iCs/>
                <w:color w:val="000000" w:themeColor="text1"/>
                <w:sz w:val="20"/>
                <w:szCs w:val="20"/>
                <w:lang w:val="en-GB"/>
              </w:rPr>
              <w:t>support will</w:t>
            </w:r>
            <w:r w:rsidRPr="009C515A">
              <w:rPr>
                <w:b/>
                <w:i/>
                <w:iCs/>
                <w:color w:val="000000" w:themeColor="text1"/>
                <w:sz w:val="20"/>
                <w:szCs w:val="20"/>
                <w:lang w:val="en-GB"/>
              </w:rPr>
              <w:t xml:space="preserve"> identif</w:t>
            </w:r>
            <w:r w:rsidR="00630A26" w:rsidRPr="009C515A">
              <w:rPr>
                <w:b/>
                <w:i/>
                <w:iCs/>
                <w:color w:val="000000" w:themeColor="text1"/>
                <w:sz w:val="20"/>
                <w:szCs w:val="20"/>
                <w:lang w:val="en-GB"/>
              </w:rPr>
              <w:t>y</w:t>
            </w:r>
            <w:r w:rsidRPr="009C515A">
              <w:rPr>
                <w:b/>
                <w:i/>
                <w:iCs/>
                <w:color w:val="000000" w:themeColor="text1"/>
                <w:sz w:val="20"/>
                <w:szCs w:val="20"/>
                <w:lang w:val="en-GB"/>
              </w:rPr>
              <w:t xml:space="preserve"> and/or overcome already known gender-related or other barriers to immunisation activities. Please respond </w:t>
            </w:r>
            <w:r w:rsidR="00A733BF" w:rsidRPr="009C515A">
              <w:rPr>
                <w:b/>
                <w:i/>
                <w:iCs/>
                <w:color w:val="000000" w:themeColor="text1"/>
                <w:sz w:val="20"/>
                <w:szCs w:val="20"/>
                <w:lang w:val="en-GB"/>
              </w:rPr>
              <w:t xml:space="preserve">to </w:t>
            </w:r>
            <w:r w:rsidRPr="009C515A">
              <w:rPr>
                <w:b/>
                <w:i/>
                <w:iCs/>
                <w:color w:val="000000" w:themeColor="text1"/>
                <w:sz w:val="20"/>
                <w:szCs w:val="20"/>
                <w:lang w:val="en-GB"/>
              </w:rPr>
              <w:t>how each partner can help address this.</w:t>
            </w:r>
          </w:p>
        </w:tc>
      </w:tr>
      <w:tr w:rsidR="00D353AF" w:rsidRPr="009C515A" w14:paraId="251D4101" w14:textId="77777777" w:rsidTr="007B53D1">
        <w:trPr>
          <w:trHeight w:val="103"/>
        </w:trPr>
        <w:tc>
          <w:tcPr>
            <w:tcW w:w="9192" w:type="dxa"/>
            <w:tcBorders>
              <w:top w:val="single" w:sz="4" w:space="0" w:color="auto"/>
              <w:left w:val="single" w:sz="4" w:space="0" w:color="auto"/>
              <w:bottom w:val="single" w:sz="4" w:space="0" w:color="auto"/>
              <w:right w:val="single" w:sz="4" w:space="0" w:color="auto"/>
            </w:tcBorders>
            <w:shd w:val="clear" w:color="auto" w:fill="auto"/>
          </w:tcPr>
          <w:p w14:paraId="0D1935C9" w14:textId="77777777" w:rsidR="00036581" w:rsidRPr="009C515A" w:rsidRDefault="00036581" w:rsidP="00036581">
            <w:pPr>
              <w:rPr>
                <w:rFonts w:eastAsia="Times New Roman"/>
                <w:color w:val="000000"/>
                <w:sz w:val="20"/>
                <w:szCs w:val="20"/>
                <w:lang w:eastAsia="es-PE"/>
              </w:rPr>
            </w:pPr>
            <w:r w:rsidRPr="009C515A">
              <w:rPr>
                <w:rFonts w:eastAsia="Times New Roman"/>
                <w:color w:val="000000"/>
                <w:sz w:val="20"/>
                <w:szCs w:val="20"/>
                <w:lang w:eastAsia="es-PE"/>
              </w:rPr>
              <w:t xml:space="preserve">To understand the barriers to immunization activities, WHO, UNICEF, and other partners such as NCIRS, DFAT and World would jointly conduct EPI Review, identifying gaps and bottlenecks in EPI Program implementation, including gender-related barriers. Gender Equality, Disability and Social Inclusion (GEDSI) are core values of their organizations. The TA provided would directly develop a </w:t>
            </w:r>
            <w:proofErr w:type="spellStart"/>
            <w:r w:rsidRPr="009C515A">
              <w:rPr>
                <w:rFonts w:eastAsia="Times New Roman"/>
                <w:color w:val="000000"/>
                <w:sz w:val="20"/>
                <w:szCs w:val="20"/>
                <w:lang w:eastAsia="es-PE"/>
              </w:rPr>
              <w:lastRenderedPageBreak/>
              <w:t>multi year</w:t>
            </w:r>
            <w:proofErr w:type="spellEnd"/>
            <w:r w:rsidRPr="009C515A">
              <w:rPr>
                <w:rFonts w:eastAsia="Times New Roman"/>
                <w:color w:val="000000"/>
                <w:sz w:val="20"/>
                <w:szCs w:val="20"/>
                <w:lang w:eastAsia="es-PE"/>
              </w:rPr>
              <w:t xml:space="preserve"> National Immunization Plan and Human Resource Strategy, keeping gender equity as a core principle. Furthermore, the EPI Program would benefit from gender and health system barriers analysis from ZD analysis and those conducted by other Ministry surveys, including for Malaria, GBV Program and UNFPA.</w:t>
            </w:r>
          </w:p>
          <w:p w14:paraId="626A5A76" w14:textId="06492298" w:rsidR="006B73D4" w:rsidRPr="009C515A" w:rsidRDefault="00036581" w:rsidP="00036581">
            <w:pPr>
              <w:rPr>
                <w:rFonts w:eastAsia="Times New Roman"/>
                <w:color w:val="000000"/>
                <w:sz w:val="20"/>
                <w:szCs w:val="20"/>
                <w:lang w:eastAsia="es-PE"/>
              </w:rPr>
            </w:pPr>
            <w:r w:rsidRPr="009C515A">
              <w:rPr>
                <w:rFonts w:eastAsia="Times New Roman"/>
                <w:color w:val="000000"/>
                <w:sz w:val="20"/>
                <w:szCs w:val="20"/>
                <w:lang w:eastAsia="es-PE"/>
              </w:rPr>
              <w:t>The TCA will support identifying and overcoming gender-related barriers by timely monitoring and analysis of the coverage data by introducing an Electronic Immunisation Registry (EIR) and Master Patient Index (MPI) in the Health Information System. In addition, in line with the work of the Demand Generation consultant, mapping and profiling of target populations, particularly those in zero-dose and under-immunized children and communities, would provide strategic direction in planning, engagement of communities and provision of immunization services to address gender-related issues and barriers.</w:t>
            </w:r>
          </w:p>
        </w:tc>
      </w:tr>
      <w:tr w:rsidR="00D353AF" w:rsidRPr="009C515A" w14:paraId="2605CFC3" w14:textId="77777777" w:rsidTr="007B53D1">
        <w:tc>
          <w:tcPr>
            <w:tcW w:w="9192" w:type="dxa"/>
            <w:tcBorders>
              <w:top w:val="single" w:sz="4" w:space="0" w:color="auto"/>
              <w:bottom w:val="single" w:sz="4" w:space="0" w:color="auto"/>
            </w:tcBorders>
            <w:shd w:val="clear" w:color="auto" w:fill="F2F2F2" w:themeFill="background1" w:themeFillShade="F2"/>
          </w:tcPr>
          <w:p w14:paraId="71D225EC" w14:textId="23CD8FD6" w:rsidR="00D353AF" w:rsidRPr="009C515A" w:rsidRDefault="00D353AF" w:rsidP="007B53D1">
            <w:pPr>
              <w:spacing w:line="300" w:lineRule="exact"/>
              <w:rPr>
                <w:b/>
                <w:bCs/>
                <w:color w:val="92D050"/>
                <w:lang w:val="en-GB"/>
              </w:rPr>
            </w:pPr>
            <w:r w:rsidRPr="009C515A">
              <w:rPr>
                <w:b/>
                <w:bCs/>
                <w:i/>
                <w:iCs/>
                <w:sz w:val="20"/>
                <w:szCs w:val="20"/>
              </w:rPr>
              <w:lastRenderedPageBreak/>
              <w:t xml:space="preserve">2.6 Describe how you </w:t>
            </w:r>
            <w:proofErr w:type="spellStart"/>
            <w:r w:rsidRPr="009C515A">
              <w:rPr>
                <w:b/>
                <w:bCs/>
                <w:i/>
                <w:iCs/>
                <w:sz w:val="20"/>
                <w:szCs w:val="20"/>
              </w:rPr>
              <w:t>prioritised</w:t>
            </w:r>
            <w:proofErr w:type="spellEnd"/>
            <w:r w:rsidRPr="009C515A">
              <w:rPr>
                <w:b/>
                <w:bCs/>
                <w:i/>
                <w:iCs/>
                <w:sz w:val="20"/>
                <w:szCs w:val="20"/>
              </w:rPr>
              <w:t xml:space="preserve"> the interventions to be supported by Gavi</w:t>
            </w:r>
            <w:r w:rsidR="008839F8" w:rsidRPr="009C515A">
              <w:rPr>
                <w:b/>
                <w:bCs/>
                <w:i/>
                <w:iCs/>
                <w:sz w:val="20"/>
                <w:szCs w:val="20"/>
              </w:rPr>
              <w:t xml:space="preserve"> under requested TCA support</w:t>
            </w:r>
            <w:r w:rsidRPr="009C515A">
              <w:rPr>
                <w:b/>
                <w:bCs/>
                <w:i/>
                <w:iCs/>
                <w:sz w:val="20"/>
                <w:szCs w:val="20"/>
              </w:rPr>
              <w:t>.</w:t>
            </w:r>
          </w:p>
        </w:tc>
      </w:tr>
      <w:tr w:rsidR="00D353AF" w:rsidRPr="009C515A" w14:paraId="4C4783D9" w14:textId="77777777" w:rsidTr="007B53D1">
        <w:tc>
          <w:tcPr>
            <w:tcW w:w="9192" w:type="dxa"/>
            <w:tcBorders>
              <w:top w:val="single" w:sz="4" w:space="0" w:color="auto"/>
              <w:left w:val="single" w:sz="4" w:space="0" w:color="auto"/>
              <w:bottom w:val="single" w:sz="4" w:space="0" w:color="auto"/>
              <w:right w:val="single" w:sz="4" w:space="0" w:color="auto"/>
            </w:tcBorders>
          </w:tcPr>
          <w:p w14:paraId="48003D96" w14:textId="33791844" w:rsidR="00D353AF" w:rsidRPr="009C515A" w:rsidRDefault="00C5081D" w:rsidP="00C5081D">
            <w:pPr>
              <w:rPr>
                <w:color w:val="92D050"/>
                <w:lang w:val="en-GB"/>
              </w:rPr>
            </w:pPr>
            <w:r w:rsidRPr="009C515A">
              <w:rPr>
                <w:rFonts w:eastAsia="Times New Roman"/>
                <w:color w:val="000000"/>
                <w:sz w:val="20"/>
                <w:szCs w:val="20"/>
                <w:lang w:eastAsia="es-PE"/>
              </w:rPr>
              <w:t>A consultative and brainstorming session was held led by the national EPI coordinator of the MHMS with the representatives of the partners requested to be involved in TCA. The national program presented the program's progress, gaps and issues and identified the priorities together with the partners. Each partner provided inputs to this TCA. The partners and the national program will work together in a coordinated fashion in the proposed TCA activities to produce the expected results.</w:t>
            </w:r>
          </w:p>
        </w:tc>
      </w:tr>
    </w:tbl>
    <w:p w14:paraId="4DAF51E8" w14:textId="0B86255A" w:rsidR="007172E8" w:rsidRPr="009C515A" w:rsidRDefault="007172E8"/>
    <w:p w14:paraId="058C1B7B" w14:textId="4CE56EFB" w:rsidR="007172E8" w:rsidRPr="009C515A" w:rsidRDefault="007172E8" w:rsidP="00CE1F57">
      <w:pPr>
        <w:pStyle w:val="ListParagraph"/>
        <w:numPr>
          <w:ilvl w:val="0"/>
          <w:numId w:val="4"/>
        </w:numPr>
        <w:spacing w:line="300" w:lineRule="exact"/>
        <w:ind w:left="426"/>
        <w:rPr>
          <w:b/>
          <w:bCs/>
          <w:color w:val="70AD47" w:themeColor="accent6"/>
          <w:sz w:val="26"/>
          <w:szCs w:val="26"/>
          <w:lang w:val="en-GB"/>
        </w:rPr>
      </w:pPr>
      <w:r w:rsidRPr="009C515A">
        <w:rPr>
          <w:b/>
          <w:bCs/>
          <w:color w:val="70AD47" w:themeColor="accent6"/>
          <w:sz w:val="26"/>
          <w:szCs w:val="26"/>
          <w:lang w:val="en-GB"/>
        </w:rPr>
        <w:t>Partner di</w:t>
      </w:r>
      <w:r w:rsidR="00067D86" w:rsidRPr="009C515A">
        <w:rPr>
          <w:b/>
          <w:bCs/>
          <w:color w:val="70AD47" w:themeColor="accent6"/>
          <w:sz w:val="26"/>
          <w:szCs w:val="26"/>
          <w:lang w:val="en-GB"/>
        </w:rPr>
        <w:t>versification</w:t>
      </w:r>
      <w:r w:rsidR="0033192A" w:rsidRPr="009C515A">
        <w:rPr>
          <w:b/>
          <w:bCs/>
          <w:color w:val="70AD47" w:themeColor="accent6"/>
          <w:sz w:val="26"/>
          <w:szCs w:val="26"/>
          <w:lang w:val="en-GB"/>
        </w:rPr>
        <w:t xml:space="preserve"> (0.5 page)</w:t>
      </w:r>
    </w:p>
    <w:tbl>
      <w:tblPr>
        <w:tblStyle w:val="TableGrid"/>
        <w:tblW w:w="9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0"/>
        <w:gridCol w:w="22"/>
      </w:tblGrid>
      <w:tr w:rsidR="00E80A44" w:rsidRPr="009C515A" w14:paraId="3D086D68" w14:textId="77777777" w:rsidTr="00553C62">
        <w:trPr>
          <w:gridAfter w:val="1"/>
          <w:wAfter w:w="22" w:type="dxa"/>
          <w:trHeight w:val="846"/>
        </w:trPr>
        <w:tc>
          <w:tcPr>
            <w:tcW w:w="9170" w:type="dxa"/>
            <w:shd w:val="clear" w:color="auto" w:fill="F2F2F2" w:themeFill="background1" w:themeFillShade="F2"/>
          </w:tcPr>
          <w:p w14:paraId="642D6855" w14:textId="24D1723A" w:rsidR="00E80A44" w:rsidRPr="009C515A" w:rsidRDefault="006D3657" w:rsidP="00E80A44">
            <w:pPr>
              <w:spacing w:line="300" w:lineRule="exact"/>
              <w:rPr>
                <w:color w:val="92D050"/>
                <w:lang w:val="en-GB"/>
              </w:rPr>
            </w:pPr>
            <w:r w:rsidRPr="009C515A">
              <w:rPr>
                <w:b/>
                <w:i/>
                <w:iCs/>
                <w:color w:val="000000" w:themeColor="text1"/>
                <w:sz w:val="20"/>
                <w:szCs w:val="20"/>
                <w:lang w:val="en-GB"/>
              </w:rPr>
              <w:t>3.1</w:t>
            </w:r>
            <w:r w:rsidR="00E80A44" w:rsidRPr="009C515A">
              <w:rPr>
                <w:b/>
                <w:i/>
                <w:iCs/>
                <w:color w:val="000000" w:themeColor="text1"/>
                <w:sz w:val="20"/>
                <w:szCs w:val="20"/>
                <w:lang w:val="en-GB"/>
              </w:rPr>
              <w:t xml:space="preserve"> Describe which partners you have already </w:t>
            </w:r>
            <w:r w:rsidR="005E728F" w:rsidRPr="009C515A">
              <w:rPr>
                <w:b/>
                <w:i/>
                <w:iCs/>
                <w:color w:val="000000" w:themeColor="text1"/>
                <w:sz w:val="20"/>
                <w:szCs w:val="20"/>
                <w:lang w:val="en-GB"/>
              </w:rPr>
              <w:t>mapped</w:t>
            </w:r>
            <w:r w:rsidR="00E80A44" w:rsidRPr="009C515A">
              <w:rPr>
                <w:b/>
                <w:i/>
                <w:iCs/>
                <w:color w:val="000000" w:themeColor="text1"/>
                <w:sz w:val="20"/>
                <w:szCs w:val="20"/>
                <w:lang w:val="en-GB"/>
              </w:rPr>
              <w:t xml:space="preserve">, including Alliance and </w:t>
            </w:r>
            <w:r w:rsidR="00E80A44" w:rsidRPr="009C515A">
              <w:rPr>
                <w:b/>
                <w:bCs/>
                <w:i/>
                <w:iCs/>
                <w:color w:val="000000" w:themeColor="text1"/>
                <w:sz w:val="20"/>
                <w:szCs w:val="20"/>
                <w:lang w:val="en-GB"/>
              </w:rPr>
              <w:t>Expanded</w:t>
            </w:r>
            <w:r w:rsidR="00E80A44" w:rsidRPr="009C515A">
              <w:rPr>
                <w:b/>
                <w:i/>
                <w:iCs/>
                <w:color w:val="000000" w:themeColor="text1"/>
                <w:sz w:val="20"/>
                <w:szCs w:val="20"/>
                <w:lang w:val="en-GB"/>
              </w:rPr>
              <w:t xml:space="preserve"> partners </w:t>
            </w:r>
            <w:r w:rsidR="00FD6F4C" w:rsidRPr="009C515A">
              <w:rPr>
                <w:b/>
                <w:bCs/>
                <w:i/>
                <w:iCs/>
                <w:color w:val="000000" w:themeColor="text1"/>
                <w:sz w:val="20"/>
                <w:szCs w:val="20"/>
                <w:lang w:val="en-GB"/>
              </w:rPr>
              <w:t xml:space="preserve">(including </w:t>
            </w:r>
            <w:r w:rsidR="009A2D50" w:rsidRPr="009C515A">
              <w:rPr>
                <w:b/>
                <w:bCs/>
                <w:i/>
                <w:iCs/>
                <w:color w:val="000000" w:themeColor="text1"/>
                <w:sz w:val="20"/>
                <w:szCs w:val="20"/>
                <w:lang w:val="en-GB"/>
              </w:rPr>
              <w:t>Global Partners,</w:t>
            </w:r>
            <w:r w:rsidR="00FD6F4C" w:rsidRPr="009C515A">
              <w:rPr>
                <w:b/>
                <w:bCs/>
                <w:i/>
                <w:iCs/>
                <w:color w:val="000000" w:themeColor="text1"/>
                <w:sz w:val="20"/>
                <w:szCs w:val="20"/>
                <w:lang w:val="en-GB"/>
              </w:rPr>
              <w:t xml:space="preserve"> </w:t>
            </w:r>
            <w:r w:rsidR="00E80A44" w:rsidRPr="009C515A">
              <w:rPr>
                <w:b/>
                <w:bCs/>
                <w:i/>
                <w:iCs/>
                <w:color w:val="000000" w:themeColor="text1"/>
                <w:sz w:val="20"/>
                <w:szCs w:val="20"/>
                <w:lang w:val="en-GB"/>
              </w:rPr>
              <w:t>Local Partners</w:t>
            </w:r>
            <w:r w:rsidR="00FD6F4C" w:rsidRPr="009C515A">
              <w:rPr>
                <w:b/>
                <w:bCs/>
                <w:i/>
                <w:iCs/>
                <w:color w:val="000000" w:themeColor="text1"/>
                <w:sz w:val="20"/>
                <w:szCs w:val="20"/>
                <w:lang w:val="en-GB"/>
              </w:rPr>
              <w:t xml:space="preserve"> and</w:t>
            </w:r>
            <w:r w:rsidR="00E80A44" w:rsidRPr="009C515A">
              <w:rPr>
                <w:b/>
                <w:i/>
                <w:iCs/>
                <w:color w:val="000000" w:themeColor="text1"/>
                <w:sz w:val="20"/>
                <w:szCs w:val="20"/>
                <w:lang w:val="en-GB"/>
              </w:rPr>
              <w:t xml:space="preserve"> CSOs</w:t>
            </w:r>
            <w:r w:rsidR="00FD6F4C" w:rsidRPr="009C515A">
              <w:rPr>
                <w:b/>
                <w:i/>
                <w:iCs/>
                <w:color w:val="000000" w:themeColor="text1"/>
                <w:sz w:val="20"/>
                <w:szCs w:val="20"/>
                <w:lang w:val="en-GB"/>
              </w:rPr>
              <w:t>)</w:t>
            </w:r>
            <w:r w:rsidR="00E80A44" w:rsidRPr="009C515A">
              <w:rPr>
                <w:b/>
                <w:i/>
                <w:iCs/>
                <w:color w:val="000000" w:themeColor="text1"/>
                <w:sz w:val="20"/>
                <w:szCs w:val="20"/>
                <w:lang w:val="en-GB"/>
              </w:rPr>
              <w:t xml:space="preserve"> to support the activit</w:t>
            </w:r>
            <w:r w:rsidR="00EB769C" w:rsidRPr="009C515A">
              <w:rPr>
                <w:b/>
                <w:i/>
                <w:iCs/>
                <w:color w:val="000000" w:themeColor="text1"/>
                <w:sz w:val="20"/>
                <w:szCs w:val="20"/>
                <w:lang w:val="en-GB"/>
              </w:rPr>
              <w:t>ies</w:t>
            </w:r>
            <w:r w:rsidR="00E80A44" w:rsidRPr="009C515A">
              <w:rPr>
                <w:b/>
                <w:i/>
                <w:iCs/>
                <w:color w:val="000000" w:themeColor="text1"/>
                <w:sz w:val="20"/>
                <w:szCs w:val="20"/>
                <w:lang w:val="en-GB"/>
              </w:rPr>
              <w:t xml:space="preserve"> implementation?</w:t>
            </w:r>
            <w:r w:rsidR="005D0F9E" w:rsidRPr="009C515A">
              <w:rPr>
                <w:b/>
                <w:bCs/>
                <w:i/>
                <w:iCs/>
                <w:sz w:val="20"/>
                <w:szCs w:val="20"/>
                <w:lang w:val="en-GB"/>
              </w:rPr>
              <w:t xml:space="preserve"> (Refer to the</w:t>
            </w:r>
            <w:r w:rsidR="007F2F8B" w:rsidRPr="009C515A">
              <w:rPr>
                <w:b/>
                <w:bCs/>
                <w:i/>
                <w:iCs/>
                <w:sz w:val="20"/>
                <w:szCs w:val="20"/>
                <w:lang w:val="en-GB"/>
              </w:rPr>
              <w:t xml:space="preserve"> </w:t>
            </w:r>
            <w:hyperlink r:id="rId14" w:history="1">
              <w:r w:rsidR="007F2F8B" w:rsidRPr="009C515A">
                <w:rPr>
                  <w:rStyle w:val="Hyperlink"/>
                  <w:b/>
                  <w:bCs/>
                  <w:i/>
                  <w:iCs/>
                  <w:sz w:val="20"/>
                  <w:szCs w:val="20"/>
                  <w:lang w:val="en-GB"/>
                </w:rPr>
                <w:t>PEF Targeted Country Assistance (TCA) Guidance for 2022-2025 Multi-Year Planning</w:t>
              </w:r>
            </w:hyperlink>
            <w:r w:rsidR="005D0F9E" w:rsidRPr="009C515A">
              <w:rPr>
                <w:b/>
                <w:bCs/>
                <w:i/>
                <w:iCs/>
                <w:sz w:val="20"/>
                <w:szCs w:val="20"/>
                <w:lang w:val="en-GB"/>
              </w:rPr>
              <w:t xml:space="preserve"> for the type of institutions considered global versus local partners and CSOs.)</w:t>
            </w:r>
          </w:p>
        </w:tc>
      </w:tr>
      <w:tr w:rsidR="00520598" w:rsidRPr="009C515A" w14:paraId="62BDF2A5" w14:textId="77777777" w:rsidTr="004B632A">
        <w:tc>
          <w:tcPr>
            <w:tcW w:w="9170" w:type="dxa"/>
            <w:gridSpan w:val="2"/>
            <w:tcBorders>
              <w:top w:val="single" w:sz="4" w:space="0" w:color="auto"/>
              <w:left w:val="single" w:sz="4" w:space="0" w:color="auto"/>
              <w:bottom w:val="single" w:sz="4" w:space="0" w:color="auto"/>
              <w:right w:val="single" w:sz="4" w:space="0" w:color="auto"/>
            </w:tcBorders>
          </w:tcPr>
          <w:p w14:paraId="52151D35" w14:textId="77777777" w:rsidR="008E1F59" w:rsidRPr="009C515A" w:rsidRDefault="008E1F59" w:rsidP="008E1F59">
            <w:pPr>
              <w:rPr>
                <w:rFonts w:eastAsia="Times New Roman"/>
                <w:color w:val="000000"/>
                <w:sz w:val="20"/>
                <w:szCs w:val="20"/>
                <w:lang w:eastAsia="es-PE"/>
              </w:rPr>
            </w:pPr>
            <w:r w:rsidRPr="009C515A">
              <w:rPr>
                <w:rFonts w:eastAsia="Times New Roman"/>
                <w:color w:val="000000"/>
                <w:sz w:val="20"/>
                <w:szCs w:val="20"/>
                <w:lang w:eastAsia="es-PE"/>
              </w:rPr>
              <w:t xml:space="preserve">Under the current TCA, Ministry would explore opportunities to partner with both the core traditional partners and new partners to improve the EPI performance. The partners mapped in the proposed TA include Core partners and Expanded partners, both Global TA partners and Local TA partners. </w:t>
            </w:r>
          </w:p>
          <w:p w14:paraId="0F0E506D" w14:textId="77777777" w:rsidR="008E1F59" w:rsidRPr="009C515A" w:rsidRDefault="008E1F59" w:rsidP="008E1F59">
            <w:pPr>
              <w:rPr>
                <w:rFonts w:eastAsia="Times New Roman"/>
                <w:color w:val="000000"/>
                <w:sz w:val="20"/>
                <w:szCs w:val="20"/>
                <w:lang w:eastAsia="es-PE"/>
              </w:rPr>
            </w:pPr>
          </w:p>
          <w:p w14:paraId="6847A421" w14:textId="77777777" w:rsidR="006B73D4" w:rsidRPr="009C515A" w:rsidRDefault="008E1F59" w:rsidP="008E1F59">
            <w:pPr>
              <w:rPr>
                <w:rFonts w:eastAsia="Times New Roman"/>
                <w:color w:val="000000"/>
                <w:sz w:val="20"/>
                <w:szCs w:val="20"/>
                <w:lang w:eastAsia="es-PE"/>
              </w:rPr>
            </w:pPr>
            <w:r w:rsidRPr="009C515A">
              <w:rPr>
                <w:rFonts w:eastAsia="Times New Roman"/>
                <w:color w:val="000000"/>
                <w:sz w:val="20"/>
                <w:szCs w:val="20"/>
                <w:lang w:eastAsia="es-PE"/>
              </w:rPr>
              <w:t>The Core partners in the proposed TCA are WHO, UNICEF and the World Bank. An Expanded Global partner included in the TCA is the National Centre for Immunisation Research and Surveillance (NCIRS), Sydney, Australia. NCIRS has previously provided technical assistance to the EPI program as a bilateral partner under the Australian Experts’ Technical Assistance Program (AETAP). The other Expanded Global partner included is PATH. PATH has provided TA for HPV introduction and rollout in the Solomon Islands in the past few years. The Local TA partners are World Vision and ADRA</w:t>
            </w:r>
            <w:r w:rsidR="0083286D" w:rsidRPr="009C515A">
              <w:rPr>
                <w:rFonts w:eastAsia="Times New Roman"/>
                <w:color w:val="000000"/>
                <w:sz w:val="20"/>
                <w:szCs w:val="20"/>
                <w:lang w:eastAsia="es-PE"/>
              </w:rPr>
              <w:t xml:space="preserve"> (Adventist Development and Relief Agency)</w:t>
            </w:r>
            <w:r w:rsidRPr="009C515A">
              <w:rPr>
                <w:rFonts w:eastAsia="Times New Roman"/>
                <w:color w:val="000000"/>
                <w:sz w:val="20"/>
                <w:szCs w:val="20"/>
                <w:lang w:eastAsia="es-PE"/>
              </w:rPr>
              <w:t>, who have already worked with the MHMS and UNICEF.</w:t>
            </w:r>
          </w:p>
          <w:p w14:paraId="18AA925F" w14:textId="09BF8E0C" w:rsidR="00F7718C" w:rsidRPr="009C515A" w:rsidRDefault="00E84AD2" w:rsidP="008E1F59">
            <w:pPr>
              <w:rPr>
                <w:rFonts w:eastAsia="Times New Roman"/>
                <w:color w:val="000000"/>
                <w:sz w:val="20"/>
                <w:szCs w:val="20"/>
                <w:lang w:eastAsia="es-PE"/>
              </w:rPr>
            </w:pPr>
            <w:r w:rsidRPr="009C515A">
              <w:rPr>
                <w:rFonts w:eastAsia="Times New Roman"/>
                <w:color w:val="000000"/>
                <w:sz w:val="20"/>
                <w:szCs w:val="20"/>
                <w:lang w:eastAsia="es-PE"/>
              </w:rPr>
              <w:t>The University of Oslo has provided technical support to MHMS for upgrading DHIS2. They would also support upgrading the DHIS2 system to accommodate improved electronic EPI data modules. The Health Information Unit of the MHMS will further discuss with the University of Oslo a workplan for their engagement in the TCA period.</w:t>
            </w:r>
            <w:r w:rsidR="009C515A">
              <w:rPr>
                <w:rFonts w:eastAsia="Times New Roman"/>
                <w:color w:val="000000"/>
                <w:sz w:val="20"/>
                <w:szCs w:val="20"/>
                <w:lang w:eastAsia="es-PE"/>
              </w:rPr>
              <w:t xml:space="preserve"> </w:t>
            </w:r>
            <w:r w:rsidRPr="009C515A">
              <w:rPr>
                <w:rFonts w:eastAsia="Times New Roman"/>
                <w:color w:val="000000"/>
                <w:sz w:val="20"/>
                <w:szCs w:val="20"/>
                <w:lang w:eastAsia="es-PE"/>
              </w:rPr>
              <w:t xml:space="preserve">UNICEF is also consulting with </w:t>
            </w:r>
            <w:proofErr w:type="spellStart"/>
            <w:r w:rsidRPr="009C515A">
              <w:rPr>
                <w:rFonts w:eastAsia="Times New Roman"/>
                <w:color w:val="000000"/>
                <w:sz w:val="20"/>
                <w:szCs w:val="20"/>
                <w:lang w:eastAsia="es-PE"/>
              </w:rPr>
              <w:t>SanteSuite</w:t>
            </w:r>
            <w:proofErr w:type="spellEnd"/>
            <w:r w:rsidRPr="009C515A">
              <w:rPr>
                <w:rFonts w:eastAsia="Times New Roman"/>
                <w:color w:val="000000"/>
                <w:sz w:val="20"/>
                <w:szCs w:val="20"/>
                <w:lang w:eastAsia="es-PE"/>
              </w:rPr>
              <w:t xml:space="preserve"> to establish Electronic Immunisation Register (EIR) in the Solomon Islands, and a TA in this regard is included in the TCA.</w:t>
            </w:r>
          </w:p>
        </w:tc>
      </w:tr>
      <w:tr w:rsidR="00520598" w:rsidRPr="009C515A" w14:paraId="72481A8B" w14:textId="77777777" w:rsidTr="004A579E">
        <w:trPr>
          <w:trHeight w:val="260"/>
        </w:trPr>
        <w:tc>
          <w:tcPr>
            <w:tcW w:w="9170" w:type="dxa"/>
            <w:gridSpan w:val="2"/>
            <w:shd w:val="clear" w:color="auto" w:fill="F2F2F2" w:themeFill="background1" w:themeFillShade="F2"/>
          </w:tcPr>
          <w:p w14:paraId="29991F07" w14:textId="25599A92" w:rsidR="00520598" w:rsidRPr="009C515A" w:rsidRDefault="00520598" w:rsidP="57C08CD4">
            <w:pPr>
              <w:spacing w:line="300" w:lineRule="exact"/>
              <w:rPr>
                <w:b/>
                <w:bCs/>
                <w:i/>
                <w:iCs/>
                <w:color w:val="000000" w:themeColor="text1"/>
                <w:sz w:val="20"/>
                <w:szCs w:val="20"/>
                <w:lang w:val="en-GB"/>
              </w:rPr>
            </w:pPr>
            <w:r w:rsidRPr="009C515A">
              <w:rPr>
                <w:b/>
                <w:bCs/>
                <w:i/>
                <w:iCs/>
                <w:sz w:val="20"/>
                <w:szCs w:val="20"/>
                <w:lang w:val="en-GB"/>
              </w:rPr>
              <w:t>3.2 Please indicate how exactly you plan to collaborate with Local Partners</w:t>
            </w:r>
            <w:r w:rsidR="004A579E" w:rsidRPr="009C515A">
              <w:rPr>
                <w:b/>
                <w:bCs/>
                <w:i/>
                <w:iCs/>
                <w:sz w:val="20"/>
                <w:szCs w:val="20"/>
                <w:lang w:val="en-GB"/>
              </w:rPr>
              <w:t>.</w:t>
            </w:r>
          </w:p>
        </w:tc>
      </w:tr>
      <w:tr w:rsidR="00E80A44" w:rsidRPr="009C515A" w14:paraId="5B4D7083" w14:textId="77777777" w:rsidTr="00D353AF">
        <w:trPr>
          <w:gridAfter w:val="1"/>
          <w:wAfter w:w="22" w:type="dxa"/>
        </w:trPr>
        <w:tc>
          <w:tcPr>
            <w:tcW w:w="9170" w:type="dxa"/>
            <w:tcBorders>
              <w:top w:val="single" w:sz="4" w:space="0" w:color="auto"/>
              <w:left w:val="single" w:sz="4" w:space="0" w:color="auto"/>
              <w:bottom w:val="single" w:sz="4" w:space="0" w:color="auto"/>
              <w:right w:val="single" w:sz="4" w:space="0" w:color="auto"/>
            </w:tcBorders>
          </w:tcPr>
          <w:p w14:paraId="0751C806" w14:textId="77777777" w:rsidR="008E1F59" w:rsidRPr="009C515A" w:rsidRDefault="008E1F59" w:rsidP="008E1F59">
            <w:pPr>
              <w:rPr>
                <w:rFonts w:eastAsia="Times New Roman"/>
                <w:color w:val="000000"/>
                <w:sz w:val="20"/>
                <w:szCs w:val="20"/>
                <w:lang w:eastAsia="es-PE"/>
              </w:rPr>
            </w:pPr>
            <w:r w:rsidRPr="009C515A">
              <w:rPr>
                <w:rFonts w:eastAsia="Times New Roman"/>
                <w:color w:val="000000"/>
                <w:sz w:val="20"/>
                <w:szCs w:val="20"/>
                <w:lang w:eastAsia="es-PE"/>
              </w:rPr>
              <w:t xml:space="preserve">WHO and UNICEF are the longstanding technical partners of the MHMS and EPI program. WHO and UNICEF collaborate with the MHMS through several mechanisms, including collaboration through the Partner’s coordination committee meetings, National Technical Working Group and other related bodies and mechanisms available. </w:t>
            </w:r>
          </w:p>
          <w:p w14:paraId="67734361" w14:textId="77777777" w:rsidR="008E1F59" w:rsidRPr="009C515A" w:rsidRDefault="008E1F59" w:rsidP="008E1F59">
            <w:pPr>
              <w:rPr>
                <w:rFonts w:eastAsia="Times New Roman"/>
                <w:color w:val="000000"/>
                <w:sz w:val="20"/>
                <w:szCs w:val="20"/>
                <w:lang w:eastAsia="es-PE"/>
              </w:rPr>
            </w:pPr>
            <w:r w:rsidRPr="009C515A">
              <w:rPr>
                <w:rFonts w:eastAsia="Times New Roman"/>
                <w:color w:val="000000"/>
                <w:sz w:val="20"/>
                <w:szCs w:val="20"/>
                <w:lang w:eastAsia="es-PE"/>
              </w:rPr>
              <w:lastRenderedPageBreak/>
              <w:t xml:space="preserve">UNICEF is working closely with partners like World Vision, ADRA and with personnel posted at Malaita and Western provinces to coordinate with government counterparts and other partners on the ground. </w:t>
            </w:r>
          </w:p>
          <w:p w14:paraId="4BECC43B" w14:textId="77777777" w:rsidR="008E1F59" w:rsidRPr="009C515A" w:rsidRDefault="008E1F59" w:rsidP="008E1F59">
            <w:pPr>
              <w:rPr>
                <w:rFonts w:eastAsia="Times New Roman"/>
                <w:color w:val="000000"/>
                <w:sz w:val="20"/>
                <w:szCs w:val="20"/>
                <w:lang w:eastAsia="es-PE"/>
              </w:rPr>
            </w:pPr>
            <w:r w:rsidRPr="009C515A">
              <w:rPr>
                <w:rFonts w:eastAsia="Times New Roman"/>
                <w:color w:val="000000"/>
                <w:sz w:val="20"/>
                <w:szCs w:val="20"/>
                <w:lang w:eastAsia="es-PE"/>
              </w:rPr>
              <w:t>World Bank supports the MHMS &amp; EPI unit in its budget process, developing AOP&amp;B, providing training, participating in the EPI technical working group meetings, participating in the National Coordinating Committee for C19, and participating in the Ministry Budget Committee meetings.</w:t>
            </w:r>
          </w:p>
          <w:p w14:paraId="6420D9B9" w14:textId="14B90A13" w:rsidR="006B4F2F" w:rsidRPr="009C515A" w:rsidRDefault="008E1F59" w:rsidP="008E1F59">
            <w:pPr>
              <w:rPr>
                <w:rFonts w:eastAsia="Times New Roman"/>
                <w:color w:val="000000"/>
                <w:sz w:val="20"/>
                <w:szCs w:val="20"/>
                <w:lang w:eastAsia="es-PE"/>
              </w:rPr>
            </w:pPr>
            <w:r w:rsidRPr="009C515A">
              <w:rPr>
                <w:rFonts w:eastAsia="Times New Roman"/>
                <w:color w:val="000000"/>
                <w:sz w:val="20"/>
                <w:szCs w:val="20"/>
                <w:lang w:eastAsia="es-PE"/>
              </w:rPr>
              <w:t>PATH has already worked in partnership with the MHMS to provide technical support on HPV vaccination, and it has also hired a local consultant for the ground-level support. NCIRS has already deployed an EPI expert to the Solomon Islands since March 2022. He sits at the EPI Unit Honiara to provide technical assistance. He is supported remotely by various units at the NCIRS and other specialised institutions in Australia partnering with the NCIRS. This support is expected to continue during the proposed TCA period.</w:t>
            </w:r>
          </w:p>
        </w:tc>
      </w:tr>
      <w:tr w:rsidR="38F5364C" w:rsidRPr="009C515A" w14:paraId="5D1DCA18" w14:textId="77777777" w:rsidTr="00D353AF">
        <w:tc>
          <w:tcPr>
            <w:tcW w:w="9192" w:type="dxa"/>
            <w:gridSpan w:val="2"/>
            <w:tcBorders>
              <w:top w:val="single" w:sz="4" w:space="0" w:color="FFFFFF" w:themeColor="background1"/>
              <w:left w:val="none" w:sz="4" w:space="0" w:color="FFFFFF" w:themeColor="background1"/>
              <w:bottom w:val="single" w:sz="4" w:space="0" w:color="auto"/>
              <w:right w:val="none" w:sz="4" w:space="0" w:color="FFFFFF" w:themeColor="background1"/>
            </w:tcBorders>
            <w:shd w:val="clear" w:color="auto" w:fill="F2F2F2" w:themeFill="background1" w:themeFillShade="F2"/>
          </w:tcPr>
          <w:p w14:paraId="59D43D0B" w14:textId="2AE6E4DA" w:rsidR="2F92698C" w:rsidRPr="009C515A" w:rsidRDefault="3D5C2947" w:rsidP="704B32F1">
            <w:pPr>
              <w:spacing w:line="300" w:lineRule="exact"/>
              <w:rPr>
                <w:b/>
                <w:bCs/>
                <w:i/>
                <w:iCs/>
                <w:color w:val="000000" w:themeColor="text1"/>
                <w:sz w:val="20"/>
                <w:szCs w:val="20"/>
              </w:rPr>
            </w:pPr>
            <w:r w:rsidRPr="009C515A">
              <w:rPr>
                <w:b/>
                <w:bCs/>
                <w:i/>
                <w:iCs/>
                <w:color w:val="000000" w:themeColor="text1"/>
                <w:sz w:val="20"/>
                <w:szCs w:val="20"/>
              </w:rPr>
              <w:lastRenderedPageBreak/>
              <w:t>3.</w:t>
            </w:r>
            <w:r w:rsidR="00520598" w:rsidRPr="009C515A">
              <w:rPr>
                <w:b/>
                <w:bCs/>
                <w:i/>
                <w:iCs/>
                <w:color w:val="000000" w:themeColor="text1"/>
                <w:sz w:val="20"/>
                <w:szCs w:val="20"/>
              </w:rPr>
              <w:t>3</w:t>
            </w:r>
            <w:r w:rsidRPr="009C515A">
              <w:rPr>
                <w:b/>
                <w:bCs/>
                <w:i/>
                <w:iCs/>
                <w:color w:val="000000" w:themeColor="text1"/>
                <w:sz w:val="20"/>
                <w:szCs w:val="20"/>
              </w:rPr>
              <w:t xml:space="preserve"> </w:t>
            </w:r>
            <w:r w:rsidR="64431148" w:rsidRPr="009C515A">
              <w:rPr>
                <w:b/>
                <w:bCs/>
                <w:i/>
                <w:iCs/>
                <w:color w:val="000000" w:themeColor="text1"/>
                <w:sz w:val="20"/>
                <w:szCs w:val="20"/>
              </w:rPr>
              <w:t xml:space="preserve">Please note the allocation of TCA to </w:t>
            </w:r>
            <w:r w:rsidR="009F19F8" w:rsidRPr="009C515A">
              <w:rPr>
                <w:b/>
                <w:bCs/>
                <w:i/>
                <w:iCs/>
                <w:color w:val="000000" w:themeColor="text1"/>
                <w:sz w:val="20"/>
                <w:szCs w:val="20"/>
              </w:rPr>
              <w:t>Local Partners</w:t>
            </w:r>
            <w:r w:rsidR="00B664EF" w:rsidRPr="009C515A">
              <w:rPr>
                <w:b/>
                <w:bCs/>
                <w:i/>
                <w:iCs/>
                <w:color w:val="000000" w:themeColor="text1"/>
                <w:sz w:val="20"/>
                <w:szCs w:val="20"/>
              </w:rPr>
              <w:t xml:space="preserve"> (only)</w:t>
            </w:r>
            <w:r w:rsidR="64431148" w:rsidRPr="009C515A">
              <w:rPr>
                <w:b/>
                <w:bCs/>
                <w:i/>
                <w:iCs/>
                <w:color w:val="000000" w:themeColor="text1"/>
                <w:sz w:val="20"/>
                <w:szCs w:val="20"/>
              </w:rPr>
              <w:t xml:space="preserve"> and describe the approach you will use to comply with the </w:t>
            </w:r>
            <w:r w:rsidR="004E2955" w:rsidRPr="009C515A">
              <w:rPr>
                <w:b/>
                <w:bCs/>
                <w:i/>
                <w:iCs/>
                <w:color w:val="000000" w:themeColor="text1"/>
                <w:sz w:val="20"/>
                <w:szCs w:val="20"/>
              </w:rPr>
              <w:t>recommendation</w:t>
            </w:r>
            <w:r w:rsidR="64431148" w:rsidRPr="009C515A">
              <w:rPr>
                <w:b/>
                <w:bCs/>
                <w:i/>
                <w:iCs/>
                <w:color w:val="000000" w:themeColor="text1"/>
                <w:sz w:val="20"/>
                <w:szCs w:val="20"/>
              </w:rPr>
              <w:t xml:space="preserve"> of allocating </w:t>
            </w:r>
            <w:r w:rsidR="004E2955" w:rsidRPr="009C515A">
              <w:rPr>
                <w:b/>
                <w:bCs/>
                <w:i/>
                <w:iCs/>
                <w:color w:val="000000" w:themeColor="text1"/>
                <w:sz w:val="20"/>
                <w:szCs w:val="20"/>
              </w:rPr>
              <w:t>30</w:t>
            </w:r>
            <w:r w:rsidR="64431148" w:rsidRPr="009C515A">
              <w:rPr>
                <w:b/>
                <w:bCs/>
                <w:i/>
                <w:iCs/>
                <w:color w:val="000000" w:themeColor="text1"/>
                <w:sz w:val="20"/>
                <w:szCs w:val="20"/>
              </w:rPr>
              <w:t xml:space="preserve">% of TCA </w:t>
            </w:r>
            <w:r w:rsidR="004E2955" w:rsidRPr="009C515A">
              <w:rPr>
                <w:b/>
                <w:bCs/>
                <w:i/>
                <w:iCs/>
                <w:color w:val="000000" w:themeColor="text1"/>
                <w:sz w:val="20"/>
                <w:szCs w:val="20"/>
              </w:rPr>
              <w:t>to Local Partners</w:t>
            </w:r>
            <w:r w:rsidR="00D603BC" w:rsidRPr="009C515A">
              <w:rPr>
                <w:b/>
                <w:bCs/>
                <w:i/>
                <w:iCs/>
                <w:color w:val="000000" w:themeColor="text1"/>
                <w:sz w:val="20"/>
                <w:szCs w:val="20"/>
              </w:rPr>
              <w:t xml:space="preserve"> over the course of 2022-25</w:t>
            </w:r>
            <w:r w:rsidR="00704813" w:rsidRPr="009C515A">
              <w:rPr>
                <w:b/>
                <w:bCs/>
                <w:i/>
                <w:iCs/>
                <w:color w:val="000000" w:themeColor="text1"/>
                <w:sz w:val="20"/>
                <w:szCs w:val="20"/>
              </w:rPr>
              <w:t>.</w:t>
            </w:r>
            <w:r w:rsidR="00025BBE" w:rsidRPr="009C515A">
              <w:rPr>
                <w:b/>
                <w:bCs/>
                <w:i/>
                <w:iCs/>
                <w:color w:val="000000" w:themeColor="text1"/>
                <w:sz w:val="20"/>
                <w:szCs w:val="20"/>
              </w:rPr>
              <w:t xml:space="preserve"> </w:t>
            </w:r>
            <w:r w:rsidR="00025BBE" w:rsidRPr="009C515A">
              <w:rPr>
                <w:i/>
                <w:sz w:val="20"/>
                <w:szCs w:val="20"/>
                <w:lang w:val="en-GB"/>
              </w:rPr>
              <w:t>Please refer to section 2.3 (3. Partner Mapping) of the PEF TCA Planning Guidelines for more information.</w:t>
            </w:r>
          </w:p>
        </w:tc>
      </w:tr>
      <w:tr w:rsidR="38F5364C" w:rsidRPr="009C515A" w14:paraId="094E7639" w14:textId="77777777" w:rsidTr="00D353AF">
        <w:tc>
          <w:tcPr>
            <w:tcW w:w="9192" w:type="dxa"/>
            <w:gridSpan w:val="2"/>
            <w:tcBorders>
              <w:top w:val="single" w:sz="4" w:space="0" w:color="auto"/>
              <w:left w:val="single" w:sz="4" w:space="0" w:color="auto"/>
              <w:bottom w:val="single" w:sz="4" w:space="0" w:color="auto"/>
              <w:right w:val="single" w:sz="4" w:space="0" w:color="auto"/>
            </w:tcBorders>
          </w:tcPr>
          <w:p w14:paraId="64958F87" w14:textId="47ED5575" w:rsidR="38F5364C" w:rsidRPr="009C515A" w:rsidRDefault="00B63093" w:rsidP="00B63093">
            <w:pPr>
              <w:rPr>
                <w:lang w:val="en-GB"/>
              </w:rPr>
            </w:pPr>
            <w:r w:rsidRPr="009C515A">
              <w:rPr>
                <w:rFonts w:eastAsia="Times New Roman"/>
                <w:color w:val="000000"/>
                <w:sz w:val="20"/>
                <w:szCs w:val="20"/>
                <w:lang w:eastAsia="es-PE"/>
              </w:rPr>
              <w:t>The allocated TCA amount to the local partners would be through UNICEF and depended on their capacity and the amount of work</w:t>
            </w:r>
          </w:p>
        </w:tc>
      </w:tr>
      <w:tr w:rsidR="009F19F8" w:rsidRPr="009C515A" w14:paraId="3821C077" w14:textId="77777777" w:rsidTr="00D353AF">
        <w:tc>
          <w:tcPr>
            <w:tcW w:w="9192" w:type="dxa"/>
            <w:gridSpan w:val="2"/>
            <w:tcBorders>
              <w:top w:val="single" w:sz="4" w:space="0" w:color="FFFFFF" w:themeColor="background1"/>
              <w:left w:val="none" w:sz="4" w:space="0" w:color="FFFFFF" w:themeColor="background1"/>
              <w:bottom w:val="single" w:sz="4" w:space="0" w:color="auto"/>
              <w:right w:val="none" w:sz="4" w:space="0" w:color="FFFFFF" w:themeColor="background1"/>
            </w:tcBorders>
            <w:shd w:val="clear" w:color="auto" w:fill="F2F2F2" w:themeFill="background1" w:themeFillShade="F2"/>
          </w:tcPr>
          <w:p w14:paraId="7F609ADB" w14:textId="799CFD5C" w:rsidR="009F19F8" w:rsidRPr="009C515A" w:rsidRDefault="009F19F8" w:rsidP="00752CEA">
            <w:pPr>
              <w:spacing w:line="300" w:lineRule="exact"/>
              <w:rPr>
                <w:b/>
                <w:bCs/>
                <w:i/>
                <w:iCs/>
                <w:color w:val="000000" w:themeColor="text1"/>
                <w:sz w:val="20"/>
                <w:szCs w:val="20"/>
              </w:rPr>
            </w:pPr>
            <w:r w:rsidRPr="009C515A">
              <w:rPr>
                <w:b/>
                <w:bCs/>
                <w:i/>
                <w:iCs/>
                <w:color w:val="000000" w:themeColor="text1"/>
                <w:sz w:val="20"/>
                <w:szCs w:val="20"/>
              </w:rPr>
              <w:t>3.</w:t>
            </w:r>
            <w:r w:rsidR="00520598" w:rsidRPr="009C515A">
              <w:rPr>
                <w:b/>
                <w:bCs/>
                <w:i/>
                <w:iCs/>
                <w:color w:val="000000" w:themeColor="text1"/>
                <w:sz w:val="20"/>
                <w:szCs w:val="20"/>
              </w:rPr>
              <w:t>4</w:t>
            </w:r>
            <w:r w:rsidRPr="009C515A">
              <w:rPr>
                <w:b/>
                <w:bCs/>
                <w:i/>
                <w:iCs/>
                <w:color w:val="000000" w:themeColor="text1"/>
                <w:sz w:val="20"/>
                <w:szCs w:val="20"/>
              </w:rPr>
              <w:t xml:space="preserve"> Please note the allocation of TCA to CSOs</w:t>
            </w:r>
            <w:r w:rsidR="008F50F8" w:rsidRPr="009C515A">
              <w:rPr>
                <w:b/>
                <w:bCs/>
                <w:i/>
                <w:iCs/>
                <w:color w:val="000000" w:themeColor="text1"/>
                <w:sz w:val="20"/>
                <w:szCs w:val="20"/>
              </w:rPr>
              <w:t xml:space="preserve"> only</w:t>
            </w:r>
            <w:r w:rsidRPr="009C515A">
              <w:rPr>
                <w:b/>
                <w:bCs/>
                <w:i/>
                <w:iCs/>
                <w:color w:val="000000" w:themeColor="text1"/>
                <w:sz w:val="20"/>
                <w:szCs w:val="20"/>
              </w:rPr>
              <w:t xml:space="preserve"> (either Global or Local Expanded Partners) and describe the approach you will use to comply with the requirement of allocating 10% of combined TCA, EAF and HSS ceilings for CSO implementation (e.g</w:t>
            </w:r>
            <w:r w:rsidR="00A733BF" w:rsidRPr="009C515A">
              <w:rPr>
                <w:b/>
                <w:bCs/>
                <w:i/>
                <w:iCs/>
                <w:color w:val="000000" w:themeColor="text1"/>
                <w:sz w:val="20"/>
                <w:szCs w:val="20"/>
              </w:rPr>
              <w:t>.</w:t>
            </w:r>
            <w:r w:rsidRPr="009C515A">
              <w:rPr>
                <w:b/>
                <w:bCs/>
                <w:i/>
                <w:iCs/>
                <w:color w:val="000000" w:themeColor="text1"/>
                <w:sz w:val="20"/>
                <w:szCs w:val="20"/>
              </w:rPr>
              <w:t xml:space="preserve"> if less than 10% of TCA funding is allocated to CSOs, please indicate how this will be compensated through </w:t>
            </w:r>
            <w:r w:rsidR="00A733BF" w:rsidRPr="009C515A">
              <w:rPr>
                <w:b/>
                <w:bCs/>
                <w:i/>
                <w:iCs/>
                <w:color w:val="000000" w:themeColor="text1"/>
                <w:sz w:val="20"/>
                <w:szCs w:val="20"/>
              </w:rPr>
              <w:t xml:space="preserve">the </w:t>
            </w:r>
            <w:r w:rsidRPr="009C515A">
              <w:rPr>
                <w:b/>
                <w:bCs/>
                <w:i/>
                <w:iCs/>
                <w:color w:val="000000" w:themeColor="text1"/>
                <w:sz w:val="20"/>
                <w:szCs w:val="20"/>
              </w:rPr>
              <w:t>allocation of HSS and EAF funding to CSOs).</w:t>
            </w:r>
            <w:r w:rsidR="00025BBE" w:rsidRPr="009C515A">
              <w:rPr>
                <w:b/>
                <w:bCs/>
                <w:i/>
                <w:iCs/>
                <w:color w:val="000000" w:themeColor="text1"/>
                <w:sz w:val="20"/>
                <w:szCs w:val="20"/>
              </w:rPr>
              <w:t xml:space="preserve"> </w:t>
            </w:r>
            <w:r w:rsidR="00025BBE" w:rsidRPr="009C515A">
              <w:rPr>
                <w:i/>
                <w:sz w:val="20"/>
                <w:szCs w:val="20"/>
                <w:lang w:val="en-GB"/>
              </w:rPr>
              <w:t>Please refer to section 2.3 (3. Partner Mapping) of the PEF TCA Planning Guidelines for more information.</w:t>
            </w:r>
          </w:p>
        </w:tc>
      </w:tr>
      <w:tr w:rsidR="009F19F8" w:rsidRPr="009C515A" w14:paraId="3F43E4A9" w14:textId="77777777" w:rsidTr="00D353AF">
        <w:tc>
          <w:tcPr>
            <w:tcW w:w="9192" w:type="dxa"/>
            <w:gridSpan w:val="2"/>
            <w:tcBorders>
              <w:top w:val="single" w:sz="4" w:space="0" w:color="auto"/>
              <w:left w:val="single" w:sz="4" w:space="0" w:color="auto"/>
              <w:bottom w:val="single" w:sz="4" w:space="0" w:color="auto"/>
              <w:right w:val="single" w:sz="4" w:space="0" w:color="auto"/>
            </w:tcBorders>
          </w:tcPr>
          <w:p w14:paraId="01E16748" w14:textId="0A24A41C" w:rsidR="009F19F8" w:rsidRPr="009C515A" w:rsidRDefault="00B63093" w:rsidP="00B63093">
            <w:pPr>
              <w:rPr>
                <w:lang w:val="en-GB"/>
              </w:rPr>
            </w:pPr>
            <w:r w:rsidRPr="009C515A">
              <w:rPr>
                <w:rFonts w:eastAsia="Times New Roman"/>
                <w:color w:val="000000"/>
                <w:sz w:val="20"/>
                <w:szCs w:val="20"/>
                <w:lang w:eastAsia="es-PE"/>
              </w:rPr>
              <w:t>The MHMS/EPI will follow the PEF TCA Planning Guidelines and the proposed TCA has not exceeded the 10% ceiling for CSOs</w:t>
            </w:r>
          </w:p>
        </w:tc>
      </w:tr>
    </w:tbl>
    <w:p w14:paraId="0FF1AB89" w14:textId="77777777" w:rsidR="00372D1F" w:rsidRPr="009C515A" w:rsidRDefault="00372D1F" w:rsidP="00372D1F">
      <w:pPr>
        <w:pStyle w:val="ListParagraph"/>
        <w:spacing w:line="300" w:lineRule="exact"/>
        <w:ind w:left="0"/>
        <w:jc w:val="right"/>
        <w:rPr>
          <w:b/>
          <w:color w:val="70AD47" w:themeColor="accent6"/>
          <w:sz w:val="26"/>
          <w:szCs w:val="26"/>
        </w:rPr>
      </w:pPr>
    </w:p>
    <w:p w14:paraId="79848434" w14:textId="5CA61DE4" w:rsidR="009F0292" w:rsidRPr="009C515A" w:rsidRDefault="009F0292" w:rsidP="00CE1F57">
      <w:pPr>
        <w:pStyle w:val="ListParagraph"/>
        <w:numPr>
          <w:ilvl w:val="0"/>
          <w:numId w:val="4"/>
        </w:numPr>
        <w:spacing w:line="300" w:lineRule="exact"/>
        <w:rPr>
          <w:b/>
          <w:color w:val="84C650"/>
          <w:sz w:val="26"/>
          <w:szCs w:val="26"/>
          <w:lang w:val="en-GB"/>
        </w:rPr>
      </w:pPr>
      <w:r w:rsidRPr="009C515A">
        <w:rPr>
          <w:b/>
          <w:color w:val="70AD47" w:themeColor="accent6"/>
          <w:sz w:val="26"/>
          <w:szCs w:val="26"/>
          <w:lang w:val="en-GB"/>
        </w:rPr>
        <w:t>Lessons learnt from past TA experience (0.5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2"/>
      </w:tblGrid>
      <w:tr w:rsidR="009F0292" w:rsidRPr="009C515A" w14:paraId="3F8B0CB5" w14:textId="77777777" w:rsidTr="00DD391A">
        <w:tc>
          <w:tcPr>
            <w:tcW w:w="9192" w:type="dxa"/>
            <w:tcBorders>
              <w:bottom w:val="single" w:sz="4" w:space="0" w:color="auto"/>
            </w:tcBorders>
            <w:shd w:val="clear" w:color="auto" w:fill="F2F2F2" w:themeFill="background1" w:themeFillShade="F2"/>
          </w:tcPr>
          <w:p w14:paraId="6BD0AD08" w14:textId="376F045C" w:rsidR="009F0292" w:rsidRPr="009C515A" w:rsidRDefault="0033192A" w:rsidP="00871FCF">
            <w:pPr>
              <w:spacing w:line="300" w:lineRule="exact"/>
              <w:rPr>
                <w:b/>
                <w:bCs/>
                <w:color w:val="92D050"/>
                <w:lang w:val="en-GB"/>
              </w:rPr>
            </w:pPr>
            <w:r w:rsidRPr="009C515A">
              <w:rPr>
                <w:b/>
                <w:bCs/>
                <w:i/>
                <w:iCs/>
                <w:color w:val="000000" w:themeColor="text1"/>
                <w:sz w:val="20"/>
                <w:szCs w:val="20"/>
                <w:lang w:val="en-GB"/>
              </w:rPr>
              <w:t>4.</w:t>
            </w:r>
            <w:r w:rsidR="009F0292" w:rsidRPr="009C515A">
              <w:rPr>
                <w:b/>
                <w:bCs/>
                <w:i/>
                <w:iCs/>
                <w:color w:val="000000" w:themeColor="text1"/>
                <w:sz w:val="20"/>
                <w:szCs w:val="20"/>
                <w:lang w:val="en-GB"/>
              </w:rPr>
              <w:t>1 Please explain how the TCA plan will build on previous performance, lessons learned, and best practices of TCA activities from your previous TCA plan</w:t>
            </w:r>
            <w:r w:rsidR="0048676E" w:rsidRPr="009C515A">
              <w:rPr>
                <w:b/>
                <w:bCs/>
                <w:i/>
                <w:iCs/>
                <w:color w:val="000000" w:themeColor="text1"/>
                <w:sz w:val="20"/>
                <w:szCs w:val="20"/>
                <w:lang w:val="en-GB"/>
              </w:rPr>
              <w:t>, including</w:t>
            </w:r>
            <w:r w:rsidR="009D07BA" w:rsidRPr="009C515A">
              <w:rPr>
                <w:b/>
                <w:bCs/>
                <w:i/>
                <w:iCs/>
                <w:color w:val="000000" w:themeColor="text1"/>
                <w:sz w:val="20"/>
                <w:szCs w:val="20"/>
                <w:lang w:val="en-GB"/>
              </w:rPr>
              <w:t xml:space="preserve"> </w:t>
            </w:r>
            <w:r w:rsidR="006E0314" w:rsidRPr="009C515A">
              <w:rPr>
                <w:b/>
                <w:bCs/>
                <w:i/>
                <w:iCs/>
                <w:color w:val="000000" w:themeColor="text1"/>
                <w:sz w:val="20"/>
                <w:szCs w:val="20"/>
                <w:lang w:val="en-GB"/>
              </w:rPr>
              <w:t xml:space="preserve">contributions to the national programme and </w:t>
            </w:r>
            <w:r w:rsidR="00C9453B" w:rsidRPr="009C515A">
              <w:rPr>
                <w:b/>
                <w:bCs/>
                <w:i/>
                <w:iCs/>
                <w:color w:val="000000" w:themeColor="text1"/>
                <w:sz w:val="20"/>
                <w:szCs w:val="20"/>
                <w:lang w:val="en-GB"/>
              </w:rPr>
              <w:t xml:space="preserve">knowledge/skill </w:t>
            </w:r>
            <w:r w:rsidR="009C20B6" w:rsidRPr="009C515A">
              <w:rPr>
                <w:b/>
                <w:bCs/>
                <w:i/>
                <w:iCs/>
                <w:color w:val="000000" w:themeColor="text1"/>
                <w:sz w:val="20"/>
                <w:szCs w:val="20"/>
                <w:lang w:val="en-GB"/>
              </w:rPr>
              <w:t>building,</w:t>
            </w:r>
            <w:r w:rsidR="00652E87" w:rsidRPr="009C515A">
              <w:rPr>
                <w:b/>
                <w:bCs/>
                <w:i/>
                <w:iCs/>
                <w:color w:val="000000" w:themeColor="text1"/>
                <w:sz w:val="20"/>
                <w:szCs w:val="20"/>
                <w:lang w:val="en-GB"/>
              </w:rPr>
              <w:t xml:space="preserve"> and how this has been taken into account in </w:t>
            </w:r>
            <w:r w:rsidR="00FA04B1" w:rsidRPr="009C515A">
              <w:rPr>
                <w:b/>
                <w:bCs/>
                <w:i/>
                <w:iCs/>
                <w:color w:val="000000" w:themeColor="text1"/>
                <w:sz w:val="20"/>
                <w:szCs w:val="20"/>
                <w:lang w:val="en-GB"/>
              </w:rPr>
              <w:t>this TCA planning and prioritisation</w:t>
            </w:r>
            <w:r w:rsidR="009F0292" w:rsidRPr="009C515A">
              <w:rPr>
                <w:b/>
                <w:bCs/>
                <w:i/>
                <w:iCs/>
                <w:color w:val="000000" w:themeColor="text1"/>
                <w:sz w:val="20"/>
                <w:szCs w:val="20"/>
                <w:lang w:val="en-GB"/>
              </w:rPr>
              <w:t xml:space="preserve">. </w:t>
            </w:r>
            <w:r w:rsidR="009F0292" w:rsidRPr="009C515A">
              <w:rPr>
                <w:b/>
                <w:bCs/>
                <w:i/>
                <w:iCs/>
                <w:sz w:val="20"/>
                <w:szCs w:val="20"/>
              </w:rPr>
              <w:t xml:space="preserve"> </w:t>
            </w:r>
          </w:p>
        </w:tc>
      </w:tr>
      <w:tr w:rsidR="009F0292" w:rsidRPr="009C515A" w14:paraId="690BE9DA" w14:textId="77777777" w:rsidTr="00DD391A">
        <w:tc>
          <w:tcPr>
            <w:tcW w:w="9192" w:type="dxa"/>
            <w:tcBorders>
              <w:top w:val="single" w:sz="4" w:space="0" w:color="auto"/>
              <w:left w:val="single" w:sz="4" w:space="0" w:color="auto"/>
              <w:bottom w:val="single" w:sz="4" w:space="0" w:color="auto"/>
              <w:right w:val="single" w:sz="4" w:space="0" w:color="auto"/>
            </w:tcBorders>
          </w:tcPr>
          <w:p w14:paraId="1687DBB8" w14:textId="77777777" w:rsidR="002C4694" w:rsidRPr="009C515A" w:rsidRDefault="002C4694" w:rsidP="002C4694">
            <w:pPr>
              <w:rPr>
                <w:rFonts w:eastAsia="Times New Roman"/>
                <w:color w:val="000000"/>
                <w:sz w:val="20"/>
                <w:szCs w:val="20"/>
                <w:lang w:eastAsia="es-PE"/>
              </w:rPr>
            </w:pPr>
            <w:r w:rsidRPr="009C515A">
              <w:rPr>
                <w:rFonts w:eastAsia="Times New Roman"/>
                <w:color w:val="000000"/>
                <w:sz w:val="20"/>
                <w:szCs w:val="20"/>
                <w:lang w:eastAsia="es-PE"/>
              </w:rPr>
              <w:t xml:space="preserve">The proposed TCA and continuing support to the Solomon Islands have considered previous performances, lessons learned, and best practices for continuity. </w:t>
            </w:r>
          </w:p>
          <w:p w14:paraId="7504EABF" w14:textId="77777777" w:rsidR="002C4694" w:rsidRPr="009C515A" w:rsidRDefault="002C4694" w:rsidP="002C4694">
            <w:pPr>
              <w:rPr>
                <w:rFonts w:eastAsia="Times New Roman"/>
                <w:color w:val="000000"/>
                <w:sz w:val="20"/>
                <w:szCs w:val="20"/>
                <w:lang w:eastAsia="es-PE"/>
              </w:rPr>
            </w:pPr>
          </w:p>
          <w:p w14:paraId="3CF5E0FD" w14:textId="5846FF96" w:rsidR="002C4694" w:rsidRPr="009C515A" w:rsidRDefault="002C4694" w:rsidP="002C4694">
            <w:pPr>
              <w:rPr>
                <w:rFonts w:eastAsia="Times New Roman"/>
                <w:color w:val="000000"/>
                <w:sz w:val="20"/>
                <w:szCs w:val="20"/>
                <w:lang w:eastAsia="es-PE"/>
              </w:rPr>
            </w:pPr>
            <w:r w:rsidRPr="009C515A">
              <w:rPr>
                <w:rFonts w:eastAsia="Times New Roman"/>
                <w:color w:val="000000"/>
                <w:sz w:val="20"/>
                <w:szCs w:val="20"/>
                <w:lang w:eastAsia="es-PE"/>
              </w:rPr>
              <w:t xml:space="preserve">The program's advantages from the Gavi TCA included support to the program in the areas of need, enabling getting the work done on time and additional capacity building in the program. However, a few areas could not be leveraged to advantage as desired; some gaps still exist after TA left due to insufficient mentoring. The knowledge transfer was incomplete or inadequate related to some </w:t>
            </w:r>
            <w:proofErr w:type="spellStart"/>
            <w:r w:rsidRPr="009C515A">
              <w:rPr>
                <w:rFonts w:eastAsia="Times New Roman"/>
                <w:color w:val="000000"/>
                <w:sz w:val="20"/>
                <w:szCs w:val="20"/>
                <w:lang w:eastAsia="es-PE"/>
              </w:rPr>
              <w:t>TAs.</w:t>
            </w:r>
            <w:proofErr w:type="spellEnd"/>
            <w:r w:rsidR="00E84AD2" w:rsidRPr="009C515A">
              <w:rPr>
                <w:rFonts w:eastAsia="Times New Roman"/>
                <w:color w:val="000000"/>
                <w:sz w:val="20"/>
                <w:szCs w:val="20"/>
                <w:lang w:eastAsia="es-PE"/>
              </w:rPr>
              <w:t xml:space="preserve"> </w:t>
            </w:r>
            <w:bookmarkStart w:id="4" w:name="_Hlk104557777"/>
            <w:r w:rsidR="00E84AD2" w:rsidRPr="009C515A">
              <w:rPr>
                <w:rFonts w:eastAsia="Times New Roman"/>
                <w:color w:val="000000"/>
                <w:sz w:val="20"/>
                <w:szCs w:val="20"/>
                <w:lang w:eastAsia="es-PE"/>
              </w:rPr>
              <w:t>It is also recognised the in-country and sub-national presence of TA experts is more effective.</w:t>
            </w:r>
            <w:bookmarkEnd w:id="4"/>
            <w:r w:rsidRPr="009C515A">
              <w:rPr>
                <w:rFonts w:eastAsia="Times New Roman"/>
                <w:color w:val="000000"/>
                <w:sz w:val="20"/>
                <w:szCs w:val="20"/>
                <w:lang w:eastAsia="es-PE"/>
              </w:rPr>
              <w:t xml:space="preserve"> </w:t>
            </w:r>
          </w:p>
          <w:p w14:paraId="54735EE2" w14:textId="417209D8" w:rsidR="006B4F2F" w:rsidRPr="009C515A" w:rsidRDefault="002C4694" w:rsidP="002C4694">
            <w:pPr>
              <w:rPr>
                <w:rFonts w:eastAsia="Times New Roman"/>
                <w:color w:val="000000"/>
                <w:sz w:val="20"/>
                <w:szCs w:val="20"/>
                <w:lang w:eastAsia="es-PE"/>
              </w:rPr>
            </w:pPr>
            <w:r w:rsidRPr="009C515A">
              <w:rPr>
                <w:rFonts w:eastAsia="Times New Roman"/>
                <w:color w:val="000000"/>
                <w:sz w:val="20"/>
                <w:szCs w:val="20"/>
                <w:lang w:eastAsia="es-PE"/>
              </w:rPr>
              <w:t>A vital gap identified is the need for an experienced financial expert to assist with the financial management on behalf of the EPI at the national level. Issues, including delays in sending financial reports and responding to a financial query, led to the freezing of the operational account. As a result, the provincial-level implementation, particularly the outreach activities, was significantly curtailed.</w:t>
            </w:r>
            <w:r w:rsidR="009D38A8" w:rsidRPr="009C515A">
              <w:rPr>
                <w:rFonts w:eastAsia="Times New Roman"/>
                <w:color w:val="000000"/>
                <w:sz w:val="20"/>
                <w:szCs w:val="20"/>
                <w:lang w:eastAsia="es-PE"/>
              </w:rPr>
              <w:t xml:space="preserve"> </w:t>
            </w:r>
          </w:p>
        </w:tc>
      </w:tr>
    </w:tbl>
    <w:p w14:paraId="4B96F6BD" w14:textId="77777777" w:rsidR="009F0292" w:rsidRPr="009C515A" w:rsidRDefault="009F0292" w:rsidP="00372D1F">
      <w:pPr>
        <w:pStyle w:val="ListParagraph"/>
        <w:spacing w:line="300" w:lineRule="exact"/>
        <w:ind w:left="0"/>
        <w:jc w:val="right"/>
        <w:rPr>
          <w:b/>
          <w:color w:val="70AD47" w:themeColor="accent6"/>
          <w:sz w:val="26"/>
          <w:szCs w:val="26"/>
          <w:lang w:val="en-GB"/>
        </w:rPr>
      </w:pPr>
    </w:p>
    <w:p w14:paraId="11BFC6A9" w14:textId="753345FA" w:rsidR="00610D71" w:rsidRPr="009C515A" w:rsidRDefault="003F0221" w:rsidP="00CE1F57">
      <w:pPr>
        <w:pStyle w:val="ListParagraph"/>
        <w:numPr>
          <w:ilvl w:val="0"/>
          <w:numId w:val="4"/>
        </w:numPr>
        <w:spacing w:line="300" w:lineRule="exact"/>
        <w:rPr>
          <w:b/>
          <w:bCs/>
          <w:color w:val="84C650"/>
          <w:sz w:val="26"/>
          <w:szCs w:val="26"/>
          <w:lang w:val="en-GB"/>
        </w:rPr>
      </w:pPr>
      <w:r w:rsidRPr="009C515A">
        <w:rPr>
          <w:b/>
          <w:bCs/>
          <w:color w:val="70AD47" w:themeColor="accent6"/>
          <w:sz w:val="26"/>
          <w:szCs w:val="26"/>
          <w:lang w:val="en-GB"/>
        </w:rPr>
        <w:t>Align</w:t>
      </w:r>
      <w:r w:rsidR="000A3F37" w:rsidRPr="009C515A">
        <w:rPr>
          <w:b/>
          <w:bCs/>
          <w:color w:val="70AD47" w:themeColor="accent6"/>
          <w:sz w:val="26"/>
          <w:szCs w:val="26"/>
          <w:lang w:val="en-GB"/>
        </w:rPr>
        <w:t xml:space="preserve">ment of </w:t>
      </w:r>
      <w:r w:rsidR="000A6AC3" w:rsidRPr="009C515A">
        <w:rPr>
          <w:b/>
          <w:bCs/>
          <w:color w:val="70AD47" w:themeColor="accent6"/>
          <w:sz w:val="26"/>
          <w:szCs w:val="26"/>
          <w:lang w:val="en-GB"/>
        </w:rPr>
        <w:t>the</w:t>
      </w:r>
      <w:r w:rsidR="000A3F37" w:rsidRPr="009C515A">
        <w:rPr>
          <w:b/>
          <w:bCs/>
          <w:color w:val="70AD47" w:themeColor="accent6"/>
          <w:sz w:val="26"/>
          <w:szCs w:val="26"/>
          <w:lang w:val="en-GB"/>
        </w:rPr>
        <w:t xml:space="preserve"> One T</w:t>
      </w:r>
      <w:r w:rsidR="002510AA" w:rsidRPr="009C515A">
        <w:rPr>
          <w:b/>
          <w:bCs/>
          <w:color w:val="70AD47" w:themeColor="accent6"/>
          <w:sz w:val="26"/>
          <w:szCs w:val="26"/>
          <w:lang w:val="en-GB"/>
        </w:rPr>
        <w:t>C</w:t>
      </w:r>
      <w:r w:rsidR="000A3F37" w:rsidRPr="009C515A">
        <w:rPr>
          <w:b/>
          <w:bCs/>
          <w:color w:val="70AD47" w:themeColor="accent6"/>
          <w:sz w:val="26"/>
          <w:szCs w:val="26"/>
          <w:lang w:val="en-GB"/>
        </w:rPr>
        <w:t xml:space="preserve">A plan with </w:t>
      </w:r>
      <w:r w:rsidR="00106608" w:rsidRPr="009C515A">
        <w:rPr>
          <w:b/>
          <w:bCs/>
          <w:color w:val="70AD47" w:themeColor="accent6"/>
          <w:sz w:val="26"/>
          <w:szCs w:val="26"/>
          <w:lang w:val="en-GB"/>
        </w:rPr>
        <w:t xml:space="preserve">future </w:t>
      </w:r>
      <w:r w:rsidR="00600378" w:rsidRPr="009C515A">
        <w:rPr>
          <w:b/>
          <w:bCs/>
          <w:color w:val="70AD47" w:themeColor="accent6"/>
          <w:sz w:val="26"/>
          <w:szCs w:val="26"/>
          <w:lang w:val="en-GB"/>
        </w:rPr>
        <w:t xml:space="preserve">Gavi </w:t>
      </w:r>
      <w:r w:rsidR="00106608" w:rsidRPr="009C515A">
        <w:rPr>
          <w:b/>
          <w:bCs/>
          <w:color w:val="70AD47" w:themeColor="accent6"/>
          <w:sz w:val="26"/>
          <w:szCs w:val="26"/>
          <w:lang w:val="en-GB"/>
        </w:rPr>
        <w:t>planned investments</w:t>
      </w:r>
      <w:r w:rsidR="005747F6" w:rsidRPr="009C515A">
        <w:rPr>
          <w:b/>
          <w:bCs/>
          <w:color w:val="70AD47" w:themeColor="accent6"/>
          <w:sz w:val="26"/>
          <w:szCs w:val="26"/>
          <w:lang w:val="en-GB"/>
        </w:rPr>
        <w:t xml:space="preserve"> (0.5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2"/>
      </w:tblGrid>
      <w:tr w:rsidR="00A957C9" w:rsidRPr="009C515A" w14:paraId="3F6BA8B3" w14:textId="77777777" w:rsidTr="005F26FC">
        <w:tc>
          <w:tcPr>
            <w:tcW w:w="9192" w:type="dxa"/>
            <w:tcBorders>
              <w:bottom w:val="single" w:sz="4" w:space="0" w:color="auto"/>
            </w:tcBorders>
            <w:shd w:val="clear" w:color="auto" w:fill="F2F2F2" w:themeFill="background1" w:themeFillShade="F2"/>
          </w:tcPr>
          <w:p w14:paraId="518A3DA4" w14:textId="2C18AF85" w:rsidR="00A957C9" w:rsidRPr="009C515A" w:rsidRDefault="007476F9" w:rsidP="00FC4A11">
            <w:pPr>
              <w:pStyle w:val="ListParagraph"/>
              <w:spacing w:line="300" w:lineRule="exact"/>
              <w:ind w:left="0"/>
              <w:rPr>
                <w:b/>
                <w:bCs/>
                <w:i/>
                <w:iCs/>
                <w:color w:val="84C650"/>
                <w:sz w:val="26"/>
                <w:szCs w:val="26"/>
                <w:lang w:val="en-GB"/>
              </w:rPr>
            </w:pPr>
            <w:r w:rsidRPr="009C515A">
              <w:rPr>
                <w:b/>
                <w:bCs/>
                <w:i/>
                <w:iCs/>
                <w:sz w:val="20"/>
                <w:szCs w:val="20"/>
              </w:rPr>
              <w:lastRenderedPageBreak/>
              <w:t>5</w:t>
            </w:r>
            <w:r w:rsidR="00B80406" w:rsidRPr="009C515A">
              <w:rPr>
                <w:b/>
                <w:bCs/>
                <w:i/>
                <w:iCs/>
                <w:sz w:val="20"/>
                <w:szCs w:val="20"/>
              </w:rPr>
              <w:t xml:space="preserve">.1 </w:t>
            </w:r>
            <w:r w:rsidR="00A957C9" w:rsidRPr="009C515A">
              <w:rPr>
                <w:b/>
                <w:bCs/>
                <w:i/>
                <w:iCs/>
                <w:sz w:val="20"/>
                <w:szCs w:val="20"/>
              </w:rPr>
              <w:t xml:space="preserve">Please list all planned upcoming Gavi investments (e.g.  </w:t>
            </w:r>
            <w:r w:rsidR="00016A9B" w:rsidRPr="009C515A">
              <w:rPr>
                <w:b/>
                <w:bCs/>
                <w:i/>
                <w:iCs/>
                <w:sz w:val="20"/>
                <w:szCs w:val="20"/>
              </w:rPr>
              <w:t>new vaccine support</w:t>
            </w:r>
            <w:r w:rsidR="00A957C9" w:rsidRPr="009C515A">
              <w:rPr>
                <w:b/>
                <w:bCs/>
                <w:i/>
                <w:iCs/>
                <w:sz w:val="20"/>
                <w:szCs w:val="20"/>
              </w:rPr>
              <w:t xml:space="preserve">, CCEOP) that would require TA support within the planned period, including Full Portfolio Planning process and describe how the </w:t>
            </w:r>
            <w:r w:rsidR="00372D1F" w:rsidRPr="009C515A">
              <w:rPr>
                <w:b/>
                <w:bCs/>
                <w:i/>
                <w:iCs/>
                <w:sz w:val="20"/>
                <w:szCs w:val="20"/>
              </w:rPr>
              <w:t>TCA</w:t>
            </w:r>
            <w:r w:rsidR="00A957C9" w:rsidRPr="009C515A">
              <w:rPr>
                <w:b/>
                <w:bCs/>
                <w:i/>
                <w:iCs/>
                <w:sz w:val="20"/>
                <w:szCs w:val="20"/>
              </w:rPr>
              <w:t xml:space="preserve"> plan will be aligned with the ongoing and/or planned investments made by Gavi</w:t>
            </w:r>
            <w:r w:rsidR="005F6AD5" w:rsidRPr="009C515A">
              <w:rPr>
                <w:b/>
                <w:bCs/>
                <w:i/>
                <w:iCs/>
                <w:sz w:val="20"/>
                <w:szCs w:val="20"/>
              </w:rPr>
              <w:t>.</w:t>
            </w:r>
          </w:p>
        </w:tc>
      </w:tr>
      <w:tr w:rsidR="00A957C9" w:rsidRPr="009C515A" w14:paraId="7B4C9334" w14:textId="77777777" w:rsidTr="005F26FC">
        <w:trPr>
          <w:trHeight w:val="50"/>
        </w:trPr>
        <w:tc>
          <w:tcPr>
            <w:tcW w:w="9192" w:type="dxa"/>
            <w:tcBorders>
              <w:top w:val="single" w:sz="4" w:space="0" w:color="auto"/>
              <w:left w:val="single" w:sz="4" w:space="0" w:color="auto"/>
              <w:bottom w:val="single" w:sz="4" w:space="0" w:color="auto"/>
              <w:right w:val="single" w:sz="4" w:space="0" w:color="auto"/>
            </w:tcBorders>
          </w:tcPr>
          <w:p w14:paraId="4F37B00A" w14:textId="77777777" w:rsidR="002C4694" w:rsidRPr="009C515A" w:rsidRDefault="002C4694" w:rsidP="002C4694">
            <w:pPr>
              <w:rPr>
                <w:rFonts w:eastAsia="Times New Roman"/>
                <w:color w:val="000000"/>
                <w:sz w:val="20"/>
                <w:szCs w:val="20"/>
                <w:lang w:eastAsia="es-PE"/>
              </w:rPr>
            </w:pPr>
            <w:r w:rsidRPr="009C515A">
              <w:rPr>
                <w:rFonts w:eastAsia="Times New Roman"/>
                <w:color w:val="000000"/>
                <w:sz w:val="20"/>
                <w:szCs w:val="20"/>
                <w:lang w:eastAsia="es-PE"/>
              </w:rPr>
              <w:t xml:space="preserve">The proposed TCA will be aligned with the upcoming Gavi investments. Forthcoming Gavi support for zero dose analysis will fully align with the current TCA. </w:t>
            </w:r>
          </w:p>
          <w:p w14:paraId="26695B3B" w14:textId="77777777" w:rsidR="002C4694" w:rsidRPr="009C515A" w:rsidRDefault="002C4694" w:rsidP="002C4694">
            <w:pPr>
              <w:rPr>
                <w:rFonts w:eastAsia="Times New Roman"/>
                <w:color w:val="000000"/>
                <w:sz w:val="20"/>
                <w:szCs w:val="20"/>
                <w:lang w:eastAsia="es-PE"/>
              </w:rPr>
            </w:pPr>
          </w:p>
          <w:p w14:paraId="2033B8FD" w14:textId="42B2CD28" w:rsidR="00A957C9" w:rsidRPr="009C515A" w:rsidRDefault="002C4694" w:rsidP="002C4694">
            <w:pPr>
              <w:rPr>
                <w:lang w:val="en-GB"/>
              </w:rPr>
            </w:pPr>
            <w:r w:rsidRPr="009C515A">
              <w:rPr>
                <w:rFonts w:eastAsia="Times New Roman"/>
                <w:color w:val="000000"/>
                <w:sz w:val="20"/>
                <w:szCs w:val="20"/>
                <w:lang w:eastAsia="es-PE"/>
              </w:rPr>
              <w:t>UNICEF’s TCA planned activities are guided primarily by the recommendations of the EVM Improvement Plan and CCEOP Workplan for the Solomon Islands. Likewise, the communication plan and the regional plan for vaccine introductions and re-vitalization of routine immunization programme during/post-COVID-19 will be aligned with the ongoing support and existing plan of activities for the Solomon Islands.</w:t>
            </w:r>
            <w:r w:rsidR="002068BA" w:rsidRPr="009C515A">
              <w:rPr>
                <w:lang w:val="en-GB"/>
              </w:rPr>
              <w:t xml:space="preserve"> </w:t>
            </w:r>
          </w:p>
        </w:tc>
      </w:tr>
    </w:tbl>
    <w:p w14:paraId="658606AB" w14:textId="77777777" w:rsidR="0090123D" w:rsidRPr="009C515A" w:rsidRDefault="0090123D" w:rsidP="00FC4A11">
      <w:pPr>
        <w:spacing w:line="300" w:lineRule="exact"/>
        <w:rPr>
          <w:b/>
          <w:color w:val="70AD47" w:themeColor="accent6"/>
          <w:sz w:val="26"/>
          <w:szCs w:val="26"/>
          <w:lang w:val="en-GB"/>
        </w:rPr>
      </w:pPr>
    </w:p>
    <w:p w14:paraId="603C9386" w14:textId="572B1B89" w:rsidR="00AB4B2D" w:rsidRPr="009C515A" w:rsidRDefault="00672E21" w:rsidP="00C2318F">
      <w:pPr>
        <w:pStyle w:val="ListParagraph"/>
        <w:numPr>
          <w:ilvl w:val="0"/>
          <w:numId w:val="4"/>
        </w:numPr>
        <w:spacing w:line="300" w:lineRule="exact"/>
        <w:ind w:left="426"/>
        <w:rPr>
          <w:lang w:val="en-GB"/>
        </w:rPr>
      </w:pPr>
      <w:r w:rsidRPr="009C515A">
        <w:rPr>
          <w:b/>
          <w:bCs/>
          <w:color w:val="70AD47" w:themeColor="accent6"/>
          <w:sz w:val="26"/>
          <w:szCs w:val="26"/>
          <w:lang w:val="en-GB"/>
        </w:rPr>
        <w:t>TCA Monitoring</w:t>
      </w:r>
      <w:r w:rsidR="00D14702" w:rsidRPr="009C515A">
        <w:rPr>
          <w:b/>
          <w:bCs/>
          <w:color w:val="70AD47" w:themeColor="accent6"/>
          <w:sz w:val="26"/>
          <w:szCs w:val="26"/>
          <w:lang w:val="en-GB"/>
        </w:rPr>
        <w:t xml:space="preserve"> (</w:t>
      </w:r>
      <w:r w:rsidR="0023395F" w:rsidRPr="009C515A">
        <w:rPr>
          <w:b/>
          <w:bCs/>
          <w:color w:val="70AD47" w:themeColor="accent6"/>
          <w:sz w:val="26"/>
          <w:szCs w:val="26"/>
          <w:lang w:val="en-GB"/>
        </w:rPr>
        <w:t>1</w:t>
      </w:r>
      <w:r w:rsidR="00D14702" w:rsidRPr="009C515A">
        <w:rPr>
          <w:b/>
          <w:bCs/>
          <w:color w:val="70AD47" w:themeColor="accent6"/>
          <w:sz w:val="26"/>
          <w:szCs w:val="26"/>
          <w:lang w:val="en-GB"/>
        </w:rPr>
        <w:t xml:space="preserve"> page)</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A957C9" w:rsidRPr="009C515A" w14:paraId="4BFA7B74" w14:textId="77777777" w:rsidTr="007612C6">
        <w:tc>
          <w:tcPr>
            <w:tcW w:w="9214" w:type="dxa"/>
            <w:tcBorders>
              <w:bottom w:val="single" w:sz="4" w:space="0" w:color="auto"/>
            </w:tcBorders>
            <w:shd w:val="clear" w:color="auto" w:fill="F2F2F2" w:themeFill="background1" w:themeFillShade="F2"/>
          </w:tcPr>
          <w:p w14:paraId="4522328F" w14:textId="19D81915" w:rsidR="00AB4B2D" w:rsidRPr="009C515A" w:rsidRDefault="0023395F" w:rsidP="00FC4A11">
            <w:pPr>
              <w:pStyle w:val="ListParagraph"/>
              <w:spacing w:line="300" w:lineRule="exact"/>
              <w:ind w:left="0"/>
              <w:rPr>
                <w:b/>
                <w:sz w:val="26"/>
                <w:szCs w:val="26"/>
              </w:rPr>
            </w:pPr>
            <w:r w:rsidRPr="009C515A">
              <w:rPr>
                <w:b/>
                <w:bCs/>
                <w:i/>
                <w:iCs/>
                <w:sz w:val="20"/>
                <w:szCs w:val="20"/>
              </w:rPr>
              <w:t>6</w:t>
            </w:r>
            <w:r w:rsidR="005876B5" w:rsidRPr="009C515A">
              <w:rPr>
                <w:b/>
                <w:bCs/>
                <w:i/>
                <w:iCs/>
                <w:sz w:val="20"/>
                <w:szCs w:val="20"/>
              </w:rPr>
              <w:t xml:space="preserve">.1 </w:t>
            </w:r>
            <w:r w:rsidR="00C47384" w:rsidRPr="009C515A">
              <w:rPr>
                <w:b/>
                <w:bCs/>
                <w:i/>
                <w:iCs/>
                <w:sz w:val="20"/>
                <w:szCs w:val="20"/>
              </w:rPr>
              <w:t xml:space="preserve">Please provide an outline of the </w:t>
            </w:r>
            <w:proofErr w:type="gramStart"/>
            <w:r w:rsidR="00C47384" w:rsidRPr="009C515A">
              <w:rPr>
                <w:b/>
                <w:bCs/>
                <w:i/>
                <w:iCs/>
                <w:sz w:val="20"/>
                <w:szCs w:val="20"/>
              </w:rPr>
              <w:t>TCA</w:t>
            </w:r>
            <w:r w:rsidR="0023057A" w:rsidRPr="009C515A">
              <w:rPr>
                <w:b/>
                <w:bCs/>
                <w:i/>
                <w:iCs/>
                <w:sz w:val="20"/>
                <w:szCs w:val="20"/>
              </w:rPr>
              <w:t xml:space="preserve">  in</w:t>
            </w:r>
            <w:proofErr w:type="gramEnd"/>
            <w:r w:rsidR="0023057A" w:rsidRPr="009C515A">
              <w:rPr>
                <w:b/>
                <w:bCs/>
                <w:i/>
                <w:iCs/>
                <w:sz w:val="20"/>
                <w:szCs w:val="20"/>
              </w:rPr>
              <w:t>-country</w:t>
            </w:r>
            <w:r w:rsidR="00C47384" w:rsidRPr="009C515A">
              <w:rPr>
                <w:b/>
                <w:bCs/>
                <w:i/>
                <w:iCs/>
                <w:sz w:val="20"/>
                <w:szCs w:val="20"/>
              </w:rPr>
              <w:t xml:space="preserve"> </w:t>
            </w:r>
            <w:r w:rsidR="00D57494" w:rsidRPr="009C515A">
              <w:rPr>
                <w:b/>
                <w:bCs/>
                <w:i/>
                <w:iCs/>
                <w:sz w:val="20"/>
                <w:szCs w:val="20"/>
              </w:rPr>
              <w:t xml:space="preserve">mechanism </w:t>
            </w:r>
            <w:r w:rsidR="00C47384" w:rsidRPr="009C515A">
              <w:rPr>
                <w:b/>
                <w:bCs/>
                <w:i/>
                <w:iCs/>
                <w:sz w:val="20"/>
                <w:szCs w:val="20"/>
              </w:rPr>
              <w:t xml:space="preserve">to jointly monitor and track implementation progress and generation of results of the </w:t>
            </w:r>
            <w:r w:rsidR="00372D1F" w:rsidRPr="009C515A">
              <w:rPr>
                <w:b/>
                <w:bCs/>
                <w:i/>
                <w:iCs/>
                <w:sz w:val="20"/>
                <w:szCs w:val="20"/>
              </w:rPr>
              <w:t>TCA</w:t>
            </w:r>
            <w:r w:rsidR="00C47384" w:rsidRPr="009C515A">
              <w:rPr>
                <w:b/>
                <w:bCs/>
                <w:i/>
                <w:iCs/>
                <w:sz w:val="20"/>
                <w:szCs w:val="20"/>
              </w:rPr>
              <w:t xml:space="preserve"> plan as a whole</w:t>
            </w:r>
            <w:r w:rsidR="00564856" w:rsidRPr="009C515A">
              <w:rPr>
                <w:b/>
                <w:bCs/>
                <w:i/>
                <w:iCs/>
                <w:sz w:val="20"/>
                <w:szCs w:val="20"/>
              </w:rPr>
              <w:t>. How will that information be used to adjust and improve programme implementation?</w:t>
            </w:r>
            <w:r w:rsidR="00DD391A" w:rsidRPr="009C515A">
              <w:rPr>
                <w:b/>
                <w:bCs/>
                <w:i/>
                <w:iCs/>
                <w:sz w:val="20"/>
                <w:szCs w:val="20"/>
              </w:rPr>
              <w:t xml:space="preserve"> How frequently are data reviewed and used and who will be responsible to ensure that review and learning occurs?</w:t>
            </w:r>
          </w:p>
        </w:tc>
      </w:tr>
      <w:tr w:rsidR="00A957C9" w:rsidRPr="009C515A" w14:paraId="4CAB625F" w14:textId="77777777" w:rsidTr="007612C6">
        <w:tc>
          <w:tcPr>
            <w:tcW w:w="9214" w:type="dxa"/>
            <w:tcBorders>
              <w:top w:val="single" w:sz="4" w:space="0" w:color="auto"/>
              <w:left w:val="single" w:sz="4" w:space="0" w:color="auto"/>
              <w:bottom w:val="single" w:sz="4" w:space="0" w:color="auto"/>
              <w:right w:val="single" w:sz="4" w:space="0" w:color="auto"/>
            </w:tcBorders>
          </w:tcPr>
          <w:p w14:paraId="699FABFE" w14:textId="166DE8C4" w:rsidR="002C4694" w:rsidRPr="009C515A" w:rsidRDefault="002C4694" w:rsidP="002C4694">
            <w:pPr>
              <w:rPr>
                <w:rFonts w:eastAsia="Times New Roman"/>
                <w:color w:val="000000"/>
                <w:sz w:val="20"/>
                <w:szCs w:val="20"/>
                <w:lang w:eastAsia="es-PE"/>
              </w:rPr>
            </w:pPr>
            <w:r w:rsidRPr="009C515A">
              <w:rPr>
                <w:rFonts w:eastAsia="Times New Roman"/>
                <w:color w:val="000000"/>
                <w:sz w:val="20"/>
                <w:szCs w:val="20"/>
                <w:lang w:eastAsia="es-PE"/>
              </w:rPr>
              <w:t xml:space="preserve">The respective partners will request periodical and end of mission reports from the deployed technical experts. Partners will discuss and share the information with the EPI program regularly. In addition, the EPI TWG meeting and Operational Planning meetings of the MHMS which the TCA partners also participate, are platforms for monitoring the TCA. </w:t>
            </w:r>
          </w:p>
          <w:p w14:paraId="1187665F" w14:textId="548D9475" w:rsidR="002F659A" w:rsidRPr="009C515A" w:rsidRDefault="002F659A" w:rsidP="002C4694">
            <w:pPr>
              <w:rPr>
                <w:rFonts w:eastAsia="Times New Roman"/>
                <w:color w:val="000000"/>
                <w:sz w:val="20"/>
                <w:szCs w:val="20"/>
                <w:lang w:eastAsia="es-PE"/>
              </w:rPr>
            </w:pPr>
          </w:p>
          <w:p w14:paraId="52645444" w14:textId="77777777" w:rsidR="002F659A" w:rsidRPr="009C515A" w:rsidRDefault="002F659A" w:rsidP="002F659A">
            <w:pPr>
              <w:rPr>
                <w:rFonts w:eastAsia="Times New Roman"/>
                <w:color w:val="000000"/>
                <w:sz w:val="20"/>
                <w:szCs w:val="20"/>
                <w:lang w:eastAsia="es-PE"/>
              </w:rPr>
            </w:pPr>
            <w:bookmarkStart w:id="5" w:name="_Hlk104558966"/>
            <w:r w:rsidRPr="009C515A">
              <w:rPr>
                <w:rFonts w:eastAsia="Times New Roman"/>
                <w:color w:val="000000"/>
                <w:sz w:val="20"/>
                <w:szCs w:val="20"/>
                <w:lang w:eastAsia="es-PE"/>
              </w:rPr>
              <w:t>The results/outcomes from TA will be shared/discussed at the EPI TWG meetings held regularly (fortnightly) and at the Operational Planning at the national level. Periodical and End of Mission reports will also be shared among the partners and summaries discussed at the EPI TWG and Operational Planning meetings.</w:t>
            </w:r>
          </w:p>
          <w:bookmarkEnd w:id="5"/>
          <w:p w14:paraId="635EF35F" w14:textId="045C9C12" w:rsidR="002C4694" w:rsidRPr="009C515A" w:rsidRDefault="002C4694" w:rsidP="002C4694">
            <w:r w:rsidRPr="009C515A">
              <w:rPr>
                <w:rFonts w:eastAsia="Times New Roman"/>
                <w:color w:val="000000"/>
                <w:sz w:val="20"/>
                <w:szCs w:val="20"/>
                <w:lang w:eastAsia="es-PE"/>
              </w:rPr>
              <w:t>The EPI program will conduct regular national and provincial level meetings to discuss the coverage, challenges and issues. The link between national and sub-national levels will be improved to strengthen the programme. The introduction of the Electronic Immunization Registry will assist in providing data on time and aid in the program management, performance meeting and recommendations/actions.</w:t>
            </w:r>
          </w:p>
        </w:tc>
      </w:tr>
    </w:tbl>
    <w:p w14:paraId="146AE6CC" w14:textId="77777777" w:rsidR="007612C6" w:rsidRPr="009C515A" w:rsidRDefault="007612C6" w:rsidP="00FC4A11">
      <w:pPr>
        <w:spacing w:line="300" w:lineRule="exact"/>
        <w:rPr>
          <w:lang w:val="en-GB"/>
        </w:rPr>
      </w:pPr>
    </w:p>
    <w:sectPr w:rsidR="007612C6" w:rsidRPr="009C515A" w:rsidSect="007612C6">
      <w:headerReference w:type="even" r:id="rId15"/>
      <w:headerReference w:type="default" r:id="rId16"/>
      <w:footerReference w:type="even" r:id="rId17"/>
      <w:footerReference w:type="default" r:id="rId18"/>
      <w:headerReference w:type="first" r:id="rId19"/>
      <w:footerReference w:type="first" r:id="rId20"/>
      <w:pgSz w:w="12240" w:h="15840"/>
      <w:pgMar w:top="1440" w:right="1608"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39047" w14:textId="77777777" w:rsidR="00CD563F" w:rsidRDefault="00CD563F" w:rsidP="00431CA9">
      <w:pPr>
        <w:spacing w:line="240" w:lineRule="auto"/>
      </w:pPr>
      <w:r>
        <w:separator/>
      </w:r>
    </w:p>
  </w:endnote>
  <w:endnote w:type="continuationSeparator" w:id="0">
    <w:p w14:paraId="0F054F24" w14:textId="77777777" w:rsidR="00CD563F" w:rsidRDefault="00CD563F" w:rsidP="00431CA9">
      <w:pPr>
        <w:spacing w:line="240" w:lineRule="auto"/>
      </w:pPr>
      <w:r>
        <w:continuationSeparator/>
      </w:r>
    </w:p>
  </w:endnote>
  <w:endnote w:type="continuationNotice" w:id="1">
    <w:p w14:paraId="4B241155" w14:textId="77777777" w:rsidR="00CD563F" w:rsidRDefault="00CD56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E2471" w14:textId="77777777" w:rsidR="00AB7F9F" w:rsidRDefault="00AB7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69279477"/>
      <w:docPartObj>
        <w:docPartGallery w:val="Page Numbers (Bottom of Page)"/>
        <w:docPartUnique/>
      </w:docPartObj>
    </w:sdtPr>
    <w:sdtEndPr>
      <w:rPr>
        <w:noProof/>
      </w:rPr>
    </w:sdtEndPr>
    <w:sdtContent>
      <w:p w14:paraId="25F050AA" w14:textId="23120837" w:rsidR="008A79C9" w:rsidRDefault="00356CDE">
        <w:pPr>
          <w:pStyle w:val="Footer"/>
        </w:pPr>
        <w:r w:rsidRPr="00DA777C">
          <w:rPr>
            <w:sz w:val="20"/>
            <w:szCs w:val="20"/>
          </w:rPr>
          <w:fldChar w:fldCharType="begin"/>
        </w:r>
        <w:r w:rsidRPr="00DA777C">
          <w:rPr>
            <w:sz w:val="20"/>
            <w:szCs w:val="20"/>
          </w:rPr>
          <w:instrText xml:space="preserve"> PAGE   \* MERGEFORMAT </w:instrText>
        </w:r>
        <w:r w:rsidRPr="00DA777C">
          <w:rPr>
            <w:sz w:val="20"/>
            <w:szCs w:val="20"/>
          </w:rPr>
          <w:fldChar w:fldCharType="separate"/>
        </w:r>
        <w:r w:rsidR="00855E98">
          <w:rPr>
            <w:noProof/>
            <w:sz w:val="20"/>
            <w:szCs w:val="20"/>
          </w:rPr>
          <w:t>15</w:t>
        </w:r>
        <w:r w:rsidRPr="00DA777C">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AD567" w14:textId="77777777" w:rsidR="00AB7F9F" w:rsidRDefault="00AB7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47A57" w14:textId="77777777" w:rsidR="00CD563F" w:rsidRDefault="00CD563F" w:rsidP="00431CA9">
      <w:pPr>
        <w:spacing w:line="240" w:lineRule="auto"/>
      </w:pPr>
      <w:r>
        <w:separator/>
      </w:r>
    </w:p>
  </w:footnote>
  <w:footnote w:type="continuationSeparator" w:id="0">
    <w:p w14:paraId="01E052AE" w14:textId="77777777" w:rsidR="00CD563F" w:rsidRDefault="00CD563F" w:rsidP="00431CA9">
      <w:pPr>
        <w:spacing w:line="240" w:lineRule="auto"/>
      </w:pPr>
      <w:r>
        <w:continuationSeparator/>
      </w:r>
    </w:p>
  </w:footnote>
  <w:footnote w:type="continuationNotice" w:id="1">
    <w:p w14:paraId="7B20BA91" w14:textId="77777777" w:rsidR="00CD563F" w:rsidRDefault="00CD563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08DC" w14:textId="77777777" w:rsidR="00AB7F9F" w:rsidRDefault="00AB7F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57D54" w14:textId="6021F0DD" w:rsidR="00431CA9" w:rsidRDefault="003A0D3A">
    <w:pPr>
      <w:pStyle w:val="Header"/>
    </w:pPr>
    <w:r w:rsidRPr="00892432">
      <w:rPr>
        <w:noProof/>
        <w:lang w:val="en-US" w:eastAsia="en-US"/>
      </w:rPr>
      <mc:AlternateContent>
        <mc:Choice Requires="wps">
          <w:drawing>
            <wp:anchor distT="0" distB="0" distL="114300" distR="114300" simplePos="0" relativeHeight="251658243" behindDoc="0" locked="0" layoutInCell="1" allowOverlap="1" wp14:anchorId="5C072E57" wp14:editId="6081769F">
              <wp:simplePos x="0" y="0"/>
              <wp:positionH relativeFrom="page">
                <wp:posOffset>1466215</wp:posOffset>
              </wp:positionH>
              <wp:positionV relativeFrom="topMargin">
                <wp:posOffset>52070</wp:posOffset>
              </wp:positionV>
              <wp:extent cx="6319482" cy="7943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482" cy="794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70C0"/>
                            </a:solidFill>
                            <a:miter lim="800000"/>
                            <a:headEnd/>
                            <a:tailEnd/>
                          </a14:hiddenLine>
                        </a:ext>
                      </a:extLst>
                    </wps:spPr>
                    <wps:txbx>
                      <w:txbxContent>
                        <w:p w14:paraId="70F2D3FD" w14:textId="30B324B9" w:rsidR="00BD1FEE" w:rsidRDefault="004C6B53" w:rsidP="00055BF9">
                          <w:pPr>
                            <w:rPr>
                              <w:b/>
                              <w:bCs/>
                              <w:color w:val="0070C0"/>
                              <w:sz w:val="24"/>
                              <w:szCs w:val="24"/>
                              <w:lang w:val="en-US"/>
                            </w:rPr>
                          </w:pPr>
                          <w:r>
                            <w:rPr>
                              <w:b/>
                              <w:bCs/>
                              <w:color w:val="0070C0"/>
                              <w:sz w:val="24"/>
                              <w:szCs w:val="24"/>
                              <w:lang w:val="en-US"/>
                            </w:rPr>
                            <w:t xml:space="preserve">PEF </w:t>
                          </w:r>
                          <w:r w:rsidR="0019737F">
                            <w:rPr>
                              <w:b/>
                              <w:bCs/>
                              <w:color w:val="0070C0"/>
                              <w:sz w:val="24"/>
                              <w:szCs w:val="24"/>
                              <w:lang w:val="en-US"/>
                            </w:rPr>
                            <w:t>Target</w:t>
                          </w:r>
                          <w:r w:rsidR="009F7930">
                            <w:rPr>
                              <w:b/>
                              <w:bCs/>
                              <w:color w:val="0070C0"/>
                              <w:sz w:val="24"/>
                              <w:szCs w:val="24"/>
                              <w:lang w:val="en-US"/>
                            </w:rPr>
                            <w:t>ed</w:t>
                          </w:r>
                          <w:r w:rsidR="0019737F">
                            <w:rPr>
                              <w:b/>
                              <w:bCs/>
                              <w:color w:val="0070C0"/>
                              <w:sz w:val="24"/>
                              <w:szCs w:val="24"/>
                              <w:lang w:val="en-US"/>
                            </w:rPr>
                            <w:t xml:space="preserve"> Country Assistance Narrative</w:t>
                          </w:r>
                          <w:r w:rsidR="00EA4DE2">
                            <w:rPr>
                              <w:b/>
                              <w:bCs/>
                              <w:color w:val="0070C0"/>
                              <w:sz w:val="24"/>
                              <w:szCs w:val="24"/>
                              <w:lang w:val="en-US"/>
                            </w:rPr>
                            <w:t xml:space="preserve"> </w:t>
                          </w:r>
                          <w:r w:rsidR="00BD1FEE">
                            <w:rPr>
                              <w:b/>
                              <w:bCs/>
                              <w:color w:val="0070C0"/>
                              <w:sz w:val="24"/>
                              <w:szCs w:val="24"/>
                              <w:lang w:val="en-US"/>
                            </w:rPr>
                            <w:t xml:space="preserve"> </w:t>
                          </w:r>
                        </w:p>
                        <w:p w14:paraId="4599C1BA" w14:textId="1E37035E" w:rsidR="00892432" w:rsidRPr="00C4436D" w:rsidRDefault="00F43296" w:rsidP="00055BF9">
                          <w:pPr>
                            <w:rPr>
                              <w:color w:val="0070C0"/>
                            </w:rPr>
                          </w:pPr>
                          <w:r>
                            <w:rPr>
                              <w:color w:val="0070C0"/>
                            </w:rPr>
                            <w:t>April</w:t>
                          </w:r>
                          <w:r w:rsidR="00BD1FEE" w:rsidRPr="00BD1FEE">
                            <w:rPr>
                              <w:color w:val="0070C0"/>
                            </w:rPr>
                            <w:t xml:space="preserve"> </w:t>
                          </w:r>
                          <w:r w:rsidR="00DC7614" w:rsidRPr="00C4436D">
                            <w:rPr>
                              <w:color w:val="0070C0"/>
                            </w:rPr>
                            <w:t>2022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072E57" id="_x0000_t202" coordsize="21600,21600" o:spt="202" path="m,l,21600r21600,l21600,xe">
              <v:stroke joinstyle="miter"/>
              <v:path gradientshapeok="t" o:connecttype="rect"/>
            </v:shapetype>
            <v:shape id="Text Box 2" o:spid="_x0000_s1026" type="#_x0000_t202" style="position:absolute;margin-left:115.45pt;margin-top:4.1pt;width:497.6pt;height:62.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" filled="f" stroked="f" strokecolor="#0070c0" strokeweight=".5pt">
              <v:textbox>
                <w:txbxContent>
                  <w:p w14:paraId="70F2D3FD" w14:textId="30B324B9" w:rsidR="00BD1FEE" w:rsidRDefault="004C6B53" w:rsidP="00055BF9">
                    <w:pPr>
                      <w:rPr>
                        <w:b/>
                        <w:bCs/>
                        <w:color w:val="0070C0"/>
                        <w:sz w:val="24"/>
                        <w:szCs w:val="24"/>
                        <w:lang w:val="en-US"/>
                      </w:rPr>
                    </w:pPr>
                    <w:r>
                      <w:rPr>
                        <w:b/>
                        <w:bCs/>
                        <w:color w:val="0070C0"/>
                        <w:sz w:val="24"/>
                        <w:szCs w:val="24"/>
                        <w:lang w:val="en-US"/>
                      </w:rPr>
                      <w:t xml:space="preserve">PEF </w:t>
                    </w:r>
                    <w:r w:rsidR="0019737F">
                      <w:rPr>
                        <w:b/>
                        <w:bCs/>
                        <w:color w:val="0070C0"/>
                        <w:sz w:val="24"/>
                        <w:szCs w:val="24"/>
                        <w:lang w:val="en-US"/>
                      </w:rPr>
                      <w:t>Target</w:t>
                    </w:r>
                    <w:r w:rsidR="009F7930">
                      <w:rPr>
                        <w:b/>
                        <w:bCs/>
                        <w:color w:val="0070C0"/>
                        <w:sz w:val="24"/>
                        <w:szCs w:val="24"/>
                        <w:lang w:val="en-US"/>
                      </w:rPr>
                      <w:t>ed</w:t>
                    </w:r>
                    <w:r w:rsidR="0019737F">
                      <w:rPr>
                        <w:b/>
                        <w:bCs/>
                        <w:color w:val="0070C0"/>
                        <w:sz w:val="24"/>
                        <w:szCs w:val="24"/>
                        <w:lang w:val="en-US"/>
                      </w:rPr>
                      <w:t xml:space="preserve"> Country Assistance Narrative</w:t>
                    </w:r>
                    <w:r w:rsidR="00EA4DE2">
                      <w:rPr>
                        <w:b/>
                        <w:bCs/>
                        <w:color w:val="0070C0"/>
                        <w:sz w:val="24"/>
                        <w:szCs w:val="24"/>
                        <w:lang w:val="en-US"/>
                      </w:rPr>
                      <w:t xml:space="preserve"> </w:t>
                    </w:r>
                    <w:r w:rsidR="00BD1FEE">
                      <w:rPr>
                        <w:b/>
                        <w:bCs/>
                        <w:color w:val="0070C0"/>
                        <w:sz w:val="24"/>
                        <w:szCs w:val="24"/>
                        <w:lang w:val="en-US"/>
                      </w:rPr>
                      <w:t xml:space="preserve"> </w:t>
                    </w:r>
                  </w:p>
                  <w:p w14:paraId="4599C1BA" w14:textId="1E37035E" w:rsidR="00892432" w:rsidRPr="00C4436D" w:rsidRDefault="00F43296" w:rsidP="00055BF9">
                    <w:pPr>
                      <w:rPr>
                        <w:color w:val="0070C0"/>
                      </w:rPr>
                    </w:pPr>
                    <w:r>
                      <w:rPr>
                        <w:color w:val="0070C0"/>
                      </w:rPr>
                      <w:t>April</w:t>
                    </w:r>
                    <w:r w:rsidR="00BD1FEE" w:rsidRPr="00BD1FEE">
                      <w:rPr>
                        <w:color w:val="0070C0"/>
                      </w:rPr>
                      <w:t xml:space="preserve"> </w:t>
                    </w:r>
                    <w:r w:rsidR="00DC7614" w:rsidRPr="00C4436D">
                      <w:rPr>
                        <w:color w:val="0070C0"/>
                      </w:rPr>
                      <w:t>2022</w:t>
                    </w:r>
                  </w:p>
                </w:txbxContent>
              </v:textbox>
              <w10:wrap anchorx="page" anchory="margin"/>
            </v:shape>
          </w:pict>
        </mc:Fallback>
      </mc:AlternateContent>
    </w:r>
    <w:r w:rsidR="00BD4EFD" w:rsidRPr="00892432">
      <w:rPr>
        <w:noProof/>
        <w:lang w:val="en-US" w:eastAsia="en-US"/>
      </w:rPr>
      <mc:AlternateContent>
        <mc:Choice Requires="wps">
          <w:drawing>
            <wp:anchor distT="0" distB="0" distL="114299" distR="114299" simplePos="0" relativeHeight="251658242" behindDoc="0" locked="0" layoutInCell="1" allowOverlap="1" wp14:anchorId="604E1568" wp14:editId="341C3210">
              <wp:simplePos x="0" y="0"/>
              <wp:positionH relativeFrom="column">
                <wp:posOffset>551180</wp:posOffset>
              </wp:positionH>
              <wp:positionV relativeFrom="page">
                <wp:posOffset>197485</wp:posOffset>
              </wp:positionV>
              <wp:extent cx="0" cy="439420"/>
              <wp:effectExtent l="0" t="0" r="38100" b="3683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9420"/>
                      </a:xfrm>
                      <a:prstGeom prst="line">
                        <a:avLst/>
                      </a:prstGeom>
                      <a:ln w="9525"/>
                    </wps:spPr>
                    <wps:style>
                      <a:lnRef idx="3">
                        <a:schemeClr val="accent5"/>
                      </a:lnRef>
                      <a:fillRef idx="0">
                        <a:schemeClr val="accent5"/>
                      </a:fillRef>
                      <a:effectRef idx="2">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F0B9D14" id="Straight Connector 14" o:spid="_x0000_s1026" style="position:absolute;z-index:25165824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from="43.4pt,15.55pt" to="43.4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" strokecolor="#5b9bd5 [3208]">
              <v:stroke joinstyle="miter"/>
              <o:lock v:ext="edit" shapetype="f"/>
              <w10:wrap anchory="page"/>
            </v:line>
          </w:pict>
        </mc:Fallback>
      </mc:AlternateContent>
    </w:r>
    <w:r w:rsidR="004D1017" w:rsidRPr="00892432">
      <w:rPr>
        <w:noProof/>
        <w:lang w:val="en-US" w:eastAsia="en-US"/>
      </w:rPr>
      <mc:AlternateContent>
        <mc:Choice Requires="wps">
          <w:drawing>
            <wp:anchor distT="0" distB="0" distL="114300" distR="114300" simplePos="0" relativeHeight="251658240" behindDoc="1" locked="0" layoutInCell="1" allowOverlap="1" wp14:anchorId="3333C187" wp14:editId="76107EC5">
              <wp:simplePos x="0" y="0"/>
              <wp:positionH relativeFrom="page">
                <wp:align>right</wp:align>
              </wp:positionH>
              <wp:positionV relativeFrom="page">
                <wp:posOffset>-259161</wp:posOffset>
              </wp:positionV>
              <wp:extent cx="7771765" cy="1119773"/>
              <wp:effectExtent l="0" t="0" r="635" b="444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1765" cy="1119773"/>
                      </a:xfrm>
                      <a:prstGeom prst="rect">
                        <a:avLst/>
                      </a:prstGeom>
                      <a:solidFill>
                        <a:srgbClr val="F2F2F1"/>
                      </a:solidFill>
                      <a:ln w="6350" cap="flat" cmpd="sng" algn="ctr">
                        <a:noFill/>
                        <a:prstDash val="solid"/>
                        <a:miter lim="800000"/>
                      </a:ln>
                      <a:effectLst/>
                    </wps:spPr>
                    <wps:txbx>
                      <w:txbxContent>
                        <w:p w14:paraId="3DB0E3A5" w14:textId="77777777" w:rsidR="00892432" w:rsidRDefault="00892432" w:rsidP="008924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3C187" id="Rectangle 8" o:spid="_x0000_s1027" style="position:absolute;margin-left:560.75pt;margin-top:-20.4pt;width:611.95pt;height:88.1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" fillcolor="#f2f2f1" stroked="f" strokeweight=".5pt">
              <v:textbox>
                <w:txbxContent>
                  <w:p w14:paraId="3DB0E3A5" w14:textId="77777777" w:rsidR="00892432" w:rsidRDefault="00892432" w:rsidP="00892432">
                    <w:pPr>
                      <w:jc w:val="center"/>
                    </w:pPr>
                  </w:p>
                </w:txbxContent>
              </v:textbox>
              <w10:wrap anchorx="page" anchory="page"/>
            </v:rect>
          </w:pict>
        </mc:Fallback>
      </mc:AlternateContent>
    </w:r>
    <w:r w:rsidR="001B6E82" w:rsidRPr="00892432">
      <w:rPr>
        <w:noProof/>
        <w:lang w:val="en-US" w:eastAsia="en-US"/>
      </w:rPr>
      <w:drawing>
        <wp:anchor distT="0" distB="0" distL="114300" distR="114300" simplePos="0" relativeHeight="251658241" behindDoc="1" locked="0" layoutInCell="1" allowOverlap="1" wp14:anchorId="2E2C20EE" wp14:editId="2A5E81A6">
          <wp:simplePos x="0" y="0"/>
          <wp:positionH relativeFrom="margin">
            <wp:posOffset>-687687</wp:posOffset>
          </wp:positionH>
          <wp:positionV relativeFrom="page">
            <wp:posOffset>191153</wp:posOffset>
          </wp:positionV>
          <wp:extent cx="1186180" cy="439420"/>
          <wp:effectExtent l="0" t="0" r="0" b="5080"/>
          <wp:wrapTight wrapText="bothSides">
            <wp:wrapPolygon edited="0">
              <wp:start x="15495" y="0"/>
              <wp:lineTo x="2313" y="3121"/>
              <wp:lineTo x="0" y="4370"/>
              <wp:lineTo x="0" y="9988"/>
              <wp:lineTo x="925" y="19977"/>
              <wp:lineTo x="925" y="21225"/>
              <wp:lineTo x="18501" y="21225"/>
              <wp:lineTo x="19889" y="19977"/>
              <wp:lineTo x="21276" y="13110"/>
              <wp:lineTo x="21276" y="7491"/>
              <wp:lineTo x="20120" y="1873"/>
              <wp:lineTo x="18964" y="0"/>
              <wp:lineTo x="15495"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0297" t="21860" r="10744" b="21696"/>
                  <a:stretch/>
                </pic:blipFill>
                <pic:spPr bwMode="auto">
                  <a:xfrm>
                    <a:off x="0" y="0"/>
                    <a:ext cx="1186180" cy="439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63856" w14:textId="77777777" w:rsidR="00AB7F9F" w:rsidRDefault="00AB7F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7B7F"/>
    <w:multiLevelType w:val="hybridMultilevel"/>
    <w:tmpl w:val="FCC6F444"/>
    <w:lvl w:ilvl="0" w:tplc="542EBE56">
      <w:start w:val="1"/>
      <w:numFmt w:val="bullet"/>
      <w:lvlText w:val="•"/>
      <w:lvlJc w:val="left"/>
      <w:pPr>
        <w:tabs>
          <w:tab w:val="num" w:pos="720"/>
        </w:tabs>
        <w:ind w:left="720" w:hanging="360"/>
      </w:pPr>
      <w:rPr>
        <w:rFonts w:ascii="Arial" w:hAnsi="Arial" w:hint="default"/>
      </w:rPr>
    </w:lvl>
    <w:lvl w:ilvl="1" w:tplc="875C7486">
      <w:numFmt w:val="bullet"/>
      <w:lvlText w:val="•"/>
      <w:lvlJc w:val="left"/>
      <w:pPr>
        <w:tabs>
          <w:tab w:val="num" w:pos="1440"/>
        </w:tabs>
        <w:ind w:left="1440" w:hanging="360"/>
      </w:pPr>
      <w:rPr>
        <w:rFonts w:ascii="Arial" w:hAnsi="Arial" w:hint="default"/>
      </w:rPr>
    </w:lvl>
    <w:lvl w:ilvl="2" w:tplc="DE2491FA" w:tentative="1">
      <w:start w:val="1"/>
      <w:numFmt w:val="bullet"/>
      <w:lvlText w:val="•"/>
      <w:lvlJc w:val="left"/>
      <w:pPr>
        <w:tabs>
          <w:tab w:val="num" w:pos="2160"/>
        </w:tabs>
        <w:ind w:left="2160" w:hanging="360"/>
      </w:pPr>
      <w:rPr>
        <w:rFonts w:ascii="Arial" w:hAnsi="Arial" w:hint="default"/>
      </w:rPr>
    </w:lvl>
    <w:lvl w:ilvl="3" w:tplc="C02E2CD6" w:tentative="1">
      <w:start w:val="1"/>
      <w:numFmt w:val="bullet"/>
      <w:lvlText w:val="•"/>
      <w:lvlJc w:val="left"/>
      <w:pPr>
        <w:tabs>
          <w:tab w:val="num" w:pos="2880"/>
        </w:tabs>
        <w:ind w:left="2880" w:hanging="360"/>
      </w:pPr>
      <w:rPr>
        <w:rFonts w:ascii="Arial" w:hAnsi="Arial" w:hint="default"/>
      </w:rPr>
    </w:lvl>
    <w:lvl w:ilvl="4" w:tplc="7AB04A2C" w:tentative="1">
      <w:start w:val="1"/>
      <w:numFmt w:val="bullet"/>
      <w:lvlText w:val="•"/>
      <w:lvlJc w:val="left"/>
      <w:pPr>
        <w:tabs>
          <w:tab w:val="num" w:pos="3600"/>
        </w:tabs>
        <w:ind w:left="3600" w:hanging="360"/>
      </w:pPr>
      <w:rPr>
        <w:rFonts w:ascii="Arial" w:hAnsi="Arial" w:hint="default"/>
      </w:rPr>
    </w:lvl>
    <w:lvl w:ilvl="5" w:tplc="09B48742" w:tentative="1">
      <w:start w:val="1"/>
      <w:numFmt w:val="bullet"/>
      <w:lvlText w:val="•"/>
      <w:lvlJc w:val="left"/>
      <w:pPr>
        <w:tabs>
          <w:tab w:val="num" w:pos="4320"/>
        </w:tabs>
        <w:ind w:left="4320" w:hanging="360"/>
      </w:pPr>
      <w:rPr>
        <w:rFonts w:ascii="Arial" w:hAnsi="Arial" w:hint="default"/>
      </w:rPr>
    </w:lvl>
    <w:lvl w:ilvl="6" w:tplc="88AE0A08" w:tentative="1">
      <w:start w:val="1"/>
      <w:numFmt w:val="bullet"/>
      <w:lvlText w:val="•"/>
      <w:lvlJc w:val="left"/>
      <w:pPr>
        <w:tabs>
          <w:tab w:val="num" w:pos="5040"/>
        </w:tabs>
        <w:ind w:left="5040" w:hanging="360"/>
      </w:pPr>
      <w:rPr>
        <w:rFonts w:ascii="Arial" w:hAnsi="Arial" w:hint="default"/>
      </w:rPr>
    </w:lvl>
    <w:lvl w:ilvl="7" w:tplc="3D16CE42" w:tentative="1">
      <w:start w:val="1"/>
      <w:numFmt w:val="bullet"/>
      <w:lvlText w:val="•"/>
      <w:lvlJc w:val="left"/>
      <w:pPr>
        <w:tabs>
          <w:tab w:val="num" w:pos="5760"/>
        </w:tabs>
        <w:ind w:left="5760" w:hanging="360"/>
      </w:pPr>
      <w:rPr>
        <w:rFonts w:ascii="Arial" w:hAnsi="Arial" w:hint="default"/>
      </w:rPr>
    </w:lvl>
    <w:lvl w:ilvl="8" w:tplc="71DC907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ED15BE"/>
    <w:multiLevelType w:val="hybridMultilevel"/>
    <w:tmpl w:val="94D65DD6"/>
    <w:lvl w:ilvl="0" w:tplc="4E989894">
      <w:start w:val="1"/>
      <w:numFmt w:val="bullet"/>
      <w:lvlText w:val="•"/>
      <w:lvlJc w:val="left"/>
      <w:pPr>
        <w:tabs>
          <w:tab w:val="num" w:pos="720"/>
        </w:tabs>
        <w:ind w:left="720" w:hanging="360"/>
      </w:pPr>
      <w:rPr>
        <w:rFonts w:ascii="Arial" w:hAnsi="Arial" w:hint="default"/>
      </w:rPr>
    </w:lvl>
    <w:lvl w:ilvl="1" w:tplc="0840003E">
      <w:start w:val="1"/>
      <w:numFmt w:val="bullet"/>
      <w:lvlText w:val="•"/>
      <w:lvlJc w:val="left"/>
      <w:pPr>
        <w:tabs>
          <w:tab w:val="num" w:pos="1440"/>
        </w:tabs>
        <w:ind w:left="1440" w:hanging="360"/>
      </w:pPr>
      <w:rPr>
        <w:rFonts w:ascii="Arial" w:hAnsi="Arial" w:hint="default"/>
      </w:rPr>
    </w:lvl>
    <w:lvl w:ilvl="2" w:tplc="AC5CB420" w:tentative="1">
      <w:start w:val="1"/>
      <w:numFmt w:val="bullet"/>
      <w:lvlText w:val="•"/>
      <w:lvlJc w:val="left"/>
      <w:pPr>
        <w:tabs>
          <w:tab w:val="num" w:pos="2160"/>
        </w:tabs>
        <w:ind w:left="2160" w:hanging="360"/>
      </w:pPr>
      <w:rPr>
        <w:rFonts w:ascii="Arial" w:hAnsi="Arial" w:hint="default"/>
      </w:rPr>
    </w:lvl>
    <w:lvl w:ilvl="3" w:tplc="CCBAB924" w:tentative="1">
      <w:start w:val="1"/>
      <w:numFmt w:val="bullet"/>
      <w:lvlText w:val="•"/>
      <w:lvlJc w:val="left"/>
      <w:pPr>
        <w:tabs>
          <w:tab w:val="num" w:pos="2880"/>
        </w:tabs>
        <w:ind w:left="2880" w:hanging="360"/>
      </w:pPr>
      <w:rPr>
        <w:rFonts w:ascii="Arial" w:hAnsi="Arial" w:hint="default"/>
      </w:rPr>
    </w:lvl>
    <w:lvl w:ilvl="4" w:tplc="169EF62C" w:tentative="1">
      <w:start w:val="1"/>
      <w:numFmt w:val="bullet"/>
      <w:lvlText w:val="•"/>
      <w:lvlJc w:val="left"/>
      <w:pPr>
        <w:tabs>
          <w:tab w:val="num" w:pos="3600"/>
        </w:tabs>
        <w:ind w:left="3600" w:hanging="360"/>
      </w:pPr>
      <w:rPr>
        <w:rFonts w:ascii="Arial" w:hAnsi="Arial" w:hint="default"/>
      </w:rPr>
    </w:lvl>
    <w:lvl w:ilvl="5" w:tplc="8810686C" w:tentative="1">
      <w:start w:val="1"/>
      <w:numFmt w:val="bullet"/>
      <w:lvlText w:val="•"/>
      <w:lvlJc w:val="left"/>
      <w:pPr>
        <w:tabs>
          <w:tab w:val="num" w:pos="4320"/>
        </w:tabs>
        <w:ind w:left="4320" w:hanging="360"/>
      </w:pPr>
      <w:rPr>
        <w:rFonts w:ascii="Arial" w:hAnsi="Arial" w:hint="default"/>
      </w:rPr>
    </w:lvl>
    <w:lvl w:ilvl="6" w:tplc="5A225A9E" w:tentative="1">
      <w:start w:val="1"/>
      <w:numFmt w:val="bullet"/>
      <w:lvlText w:val="•"/>
      <w:lvlJc w:val="left"/>
      <w:pPr>
        <w:tabs>
          <w:tab w:val="num" w:pos="5040"/>
        </w:tabs>
        <w:ind w:left="5040" w:hanging="360"/>
      </w:pPr>
      <w:rPr>
        <w:rFonts w:ascii="Arial" w:hAnsi="Arial" w:hint="default"/>
      </w:rPr>
    </w:lvl>
    <w:lvl w:ilvl="7" w:tplc="D6E25316" w:tentative="1">
      <w:start w:val="1"/>
      <w:numFmt w:val="bullet"/>
      <w:lvlText w:val="•"/>
      <w:lvlJc w:val="left"/>
      <w:pPr>
        <w:tabs>
          <w:tab w:val="num" w:pos="5760"/>
        </w:tabs>
        <w:ind w:left="5760" w:hanging="360"/>
      </w:pPr>
      <w:rPr>
        <w:rFonts w:ascii="Arial" w:hAnsi="Arial" w:hint="default"/>
      </w:rPr>
    </w:lvl>
    <w:lvl w:ilvl="8" w:tplc="E160D0E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52D31B0"/>
    <w:multiLevelType w:val="multilevel"/>
    <w:tmpl w:val="0DE68E2A"/>
    <w:styleLink w:val="CurrentList3"/>
    <w:lvl w:ilvl="0">
      <w:start w:val="1"/>
      <w:numFmt w:val="none"/>
      <w:lvlText w:val="3."/>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8DF7035"/>
    <w:multiLevelType w:val="hybridMultilevel"/>
    <w:tmpl w:val="DC16C488"/>
    <w:lvl w:ilvl="0" w:tplc="273A4318">
      <w:start w:val="1"/>
      <w:numFmt w:val="bullet"/>
      <w:lvlText w:val="•"/>
      <w:lvlJc w:val="left"/>
      <w:pPr>
        <w:tabs>
          <w:tab w:val="num" w:pos="720"/>
        </w:tabs>
        <w:ind w:left="720" w:hanging="360"/>
      </w:pPr>
      <w:rPr>
        <w:rFonts w:ascii="Arial" w:hAnsi="Arial" w:hint="default"/>
      </w:rPr>
    </w:lvl>
    <w:lvl w:ilvl="1" w:tplc="3EEE8C2C">
      <w:start w:val="1"/>
      <w:numFmt w:val="bullet"/>
      <w:lvlText w:val="•"/>
      <w:lvlJc w:val="left"/>
      <w:pPr>
        <w:tabs>
          <w:tab w:val="num" w:pos="1440"/>
        </w:tabs>
        <w:ind w:left="1440" w:hanging="360"/>
      </w:pPr>
      <w:rPr>
        <w:rFonts w:ascii="Arial" w:hAnsi="Arial" w:hint="default"/>
      </w:rPr>
    </w:lvl>
    <w:lvl w:ilvl="2" w:tplc="03AE62AE" w:tentative="1">
      <w:start w:val="1"/>
      <w:numFmt w:val="bullet"/>
      <w:lvlText w:val="•"/>
      <w:lvlJc w:val="left"/>
      <w:pPr>
        <w:tabs>
          <w:tab w:val="num" w:pos="2160"/>
        </w:tabs>
        <w:ind w:left="2160" w:hanging="360"/>
      </w:pPr>
      <w:rPr>
        <w:rFonts w:ascii="Arial" w:hAnsi="Arial" w:hint="default"/>
      </w:rPr>
    </w:lvl>
    <w:lvl w:ilvl="3" w:tplc="4A8401C8" w:tentative="1">
      <w:start w:val="1"/>
      <w:numFmt w:val="bullet"/>
      <w:lvlText w:val="•"/>
      <w:lvlJc w:val="left"/>
      <w:pPr>
        <w:tabs>
          <w:tab w:val="num" w:pos="2880"/>
        </w:tabs>
        <w:ind w:left="2880" w:hanging="360"/>
      </w:pPr>
      <w:rPr>
        <w:rFonts w:ascii="Arial" w:hAnsi="Arial" w:hint="default"/>
      </w:rPr>
    </w:lvl>
    <w:lvl w:ilvl="4" w:tplc="C8CE390A" w:tentative="1">
      <w:start w:val="1"/>
      <w:numFmt w:val="bullet"/>
      <w:lvlText w:val="•"/>
      <w:lvlJc w:val="left"/>
      <w:pPr>
        <w:tabs>
          <w:tab w:val="num" w:pos="3600"/>
        </w:tabs>
        <w:ind w:left="3600" w:hanging="360"/>
      </w:pPr>
      <w:rPr>
        <w:rFonts w:ascii="Arial" w:hAnsi="Arial" w:hint="default"/>
      </w:rPr>
    </w:lvl>
    <w:lvl w:ilvl="5" w:tplc="B8E022FA" w:tentative="1">
      <w:start w:val="1"/>
      <w:numFmt w:val="bullet"/>
      <w:lvlText w:val="•"/>
      <w:lvlJc w:val="left"/>
      <w:pPr>
        <w:tabs>
          <w:tab w:val="num" w:pos="4320"/>
        </w:tabs>
        <w:ind w:left="4320" w:hanging="360"/>
      </w:pPr>
      <w:rPr>
        <w:rFonts w:ascii="Arial" w:hAnsi="Arial" w:hint="default"/>
      </w:rPr>
    </w:lvl>
    <w:lvl w:ilvl="6" w:tplc="539888CE" w:tentative="1">
      <w:start w:val="1"/>
      <w:numFmt w:val="bullet"/>
      <w:lvlText w:val="•"/>
      <w:lvlJc w:val="left"/>
      <w:pPr>
        <w:tabs>
          <w:tab w:val="num" w:pos="5040"/>
        </w:tabs>
        <w:ind w:left="5040" w:hanging="360"/>
      </w:pPr>
      <w:rPr>
        <w:rFonts w:ascii="Arial" w:hAnsi="Arial" w:hint="default"/>
      </w:rPr>
    </w:lvl>
    <w:lvl w:ilvl="7" w:tplc="C49C342A" w:tentative="1">
      <w:start w:val="1"/>
      <w:numFmt w:val="bullet"/>
      <w:lvlText w:val="•"/>
      <w:lvlJc w:val="left"/>
      <w:pPr>
        <w:tabs>
          <w:tab w:val="num" w:pos="5760"/>
        </w:tabs>
        <w:ind w:left="5760" w:hanging="360"/>
      </w:pPr>
      <w:rPr>
        <w:rFonts w:ascii="Arial" w:hAnsi="Arial" w:hint="default"/>
      </w:rPr>
    </w:lvl>
    <w:lvl w:ilvl="8" w:tplc="758AD43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A284B8D"/>
    <w:multiLevelType w:val="multilevel"/>
    <w:tmpl w:val="899CCA90"/>
    <w:styleLink w:val="CurrentList2"/>
    <w:lvl w:ilvl="0">
      <w:start w:val="1"/>
      <w:numFmt w:val="decimal"/>
      <w:lvlText w:val="%1."/>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B462540"/>
    <w:multiLevelType w:val="hybridMultilevel"/>
    <w:tmpl w:val="3196B07A"/>
    <w:lvl w:ilvl="0" w:tplc="04090001">
      <w:start w:val="1"/>
      <w:numFmt w:val="bullet"/>
      <w:lvlText w:val=""/>
      <w:lvlJc w:val="left"/>
      <w:pPr>
        <w:ind w:left="720" w:hanging="720"/>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C792C0F"/>
    <w:multiLevelType w:val="multilevel"/>
    <w:tmpl w:val="295ABEB2"/>
    <w:lvl w:ilvl="0">
      <w:start w:val="1"/>
      <w:numFmt w:val="decimal"/>
      <w:lvlText w:val="%1."/>
      <w:lvlJc w:val="left"/>
      <w:pPr>
        <w:ind w:left="502" w:hanging="360"/>
      </w:pPr>
      <w:rPr>
        <w:rFonts w:hint="default"/>
        <w:b/>
        <w:bCs/>
        <w:color w:val="70AD47" w:themeColor="accent6"/>
        <w:sz w:val="24"/>
        <w:szCs w:val="24"/>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7" w15:restartNumberingAfterBreak="0">
    <w:nsid w:val="45947172"/>
    <w:multiLevelType w:val="hybridMultilevel"/>
    <w:tmpl w:val="F014E662"/>
    <w:lvl w:ilvl="0" w:tplc="04090001">
      <w:start w:val="1"/>
      <w:numFmt w:val="bullet"/>
      <w:lvlText w:val=""/>
      <w:lvlJc w:val="left"/>
      <w:pPr>
        <w:ind w:left="4897"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8" w15:restartNumberingAfterBreak="0">
    <w:nsid w:val="53D72B07"/>
    <w:multiLevelType w:val="hybridMultilevel"/>
    <w:tmpl w:val="79007998"/>
    <w:lvl w:ilvl="0" w:tplc="6E0C5E94">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8FF6C5E"/>
    <w:multiLevelType w:val="hybridMultilevel"/>
    <w:tmpl w:val="4D0E703E"/>
    <w:lvl w:ilvl="0" w:tplc="6E0C5E94">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143605"/>
    <w:multiLevelType w:val="multilevel"/>
    <w:tmpl w:val="4810DD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73334224"/>
    <w:multiLevelType w:val="hybridMultilevel"/>
    <w:tmpl w:val="E3DAA5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77B77A0"/>
    <w:multiLevelType w:val="multilevel"/>
    <w:tmpl w:val="08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3819971">
    <w:abstractNumId w:val="12"/>
  </w:num>
  <w:num w:numId="2" w16cid:durableId="529104561">
    <w:abstractNumId w:val="4"/>
  </w:num>
  <w:num w:numId="3" w16cid:durableId="7223059">
    <w:abstractNumId w:val="2"/>
  </w:num>
  <w:num w:numId="4" w16cid:durableId="1636839197">
    <w:abstractNumId w:val="6"/>
  </w:num>
  <w:num w:numId="5" w16cid:durableId="1657301658">
    <w:abstractNumId w:val="7"/>
  </w:num>
  <w:num w:numId="6" w16cid:durableId="755369147">
    <w:abstractNumId w:val="0"/>
  </w:num>
  <w:num w:numId="7" w16cid:durableId="959919382">
    <w:abstractNumId w:val="1"/>
  </w:num>
  <w:num w:numId="8" w16cid:durableId="1075473592">
    <w:abstractNumId w:val="3"/>
  </w:num>
  <w:num w:numId="9" w16cid:durableId="1336613342">
    <w:abstractNumId w:val="11"/>
  </w:num>
  <w:num w:numId="10" w16cid:durableId="1795753384">
    <w:abstractNumId w:val="9"/>
  </w:num>
  <w:num w:numId="11" w16cid:durableId="2130203281">
    <w:abstractNumId w:val="8"/>
  </w:num>
  <w:num w:numId="12" w16cid:durableId="314990714">
    <w:abstractNumId w:val="5"/>
  </w:num>
  <w:num w:numId="13" w16cid:durableId="2070640853">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0szAwNQGSlqamlko6SsGpxcWZ+XkgBcbmtQBZ5Pv1LQAAAA=="/>
  </w:docVars>
  <w:rsids>
    <w:rsidRoot w:val="00BD4BCE"/>
    <w:rsid w:val="0000007D"/>
    <w:rsid w:val="00001F82"/>
    <w:rsid w:val="0000278E"/>
    <w:rsid w:val="00002CAE"/>
    <w:rsid w:val="00002D07"/>
    <w:rsid w:val="00003862"/>
    <w:rsid w:val="00004765"/>
    <w:rsid w:val="0000542A"/>
    <w:rsid w:val="000055A1"/>
    <w:rsid w:val="0000599F"/>
    <w:rsid w:val="00005F0A"/>
    <w:rsid w:val="0000717A"/>
    <w:rsid w:val="00007EAE"/>
    <w:rsid w:val="0001063F"/>
    <w:rsid w:val="00011B02"/>
    <w:rsid w:val="00011B86"/>
    <w:rsid w:val="0001244B"/>
    <w:rsid w:val="00012FFC"/>
    <w:rsid w:val="00013E59"/>
    <w:rsid w:val="00014AFF"/>
    <w:rsid w:val="00014F67"/>
    <w:rsid w:val="00015D31"/>
    <w:rsid w:val="00016A9B"/>
    <w:rsid w:val="00016C3F"/>
    <w:rsid w:val="00017FBF"/>
    <w:rsid w:val="00020272"/>
    <w:rsid w:val="00023D98"/>
    <w:rsid w:val="00024F57"/>
    <w:rsid w:val="000251A6"/>
    <w:rsid w:val="00025589"/>
    <w:rsid w:val="00025BBE"/>
    <w:rsid w:val="00025C70"/>
    <w:rsid w:val="00027322"/>
    <w:rsid w:val="000279D6"/>
    <w:rsid w:val="00027D74"/>
    <w:rsid w:val="000301CD"/>
    <w:rsid w:val="00030751"/>
    <w:rsid w:val="000313E1"/>
    <w:rsid w:val="00031A36"/>
    <w:rsid w:val="0003251B"/>
    <w:rsid w:val="00034931"/>
    <w:rsid w:val="000357F6"/>
    <w:rsid w:val="00036581"/>
    <w:rsid w:val="000369C9"/>
    <w:rsid w:val="00037694"/>
    <w:rsid w:val="000378BB"/>
    <w:rsid w:val="000400A6"/>
    <w:rsid w:val="00040A2E"/>
    <w:rsid w:val="00041E9B"/>
    <w:rsid w:val="00042592"/>
    <w:rsid w:val="0004304D"/>
    <w:rsid w:val="00043162"/>
    <w:rsid w:val="000439C4"/>
    <w:rsid w:val="00043A07"/>
    <w:rsid w:val="00044437"/>
    <w:rsid w:val="000449D1"/>
    <w:rsid w:val="000449DE"/>
    <w:rsid w:val="00045F6B"/>
    <w:rsid w:val="00051114"/>
    <w:rsid w:val="000511DA"/>
    <w:rsid w:val="0005232A"/>
    <w:rsid w:val="00052358"/>
    <w:rsid w:val="000529E3"/>
    <w:rsid w:val="000538E2"/>
    <w:rsid w:val="00053C8E"/>
    <w:rsid w:val="00054939"/>
    <w:rsid w:val="00054E05"/>
    <w:rsid w:val="00055A30"/>
    <w:rsid w:val="00055BF9"/>
    <w:rsid w:val="00056DDF"/>
    <w:rsid w:val="00060071"/>
    <w:rsid w:val="00060794"/>
    <w:rsid w:val="00061950"/>
    <w:rsid w:val="00061FF5"/>
    <w:rsid w:val="0006207D"/>
    <w:rsid w:val="000629D3"/>
    <w:rsid w:val="00063358"/>
    <w:rsid w:val="000660A3"/>
    <w:rsid w:val="0006633A"/>
    <w:rsid w:val="0006639D"/>
    <w:rsid w:val="000663B9"/>
    <w:rsid w:val="00066A17"/>
    <w:rsid w:val="00066E42"/>
    <w:rsid w:val="00067D86"/>
    <w:rsid w:val="00071836"/>
    <w:rsid w:val="00071E35"/>
    <w:rsid w:val="000728A2"/>
    <w:rsid w:val="000728B2"/>
    <w:rsid w:val="00072D93"/>
    <w:rsid w:val="000731C0"/>
    <w:rsid w:val="000759BE"/>
    <w:rsid w:val="00076373"/>
    <w:rsid w:val="000779B1"/>
    <w:rsid w:val="00077FE0"/>
    <w:rsid w:val="0008165C"/>
    <w:rsid w:val="0008192A"/>
    <w:rsid w:val="000820EE"/>
    <w:rsid w:val="000840D7"/>
    <w:rsid w:val="0008474E"/>
    <w:rsid w:val="00085506"/>
    <w:rsid w:val="00085C9D"/>
    <w:rsid w:val="0008622F"/>
    <w:rsid w:val="0008793A"/>
    <w:rsid w:val="00090755"/>
    <w:rsid w:val="00091225"/>
    <w:rsid w:val="000915AC"/>
    <w:rsid w:val="0009314C"/>
    <w:rsid w:val="00093A83"/>
    <w:rsid w:val="00094439"/>
    <w:rsid w:val="000952F7"/>
    <w:rsid w:val="000A22D4"/>
    <w:rsid w:val="000A2FAE"/>
    <w:rsid w:val="000A3F37"/>
    <w:rsid w:val="000A4B39"/>
    <w:rsid w:val="000A5C09"/>
    <w:rsid w:val="000A6141"/>
    <w:rsid w:val="000A6514"/>
    <w:rsid w:val="000A6AC3"/>
    <w:rsid w:val="000A7C47"/>
    <w:rsid w:val="000B0314"/>
    <w:rsid w:val="000B1003"/>
    <w:rsid w:val="000B136D"/>
    <w:rsid w:val="000B179D"/>
    <w:rsid w:val="000B4252"/>
    <w:rsid w:val="000B519F"/>
    <w:rsid w:val="000B57CE"/>
    <w:rsid w:val="000B61F3"/>
    <w:rsid w:val="000B6F36"/>
    <w:rsid w:val="000B7057"/>
    <w:rsid w:val="000B738B"/>
    <w:rsid w:val="000B752A"/>
    <w:rsid w:val="000B7B44"/>
    <w:rsid w:val="000C00DA"/>
    <w:rsid w:val="000C1057"/>
    <w:rsid w:val="000C118A"/>
    <w:rsid w:val="000C25DD"/>
    <w:rsid w:val="000C25E7"/>
    <w:rsid w:val="000C4CED"/>
    <w:rsid w:val="000C5A6A"/>
    <w:rsid w:val="000C7FB1"/>
    <w:rsid w:val="000D0267"/>
    <w:rsid w:val="000D048D"/>
    <w:rsid w:val="000D3849"/>
    <w:rsid w:val="000D4A27"/>
    <w:rsid w:val="000D4C95"/>
    <w:rsid w:val="000D5DEA"/>
    <w:rsid w:val="000D5E7B"/>
    <w:rsid w:val="000D6729"/>
    <w:rsid w:val="000D7667"/>
    <w:rsid w:val="000E08AF"/>
    <w:rsid w:val="000E092B"/>
    <w:rsid w:val="000E0FA6"/>
    <w:rsid w:val="000E16B2"/>
    <w:rsid w:val="000E28EF"/>
    <w:rsid w:val="000E2A0C"/>
    <w:rsid w:val="000E387E"/>
    <w:rsid w:val="000E3EB3"/>
    <w:rsid w:val="000E45DD"/>
    <w:rsid w:val="000E5047"/>
    <w:rsid w:val="000E6346"/>
    <w:rsid w:val="000E68BF"/>
    <w:rsid w:val="000E69CF"/>
    <w:rsid w:val="000E6BC0"/>
    <w:rsid w:val="000F1AA4"/>
    <w:rsid w:val="000F309B"/>
    <w:rsid w:val="000F34D2"/>
    <w:rsid w:val="000F494D"/>
    <w:rsid w:val="000F4B25"/>
    <w:rsid w:val="000F51E0"/>
    <w:rsid w:val="000F62B5"/>
    <w:rsid w:val="000F7405"/>
    <w:rsid w:val="000F74FF"/>
    <w:rsid w:val="000F7CEA"/>
    <w:rsid w:val="0010039E"/>
    <w:rsid w:val="00100A48"/>
    <w:rsid w:val="00102D7C"/>
    <w:rsid w:val="001052BA"/>
    <w:rsid w:val="0010613E"/>
    <w:rsid w:val="00106608"/>
    <w:rsid w:val="00106CE4"/>
    <w:rsid w:val="001072A0"/>
    <w:rsid w:val="001073E8"/>
    <w:rsid w:val="00107D9F"/>
    <w:rsid w:val="00112041"/>
    <w:rsid w:val="00112228"/>
    <w:rsid w:val="00112852"/>
    <w:rsid w:val="0011324C"/>
    <w:rsid w:val="0011340A"/>
    <w:rsid w:val="001135FC"/>
    <w:rsid w:val="001151FB"/>
    <w:rsid w:val="00115DB0"/>
    <w:rsid w:val="00116509"/>
    <w:rsid w:val="00120084"/>
    <w:rsid w:val="00120220"/>
    <w:rsid w:val="00120AAE"/>
    <w:rsid w:val="00122007"/>
    <w:rsid w:val="0012478F"/>
    <w:rsid w:val="00125F79"/>
    <w:rsid w:val="00131A0D"/>
    <w:rsid w:val="00131A23"/>
    <w:rsid w:val="00131FD5"/>
    <w:rsid w:val="00133193"/>
    <w:rsid w:val="001360DB"/>
    <w:rsid w:val="00136630"/>
    <w:rsid w:val="001409AB"/>
    <w:rsid w:val="00140BF0"/>
    <w:rsid w:val="001416C5"/>
    <w:rsid w:val="00142231"/>
    <w:rsid w:val="0014327F"/>
    <w:rsid w:val="00143CCE"/>
    <w:rsid w:val="0014527F"/>
    <w:rsid w:val="00146789"/>
    <w:rsid w:val="001472C1"/>
    <w:rsid w:val="001477C4"/>
    <w:rsid w:val="00147F9B"/>
    <w:rsid w:val="00150D82"/>
    <w:rsid w:val="0015170E"/>
    <w:rsid w:val="00151B12"/>
    <w:rsid w:val="001543AD"/>
    <w:rsid w:val="00155110"/>
    <w:rsid w:val="00157866"/>
    <w:rsid w:val="00160C34"/>
    <w:rsid w:val="00161593"/>
    <w:rsid w:val="00162C55"/>
    <w:rsid w:val="00162F02"/>
    <w:rsid w:val="001634CF"/>
    <w:rsid w:val="00163B04"/>
    <w:rsid w:val="00163F8E"/>
    <w:rsid w:val="0016435C"/>
    <w:rsid w:val="001651AF"/>
    <w:rsid w:val="001665A3"/>
    <w:rsid w:val="00166D25"/>
    <w:rsid w:val="001708D2"/>
    <w:rsid w:val="001711B8"/>
    <w:rsid w:val="0017125B"/>
    <w:rsid w:val="00171C81"/>
    <w:rsid w:val="00171FC5"/>
    <w:rsid w:val="0017292E"/>
    <w:rsid w:val="00172D1B"/>
    <w:rsid w:val="00173991"/>
    <w:rsid w:val="00174D23"/>
    <w:rsid w:val="00175B5E"/>
    <w:rsid w:val="00180F6B"/>
    <w:rsid w:val="00181B12"/>
    <w:rsid w:val="001821EA"/>
    <w:rsid w:val="001822DB"/>
    <w:rsid w:val="00182BAF"/>
    <w:rsid w:val="00182F5F"/>
    <w:rsid w:val="00183082"/>
    <w:rsid w:val="00183CE0"/>
    <w:rsid w:val="00183FBD"/>
    <w:rsid w:val="00184FFA"/>
    <w:rsid w:val="00185093"/>
    <w:rsid w:val="001850E7"/>
    <w:rsid w:val="00185112"/>
    <w:rsid w:val="00185924"/>
    <w:rsid w:val="00186FF8"/>
    <w:rsid w:val="001903BE"/>
    <w:rsid w:val="0019040A"/>
    <w:rsid w:val="00190C9A"/>
    <w:rsid w:val="00190D29"/>
    <w:rsid w:val="00191568"/>
    <w:rsid w:val="00191597"/>
    <w:rsid w:val="0019193D"/>
    <w:rsid w:val="001919B1"/>
    <w:rsid w:val="001921A9"/>
    <w:rsid w:val="001925CC"/>
    <w:rsid w:val="00192FE8"/>
    <w:rsid w:val="001930A7"/>
    <w:rsid w:val="00193633"/>
    <w:rsid w:val="00194067"/>
    <w:rsid w:val="00194786"/>
    <w:rsid w:val="00196348"/>
    <w:rsid w:val="0019681F"/>
    <w:rsid w:val="0019737F"/>
    <w:rsid w:val="00197BA9"/>
    <w:rsid w:val="001A1634"/>
    <w:rsid w:val="001A2B4F"/>
    <w:rsid w:val="001A2BBC"/>
    <w:rsid w:val="001A2C5C"/>
    <w:rsid w:val="001A378C"/>
    <w:rsid w:val="001A4060"/>
    <w:rsid w:val="001A42A3"/>
    <w:rsid w:val="001A6804"/>
    <w:rsid w:val="001A69D7"/>
    <w:rsid w:val="001A701E"/>
    <w:rsid w:val="001A78C3"/>
    <w:rsid w:val="001B0284"/>
    <w:rsid w:val="001B032E"/>
    <w:rsid w:val="001B0487"/>
    <w:rsid w:val="001B0F6A"/>
    <w:rsid w:val="001B12D7"/>
    <w:rsid w:val="001B197D"/>
    <w:rsid w:val="001B19F2"/>
    <w:rsid w:val="001B2DC5"/>
    <w:rsid w:val="001B31AC"/>
    <w:rsid w:val="001B62E9"/>
    <w:rsid w:val="001B6C69"/>
    <w:rsid w:val="001B6E82"/>
    <w:rsid w:val="001B7196"/>
    <w:rsid w:val="001B790D"/>
    <w:rsid w:val="001C1877"/>
    <w:rsid w:val="001C1D82"/>
    <w:rsid w:val="001C2586"/>
    <w:rsid w:val="001C259F"/>
    <w:rsid w:val="001C2745"/>
    <w:rsid w:val="001C3904"/>
    <w:rsid w:val="001C3A94"/>
    <w:rsid w:val="001C3D34"/>
    <w:rsid w:val="001C3EC1"/>
    <w:rsid w:val="001C406E"/>
    <w:rsid w:val="001C467D"/>
    <w:rsid w:val="001C4DB8"/>
    <w:rsid w:val="001C7727"/>
    <w:rsid w:val="001C77D7"/>
    <w:rsid w:val="001D1572"/>
    <w:rsid w:val="001D18B0"/>
    <w:rsid w:val="001D2767"/>
    <w:rsid w:val="001D354A"/>
    <w:rsid w:val="001D3CC6"/>
    <w:rsid w:val="001D4CBA"/>
    <w:rsid w:val="001D540C"/>
    <w:rsid w:val="001D591E"/>
    <w:rsid w:val="001D5ACA"/>
    <w:rsid w:val="001D5C6A"/>
    <w:rsid w:val="001D65D9"/>
    <w:rsid w:val="001D6E9E"/>
    <w:rsid w:val="001E1AB1"/>
    <w:rsid w:val="001E1B7F"/>
    <w:rsid w:val="001E1C11"/>
    <w:rsid w:val="001E1E64"/>
    <w:rsid w:val="001E3FED"/>
    <w:rsid w:val="001E4F69"/>
    <w:rsid w:val="001E5728"/>
    <w:rsid w:val="001E6363"/>
    <w:rsid w:val="001E7090"/>
    <w:rsid w:val="001E7F8D"/>
    <w:rsid w:val="001F0C5D"/>
    <w:rsid w:val="001F1286"/>
    <w:rsid w:val="001F3298"/>
    <w:rsid w:val="001F4360"/>
    <w:rsid w:val="001F56B2"/>
    <w:rsid w:val="001F5833"/>
    <w:rsid w:val="001F5945"/>
    <w:rsid w:val="001F7004"/>
    <w:rsid w:val="001F7E34"/>
    <w:rsid w:val="0020034E"/>
    <w:rsid w:val="00203B04"/>
    <w:rsid w:val="00204900"/>
    <w:rsid w:val="00206145"/>
    <w:rsid w:val="002068BA"/>
    <w:rsid w:val="00206C09"/>
    <w:rsid w:val="002074A9"/>
    <w:rsid w:val="00207BBE"/>
    <w:rsid w:val="002101DE"/>
    <w:rsid w:val="002117C8"/>
    <w:rsid w:val="00211C9F"/>
    <w:rsid w:val="00212F37"/>
    <w:rsid w:val="00213F13"/>
    <w:rsid w:val="00214406"/>
    <w:rsid w:val="00214B69"/>
    <w:rsid w:val="00214CAA"/>
    <w:rsid w:val="002157CF"/>
    <w:rsid w:val="0021646F"/>
    <w:rsid w:val="00217C23"/>
    <w:rsid w:val="002205D1"/>
    <w:rsid w:val="002214F0"/>
    <w:rsid w:val="0022163D"/>
    <w:rsid w:val="00222FD0"/>
    <w:rsid w:val="00224526"/>
    <w:rsid w:val="0022530F"/>
    <w:rsid w:val="00225CDA"/>
    <w:rsid w:val="00225EDA"/>
    <w:rsid w:val="002274E0"/>
    <w:rsid w:val="002279A5"/>
    <w:rsid w:val="00227BBB"/>
    <w:rsid w:val="0023057A"/>
    <w:rsid w:val="0023071D"/>
    <w:rsid w:val="002325FC"/>
    <w:rsid w:val="00232758"/>
    <w:rsid w:val="0023299A"/>
    <w:rsid w:val="0023395F"/>
    <w:rsid w:val="00235256"/>
    <w:rsid w:val="002357ED"/>
    <w:rsid w:val="00235947"/>
    <w:rsid w:val="0023766B"/>
    <w:rsid w:val="00241A40"/>
    <w:rsid w:val="002430BB"/>
    <w:rsid w:val="00244787"/>
    <w:rsid w:val="00245E87"/>
    <w:rsid w:val="00246A98"/>
    <w:rsid w:val="0024749C"/>
    <w:rsid w:val="002510AA"/>
    <w:rsid w:val="002518B4"/>
    <w:rsid w:val="00253B51"/>
    <w:rsid w:val="00253E29"/>
    <w:rsid w:val="00254FF2"/>
    <w:rsid w:val="00255484"/>
    <w:rsid w:val="00255A57"/>
    <w:rsid w:val="002571F1"/>
    <w:rsid w:val="00257A1B"/>
    <w:rsid w:val="00260780"/>
    <w:rsid w:val="00261C06"/>
    <w:rsid w:val="00261E2E"/>
    <w:rsid w:val="00262241"/>
    <w:rsid w:val="00262983"/>
    <w:rsid w:val="00263283"/>
    <w:rsid w:val="00263335"/>
    <w:rsid w:val="002639F3"/>
    <w:rsid w:val="00263D91"/>
    <w:rsid w:val="00264286"/>
    <w:rsid w:val="00264C96"/>
    <w:rsid w:val="00264FC1"/>
    <w:rsid w:val="002659D4"/>
    <w:rsid w:val="00267ABF"/>
    <w:rsid w:val="00267D2E"/>
    <w:rsid w:val="002703E1"/>
    <w:rsid w:val="00270736"/>
    <w:rsid w:val="00270AE6"/>
    <w:rsid w:val="00270FC9"/>
    <w:rsid w:val="002733FB"/>
    <w:rsid w:val="00273B72"/>
    <w:rsid w:val="00274298"/>
    <w:rsid w:val="00274945"/>
    <w:rsid w:val="00274F89"/>
    <w:rsid w:val="0027606E"/>
    <w:rsid w:val="002768B0"/>
    <w:rsid w:val="00276FD7"/>
    <w:rsid w:val="0028001A"/>
    <w:rsid w:val="00280B5B"/>
    <w:rsid w:val="00281A83"/>
    <w:rsid w:val="00282C24"/>
    <w:rsid w:val="00282E76"/>
    <w:rsid w:val="002840C8"/>
    <w:rsid w:val="00284412"/>
    <w:rsid w:val="00284856"/>
    <w:rsid w:val="00284A22"/>
    <w:rsid w:val="002857C1"/>
    <w:rsid w:val="002859B6"/>
    <w:rsid w:val="00285A19"/>
    <w:rsid w:val="00285B59"/>
    <w:rsid w:val="00285B73"/>
    <w:rsid w:val="002901E0"/>
    <w:rsid w:val="00291921"/>
    <w:rsid w:val="00291E7D"/>
    <w:rsid w:val="00292233"/>
    <w:rsid w:val="00293BA5"/>
    <w:rsid w:val="00294171"/>
    <w:rsid w:val="00294306"/>
    <w:rsid w:val="00294C50"/>
    <w:rsid w:val="00296E78"/>
    <w:rsid w:val="00297346"/>
    <w:rsid w:val="002977CA"/>
    <w:rsid w:val="00297D0F"/>
    <w:rsid w:val="002A0F02"/>
    <w:rsid w:val="002A2C17"/>
    <w:rsid w:val="002A44A9"/>
    <w:rsid w:val="002A46AE"/>
    <w:rsid w:val="002A4F84"/>
    <w:rsid w:val="002A5CBE"/>
    <w:rsid w:val="002A5CE7"/>
    <w:rsid w:val="002A791F"/>
    <w:rsid w:val="002B0630"/>
    <w:rsid w:val="002B0C61"/>
    <w:rsid w:val="002B1AC5"/>
    <w:rsid w:val="002B1B80"/>
    <w:rsid w:val="002B3ECA"/>
    <w:rsid w:val="002B6243"/>
    <w:rsid w:val="002B63B0"/>
    <w:rsid w:val="002B6829"/>
    <w:rsid w:val="002B6D64"/>
    <w:rsid w:val="002B6DCF"/>
    <w:rsid w:val="002C00AC"/>
    <w:rsid w:val="002C0185"/>
    <w:rsid w:val="002C0581"/>
    <w:rsid w:val="002C0F5F"/>
    <w:rsid w:val="002C1CAC"/>
    <w:rsid w:val="002C2EF7"/>
    <w:rsid w:val="002C3C49"/>
    <w:rsid w:val="002C42E8"/>
    <w:rsid w:val="002C4694"/>
    <w:rsid w:val="002C6AD3"/>
    <w:rsid w:val="002C6F61"/>
    <w:rsid w:val="002C728E"/>
    <w:rsid w:val="002C73F5"/>
    <w:rsid w:val="002D31D5"/>
    <w:rsid w:val="002D4BC6"/>
    <w:rsid w:val="002D5862"/>
    <w:rsid w:val="002D6BED"/>
    <w:rsid w:val="002D7B91"/>
    <w:rsid w:val="002E03AD"/>
    <w:rsid w:val="002E0882"/>
    <w:rsid w:val="002E0983"/>
    <w:rsid w:val="002E0A55"/>
    <w:rsid w:val="002E3451"/>
    <w:rsid w:val="002E38C1"/>
    <w:rsid w:val="002E5FF8"/>
    <w:rsid w:val="002E652B"/>
    <w:rsid w:val="002E71FA"/>
    <w:rsid w:val="002E792A"/>
    <w:rsid w:val="002F4100"/>
    <w:rsid w:val="002F5CD9"/>
    <w:rsid w:val="002F61AD"/>
    <w:rsid w:val="002F62C0"/>
    <w:rsid w:val="002F659A"/>
    <w:rsid w:val="002F736A"/>
    <w:rsid w:val="002F7947"/>
    <w:rsid w:val="002F799C"/>
    <w:rsid w:val="003002A9"/>
    <w:rsid w:val="00301307"/>
    <w:rsid w:val="0030149C"/>
    <w:rsid w:val="003036DC"/>
    <w:rsid w:val="003043B2"/>
    <w:rsid w:val="00304ACD"/>
    <w:rsid w:val="003060DE"/>
    <w:rsid w:val="00306D02"/>
    <w:rsid w:val="00306F64"/>
    <w:rsid w:val="00306F8D"/>
    <w:rsid w:val="00307D24"/>
    <w:rsid w:val="00307F3C"/>
    <w:rsid w:val="0031007B"/>
    <w:rsid w:val="0031009F"/>
    <w:rsid w:val="00311388"/>
    <w:rsid w:val="0031153A"/>
    <w:rsid w:val="00311C1F"/>
    <w:rsid w:val="003124F7"/>
    <w:rsid w:val="00314A20"/>
    <w:rsid w:val="00315CA6"/>
    <w:rsid w:val="00315E25"/>
    <w:rsid w:val="003161B5"/>
    <w:rsid w:val="00316220"/>
    <w:rsid w:val="00316DE0"/>
    <w:rsid w:val="00316EF7"/>
    <w:rsid w:val="00317A88"/>
    <w:rsid w:val="00317ECE"/>
    <w:rsid w:val="0032033D"/>
    <w:rsid w:val="00320689"/>
    <w:rsid w:val="00321652"/>
    <w:rsid w:val="0032267C"/>
    <w:rsid w:val="00322A79"/>
    <w:rsid w:val="00322FAC"/>
    <w:rsid w:val="003239B9"/>
    <w:rsid w:val="0032454D"/>
    <w:rsid w:val="00325B21"/>
    <w:rsid w:val="003268D0"/>
    <w:rsid w:val="00330401"/>
    <w:rsid w:val="0033136F"/>
    <w:rsid w:val="00331590"/>
    <w:rsid w:val="0033192A"/>
    <w:rsid w:val="003325BE"/>
    <w:rsid w:val="0033266B"/>
    <w:rsid w:val="00332ACA"/>
    <w:rsid w:val="00332E3F"/>
    <w:rsid w:val="003333A3"/>
    <w:rsid w:val="00334629"/>
    <w:rsid w:val="00334887"/>
    <w:rsid w:val="00334BDE"/>
    <w:rsid w:val="00336291"/>
    <w:rsid w:val="00340EEC"/>
    <w:rsid w:val="0034188F"/>
    <w:rsid w:val="003427FA"/>
    <w:rsid w:val="00342EB5"/>
    <w:rsid w:val="00343A42"/>
    <w:rsid w:val="003449D6"/>
    <w:rsid w:val="00344A7E"/>
    <w:rsid w:val="00344FEB"/>
    <w:rsid w:val="003452F4"/>
    <w:rsid w:val="003454A5"/>
    <w:rsid w:val="00346234"/>
    <w:rsid w:val="00346802"/>
    <w:rsid w:val="0034776E"/>
    <w:rsid w:val="003503D1"/>
    <w:rsid w:val="00352AE9"/>
    <w:rsid w:val="00352FA5"/>
    <w:rsid w:val="003536EC"/>
    <w:rsid w:val="00353728"/>
    <w:rsid w:val="00353C43"/>
    <w:rsid w:val="0035504E"/>
    <w:rsid w:val="00356B27"/>
    <w:rsid w:val="00356C0F"/>
    <w:rsid w:val="00356CDE"/>
    <w:rsid w:val="00356D32"/>
    <w:rsid w:val="00357A29"/>
    <w:rsid w:val="00360703"/>
    <w:rsid w:val="00360B97"/>
    <w:rsid w:val="00364218"/>
    <w:rsid w:val="003649C6"/>
    <w:rsid w:val="00364C4B"/>
    <w:rsid w:val="003658FC"/>
    <w:rsid w:val="00367AE5"/>
    <w:rsid w:val="00367BF6"/>
    <w:rsid w:val="00367E36"/>
    <w:rsid w:val="003707B5"/>
    <w:rsid w:val="00372C37"/>
    <w:rsid w:val="00372D1F"/>
    <w:rsid w:val="003741E6"/>
    <w:rsid w:val="0037484A"/>
    <w:rsid w:val="003753AB"/>
    <w:rsid w:val="0037595F"/>
    <w:rsid w:val="0037615E"/>
    <w:rsid w:val="003814E6"/>
    <w:rsid w:val="003816F7"/>
    <w:rsid w:val="00381F32"/>
    <w:rsid w:val="003822DF"/>
    <w:rsid w:val="003827A4"/>
    <w:rsid w:val="00382DB2"/>
    <w:rsid w:val="00383F2B"/>
    <w:rsid w:val="00385206"/>
    <w:rsid w:val="003873AF"/>
    <w:rsid w:val="00387639"/>
    <w:rsid w:val="003901C3"/>
    <w:rsid w:val="003905D3"/>
    <w:rsid w:val="00390EC4"/>
    <w:rsid w:val="0039120B"/>
    <w:rsid w:val="003914E6"/>
    <w:rsid w:val="00392496"/>
    <w:rsid w:val="00393332"/>
    <w:rsid w:val="00393D45"/>
    <w:rsid w:val="00393E88"/>
    <w:rsid w:val="0039400D"/>
    <w:rsid w:val="003940CD"/>
    <w:rsid w:val="003954DD"/>
    <w:rsid w:val="003957C0"/>
    <w:rsid w:val="00395D29"/>
    <w:rsid w:val="00396A81"/>
    <w:rsid w:val="00397AF0"/>
    <w:rsid w:val="00397BD4"/>
    <w:rsid w:val="003A0D3A"/>
    <w:rsid w:val="003A1BAB"/>
    <w:rsid w:val="003A28B9"/>
    <w:rsid w:val="003A55C8"/>
    <w:rsid w:val="003A583B"/>
    <w:rsid w:val="003A65B6"/>
    <w:rsid w:val="003A678D"/>
    <w:rsid w:val="003A7036"/>
    <w:rsid w:val="003A7614"/>
    <w:rsid w:val="003B1B93"/>
    <w:rsid w:val="003B1E3B"/>
    <w:rsid w:val="003B2008"/>
    <w:rsid w:val="003B2284"/>
    <w:rsid w:val="003B2419"/>
    <w:rsid w:val="003B28B9"/>
    <w:rsid w:val="003B4433"/>
    <w:rsid w:val="003B4A72"/>
    <w:rsid w:val="003B4AD4"/>
    <w:rsid w:val="003B5750"/>
    <w:rsid w:val="003B5C01"/>
    <w:rsid w:val="003B5FC8"/>
    <w:rsid w:val="003B66D3"/>
    <w:rsid w:val="003C048B"/>
    <w:rsid w:val="003C0D5E"/>
    <w:rsid w:val="003C13C9"/>
    <w:rsid w:val="003C19A5"/>
    <w:rsid w:val="003C19FE"/>
    <w:rsid w:val="003C5DF0"/>
    <w:rsid w:val="003C5E20"/>
    <w:rsid w:val="003C66EE"/>
    <w:rsid w:val="003C6773"/>
    <w:rsid w:val="003C77E0"/>
    <w:rsid w:val="003D0156"/>
    <w:rsid w:val="003D0473"/>
    <w:rsid w:val="003D0D8C"/>
    <w:rsid w:val="003D16BF"/>
    <w:rsid w:val="003D2384"/>
    <w:rsid w:val="003D2828"/>
    <w:rsid w:val="003D4094"/>
    <w:rsid w:val="003D4323"/>
    <w:rsid w:val="003D454D"/>
    <w:rsid w:val="003D545D"/>
    <w:rsid w:val="003E289A"/>
    <w:rsid w:val="003E28A0"/>
    <w:rsid w:val="003E52F0"/>
    <w:rsid w:val="003E5F1D"/>
    <w:rsid w:val="003F0221"/>
    <w:rsid w:val="003F0CF3"/>
    <w:rsid w:val="003F129C"/>
    <w:rsid w:val="003F1471"/>
    <w:rsid w:val="003F1888"/>
    <w:rsid w:val="003F27C4"/>
    <w:rsid w:val="003F29B4"/>
    <w:rsid w:val="003F3455"/>
    <w:rsid w:val="003F3D2A"/>
    <w:rsid w:val="003F3F50"/>
    <w:rsid w:val="003F54AE"/>
    <w:rsid w:val="003F62C8"/>
    <w:rsid w:val="004010B7"/>
    <w:rsid w:val="004023A3"/>
    <w:rsid w:val="0040248D"/>
    <w:rsid w:val="004034F2"/>
    <w:rsid w:val="004039BD"/>
    <w:rsid w:val="00406338"/>
    <w:rsid w:val="00406DAA"/>
    <w:rsid w:val="0040721F"/>
    <w:rsid w:val="0041092A"/>
    <w:rsid w:val="00412BE5"/>
    <w:rsid w:val="004145FE"/>
    <w:rsid w:val="00414627"/>
    <w:rsid w:val="004151A0"/>
    <w:rsid w:val="0041535E"/>
    <w:rsid w:val="004161CC"/>
    <w:rsid w:val="004172C4"/>
    <w:rsid w:val="0041751A"/>
    <w:rsid w:val="00420376"/>
    <w:rsid w:val="00421904"/>
    <w:rsid w:val="00423711"/>
    <w:rsid w:val="00423A70"/>
    <w:rsid w:val="00423DFC"/>
    <w:rsid w:val="004240CD"/>
    <w:rsid w:val="00424360"/>
    <w:rsid w:val="004249A7"/>
    <w:rsid w:val="00424A13"/>
    <w:rsid w:val="00425A3C"/>
    <w:rsid w:val="004264ED"/>
    <w:rsid w:val="00426D6B"/>
    <w:rsid w:val="00427165"/>
    <w:rsid w:val="0043020C"/>
    <w:rsid w:val="00430FC7"/>
    <w:rsid w:val="0043175C"/>
    <w:rsid w:val="00431C82"/>
    <w:rsid w:val="00431CA9"/>
    <w:rsid w:val="004327BC"/>
    <w:rsid w:val="004333D4"/>
    <w:rsid w:val="00433D48"/>
    <w:rsid w:val="00434C26"/>
    <w:rsid w:val="004400C8"/>
    <w:rsid w:val="004410AD"/>
    <w:rsid w:val="00441DCA"/>
    <w:rsid w:val="004435AF"/>
    <w:rsid w:val="00444495"/>
    <w:rsid w:val="00444F75"/>
    <w:rsid w:val="004450A0"/>
    <w:rsid w:val="004458A1"/>
    <w:rsid w:val="00446BA2"/>
    <w:rsid w:val="0044714D"/>
    <w:rsid w:val="00450139"/>
    <w:rsid w:val="004501B5"/>
    <w:rsid w:val="00451FC2"/>
    <w:rsid w:val="00452C3B"/>
    <w:rsid w:val="00452E4A"/>
    <w:rsid w:val="00453430"/>
    <w:rsid w:val="004534BC"/>
    <w:rsid w:val="00453CB5"/>
    <w:rsid w:val="00453EDA"/>
    <w:rsid w:val="00454285"/>
    <w:rsid w:val="0045525C"/>
    <w:rsid w:val="00455E02"/>
    <w:rsid w:val="0045621C"/>
    <w:rsid w:val="004574D6"/>
    <w:rsid w:val="0046030E"/>
    <w:rsid w:val="0046062C"/>
    <w:rsid w:val="00460674"/>
    <w:rsid w:val="00460A66"/>
    <w:rsid w:val="00462D35"/>
    <w:rsid w:val="00463C66"/>
    <w:rsid w:val="00464113"/>
    <w:rsid w:val="00465598"/>
    <w:rsid w:val="00466DBC"/>
    <w:rsid w:val="00467632"/>
    <w:rsid w:val="00470005"/>
    <w:rsid w:val="004718A7"/>
    <w:rsid w:val="00471A7D"/>
    <w:rsid w:val="00471B91"/>
    <w:rsid w:val="00472199"/>
    <w:rsid w:val="00472667"/>
    <w:rsid w:val="00472FB1"/>
    <w:rsid w:val="00474330"/>
    <w:rsid w:val="004745FD"/>
    <w:rsid w:val="0047570D"/>
    <w:rsid w:val="00477627"/>
    <w:rsid w:val="00480B35"/>
    <w:rsid w:val="0048253E"/>
    <w:rsid w:val="00482A9D"/>
    <w:rsid w:val="00482E7C"/>
    <w:rsid w:val="0048306F"/>
    <w:rsid w:val="00483273"/>
    <w:rsid w:val="0048350E"/>
    <w:rsid w:val="004843BC"/>
    <w:rsid w:val="004849BD"/>
    <w:rsid w:val="00485F2C"/>
    <w:rsid w:val="00486519"/>
    <w:rsid w:val="0048676E"/>
    <w:rsid w:val="00486A4E"/>
    <w:rsid w:val="00486FE9"/>
    <w:rsid w:val="00487E95"/>
    <w:rsid w:val="004905F8"/>
    <w:rsid w:val="00493B22"/>
    <w:rsid w:val="00493FAD"/>
    <w:rsid w:val="00494980"/>
    <w:rsid w:val="00495278"/>
    <w:rsid w:val="00495355"/>
    <w:rsid w:val="004954E9"/>
    <w:rsid w:val="00496961"/>
    <w:rsid w:val="00497815"/>
    <w:rsid w:val="004979CC"/>
    <w:rsid w:val="004A0005"/>
    <w:rsid w:val="004A0558"/>
    <w:rsid w:val="004A0816"/>
    <w:rsid w:val="004A2F87"/>
    <w:rsid w:val="004A43B1"/>
    <w:rsid w:val="004A4825"/>
    <w:rsid w:val="004A4D76"/>
    <w:rsid w:val="004A579E"/>
    <w:rsid w:val="004A6165"/>
    <w:rsid w:val="004A6967"/>
    <w:rsid w:val="004A6DFD"/>
    <w:rsid w:val="004B47C0"/>
    <w:rsid w:val="004B4BBC"/>
    <w:rsid w:val="004B5087"/>
    <w:rsid w:val="004B632A"/>
    <w:rsid w:val="004B7F95"/>
    <w:rsid w:val="004C0594"/>
    <w:rsid w:val="004C0A98"/>
    <w:rsid w:val="004C158F"/>
    <w:rsid w:val="004C195D"/>
    <w:rsid w:val="004C1E1C"/>
    <w:rsid w:val="004C21A8"/>
    <w:rsid w:val="004C5FEA"/>
    <w:rsid w:val="004C6B53"/>
    <w:rsid w:val="004C7286"/>
    <w:rsid w:val="004C728C"/>
    <w:rsid w:val="004D044B"/>
    <w:rsid w:val="004D0C16"/>
    <w:rsid w:val="004D1017"/>
    <w:rsid w:val="004D14AB"/>
    <w:rsid w:val="004D2D29"/>
    <w:rsid w:val="004D3289"/>
    <w:rsid w:val="004D3570"/>
    <w:rsid w:val="004D3E3C"/>
    <w:rsid w:val="004D43C1"/>
    <w:rsid w:val="004D4AB2"/>
    <w:rsid w:val="004D4F17"/>
    <w:rsid w:val="004D4F34"/>
    <w:rsid w:val="004D5408"/>
    <w:rsid w:val="004D6C66"/>
    <w:rsid w:val="004D7715"/>
    <w:rsid w:val="004D7AF2"/>
    <w:rsid w:val="004E088E"/>
    <w:rsid w:val="004E1A4F"/>
    <w:rsid w:val="004E2247"/>
    <w:rsid w:val="004E2955"/>
    <w:rsid w:val="004E2AE6"/>
    <w:rsid w:val="004E356B"/>
    <w:rsid w:val="004E4361"/>
    <w:rsid w:val="004E467F"/>
    <w:rsid w:val="004E4DD0"/>
    <w:rsid w:val="004E5A90"/>
    <w:rsid w:val="004E6249"/>
    <w:rsid w:val="004E6CFE"/>
    <w:rsid w:val="004E6E54"/>
    <w:rsid w:val="004F0591"/>
    <w:rsid w:val="004F0A8F"/>
    <w:rsid w:val="004F1203"/>
    <w:rsid w:val="004F3B7A"/>
    <w:rsid w:val="004F3C18"/>
    <w:rsid w:val="004F42B6"/>
    <w:rsid w:val="004F450A"/>
    <w:rsid w:val="004F4B1C"/>
    <w:rsid w:val="004F5915"/>
    <w:rsid w:val="004F6829"/>
    <w:rsid w:val="00500509"/>
    <w:rsid w:val="00500E2A"/>
    <w:rsid w:val="0050279C"/>
    <w:rsid w:val="00504F79"/>
    <w:rsid w:val="00505896"/>
    <w:rsid w:val="005062C6"/>
    <w:rsid w:val="00506684"/>
    <w:rsid w:val="005067E6"/>
    <w:rsid w:val="00507313"/>
    <w:rsid w:val="0050732B"/>
    <w:rsid w:val="005077A3"/>
    <w:rsid w:val="005101DC"/>
    <w:rsid w:val="005113A3"/>
    <w:rsid w:val="00511402"/>
    <w:rsid w:val="0051199B"/>
    <w:rsid w:val="005134D4"/>
    <w:rsid w:val="00513C55"/>
    <w:rsid w:val="0051581E"/>
    <w:rsid w:val="00516796"/>
    <w:rsid w:val="00516B63"/>
    <w:rsid w:val="0051704F"/>
    <w:rsid w:val="00517253"/>
    <w:rsid w:val="00520598"/>
    <w:rsid w:val="00520D45"/>
    <w:rsid w:val="00522400"/>
    <w:rsid w:val="005224B0"/>
    <w:rsid w:val="005232B1"/>
    <w:rsid w:val="005243A8"/>
    <w:rsid w:val="005244E2"/>
    <w:rsid w:val="005248FE"/>
    <w:rsid w:val="00525F66"/>
    <w:rsid w:val="0053127B"/>
    <w:rsid w:val="005314B0"/>
    <w:rsid w:val="00531545"/>
    <w:rsid w:val="00532C21"/>
    <w:rsid w:val="00532C23"/>
    <w:rsid w:val="00533472"/>
    <w:rsid w:val="0053378F"/>
    <w:rsid w:val="00534259"/>
    <w:rsid w:val="00534F85"/>
    <w:rsid w:val="00535915"/>
    <w:rsid w:val="00535E76"/>
    <w:rsid w:val="005369FC"/>
    <w:rsid w:val="00536C3A"/>
    <w:rsid w:val="005374BC"/>
    <w:rsid w:val="0053755B"/>
    <w:rsid w:val="00540197"/>
    <w:rsid w:val="00540A06"/>
    <w:rsid w:val="00543846"/>
    <w:rsid w:val="00544D9B"/>
    <w:rsid w:val="00544DBF"/>
    <w:rsid w:val="00545688"/>
    <w:rsid w:val="005472AB"/>
    <w:rsid w:val="00547752"/>
    <w:rsid w:val="0054784D"/>
    <w:rsid w:val="00550B90"/>
    <w:rsid w:val="005516FE"/>
    <w:rsid w:val="00551D5F"/>
    <w:rsid w:val="00553C62"/>
    <w:rsid w:val="0055427F"/>
    <w:rsid w:val="00554377"/>
    <w:rsid w:val="00554633"/>
    <w:rsid w:val="00554C81"/>
    <w:rsid w:val="005557E8"/>
    <w:rsid w:val="00555A71"/>
    <w:rsid w:val="0055632E"/>
    <w:rsid w:val="0055727A"/>
    <w:rsid w:val="0056073B"/>
    <w:rsid w:val="005640D8"/>
    <w:rsid w:val="00564856"/>
    <w:rsid w:val="005654A4"/>
    <w:rsid w:val="005656E2"/>
    <w:rsid w:val="00565B2C"/>
    <w:rsid w:val="00565DD4"/>
    <w:rsid w:val="00565E37"/>
    <w:rsid w:val="00565F0F"/>
    <w:rsid w:val="005663CD"/>
    <w:rsid w:val="005672DA"/>
    <w:rsid w:val="0056779A"/>
    <w:rsid w:val="00571E26"/>
    <w:rsid w:val="00573627"/>
    <w:rsid w:val="00573C30"/>
    <w:rsid w:val="0057409D"/>
    <w:rsid w:val="005747C1"/>
    <w:rsid w:val="005747F6"/>
    <w:rsid w:val="005757FA"/>
    <w:rsid w:val="00575BB0"/>
    <w:rsid w:val="00577B41"/>
    <w:rsid w:val="00580063"/>
    <w:rsid w:val="00580F57"/>
    <w:rsid w:val="00581E16"/>
    <w:rsid w:val="00582E36"/>
    <w:rsid w:val="0058345B"/>
    <w:rsid w:val="005838AC"/>
    <w:rsid w:val="00583B4B"/>
    <w:rsid w:val="00584991"/>
    <w:rsid w:val="00584D15"/>
    <w:rsid w:val="00584D47"/>
    <w:rsid w:val="005857FE"/>
    <w:rsid w:val="00585AE8"/>
    <w:rsid w:val="00585D4A"/>
    <w:rsid w:val="00585E34"/>
    <w:rsid w:val="0058636E"/>
    <w:rsid w:val="0058661C"/>
    <w:rsid w:val="005874A6"/>
    <w:rsid w:val="005876B5"/>
    <w:rsid w:val="0059098F"/>
    <w:rsid w:val="00592554"/>
    <w:rsid w:val="00593006"/>
    <w:rsid w:val="005930E9"/>
    <w:rsid w:val="00593487"/>
    <w:rsid w:val="00593828"/>
    <w:rsid w:val="005939B8"/>
    <w:rsid w:val="00594771"/>
    <w:rsid w:val="00594DFE"/>
    <w:rsid w:val="005954F8"/>
    <w:rsid w:val="00596004"/>
    <w:rsid w:val="00596B8C"/>
    <w:rsid w:val="005A0AD4"/>
    <w:rsid w:val="005A0B38"/>
    <w:rsid w:val="005A108B"/>
    <w:rsid w:val="005A2CF2"/>
    <w:rsid w:val="005A341E"/>
    <w:rsid w:val="005A37E3"/>
    <w:rsid w:val="005A38B5"/>
    <w:rsid w:val="005A5036"/>
    <w:rsid w:val="005A53C2"/>
    <w:rsid w:val="005A5414"/>
    <w:rsid w:val="005A6518"/>
    <w:rsid w:val="005A6689"/>
    <w:rsid w:val="005B054F"/>
    <w:rsid w:val="005B0899"/>
    <w:rsid w:val="005B154B"/>
    <w:rsid w:val="005B2B1A"/>
    <w:rsid w:val="005B340A"/>
    <w:rsid w:val="005B3633"/>
    <w:rsid w:val="005B4481"/>
    <w:rsid w:val="005B46BB"/>
    <w:rsid w:val="005B5997"/>
    <w:rsid w:val="005B6677"/>
    <w:rsid w:val="005C0DFC"/>
    <w:rsid w:val="005C0EB2"/>
    <w:rsid w:val="005C15CE"/>
    <w:rsid w:val="005C22EA"/>
    <w:rsid w:val="005C25AF"/>
    <w:rsid w:val="005C2A9E"/>
    <w:rsid w:val="005C3EFD"/>
    <w:rsid w:val="005C4118"/>
    <w:rsid w:val="005C4ADC"/>
    <w:rsid w:val="005C6289"/>
    <w:rsid w:val="005D02A2"/>
    <w:rsid w:val="005D0F9E"/>
    <w:rsid w:val="005D20D8"/>
    <w:rsid w:val="005D23B7"/>
    <w:rsid w:val="005D520B"/>
    <w:rsid w:val="005D6304"/>
    <w:rsid w:val="005D694A"/>
    <w:rsid w:val="005D752C"/>
    <w:rsid w:val="005E0072"/>
    <w:rsid w:val="005E0593"/>
    <w:rsid w:val="005E0C17"/>
    <w:rsid w:val="005E1B90"/>
    <w:rsid w:val="005E1C77"/>
    <w:rsid w:val="005E2A50"/>
    <w:rsid w:val="005E2B5E"/>
    <w:rsid w:val="005E4623"/>
    <w:rsid w:val="005E4B32"/>
    <w:rsid w:val="005E54E1"/>
    <w:rsid w:val="005E55F4"/>
    <w:rsid w:val="005E5647"/>
    <w:rsid w:val="005E564C"/>
    <w:rsid w:val="005E639D"/>
    <w:rsid w:val="005E728F"/>
    <w:rsid w:val="005E77C8"/>
    <w:rsid w:val="005F0001"/>
    <w:rsid w:val="005F0401"/>
    <w:rsid w:val="005F0DDE"/>
    <w:rsid w:val="005F0F57"/>
    <w:rsid w:val="005F11AA"/>
    <w:rsid w:val="005F1B86"/>
    <w:rsid w:val="005F1E73"/>
    <w:rsid w:val="005F2060"/>
    <w:rsid w:val="005F26FC"/>
    <w:rsid w:val="005F41D2"/>
    <w:rsid w:val="005F478A"/>
    <w:rsid w:val="005F59D5"/>
    <w:rsid w:val="005F644C"/>
    <w:rsid w:val="005F6AD5"/>
    <w:rsid w:val="005F77C5"/>
    <w:rsid w:val="005F793E"/>
    <w:rsid w:val="00600378"/>
    <w:rsid w:val="00601ECC"/>
    <w:rsid w:val="0060363A"/>
    <w:rsid w:val="00603CB9"/>
    <w:rsid w:val="00606DA3"/>
    <w:rsid w:val="006071F2"/>
    <w:rsid w:val="00607CB7"/>
    <w:rsid w:val="0061075A"/>
    <w:rsid w:val="00610D71"/>
    <w:rsid w:val="00610E21"/>
    <w:rsid w:val="00610E68"/>
    <w:rsid w:val="00611995"/>
    <w:rsid w:val="00611D39"/>
    <w:rsid w:val="00611F92"/>
    <w:rsid w:val="00613368"/>
    <w:rsid w:val="00614F7D"/>
    <w:rsid w:val="0061573A"/>
    <w:rsid w:val="00615B5C"/>
    <w:rsid w:val="00617429"/>
    <w:rsid w:val="00620417"/>
    <w:rsid w:val="00620F51"/>
    <w:rsid w:val="0062156F"/>
    <w:rsid w:val="00621D99"/>
    <w:rsid w:val="00623B11"/>
    <w:rsid w:val="006251FE"/>
    <w:rsid w:val="006258BD"/>
    <w:rsid w:val="00625987"/>
    <w:rsid w:val="00625E52"/>
    <w:rsid w:val="0062744B"/>
    <w:rsid w:val="00627F55"/>
    <w:rsid w:val="006303D1"/>
    <w:rsid w:val="00630859"/>
    <w:rsid w:val="006308AC"/>
    <w:rsid w:val="00630A26"/>
    <w:rsid w:val="00632F5E"/>
    <w:rsid w:val="00634874"/>
    <w:rsid w:val="00635575"/>
    <w:rsid w:val="006361FF"/>
    <w:rsid w:val="00636C2A"/>
    <w:rsid w:val="00636D45"/>
    <w:rsid w:val="006371B7"/>
    <w:rsid w:val="00640091"/>
    <w:rsid w:val="0064099D"/>
    <w:rsid w:val="00641187"/>
    <w:rsid w:val="006412E7"/>
    <w:rsid w:val="00641B37"/>
    <w:rsid w:val="00642FD4"/>
    <w:rsid w:val="0064338F"/>
    <w:rsid w:val="0064386B"/>
    <w:rsid w:val="00643AAD"/>
    <w:rsid w:val="00643F51"/>
    <w:rsid w:val="00645F0B"/>
    <w:rsid w:val="00646BBB"/>
    <w:rsid w:val="00650576"/>
    <w:rsid w:val="00650EB6"/>
    <w:rsid w:val="00652197"/>
    <w:rsid w:val="00652297"/>
    <w:rsid w:val="00652E87"/>
    <w:rsid w:val="0065351E"/>
    <w:rsid w:val="00654BBD"/>
    <w:rsid w:val="00655D56"/>
    <w:rsid w:val="0065655B"/>
    <w:rsid w:val="00656ECA"/>
    <w:rsid w:val="00660AD5"/>
    <w:rsid w:val="006615C2"/>
    <w:rsid w:val="00661FAD"/>
    <w:rsid w:val="00662ACF"/>
    <w:rsid w:val="0066384D"/>
    <w:rsid w:val="00664413"/>
    <w:rsid w:val="00664DD8"/>
    <w:rsid w:val="00665CC3"/>
    <w:rsid w:val="00667C35"/>
    <w:rsid w:val="00670384"/>
    <w:rsid w:val="00670738"/>
    <w:rsid w:val="00671D7C"/>
    <w:rsid w:val="00672E21"/>
    <w:rsid w:val="00672E58"/>
    <w:rsid w:val="0067359C"/>
    <w:rsid w:val="00673D74"/>
    <w:rsid w:val="00673E18"/>
    <w:rsid w:val="00674642"/>
    <w:rsid w:val="006753F3"/>
    <w:rsid w:val="00676509"/>
    <w:rsid w:val="006771AB"/>
    <w:rsid w:val="006778D3"/>
    <w:rsid w:val="00680F5A"/>
    <w:rsid w:val="006819EC"/>
    <w:rsid w:val="00682F34"/>
    <w:rsid w:val="00682FE0"/>
    <w:rsid w:val="006837CE"/>
    <w:rsid w:val="00684504"/>
    <w:rsid w:val="00685B65"/>
    <w:rsid w:val="006868B9"/>
    <w:rsid w:val="00687CD8"/>
    <w:rsid w:val="006904AE"/>
    <w:rsid w:val="00691302"/>
    <w:rsid w:val="00691486"/>
    <w:rsid w:val="00691A7C"/>
    <w:rsid w:val="00692022"/>
    <w:rsid w:val="00692D14"/>
    <w:rsid w:val="00694DB2"/>
    <w:rsid w:val="00694DE8"/>
    <w:rsid w:val="00695034"/>
    <w:rsid w:val="00696138"/>
    <w:rsid w:val="006972FB"/>
    <w:rsid w:val="00697AD0"/>
    <w:rsid w:val="00697EED"/>
    <w:rsid w:val="006A0128"/>
    <w:rsid w:val="006A0DD8"/>
    <w:rsid w:val="006A1097"/>
    <w:rsid w:val="006A11FB"/>
    <w:rsid w:val="006A256E"/>
    <w:rsid w:val="006A272B"/>
    <w:rsid w:val="006A403F"/>
    <w:rsid w:val="006A458E"/>
    <w:rsid w:val="006A4C71"/>
    <w:rsid w:val="006A5757"/>
    <w:rsid w:val="006A5966"/>
    <w:rsid w:val="006A5CF1"/>
    <w:rsid w:val="006A659D"/>
    <w:rsid w:val="006A679F"/>
    <w:rsid w:val="006A79C5"/>
    <w:rsid w:val="006B090C"/>
    <w:rsid w:val="006B0F9B"/>
    <w:rsid w:val="006B1FBD"/>
    <w:rsid w:val="006B4EDC"/>
    <w:rsid w:val="006B4F2F"/>
    <w:rsid w:val="006B4F8F"/>
    <w:rsid w:val="006B73D4"/>
    <w:rsid w:val="006B7C73"/>
    <w:rsid w:val="006C01EA"/>
    <w:rsid w:val="006C10B8"/>
    <w:rsid w:val="006C1146"/>
    <w:rsid w:val="006C1ABF"/>
    <w:rsid w:val="006C1E0D"/>
    <w:rsid w:val="006C2E7C"/>
    <w:rsid w:val="006C39BF"/>
    <w:rsid w:val="006C41D0"/>
    <w:rsid w:val="006C47A8"/>
    <w:rsid w:val="006C47BD"/>
    <w:rsid w:val="006C566A"/>
    <w:rsid w:val="006C63B1"/>
    <w:rsid w:val="006C6B4C"/>
    <w:rsid w:val="006C700E"/>
    <w:rsid w:val="006D01E1"/>
    <w:rsid w:val="006D1F74"/>
    <w:rsid w:val="006D3657"/>
    <w:rsid w:val="006D37EB"/>
    <w:rsid w:val="006D4530"/>
    <w:rsid w:val="006D49D3"/>
    <w:rsid w:val="006D4A85"/>
    <w:rsid w:val="006D4F0A"/>
    <w:rsid w:val="006D5892"/>
    <w:rsid w:val="006D647D"/>
    <w:rsid w:val="006D76FF"/>
    <w:rsid w:val="006E0314"/>
    <w:rsid w:val="006E0F0D"/>
    <w:rsid w:val="006E2714"/>
    <w:rsid w:val="006E3A34"/>
    <w:rsid w:val="006E44BE"/>
    <w:rsid w:val="006E52F6"/>
    <w:rsid w:val="006E7767"/>
    <w:rsid w:val="006E788B"/>
    <w:rsid w:val="006F25FF"/>
    <w:rsid w:val="006F39D8"/>
    <w:rsid w:val="006F3C12"/>
    <w:rsid w:val="006F61B1"/>
    <w:rsid w:val="006F6339"/>
    <w:rsid w:val="006F777F"/>
    <w:rsid w:val="00700CC3"/>
    <w:rsid w:val="0070125B"/>
    <w:rsid w:val="00701814"/>
    <w:rsid w:val="00702895"/>
    <w:rsid w:val="00704813"/>
    <w:rsid w:val="0070520E"/>
    <w:rsid w:val="0070542C"/>
    <w:rsid w:val="007054E6"/>
    <w:rsid w:val="00706DEC"/>
    <w:rsid w:val="007122E8"/>
    <w:rsid w:val="007132AB"/>
    <w:rsid w:val="007134F7"/>
    <w:rsid w:val="00714116"/>
    <w:rsid w:val="0071439C"/>
    <w:rsid w:val="007172E8"/>
    <w:rsid w:val="00717EEB"/>
    <w:rsid w:val="007203BA"/>
    <w:rsid w:val="00722948"/>
    <w:rsid w:val="00722F56"/>
    <w:rsid w:val="00723F80"/>
    <w:rsid w:val="007257E8"/>
    <w:rsid w:val="00725AA6"/>
    <w:rsid w:val="00726D7D"/>
    <w:rsid w:val="00727B9A"/>
    <w:rsid w:val="00727D92"/>
    <w:rsid w:val="007319F9"/>
    <w:rsid w:val="00731B29"/>
    <w:rsid w:val="007327EA"/>
    <w:rsid w:val="0073302E"/>
    <w:rsid w:val="007330BC"/>
    <w:rsid w:val="00734900"/>
    <w:rsid w:val="00734C99"/>
    <w:rsid w:val="007353BF"/>
    <w:rsid w:val="00735D79"/>
    <w:rsid w:val="00736B6D"/>
    <w:rsid w:val="0074043C"/>
    <w:rsid w:val="007419F1"/>
    <w:rsid w:val="00741EDB"/>
    <w:rsid w:val="00743A58"/>
    <w:rsid w:val="00743B3F"/>
    <w:rsid w:val="007454E0"/>
    <w:rsid w:val="00746130"/>
    <w:rsid w:val="00746E5E"/>
    <w:rsid w:val="0074737E"/>
    <w:rsid w:val="007476F9"/>
    <w:rsid w:val="00750082"/>
    <w:rsid w:val="00750687"/>
    <w:rsid w:val="00750C4F"/>
    <w:rsid w:val="00750F58"/>
    <w:rsid w:val="00751093"/>
    <w:rsid w:val="007512F7"/>
    <w:rsid w:val="00752561"/>
    <w:rsid w:val="00752CEA"/>
    <w:rsid w:val="007530C5"/>
    <w:rsid w:val="00753754"/>
    <w:rsid w:val="00753F43"/>
    <w:rsid w:val="007544B9"/>
    <w:rsid w:val="00754731"/>
    <w:rsid w:val="00755728"/>
    <w:rsid w:val="007557B1"/>
    <w:rsid w:val="00755F05"/>
    <w:rsid w:val="007566D6"/>
    <w:rsid w:val="00756954"/>
    <w:rsid w:val="00756B11"/>
    <w:rsid w:val="00756C4E"/>
    <w:rsid w:val="00756F59"/>
    <w:rsid w:val="0075753A"/>
    <w:rsid w:val="00760AA6"/>
    <w:rsid w:val="00760FCB"/>
    <w:rsid w:val="00761232"/>
    <w:rsid w:val="007612C6"/>
    <w:rsid w:val="007612EC"/>
    <w:rsid w:val="00761962"/>
    <w:rsid w:val="0076309A"/>
    <w:rsid w:val="00764768"/>
    <w:rsid w:val="00765C52"/>
    <w:rsid w:val="007663ED"/>
    <w:rsid w:val="00766585"/>
    <w:rsid w:val="007665AF"/>
    <w:rsid w:val="007711D9"/>
    <w:rsid w:val="00771DA0"/>
    <w:rsid w:val="00771FC9"/>
    <w:rsid w:val="00773AA4"/>
    <w:rsid w:val="00773AAA"/>
    <w:rsid w:val="00773F49"/>
    <w:rsid w:val="00773F9D"/>
    <w:rsid w:val="00774878"/>
    <w:rsid w:val="00775AC8"/>
    <w:rsid w:val="00775FA2"/>
    <w:rsid w:val="00776B79"/>
    <w:rsid w:val="007770F8"/>
    <w:rsid w:val="007771F1"/>
    <w:rsid w:val="00777596"/>
    <w:rsid w:val="00777960"/>
    <w:rsid w:val="00780382"/>
    <w:rsid w:val="00780650"/>
    <w:rsid w:val="007828C0"/>
    <w:rsid w:val="00785EC4"/>
    <w:rsid w:val="007860B6"/>
    <w:rsid w:val="00787014"/>
    <w:rsid w:val="007906EB"/>
    <w:rsid w:val="00791188"/>
    <w:rsid w:val="00791994"/>
    <w:rsid w:val="007920FE"/>
    <w:rsid w:val="0079410B"/>
    <w:rsid w:val="0079577C"/>
    <w:rsid w:val="00797CEE"/>
    <w:rsid w:val="007A01FE"/>
    <w:rsid w:val="007A03B7"/>
    <w:rsid w:val="007A0BE8"/>
    <w:rsid w:val="007A140D"/>
    <w:rsid w:val="007A286E"/>
    <w:rsid w:val="007A2907"/>
    <w:rsid w:val="007A3140"/>
    <w:rsid w:val="007A31A9"/>
    <w:rsid w:val="007A3D9B"/>
    <w:rsid w:val="007A3FC1"/>
    <w:rsid w:val="007A5A29"/>
    <w:rsid w:val="007A68ED"/>
    <w:rsid w:val="007A7554"/>
    <w:rsid w:val="007A77E7"/>
    <w:rsid w:val="007A7B07"/>
    <w:rsid w:val="007B008C"/>
    <w:rsid w:val="007B0489"/>
    <w:rsid w:val="007B0839"/>
    <w:rsid w:val="007B09C2"/>
    <w:rsid w:val="007B0B7F"/>
    <w:rsid w:val="007B138C"/>
    <w:rsid w:val="007B2DAD"/>
    <w:rsid w:val="007B3D50"/>
    <w:rsid w:val="007B42BF"/>
    <w:rsid w:val="007B4D35"/>
    <w:rsid w:val="007B53D1"/>
    <w:rsid w:val="007B57CE"/>
    <w:rsid w:val="007B6820"/>
    <w:rsid w:val="007B693C"/>
    <w:rsid w:val="007B6CDD"/>
    <w:rsid w:val="007C037E"/>
    <w:rsid w:val="007C0B45"/>
    <w:rsid w:val="007C1739"/>
    <w:rsid w:val="007C1FA0"/>
    <w:rsid w:val="007C4006"/>
    <w:rsid w:val="007C4268"/>
    <w:rsid w:val="007C5BD8"/>
    <w:rsid w:val="007C635F"/>
    <w:rsid w:val="007D092D"/>
    <w:rsid w:val="007D192B"/>
    <w:rsid w:val="007D22B4"/>
    <w:rsid w:val="007D272D"/>
    <w:rsid w:val="007D28B7"/>
    <w:rsid w:val="007D3491"/>
    <w:rsid w:val="007D354C"/>
    <w:rsid w:val="007D3D6D"/>
    <w:rsid w:val="007D48DC"/>
    <w:rsid w:val="007D5474"/>
    <w:rsid w:val="007E04D4"/>
    <w:rsid w:val="007E2A2A"/>
    <w:rsid w:val="007E38FB"/>
    <w:rsid w:val="007E45E5"/>
    <w:rsid w:val="007E5321"/>
    <w:rsid w:val="007F062F"/>
    <w:rsid w:val="007F0C16"/>
    <w:rsid w:val="007F0EE6"/>
    <w:rsid w:val="007F1297"/>
    <w:rsid w:val="007F129C"/>
    <w:rsid w:val="007F2F8B"/>
    <w:rsid w:val="007F5553"/>
    <w:rsid w:val="007F5746"/>
    <w:rsid w:val="007F5C47"/>
    <w:rsid w:val="007F67C7"/>
    <w:rsid w:val="007F6CEF"/>
    <w:rsid w:val="007F6E37"/>
    <w:rsid w:val="00800B08"/>
    <w:rsid w:val="00801057"/>
    <w:rsid w:val="00801224"/>
    <w:rsid w:val="0080146B"/>
    <w:rsid w:val="0080167C"/>
    <w:rsid w:val="008016E8"/>
    <w:rsid w:val="00801AFB"/>
    <w:rsid w:val="0080260C"/>
    <w:rsid w:val="00802DCD"/>
    <w:rsid w:val="00802ECA"/>
    <w:rsid w:val="00803DC8"/>
    <w:rsid w:val="00804F18"/>
    <w:rsid w:val="00806832"/>
    <w:rsid w:val="008071BE"/>
    <w:rsid w:val="0080767E"/>
    <w:rsid w:val="0081033F"/>
    <w:rsid w:val="00810AF0"/>
    <w:rsid w:val="00813F4B"/>
    <w:rsid w:val="00814B4D"/>
    <w:rsid w:val="008160BA"/>
    <w:rsid w:val="0081613E"/>
    <w:rsid w:val="00817047"/>
    <w:rsid w:val="008177A2"/>
    <w:rsid w:val="0082176F"/>
    <w:rsid w:val="00821883"/>
    <w:rsid w:val="0082192D"/>
    <w:rsid w:val="0082199C"/>
    <w:rsid w:val="008237C2"/>
    <w:rsid w:val="00825A5E"/>
    <w:rsid w:val="00826985"/>
    <w:rsid w:val="00826D88"/>
    <w:rsid w:val="00830620"/>
    <w:rsid w:val="00830DDC"/>
    <w:rsid w:val="00831282"/>
    <w:rsid w:val="0083230A"/>
    <w:rsid w:val="008323B2"/>
    <w:rsid w:val="0083286D"/>
    <w:rsid w:val="00832D28"/>
    <w:rsid w:val="008341B6"/>
    <w:rsid w:val="00834E25"/>
    <w:rsid w:val="00834F37"/>
    <w:rsid w:val="008355B8"/>
    <w:rsid w:val="008361E1"/>
    <w:rsid w:val="00836211"/>
    <w:rsid w:val="00836389"/>
    <w:rsid w:val="0084111C"/>
    <w:rsid w:val="0084226D"/>
    <w:rsid w:val="00843074"/>
    <w:rsid w:val="00844137"/>
    <w:rsid w:val="008447E6"/>
    <w:rsid w:val="00845548"/>
    <w:rsid w:val="00845CF8"/>
    <w:rsid w:val="0084686E"/>
    <w:rsid w:val="00846A75"/>
    <w:rsid w:val="00847933"/>
    <w:rsid w:val="0085019F"/>
    <w:rsid w:val="008502A9"/>
    <w:rsid w:val="0085070C"/>
    <w:rsid w:val="0085207D"/>
    <w:rsid w:val="00852796"/>
    <w:rsid w:val="0085341F"/>
    <w:rsid w:val="00853875"/>
    <w:rsid w:val="0085389A"/>
    <w:rsid w:val="00854111"/>
    <w:rsid w:val="00854489"/>
    <w:rsid w:val="008551A7"/>
    <w:rsid w:val="00855992"/>
    <w:rsid w:val="00855E98"/>
    <w:rsid w:val="0085754C"/>
    <w:rsid w:val="00860039"/>
    <w:rsid w:val="008606B9"/>
    <w:rsid w:val="00861752"/>
    <w:rsid w:val="00861B69"/>
    <w:rsid w:val="00861D56"/>
    <w:rsid w:val="00862143"/>
    <w:rsid w:val="00863767"/>
    <w:rsid w:val="00863A24"/>
    <w:rsid w:val="00863A71"/>
    <w:rsid w:val="00864936"/>
    <w:rsid w:val="00865910"/>
    <w:rsid w:val="00865EE9"/>
    <w:rsid w:val="008660D4"/>
    <w:rsid w:val="00870E1D"/>
    <w:rsid w:val="00871DA2"/>
    <w:rsid w:val="00871FCF"/>
    <w:rsid w:val="008721B8"/>
    <w:rsid w:val="008750A5"/>
    <w:rsid w:val="00876030"/>
    <w:rsid w:val="0087763B"/>
    <w:rsid w:val="008779D5"/>
    <w:rsid w:val="0088037D"/>
    <w:rsid w:val="00881023"/>
    <w:rsid w:val="008810FA"/>
    <w:rsid w:val="00881396"/>
    <w:rsid w:val="00881459"/>
    <w:rsid w:val="0088199F"/>
    <w:rsid w:val="00883232"/>
    <w:rsid w:val="00883710"/>
    <w:rsid w:val="00883783"/>
    <w:rsid w:val="008837F3"/>
    <w:rsid w:val="008839F8"/>
    <w:rsid w:val="008902E6"/>
    <w:rsid w:val="00890C73"/>
    <w:rsid w:val="00891051"/>
    <w:rsid w:val="00891889"/>
    <w:rsid w:val="00892432"/>
    <w:rsid w:val="00892829"/>
    <w:rsid w:val="008940AB"/>
    <w:rsid w:val="00894285"/>
    <w:rsid w:val="0089522A"/>
    <w:rsid w:val="008966DB"/>
    <w:rsid w:val="008975A9"/>
    <w:rsid w:val="008975C2"/>
    <w:rsid w:val="008A13A1"/>
    <w:rsid w:val="008A5244"/>
    <w:rsid w:val="008A79C9"/>
    <w:rsid w:val="008B10B3"/>
    <w:rsid w:val="008B2F8A"/>
    <w:rsid w:val="008B3B43"/>
    <w:rsid w:val="008B3BA6"/>
    <w:rsid w:val="008B3F7B"/>
    <w:rsid w:val="008B5064"/>
    <w:rsid w:val="008B5523"/>
    <w:rsid w:val="008C284D"/>
    <w:rsid w:val="008C2F6D"/>
    <w:rsid w:val="008C343B"/>
    <w:rsid w:val="008C4702"/>
    <w:rsid w:val="008C50F9"/>
    <w:rsid w:val="008C5969"/>
    <w:rsid w:val="008C5B93"/>
    <w:rsid w:val="008C68CF"/>
    <w:rsid w:val="008C6A16"/>
    <w:rsid w:val="008C7464"/>
    <w:rsid w:val="008C753C"/>
    <w:rsid w:val="008D1187"/>
    <w:rsid w:val="008D13DC"/>
    <w:rsid w:val="008D19E6"/>
    <w:rsid w:val="008D24DC"/>
    <w:rsid w:val="008D2934"/>
    <w:rsid w:val="008D34C1"/>
    <w:rsid w:val="008D3F16"/>
    <w:rsid w:val="008D3F8B"/>
    <w:rsid w:val="008D4BE6"/>
    <w:rsid w:val="008D4C22"/>
    <w:rsid w:val="008D4FE6"/>
    <w:rsid w:val="008D64C9"/>
    <w:rsid w:val="008D7F55"/>
    <w:rsid w:val="008E1249"/>
    <w:rsid w:val="008E14DB"/>
    <w:rsid w:val="008E1B0F"/>
    <w:rsid w:val="008E1F59"/>
    <w:rsid w:val="008E21D7"/>
    <w:rsid w:val="008E2600"/>
    <w:rsid w:val="008E29B9"/>
    <w:rsid w:val="008E30ED"/>
    <w:rsid w:val="008E3202"/>
    <w:rsid w:val="008E517E"/>
    <w:rsid w:val="008E6030"/>
    <w:rsid w:val="008E6274"/>
    <w:rsid w:val="008F3180"/>
    <w:rsid w:val="008F35C0"/>
    <w:rsid w:val="008F3634"/>
    <w:rsid w:val="008F421E"/>
    <w:rsid w:val="008F422C"/>
    <w:rsid w:val="008F50F8"/>
    <w:rsid w:val="008F56BC"/>
    <w:rsid w:val="008F6B3C"/>
    <w:rsid w:val="00901203"/>
    <w:rsid w:val="0090123D"/>
    <w:rsid w:val="009017D7"/>
    <w:rsid w:val="009032B7"/>
    <w:rsid w:val="00903D2C"/>
    <w:rsid w:val="00905BB2"/>
    <w:rsid w:val="00906672"/>
    <w:rsid w:val="00906989"/>
    <w:rsid w:val="00907DB1"/>
    <w:rsid w:val="009102E2"/>
    <w:rsid w:val="00911E33"/>
    <w:rsid w:val="00912E6D"/>
    <w:rsid w:val="00912EE0"/>
    <w:rsid w:val="009133D1"/>
    <w:rsid w:val="009142B0"/>
    <w:rsid w:val="00914FFD"/>
    <w:rsid w:val="00915114"/>
    <w:rsid w:val="009151C0"/>
    <w:rsid w:val="009213AB"/>
    <w:rsid w:val="00922619"/>
    <w:rsid w:val="00923ACB"/>
    <w:rsid w:val="0092449D"/>
    <w:rsid w:val="0092482D"/>
    <w:rsid w:val="0092551E"/>
    <w:rsid w:val="00925949"/>
    <w:rsid w:val="00925F5B"/>
    <w:rsid w:val="00925F94"/>
    <w:rsid w:val="0092713F"/>
    <w:rsid w:val="009304BF"/>
    <w:rsid w:val="009307D7"/>
    <w:rsid w:val="00930E42"/>
    <w:rsid w:val="00930E5E"/>
    <w:rsid w:val="009311BA"/>
    <w:rsid w:val="00931DE6"/>
    <w:rsid w:val="009330ED"/>
    <w:rsid w:val="009342E6"/>
    <w:rsid w:val="00934393"/>
    <w:rsid w:val="00934ACE"/>
    <w:rsid w:val="00935177"/>
    <w:rsid w:val="00936CAE"/>
    <w:rsid w:val="0094128B"/>
    <w:rsid w:val="00941364"/>
    <w:rsid w:val="009433FD"/>
    <w:rsid w:val="00943C34"/>
    <w:rsid w:val="00945993"/>
    <w:rsid w:val="0094628D"/>
    <w:rsid w:val="00946312"/>
    <w:rsid w:val="009469F4"/>
    <w:rsid w:val="00946C49"/>
    <w:rsid w:val="00947944"/>
    <w:rsid w:val="0095142E"/>
    <w:rsid w:val="0095370A"/>
    <w:rsid w:val="0095469D"/>
    <w:rsid w:val="00955158"/>
    <w:rsid w:val="009552CA"/>
    <w:rsid w:val="00955361"/>
    <w:rsid w:val="009569EF"/>
    <w:rsid w:val="00957085"/>
    <w:rsid w:val="00961C2E"/>
    <w:rsid w:val="00963AC6"/>
    <w:rsid w:val="0096492D"/>
    <w:rsid w:val="00964BBB"/>
    <w:rsid w:val="00964C87"/>
    <w:rsid w:val="00965030"/>
    <w:rsid w:val="00966312"/>
    <w:rsid w:val="0096631A"/>
    <w:rsid w:val="009667C4"/>
    <w:rsid w:val="00966ADA"/>
    <w:rsid w:val="00966BB1"/>
    <w:rsid w:val="00967CFF"/>
    <w:rsid w:val="009714C8"/>
    <w:rsid w:val="00971806"/>
    <w:rsid w:val="00971B8A"/>
    <w:rsid w:val="00971BBC"/>
    <w:rsid w:val="00972AF4"/>
    <w:rsid w:val="009731D8"/>
    <w:rsid w:val="00974727"/>
    <w:rsid w:val="0097530B"/>
    <w:rsid w:val="009756EF"/>
    <w:rsid w:val="00976BB4"/>
    <w:rsid w:val="00977070"/>
    <w:rsid w:val="009771ED"/>
    <w:rsid w:val="009772C9"/>
    <w:rsid w:val="009775C7"/>
    <w:rsid w:val="009802A0"/>
    <w:rsid w:val="0098207C"/>
    <w:rsid w:val="009829EE"/>
    <w:rsid w:val="009834B5"/>
    <w:rsid w:val="0098415C"/>
    <w:rsid w:val="00984606"/>
    <w:rsid w:val="00984A76"/>
    <w:rsid w:val="00985BDE"/>
    <w:rsid w:val="00985D25"/>
    <w:rsid w:val="009912B7"/>
    <w:rsid w:val="00992230"/>
    <w:rsid w:val="009924CF"/>
    <w:rsid w:val="00992659"/>
    <w:rsid w:val="009928DD"/>
    <w:rsid w:val="00993015"/>
    <w:rsid w:val="009933D1"/>
    <w:rsid w:val="0099431C"/>
    <w:rsid w:val="00994470"/>
    <w:rsid w:val="009948E5"/>
    <w:rsid w:val="00994D6A"/>
    <w:rsid w:val="00994E9B"/>
    <w:rsid w:val="00996E78"/>
    <w:rsid w:val="009A0033"/>
    <w:rsid w:val="009A13B4"/>
    <w:rsid w:val="009A19DB"/>
    <w:rsid w:val="009A1C1C"/>
    <w:rsid w:val="009A1E47"/>
    <w:rsid w:val="009A2150"/>
    <w:rsid w:val="009A2D50"/>
    <w:rsid w:val="009A3C28"/>
    <w:rsid w:val="009A4670"/>
    <w:rsid w:val="009A49B5"/>
    <w:rsid w:val="009A5EFC"/>
    <w:rsid w:val="009A5F3B"/>
    <w:rsid w:val="009B07F0"/>
    <w:rsid w:val="009B1228"/>
    <w:rsid w:val="009B1FAA"/>
    <w:rsid w:val="009B21B5"/>
    <w:rsid w:val="009B3DBB"/>
    <w:rsid w:val="009B5438"/>
    <w:rsid w:val="009B5502"/>
    <w:rsid w:val="009B7A42"/>
    <w:rsid w:val="009B7CDD"/>
    <w:rsid w:val="009C08E7"/>
    <w:rsid w:val="009C0B87"/>
    <w:rsid w:val="009C1BB4"/>
    <w:rsid w:val="009C20B6"/>
    <w:rsid w:val="009C292C"/>
    <w:rsid w:val="009C2DB2"/>
    <w:rsid w:val="009C3A8C"/>
    <w:rsid w:val="009C4A4F"/>
    <w:rsid w:val="009C515A"/>
    <w:rsid w:val="009C62B6"/>
    <w:rsid w:val="009C7A68"/>
    <w:rsid w:val="009C7BFC"/>
    <w:rsid w:val="009D01A4"/>
    <w:rsid w:val="009D07BA"/>
    <w:rsid w:val="009D0A48"/>
    <w:rsid w:val="009D1051"/>
    <w:rsid w:val="009D1E3E"/>
    <w:rsid w:val="009D2454"/>
    <w:rsid w:val="009D263A"/>
    <w:rsid w:val="009D2DBE"/>
    <w:rsid w:val="009D38A8"/>
    <w:rsid w:val="009D46F1"/>
    <w:rsid w:val="009D4A7C"/>
    <w:rsid w:val="009D4A88"/>
    <w:rsid w:val="009D68F5"/>
    <w:rsid w:val="009D6E90"/>
    <w:rsid w:val="009D7988"/>
    <w:rsid w:val="009D7AE5"/>
    <w:rsid w:val="009E04F1"/>
    <w:rsid w:val="009E05C5"/>
    <w:rsid w:val="009E1A7E"/>
    <w:rsid w:val="009E251F"/>
    <w:rsid w:val="009E385D"/>
    <w:rsid w:val="009E57DA"/>
    <w:rsid w:val="009E5993"/>
    <w:rsid w:val="009E671B"/>
    <w:rsid w:val="009E67A7"/>
    <w:rsid w:val="009E71D8"/>
    <w:rsid w:val="009E78AA"/>
    <w:rsid w:val="009E7C5B"/>
    <w:rsid w:val="009F0292"/>
    <w:rsid w:val="009F1795"/>
    <w:rsid w:val="009F19F8"/>
    <w:rsid w:val="009F3923"/>
    <w:rsid w:val="009F4958"/>
    <w:rsid w:val="009F4959"/>
    <w:rsid w:val="009F6873"/>
    <w:rsid w:val="009F7930"/>
    <w:rsid w:val="00A00119"/>
    <w:rsid w:val="00A0013C"/>
    <w:rsid w:val="00A01918"/>
    <w:rsid w:val="00A031E7"/>
    <w:rsid w:val="00A03A9E"/>
    <w:rsid w:val="00A03D2C"/>
    <w:rsid w:val="00A03E8B"/>
    <w:rsid w:val="00A04AAF"/>
    <w:rsid w:val="00A0555C"/>
    <w:rsid w:val="00A05A7D"/>
    <w:rsid w:val="00A06E5B"/>
    <w:rsid w:val="00A07150"/>
    <w:rsid w:val="00A0721C"/>
    <w:rsid w:val="00A107FA"/>
    <w:rsid w:val="00A11ADB"/>
    <w:rsid w:val="00A1289D"/>
    <w:rsid w:val="00A138CB"/>
    <w:rsid w:val="00A13F0F"/>
    <w:rsid w:val="00A14542"/>
    <w:rsid w:val="00A1570D"/>
    <w:rsid w:val="00A1573C"/>
    <w:rsid w:val="00A167C6"/>
    <w:rsid w:val="00A204F4"/>
    <w:rsid w:val="00A213CA"/>
    <w:rsid w:val="00A22BA9"/>
    <w:rsid w:val="00A23E9F"/>
    <w:rsid w:val="00A26F75"/>
    <w:rsid w:val="00A27B13"/>
    <w:rsid w:val="00A3055C"/>
    <w:rsid w:val="00A30624"/>
    <w:rsid w:val="00A31911"/>
    <w:rsid w:val="00A31D8E"/>
    <w:rsid w:val="00A31F0D"/>
    <w:rsid w:val="00A32072"/>
    <w:rsid w:val="00A334A7"/>
    <w:rsid w:val="00A33919"/>
    <w:rsid w:val="00A347DC"/>
    <w:rsid w:val="00A3485F"/>
    <w:rsid w:val="00A34FBD"/>
    <w:rsid w:val="00A362B8"/>
    <w:rsid w:val="00A36389"/>
    <w:rsid w:val="00A36B96"/>
    <w:rsid w:val="00A36DCA"/>
    <w:rsid w:val="00A3728C"/>
    <w:rsid w:val="00A37A8C"/>
    <w:rsid w:val="00A4007B"/>
    <w:rsid w:val="00A40C69"/>
    <w:rsid w:val="00A42713"/>
    <w:rsid w:val="00A44774"/>
    <w:rsid w:val="00A47FCF"/>
    <w:rsid w:val="00A50132"/>
    <w:rsid w:val="00A51F0C"/>
    <w:rsid w:val="00A5400A"/>
    <w:rsid w:val="00A5480B"/>
    <w:rsid w:val="00A5791E"/>
    <w:rsid w:val="00A61551"/>
    <w:rsid w:val="00A61D95"/>
    <w:rsid w:val="00A641D3"/>
    <w:rsid w:val="00A64E34"/>
    <w:rsid w:val="00A663E6"/>
    <w:rsid w:val="00A66E2E"/>
    <w:rsid w:val="00A70C81"/>
    <w:rsid w:val="00A7282C"/>
    <w:rsid w:val="00A73334"/>
    <w:rsid w:val="00A733BF"/>
    <w:rsid w:val="00A766ED"/>
    <w:rsid w:val="00A76E03"/>
    <w:rsid w:val="00A77372"/>
    <w:rsid w:val="00A776DE"/>
    <w:rsid w:val="00A80397"/>
    <w:rsid w:val="00A81F6C"/>
    <w:rsid w:val="00A82597"/>
    <w:rsid w:val="00A82901"/>
    <w:rsid w:val="00A8339B"/>
    <w:rsid w:val="00A84075"/>
    <w:rsid w:val="00A8620B"/>
    <w:rsid w:val="00A87520"/>
    <w:rsid w:val="00A90E6D"/>
    <w:rsid w:val="00A9157A"/>
    <w:rsid w:val="00A919E9"/>
    <w:rsid w:val="00A93EDB"/>
    <w:rsid w:val="00A93F76"/>
    <w:rsid w:val="00A94C10"/>
    <w:rsid w:val="00A95102"/>
    <w:rsid w:val="00A957C9"/>
    <w:rsid w:val="00A95F01"/>
    <w:rsid w:val="00A971D1"/>
    <w:rsid w:val="00A97226"/>
    <w:rsid w:val="00A9737C"/>
    <w:rsid w:val="00A97FE0"/>
    <w:rsid w:val="00AA040C"/>
    <w:rsid w:val="00AA12AB"/>
    <w:rsid w:val="00AA1505"/>
    <w:rsid w:val="00AA22E2"/>
    <w:rsid w:val="00AA32F8"/>
    <w:rsid w:val="00AA39CC"/>
    <w:rsid w:val="00AA41A0"/>
    <w:rsid w:val="00AA543E"/>
    <w:rsid w:val="00AA5E54"/>
    <w:rsid w:val="00AA6EB5"/>
    <w:rsid w:val="00AB1920"/>
    <w:rsid w:val="00AB3458"/>
    <w:rsid w:val="00AB4AEE"/>
    <w:rsid w:val="00AB4B2D"/>
    <w:rsid w:val="00AB5B93"/>
    <w:rsid w:val="00AB5F8D"/>
    <w:rsid w:val="00AB6B19"/>
    <w:rsid w:val="00AB7056"/>
    <w:rsid w:val="00AB7F9F"/>
    <w:rsid w:val="00AC1D96"/>
    <w:rsid w:val="00AC1F31"/>
    <w:rsid w:val="00AC3BD9"/>
    <w:rsid w:val="00AC54A9"/>
    <w:rsid w:val="00AC55EB"/>
    <w:rsid w:val="00AC7583"/>
    <w:rsid w:val="00AC783B"/>
    <w:rsid w:val="00AD0A42"/>
    <w:rsid w:val="00AD10CE"/>
    <w:rsid w:val="00AD17F8"/>
    <w:rsid w:val="00AD2EDF"/>
    <w:rsid w:val="00AD330F"/>
    <w:rsid w:val="00AD419D"/>
    <w:rsid w:val="00AD4720"/>
    <w:rsid w:val="00AD5447"/>
    <w:rsid w:val="00AD555E"/>
    <w:rsid w:val="00AD656C"/>
    <w:rsid w:val="00AE07B9"/>
    <w:rsid w:val="00AE2304"/>
    <w:rsid w:val="00AE241B"/>
    <w:rsid w:val="00AE2D4D"/>
    <w:rsid w:val="00AE43EB"/>
    <w:rsid w:val="00AE4850"/>
    <w:rsid w:val="00AF0472"/>
    <w:rsid w:val="00AF0863"/>
    <w:rsid w:val="00AF103C"/>
    <w:rsid w:val="00AF226A"/>
    <w:rsid w:val="00AF4BE7"/>
    <w:rsid w:val="00AF7143"/>
    <w:rsid w:val="00AF78DB"/>
    <w:rsid w:val="00B00A2A"/>
    <w:rsid w:val="00B00E22"/>
    <w:rsid w:val="00B00F4C"/>
    <w:rsid w:val="00B015EE"/>
    <w:rsid w:val="00B01B27"/>
    <w:rsid w:val="00B0235E"/>
    <w:rsid w:val="00B037E3"/>
    <w:rsid w:val="00B040AC"/>
    <w:rsid w:val="00B05758"/>
    <w:rsid w:val="00B0585F"/>
    <w:rsid w:val="00B05E8E"/>
    <w:rsid w:val="00B06122"/>
    <w:rsid w:val="00B07323"/>
    <w:rsid w:val="00B07701"/>
    <w:rsid w:val="00B07B94"/>
    <w:rsid w:val="00B10AB6"/>
    <w:rsid w:val="00B10FF1"/>
    <w:rsid w:val="00B127C8"/>
    <w:rsid w:val="00B13769"/>
    <w:rsid w:val="00B1393A"/>
    <w:rsid w:val="00B153E5"/>
    <w:rsid w:val="00B16600"/>
    <w:rsid w:val="00B17120"/>
    <w:rsid w:val="00B177EC"/>
    <w:rsid w:val="00B224F9"/>
    <w:rsid w:val="00B22F29"/>
    <w:rsid w:val="00B247AA"/>
    <w:rsid w:val="00B276DA"/>
    <w:rsid w:val="00B278FC"/>
    <w:rsid w:val="00B27A76"/>
    <w:rsid w:val="00B27DEC"/>
    <w:rsid w:val="00B29BBB"/>
    <w:rsid w:val="00B30348"/>
    <w:rsid w:val="00B310EF"/>
    <w:rsid w:val="00B315AD"/>
    <w:rsid w:val="00B330AE"/>
    <w:rsid w:val="00B3364C"/>
    <w:rsid w:val="00B33C79"/>
    <w:rsid w:val="00B34599"/>
    <w:rsid w:val="00B36B73"/>
    <w:rsid w:val="00B4070C"/>
    <w:rsid w:val="00B41597"/>
    <w:rsid w:val="00B42C54"/>
    <w:rsid w:val="00B42E72"/>
    <w:rsid w:val="00B43CE1"/>
    <w:rsid w:val="00B43DEC"/>
    <w:rsid w:val="00B43F39"/>
    <w:rsid w:val="00B45BEE"/>
    <w:rsid w:val="00B47A21"/>
    <w:rsid w:val="00B519E1"/>
    <w:rsid w:val="00B5279A"/>
    <w:rsid w:val="00B5323A"/>
    <w:rsid w:val="00B53AA3"/>
    <w:rsid w:val="00B56B46"/>
    <w:rsid w:val="00B56D41"/>
    <w:rsid w:val="00B57375"/>
    <w:rsid w:val="00B573A1"/>
    <w:rsid w:val="00B57E22"/>
    <w:rsid w:val="00B60765"/>
    <w:rsid w:val="00B614D7"/>
    <w:rsid w:val="00B61754"/>
    <w:rsid w:val="00B628BF"/>
    <w:rsid w:val="00B629E6"/>
    <w:rsid w:val="00B63093"/>
    <w:rsid w:val="00B631B0"/>
    <w:rsid w:val="00B64A9D"/>
    <w:rsid w:val="00B664EF"/>
    <w:rsid w:val="00B6773C"/>
    <w:rsid w:val="00B70E7E"/>
    <w:rsid w:val="00B7193F"/>
    <w:rsid w:val="00B735BA"/>
    <w:rsid w:val="00B7388D"/>
    <w:rsid w:val="00B738B0"/>
    <w:rsid w:val="00B741D0"/>
    <w:rsid w:val="00B74F8E"/>
    <w:rsid w:val="00B7503B"/>
    <w:rsid w:val="00B754F4"/>
    <w:rsid w:val="00B76951"/>
    <w:rsid w:val="00B77891"/>
    <w:rsid w:val="00B80406"/>
    <w:rsid w:val="00B80521"/>
    <w:rsid w:val="00B80F5B"/>
    <w:rsid w:val="00B81CA4"/>
    <w:rsid w:val="00B8308C"/>
    <w:rsid w:val="00B8351A"/>
    <w:rsid w:val="00B83554"/>
    <w:rsid w:val="00B841F0"/>
    <w:rsid w:val="00B85287"/>
    <w:rsid w:val="00B85C2D"/>
    <w:rsid w:val="00B87772"/>
    <w:rsid w:val="00B87DEF"/>
    <w:rsid w:val="00B90616"/>
    <w:rsid w:val="00B909EE"/>
    <w:rsid w:val="00B91314"/>
    <w:rsid w:val="00B91F37"/>
    <w:rsid w:val="00B920A1"/>
    <w:rsid w:val="00B92D45"/>
    <w:rsid w:val="00B9327B"/>
    <w:rsid w:val="00B9516E"/>
    <w:rsid w:val="00B954F8"/>
    <w:rsid w:val="00B95590"/>
    <w:rsid w:val="00B962BB"/>
    <w:rsid w:val="00B96E0F"/>
    <w:rsid w:val="00BA0EF3"/>
    <w:rsid w:val="00BA16F5"/>
    <w:rsid w:val="00BA2282"/>
    <w:rsid w:val="00BA2633"/>
    <w:rsid w:val="00BA38C9"/>
    <w:rsid w:val="00BA47C3"/>
    <w:rsid w:val="00BA5928"/>
    <w:rsid w:val="00BA5D62"/>
    <w:rsid w:val="00BA6719"/>
    <w:rsid w:val="00BA72E0"/>
    <w:rsid w:val="00BB3C52"/>
    <w:rsid w:val="00BB46C4"/>
    <w:rsid w:val="00BB4710"/>
    <w:rsid w:val="00BB4D47"/>
    <w:rsid w:val="00BB59CD"/>
    <w:rsid w:val="00BB5A9F"/>
    <w:rsid w:val="00BB600C"/>
    <w:rsid w:val="00BB6BB7"/>
    <w:rsid w:val="00BB7DFC"/>
    <w:rsid w:val="00BB7F65"/>
    <w:rsid w:val="00BC022A"/>
    <w:rsid w:val="00BC14BC"/>
    <w:rsid w:val="00BC1E06"/>
    <w:rsid w:val="00BC1F75"/>
    <w:rsid w:val="00BC31CD"/>
    <w:rsid w:val="00BC3C31"/>
    <w:rsid w:val="00BC3D1C"/>
    <w:rsid w:val="00BC43FB"/>
    <w:rsid w:val="00BC5CF9"/>
    <w:rsid w:val="00BC6114"/>
    <w:rsid w:val="00BC7617"/>
    <w:rsid w:val="00BD0046"/>
    <w:rsid w:val="00BD0839"/>
    <w:rsid w:val="00BD0D8F"/>
    <w:rsid w:val="00BD0DBA"/>
    <w:rsid w:val="00BD172E"/>
    <w:rsid w:val="00BD1DE9"/>
    <w:rsid w:val="00BD1FEE"/>
    <w:rsid w:val="00BD237D"/>
    <w:rsid w:val="00BD2F19"/>
    <w:rsid w:val="00BD3894"/>
    <w:rsid w:val="00BD39C9"/>
    <w:rsid w:val="00BD3BE4"/>
    <w:rsid w:val="00BD4BCE"/>
    <w:rsid w:val="00BD4E5D"/>
    <w:rsid w:val="00BD4EFD"/>
    <w:rsid w:val="00BD59BC"/>
    <w:rsid w:val="00BD5EF9"/>
    <w:rsid w:val="00BD62EA"/>
    <w:rsid w:val="00BD6671"/>
    <w:rsid w:val="00BD7134"/>
    <w:rsid w:val="00BE01DD"/>
    <w:rsid w:val="00BE0DA0"/>
    <w:rsid w:val="00BE2AB1"/>
    <w:rsid w:val="00BE411F"/>
    <w:rsid w:val="00BE4270"/>
    <w:rsid w:val="00BE4554"/>
    <w:rsid w:val="00BE5C55"/>
    <w:rsid w:val="00BE5C69"/>
    <w:rsid w:val="00BE66F8"/>
    <w:rsid w:val="00BE715D"/>
    <w:rsid w:val="00BE7CDD"/>
    <w:rsid w:val="00BF033A"/>
    <w:rsid w:val="00BF04C1"/>
    <w:rsid w:val="00BF26E3"/>
    <w:rsid w:val="00BF2ABC"/>
    <w:rsid w:val="00BF431C"/>
    <w:rsid w:val="00BF442C"/>
    <w:rsid w:val="00BF4A4B"/>
    <w:rsid w:val="00BF4D04"/>
    <w:rsid w:val="00BF5A52"/>
    <w:rsid w:val="00BF6818"/>
    <w:rsid w:val="00BF6BFF"/>
    <w:rsid w:val="00C007F4"/>
    <w:rsid w:val="00C00A26"/>
    <w:rsid w:val="00C0127C"/>
    <w:rsid w:val="00C01C22"/>
    <w:rsid w:val="00C058BA"/>
    <w:rsid w:val="00C06BE6"/>
    <w:rsid w:val="00C06C2C"/>
    <w:rsid w:val="00C0734F"/>
    <w:rsid w:val="00C078E2"/>
    <w:rsid w:val="00C07B99"/>
    <w:rsid w:val="00C1185B"/>
    <w:rsid w:val="00C12C54"/>
    <w:rsid w:val="00C139A2"/>
    <w:rsid w:val="00C14E8F"/>
    <w:rsid w:val="00C1617F"/>
    <w:rsid w:val="00C169D5"/>
    <w:rsid w:val="00C21E0A"/>
    <w:rsid w:val="00C21F4F"/>
    <w:rsid w:val="00C2241D"/>
    <w:rsid w:val="00C22B50"/>
    <w:rsid w:val="00C2318F"/>
    <w:rsid w:val="00C235A7"/>
    <w:rsid w:val="00C24068"/>
    <w:rsid w:val="00C24424"/>
    <w:rsid w:val="00C245E7"/>
    <w:rsid w:val="00C24718"/>
    <w:rsid w:val="00C25AE2"/>
    <w:rsid w:val="00C26435"/>
    <w:rsid w:val="00C26B13"/>
    <w:rsid w:val="00C30EA5"/>
    <w:rsid w:val="00C31E67"/>
    <w:rsid w:val="00C327B6"/>
    <w:rsid w:val="00C32FE5"/>
    <w:rsid w:val="00C33B48"/>
    <w:rsid w:val="00C33EE7"/>
    <w:rsid w:val="00C3495D"/>
    <w:rsid w:val="00C34D1D"/>
    <w:rsid w:val="00C34D52"/>
    <w:rsid w:val="00C36406"/>
    <w:rsid w:val="00C36C18"/>
    <w:rsid w:val="00C372DD"/>
    <w:rsid w:val="00C3792E"/>
    <w:rsid w:val="00C4081B"/>
    <w:rsid w:val="00C42CE1"/>
    <w:rsid w:val="00C43795"/>
    <w:rsid w:val="00C44092"/>
    <w:rsid w:val="00C4436D"/>
    <w:rsid w:val="00C44856"/>
    <w:rsid w:val="00C4700F"/>
    <w:rsid w:val="00C47384"/>
    <w:rsid w:val="00C4790D"/>
    <w:rsid w:val="00C47E15"/>
    <w:rsid w:val="00C502CD"/>
    <w:rsid w:val="00C503CA"/>
    <w:rsid w:val="00C5081D"/>
    <w:rsid w:val="00C509D9"/>
    <w:rsid w:val="00C517A1"/>
    <w:rsid w:val="00C5322D"/>
    <w:rsid w:val="00C534B8"/>
    <w:rsid w:val="00C544F6"/>
    <w:rsid w:val="00C5465C"/>
    <w:rsid w:val="00C55C42"/>
    <w:rsid w:val="00C567F1"/>
    <w:rsid w:val="00C56F79"/>
    <w:rsid w:val="00C577A1"/>
    <w:rsid w:val="00C577EF"/>
    <w:rsid w:val="00C600CF"/>
    <w:rsid w:val="00C60296"/>
    <w:rsid w:val="00C60546"/>
    <w:rsid w:val="00C637F3"/>
    <w:rsid w:val="00C64508"/>
    <w:rsid w:val="00C6514E"/>
    <w:rsid w:val="00C67536"/>
    <w:rsid w:val="00C705BD"/>
    <w:rsid w:val="00C70BE6"/>
    <w:rsid w:val="00C717D9"/>
    <w:rsid w:val="00C722AA"/>
    <w:rsid w:val="00C7272D"/>
    <w:rsid w:val="00C74683"/>
    <w:rsid w:val="00C75F46"/>
    <w:rsid w:val="00C77921"/>
    <w:rsid w:val="00C77EAA"/>
    <w:rsid w:val="00C824AD"/>
    <w:rsid w:val="00C8328F"/>
    <w:rsid w:val="00C8352F"/>
    <w:rsid w:val="00C8399B"/>
    <w:rsid w:val="00C86A98"/>
    <w:rsid w:val="00C9058D"/>
    <w:rsid w:val="00C905CF"/>
    <w:rsid w:val="00C90697"/>
    <w:rsid w:val="00C90AA3"/>
    <w:rsid w:val="00C932C9"/>
    <w:rsid w:val="00C934B5"/>
    <w:rsid w:val="00C93788"/>
    <w:rsid w:val="00C9453B"/>
    <w:rsid w:val="00C94E61"/>
    <w:rsid w:val="00C958D2"/>
    <w:rsid w:val="00C95FE6"/>
    <w:rsid w:val="00C96033"/>
    <w:rsid w:val="00C965CB"/>
    <w:rsid w:val="00C97F61"/>
    <w:rsid w:val="00CA07BF"/>
    <w:rsid w:val="00CA07E1"/>
    <w:rsid w:val="00CA07EB"/>
    <w:rsid w:val="00CA2465"/>
    <w:rsid w:val="00CA3612"/>
    <w:rsid w:val="00CA3E7A"/>
    <w:rsid w:val="00CA4A9A"/>
    <w:rsid w:val="00CA4D5E"/>
    <w:rsid w:val="00CA5F63"/>
    <w:rsid w:val="00CA6B8C"/>
    <w:rsid w:val="00CB0254"/>
    <w:rsid w:val="00CB111D"/>
    <w:rsid w:val="00CB1544"/>
    <w:rsid w:val="00CB1764"/>
    <w:rsid w:val="00CB1BE3"/>
    <w:rsid w:val="00CB1F78"/>
    <w:rsid w:val="00CB2E8F"/>
    <w:rsid w:val="00CB38A5"/>
    <w:rsid w:val="00CB4531"/>
    <w:rsid w:val="00CB4A35"/>
    <w:rsid w:val="00CB5C26"/>
    <w:rsid w:val="00CB5C96"/>
    <w:rsid w:val="00CB6930"/>
    <w:rsid w:val="00CB6D26"/>
    <w:rsid w:val="00CB72C7"/>
    <w:rsid w:val="00CB7592"/>
    <w:rsid w:val="00CB7C93"/>
    <w:rsid w:val="00CC05EA"/>
    <w:rsid w:val="00CC2B39"/>
    <w:rsid w:val="00CC33F7"/>
    <w:rsid w:val="00CC4071"/>
    <w:rsid w:val="00CC4A9C"/>
    <w:rsid w:val="00CC5A32"/>
    <w:rsid w:val="00CC663B"/>
    <w:rsid w:val="00CC6960"/>
    <w:rsid w:val="00CC726B"/>
    <w:rsid w:val="00CD0801"/>
    <w:rsid w:val="00CD099E"/>
    <w:rsid w:val="00CD166C"/>
    <w:rsid w:val="00CD1A34"/>
    <w:rsid w:val="00CD1C0A"/>
    <w:rsid w:val="00CD1F99"/>
    <w:rsid w:val="00CD2FF5"/>
    <w:rsid w:val="00CD323D"/>
    <w:rsid w:val="00CD3E63"/>
    <w:rsid w:val="00CD4C26"/>
    <w:rsid w:val="00CD54EB"/>
    <w:rsid w:val="00CD563F"/>
    <w:rsid w:val="00CD598D"/>
    <w:rsid w:val="00CD7136"/>
    <w:rsid w:val="00CE0D54"/>
    <w:rsid w:val="00CE180C"/>
    <w:rsid w:val="00CE1F57"/>
    <w:rsid w:val="00CE2E2F"/>
    <w:rsid w:val="00CE3BD9"/>
    <w:rsid w:val="00CE3BF7"/>
    <w:rsid w:val="00CE4793"/>
    <w:rsid w:val="00CE5E0B"/>
    <w:rsid w:val="00CE610A"/>
    <w:rsid w:val="00CE643F"/>
    <w:rsid w:val="00CE6445"/>
    <w:rsid w:val="00CE6886"/>
    <w:rsid w:val="00CE7301"/>
    <w:rsid w:val="00CF3968"/>
    <w:rsid w:val="00CF3BC4"/>
    <w:rsid w:val="00CF47BD"/>
    <w:rsid w:val="00CF5598"/>
    <w:rsid w:val="00CF60FF"/>
    <w:rsid w:val="00D0247E"/>
    <w:rsid w:val="00D02684"/>
    <w:rsid w:val="00D02A57"/>
    <w:rsid w:val="00D0495C"/>
    <w:rsid w:val="00D04EFA"/>
    <w:rsid w:val="00D05B3C"/>
    <w:rsid w:val="00D06096"/>
    <w:rsid w:val="00D110D7"/>
    <w:rsid w:val="00D117EE"/>
    <w:rsid w:val="00D11C6B"/>
    <w:rsid w:val="00D124FC"/>
    <w:rsid w:val="00D13E22"/>
    <w:rsid w:val="00D146BA"/>
    <w:rsid w:val="00D14702"/>
    <w:rsid w:val="00D15CB4"/>
    <w:rsid w:val="00D17E32"/>
    <w:rsid w:val="00D20DCB"/>
    <w:rsid w:val="00D20DF4"/>
    <w:rsid w:val="00D2109B"/>
    <w:rsid w:val="00D2115C"/>
    <w:rsid w:val="00D21A5D"/>
    <w:rsid w:val="00D229FB"/>
    <w:rsid w:val="00D22E59"/>
    <w:rsid w:val="00D23EB7"/>
    <w:rsid w:val="00D24EEF"/>
    <w:rsid w:val="00D26F3F"/>
    <w:rsid w:val="00D312C1"/>
    <w:rsid w:val="00D31784"/>
    <w:rsid w:val="00D33290"/>
    <w:rsid w:val="00D338B0"/>
    <w:rsid w:val="00D344CB"/>
    <w:rsid w:val="00D3460D"/>
    <w:rsid w:val="00D353AF"/>
    <w:rsid w:val="00D359F1"/>
    <w:rsid w:val="00D35D47"/>
    <w:rsid w:val="00D369A3"/>
    <w:rsid w:val="00D36CDC"/>
    <w:rsid w:val="00D37417"/>
    <w:rsid w:val="00D374B6"/>
    <w:rsid w:val="00D407BD"/>
    <w:rsid w:val="00D41E9E"/>
    <w:rsid w:val="00D430A2"/>
    <w:rsid w:val="00D44D03"/>
    <w:rsid w:val="00D44FBD"/>
    <w:rsid w:val="00D45AF2"/>
    <w:rsid w:val="00D4639E"/>
    <w:rsid w:val="00D47702"/>
    <w:rsid w:val="00D503CB"/>
    <w:rsid w:val="00D5081F"/>
    <w:rsid w:val="00D5113E"/>
    <w:rsid w:val="00D533B6"/>
    <w:rsid w:val="00D53E62"/>
    <w:rsid w:val="00D542F2"/>
    <w:rsid w:val="00D5485E"/>
    <w:rsid w:val="00D54AE9"/>
    <w:rsid w:val="00D557E5"/>
    <w:rsid w:val="00D5697F"/>
    <w:rsid w:val="00D57494"/>
    <w:rsid w:val="00D57AF5"/>
    <w:rsid w:val="00D57F9D"/>
    <w:rsid w:val="00D5C6D6"/>
    <w:rsid w:val="00D60262"/>
    <w:rsid w:val="00D603BC"/>
    <w:rsid w:val="00D60E8C"/>
    <w:rsid w:val="00D634C1"/>
    <w:rsid w:val="00D63E09"/>
    <w:rsid w:val="00D64529"/>
    <w:rsid w:val="00D64E11"/>
    <w:rsid w:val="00D65281"/>
    <w:rsid w:val="00D67985"/>
    <w:rsid w:val="00D67CC6"/>
    <w:rsid w:val="00D706E5"/>
    <w:rsid w:val="00D71E33"/>
    <w:rsid w:val="00D72665"/>
    <w:rsid w:val="00D739D5"/>
    <w:rsid w:val="00D740BE"/>
    <w:rsid w:val="00D740FF"/>
    <w:rsid w:val="00D77BD9"/>
    <w:rsid w:val="00D810A9"/>
    <w:rsid w:val="00D812A2"/>
    <w:rsid w:val="00D81EE2"/>
    <w:rsid w:val="00D8344B"/>
    <w:rsid w:val="00D86723"/>
    <w:rsid w:val="00D8693B"/>
    <w:rsid w:val="00D86950"/>
    <w:rsid w:val="00D86B11"/>
    <w:rsid w:val="00D86FD6"/>
    <w:rsid w:val="00D8775C"/>
    <w:rsid w:val="00D87A24"/>
    <w:rsid w:val="00D87E53"/>
    <w:rsid w:val="00D90799"/>
    <w:rsid w:val="00D91E64"/>
    <w:rsid w:val="00D93986"/>
    <w:rsid w:val="00D944A7"/>
    <w:rsid w:val="00D95683"/>
    <w:rsid w:val="00D9703F"/>
    <w:rsid w:val="00D9723A"/>
    <w:rsid w:val="00DA0D20"/>
    <w:rsid w:val="00DA1EF3"/>
    <w:rsid w:val="00DA3172"/>
    <w:rsid w:val="00DA325B"/>
    <w:rsid w:val="00DA43B8"/>
    <w:rsid w:val="00DA488C"/>
    <w:rsid w:val="00DA4C59"/>
    <w:rsid w:val="00DA6323"/>
    <w:rsid w:val="00DA650B"/>
    <w:rsid w:val="00DA777C"/>
    <w:rsid w:val="00DA7E56"/>
    <w:rsid w:val="00DB14B3"/>
    <w:rsid w:val="00DB1A2B"/>
    <w:rsid w:val="00DB2D75"/>
    <w:rsid w:val="00DB3EDA"/>
    <w:rsid w:val="00DB41DD"/>
    <w:rsid w:val="00DB594A"/>
    <w:rsid w:val="00DB7620"/>
    <w:rsid w:val="00DC0C9D"/>
    <w:rsid w:val="00DC1A8D"/>
    <w:rsid w:val="00DC26D7"/>
    <w:rsid w:val="00DC271B"/>
    <w:rsid w:val="00DC2D5A"/>
    <w:rsid w:val="00DC3133"/>
    <w:rsid w:val="00DC403E"/>
    <w:rsid w:val="00DC4D30"/>
    <w:rsid w:val="00DC7614"/>
    <w:rsid w:val="00DC791F"/>
    <w:rsid w:val="00DD1A2A"/>
    <w:rsid w:val="00DD26CB"/>
    <w:rsid w:val="00DD2766"/>
    <w:rsid w:val="00DD2899"/>
    <w:rsid w:val="00DD391A"/>
    <w:rsid w:val="00DD3E73"/>
    <w:rsid w:val="00DD534E"/>
    <w:rsid w:val="00DD55D2"/>
    <w:rsid w:val="00DD56F7"/>
    <w:rsid w:val="00DD5888"/>
    <w:rsid w:val="00DD6A66"/>
    <w:rsid w:val="00DD7030"/>
    <w:rsid w:val="00DE03B0"/>
    <w:rsid w:val="00DE0688"/>
    <w:rsid w:val="00DE0955"/>
    <w:rsid w:val="00DE166A"/>
    <w:rsid w:val="00DE24F0"/>
    <w:rsid w:val="00DE3352"/>
    <w:rsid w:val="00DE3474"/>
    <w:rsid w:val="00DE4592"/>
    <w:rsid w:val="00DE4627"/>
    <w:rsid w:val="00DE4D0F"/>
    <w:rsid w:val="00DE4D1D"/>
    <w:rsid w:val="00DE5AFD"/>
    <w:rsid w:val="00DE5E3E"/>
    <w:rsid w:val="00DE6F78"/>
    <w:rsid w:val="00DE7DA9"/>
    <w:rsid w:val="00DF12FC"/>
    <w:rsid w:val="00DF2466"/>
    <w:rsid w:val="00DF310C"/>
    <w:rsid w:val="00DF5364"/>
    <w:rsid w:val="00DF5556"/>
    <w:rsid w:val="00DF5786"/>
    <w:rsid w:val="00DF620C"/>
    <w:rsid w:val="00DF666C"/>
    <w:rsid w:val="00DF6BD8"/>
    <w:rsid w:val="00DF76B5"/>
    <w:rsid w:val="00E00C2F"/>
    <w:rsid w:val="00E01330"/>
    <w:rsid w:val="00E019BA"/>
    <w:rsid w:val="00E02B9C"/>
    <w:rsid w:val="00E03DAD"/>
    <w:rsid w:val="00E040FC"/>
    <w:rsid w:val="00E047E9"/>
    <w:rsid w:val="00E04E95"/>
    <w:rsid w:val="00E0590A"/>
    <w:rsid w:val="00E065D7"/>
    <w:rsid w:val="00E06C83"/>
    <w:rsid w:val="00E07526"/>
    <w:rsid w:val="00E07AE2"/>
    <w:rsid w:val="00E10AB9"/>
    <w:rsid w:val="00E1116B"/>
    <w:rsid w:val="00E11E27"/>
    <w:rsid w:val="00E125AC"/>
    <w:rsid w:val="00E13397"/>
    <w:rsid w:val="00E14236"/>
    <w:rsid w:val="00E149C4"/>
    <w:rsid w:val="00E14E31"/>
    <w:rsid w:val="00E152B4"/>
    <w:rsid w:val="00E165B4"/>
    <w:rsid w:val="00E20111"/>
    <w:rsid w:val="00E21200"/>
    <w:rsid w:val="00E2368E"/>
    <w:rsid w:val="00E27DDF"/>
    <w:rsid w:val="00E301B9"/>
    <w:rsid w:val="00E31CCA"/>
    <w:rsid w:val="00E334DD"/>
    <w:rsid w:val="00E3372F"/>
    <w:rsid w:val="00E34600"/>
    <w:rsid w:val="00E350B1"/>
    <w:rsid w:val="00E35401"/>
    <w:rsid w:val="00E36C1A"/>
    <w:rsid w:val="00E40D15"/>
    <w:rsid w:val="00E411A6"/>
    <w:rsid w:val="00E41678"/>
    <w:rsid w:val="00E42186"/>
    <w:rsid w:val="00E42B24"/>
    <w:rsid w:val="00E4535E"/>
    <w:rsid w:val="00E45644"/>
    <w:rsid w:val="00E45B47"/>
    <w:rsid w:val="00E45BF0"/>
    <w:rsid w:val="00E4643C"/>
    <w:rsid w:val="00E47E48"/>
    <w:rsid w:val="00E50185"/>
    <w:rsid w:val="00E50D7D"/>
    <w:rsid w:val="00E5302A"/>
    <w:rsid w:val="00E5405A"/>
    <w:rsid w:val="00E54974"/>
    <w:rsid w:val="00E54F0E"/>
    <w:rsid w:val="00E5596D"/>
    <w:rsid w:val="00E559E2"/>
    <w:rsid w:val="00E55CFA"/>
    <w:rsid w:val="00E560BA"/>
    <w:rsid w:val="00E57E81"/>
    <w:rsid w:val="00E6011C"/>
    <w:rsid w:val="00E612D0"/>
    <w:rsid w:val="00E6255F"/>
    <w:rsid w:val="00E62FE0"/>
    <w:rsid w:val="00E646CA"/>
    <w:rsid w:val="00E65935"/>
    <w:rsid w:val="00E65BFB"/>
    <w:rsid w:val="00E66C80"/>
    <w:rsid w:val="00E6756F"/>
    <w:rsid w:val="00E707CA"/>
    <w:rsid w:val="00E7088E"/>
    <w:rsid w:val="00E72955"/>
    <w:rsid w:val="00E730C9"/>
    <w:rsid w:val="00E7392A"/>
    <w:rsid w:val="00E749E3"/>
    <w:rsid w:val="00E74BD5"/>
    <w:rsid w:val="00E74D02"/>
    <w:rsid w:val="00E74E32"/>
    <w:rsid w:val="00E75139"/>
    <w:rsid w:val="00E75616"/>
    <w:rsid w:val="00E761FE"/>
    <w:rsid w:val="00E77C8B"/>
    <w:rsid w:val="00E77DE7"/>
    <w:rsid w:val="00E802EF"/>
    <w:rsid w:val="00E80A44"/>
    <w:rsid w:val="00E80CE0"/>
    <w:rsid w:val="00E822F1"/>
    <w:rsid w:val="00E82CF0"/>
    <w:rsid w:val="00E84AD2"/>
    <w:rsid w:val="00E85E40"/>
    <w:rsid w:val="00E86A94"/>
    <w:rsid w:val="00E87819"/>
    <w:rsid w:val="00E90265"/>
    <w:rsid w:val="00E90615"/>
    <w:rsid w:val="00E91C65"/>
    <w:rsid w:val="00E940B9"/>
    <w:rsid w:val="00E9452A"/>
    <w:rsid w:val="00E94841"/>
    <w:rsid w:val="00E94AF7"/>
    <w:rsid w:val="00E94D13"/>
    <w:rsid w:val="00E95219"/>
    <w:rsid w:val="00EA0CEE"/>
    <w:rsid w:val="00EA0E8B"/>
    <w:rsid w:val="00EA1792"/>
    <w:rsid w:val="00EA335A"/>
    <w:rsid w:val="00EA3669"/>
    <w:rsid w:val="00EA4DE2"/>
    <w:rsid w:val="00EA552E"/>
    <w:rsid w:val="00EA5601"/>
    <w:rsid w:val="00EA70FD"/>
    <w:rsid w:val="00EA7614"/>
    <w:rsid w:val="00EA76B2"/>
    <w:rsid w:val="00EB0A8B"/>
    <w:rsid w:val="00EB2414"/>
    <w:rsid w:val="00EB3BA9"/>
    <w:rsid w:val="00EB52EA"/>
    <w:rsid w:val="00EB5619"/>
    <w:rsid w:val="00EB65C1"/>
    <w:rsid w:val="00EB74F8"/>
    <w:rsid w:val="00EB769C"/>
    <w:rsid w:val="00EC0A18"/>
    <w:rsid w:val="00EC1023"/>
    <w:rsid w:val="00EC2386"/>
    <w:rsid w:val="00EC26AC"/>
    <w:rsid w:val="00EC2702"/>
    <w:rsid w:val="00EC299B"/>
    <w:rsid w:val="00EC2A95"/>
    <w:rsid w:val="00EC2EA5"/>
    <w:rsid w:val="00EC339A"/>
    <w:rsid w:val="00EC3A56"/>
    <w:rsid w:val="00EC3DE8"/>
    <w:rsid w:val="00EC5390"/>
    <w:rsid w:val="00EC589D"/>
    <w:rsid w:val="00EC6BB0"/>
    <w:rsid w:val="00EC7215"/>
    <w:rsid w:val="00EC7231"/>
    <w:rsid w:val="00EC7322"/>
    <w:rsid w:val="00ED0818"/>
    <w:rsid w:val="00ED081D"/>
    <w:rsid w:val="00ED1252"/>
    <w:rsid w:val="00ED1332"/>
    <w:rsid w:val="00ED2634"/>
    <w:rsid w:val="00ED28EB"/>
    <w:rsid w:val="00ED2A79"/>
    <w:rsid w:val="00ED6218"/>
    <w:rsid w:val="00ED6C0E"/>
    <w:rsid w:val="00ED6D3A"/>
    <w:rsid w:val="00ED6DE9"/>
    <w:rsid w:val="00ED7372"/>
    <w:rsid w:val="00EE13B6"/>
    <w:rsid w:val="00EE2AA0"/>
    <w:rsid w:val="00EE4729"/>
    <w:rsid w:val="00EE566A"/>
    <w:rsid w:val="00EE5EF0"/>
    <w:rsid w:val="00EF02E5"/>
    <w:rsid w:val="00EF03AD"/>
    <w:rsid w:val="00EF113D"/>
    <w:rsid w:val="00EF23F6"/>
    <w:rsid w:val="00EF2FBD"/>
    <w:rsid w:val="00EF41C8"/>
    <w:rsid w:val="00EF4894"/>
    <w:rsid w:val="00EF52EE"/>
    <w:rsid w:val="00EF56A6"/>
    <w:rsid w:val="00EF7B57"/>
    <w:rsid w:val="00F005FE"/>
    <w:rsid w:val="00F00D89"/>
    <w:rsid w:val="00F025EC"/>
    <w:rsid w:val="00F02CD4"/>
    <w:rsid w:val="00F05612"/>
    <w:rsid w:val="00F0655E"/>
    <w:rsid w:val="00F10203"/>
    <w:rsid w:val="00F10DE4"/>
    <w:rsid w:val="00F11ED1"/>
    <w:rsid w:val="00F12878"/>
    <w:rsid w:val="00F13976"/>
    <w:rsid w:val="00F14791"/>
    <w:rsid w:val="00F171DD"/>
    <w:rsid w:val="00F173AF"/>
    <w:rsid w:val="00F2096C"/>
    <w:rsid w:val="00F20DC1"/>
    <w:rsid w:val="00F21D2A"/>
    <w:rsid w:val="00F233E7"/>
    <w:rsid w:val="00F23535"/>
    <w:rsid w:val="00F23ECB"/>
    <w:rsid w:val="00F257BF"/>
    <w:rsid w:val="00F2661D"/>
    <w:rsid w:val="00F27461"/>
    <w:rsid w:val="00F308AB"/>
    <w:rsid w:val="00F31F21"/>
    <w:rsid w:val="00F33F48"/>
    <w:rsid w:val="00F34BAC"/>
    <w:rsid w:val="00F35446"/>
    <w:rsid w:val="00F35D4E"/>
    <w:rsid w:val="00F362F4"/>
    <w:rsid w:val="00F36B32"/>
    <w:rsid w:val="00F3721F"/>
    <w:rsid w:val="00F42012"/>
    <w:rsid w:val="00F43296"/>
    <w:rsid w:val="00F443BD"/>
    <w:rsid w:val="00F45522"/>
    <w:rsid w:val="00F46409"/>
    <w:rsid w:val="00F464AE"/>
    <w:rsid w:val="00F466B8"/>
    <w:rsid w:val="00F50774"/>
    <w:rsid w:val="00F50E6F"/>
    <w:rsid w:val="00F53489"/>
    <w:rsid w:val="00F54278"/>
    <w:rsid w:val="00F5445C"/>
    <w:rsid w:val="00F54926"/>
    <w:rsid w:val="00F54B62"/>
    <w:rsid w:val="00F54B76"/>
    <w:rsid w:val="00F54C32"/>
    <w:rsid w:val="00F55034"/>
    <w:rsid w:val="00F55550"/>
    <w:rsid w:val="00F55D6B"/>
    <w:rsid w:val="00F55E89"/>
    <w:rsid w:val="00F5697C"/>
    <w:rsid w:val="00F574D5"/>
    <w:rsid w:val="00F605F9"/>
    <w:rsid w:val="00F607A0"/>
    <w:rsid w:val="00F6082D"/>
    <w:rsid w:val="00F61481"/>
    <w:rsid w:val="00F61C33"/>
    <w:rsid w:val="00F62E65"/>
    <w:rsid w:val="00F631DB"/>
    <w:rsid w:val="00F6367E"/>
    <w:rsid w:val="00F64903"/>
    <w:rsid w:val="00F65128"/>
    <w:rsid w:val="00F6622C"/>
    <w:rsid w:val="00F6689B"/>
    <w:rsid w:val="00F6698C"/>
    <w:rsid w:val="00F67578"/>
    <w:rsid w:val="00F67EDF"/>
    <w:rsid w:val="00F70423"/>
    <w:rsid w:val="00F70D0E"/>
    <w:rsid w:val="00F7103C"/>
    <w:rsid w:val="00F715AD"/>
    <w:rsid w:val="00F719F4"/>
    <w:rsid w:val="00F72137"/>
    <w:rsid w:val="00F723F1"/>
    <w:rsid w:val="00F726D5"/>
    <w:rsid w:val="00F73C72"/>
    <w:rsid w:val="00F73FF8"/>
    <w:rsid w:val="00F74481"/>
    <w:rsid w:val="00F75612"/>
    <w:rsid w:val="00F76935"/>
    <w:rsid w:val="00F76A64"/>
    <w:rsid w:val="00F7718C"/>
    <w:rsid w:val="00F80A5F"/>
    <w:rsid w:val="00F80A7D"/>
    <w:rsid w:val="00F82AF0"/>
    <w:rsid w:val="00F847FF"/>
    <w:rsid w:val="00F84AE8"/>
    <w:rsid w:val="00F85295"/>
    <w:rsid w:val="00F875A1"/>
    <w:rsid w:val="00F91B66"/>
    <w:rsid w:val="00F93185"/>
    <w:rsid w:val="00F93606"/>
    <w:rsid w:val="00F9472A"/>
    <w:rsid w:val="00F96998"/>
    <w:rsid w:val="00F97889"/>
    <w:rsid w:val="00FA04B1"/>
    <w:rsid w:val="00FA0AC0"/>
    <w:rsid w:val="00FA0D06"/>
    <w:rsid w:val="00FA0F24"/>
    <w:rsid w:val="00FA1982"/>
    <w:rsid w:val="00FA19C2"/>
    <w:rsid w:val="00FA23AF"/>
    <w:rsid w:val="00FA2E0E"/>
    <w:rsid w:val="00FA6F69"/>
    <w:rsid w:val="00FA7F9E"/>
    <w:rsid w:val="00FB048D"/>
    <w:rsid w:val="00FB065F"/>
    <w:rsid w:val="00FB0963"/>
    <w:rsid w:val="00FB18F4"/>
    <w:rsid w:val="00FB3569"/>
    <w:rsid w:val="00FB4334"/>
    <w:rsid w:val="00FB7375"/>
    <w:rsid w:val="00FC2518"/>
    <w:rsid w:val="00FC27E9"/>
    <w:rsid w:val="00FC2E1B"/>
    <w:rsid w:val="00FC42D7"/>
    <w:rsid w:val="00FC4A11"/>
    <w:rsid w:val="00FC5A9E"/>
    <w:rsid w:val="00FC6A27"/>
    <w:rsid w:val="00FC6D6F"/>
    <w:rsid w:val="00FC76F6"/>
    <w:rsid w:val="00FD05CA"/>
    <w:rsid w:val="00FD27FA"/>
    <w:rsid w:val="00FD2B4C"/>
    <w:rsid w:val="00FD397F"/>
    <w:rsid w:val="00FD4292"/>
    <w:rsid w:val="00FD5008"/>
    <w:rsid w:val="00FD6F4C"/>
    <w:rsid w:val="00FD778D"/>
    <w:rsid w:val="00FE1BC9"/>
    <w:rsid w:val="00FE2A60"/>
    <w:rsid w:val="00FE2D63"/>
    <w:rsid w:val="00FE4CE5"/>
    <w:rsid w:val="00FE53B0"/>
    <w:rsid w:val="00FE670E"/>
    <w:rsid w:val="00FF00C8"/>
    <w:rsid w:val="00FF02BB"/>
    <w:rsid w:val="00FF0674"/>
    <w:rsid w:val="00FF0C52"/>
    <w:rsid w:val="00FF1750"/>
    <w:rsid w:val="00FF19D7"/>
    <w:rsid w:val="00FF19EE"/>
    <w:rsid w:val="00FF1D71"/>
    <w:rsid w:val="00FF2C35"/>
    <w:rsid w:val="00FF31C1"/>
    <w:rsid w:val="00FF45B2"/>
    <w:rsid w:val="00FF460F"/>
    <w:rsid w:val="00FF4CF5"/>
    <w:rsid w:val="00FF6184"/>
    <w:rsid w:val="00FF7A65"/>
    <w:rsid w:val="00FF7F4C"/>
    <w:rsid w:val="0127F11C"/>
    <w:rsid w:val="0144117D"/>
    <w:rsid w:val="01940749"/>
    <w:rsid w:val="01DA9506"/>
    <w:rsid w:val="01DCF0E0"/>
    <w:rsid w:val="02177440"/>
    <w:rsid w:val="0236C2C0"/>
    <w:rsid w:val="0266E86B"/>
    <w:rsid w:val="027BEC80"/>
    <w:rsid w:val="029B7D7B"/>
    <w:rsid w:val="02A8B731"/>
    <w:rsid w:val="02D09E76"/>
    <w:rsid w:val="030F1F19"/>
    <w:rsid w:val="032BA92C"/>
    <w:rsid w:val="03672A75"/>
    <w:rsid w:val="03DFD29E"/>
    <w:rsid w:val="041D2136"/>
    <w:rsid w:val="0427137D"/>
    <w:rsid w:val="04594EF3"/>
    <w:rsid w:val="0463215A"/>
    <w:rsid w:val="04828E15"/>
    <w:rsid w:val="04B63F4F"/>
    <w:rsid w:val="05FDC2CB"/>
    <w:rsid w:val="0632FCD2"/>
    <w:rsid w:val="063CF83E"/>
    <w:rsid w:val="06446B8C"/>
    <w:rsid w:val="064E8E3F"/>
    <w:rsid w:val="0651C982"/>
    <w:rsid w:val="065C64F9"/>
    <w:rsid w:val="06F60DDE"/>
    <w:rsid w:val="075533B5"/>
    <w:rsid w:val="077D115B"/>
    <w:rsid w:val="07F90ED3"/>
    <w:rsid w:val="0828BE6B"/>
    <w:rsid w:val="083F98C7"/>
    <w:rsid w:val="08473C56"/>
    <w:rsid w:val="0861878D"/>
    <w:rsid w:val="08783D74"/>
    <w:rsid w:val="09367DE7"/>
    <w:rsid w:val="096C65D7"/>
    <w:rsid w:val="09752946"/>
    <w:rsid w:val="09A0FF0A"/>
    <w:rsid w:val="09BE687E"/>
    <w:rsid w:val="0AF88E2F"/>
    <w:rsid w:val="0B103690"/>
    <w:rsid w:val="0B1054CB"/>
    <w:rsid w:val="0C391661"/>
    <w:rsid w:val="0CE6C6D2"/>
    <w:rsid w:val="0D172931"/>
    <w:rsid w:val="0D2BFA75"/>
    <w:rsid w:val="0D440878"/>
    <w:rsid w:val="0E3F1FAF"/>
    <w:rsid w:val="0EC0BC2F"/>
    <w:rsid w:val="0F5FCC5D"/>
    <w:rsid w:val="0F8D0193"/>
    <w:rsid w:val="0FA4A511"/>
    <w:rsid w:val="1030F000"/>
    <w:rsid w:val="10559C24"/>
    <w:rsid w:val="10AF8292"/>
    <w:rsid w:val="10C77BFF"/>
    <w:rsid w:val="1139A341"/>
    <w:rsid w:val="1158F1C1"/>
    <w:rsid w:val="116124E4"/>
    <w:rsid w:val="1176ACC0"/>
    <w:rsid w:val="117E7BF5"/>
    <w:rsid w:val="11F07066"/>
    <w:rsid w:val="1299CAFF"/>
    <w:rsid w:val="12D59147"/>
    <w:rsid w:val="1332C8A5"/>
    <w:rsid w:val="13C97C32"/>
    <w:rsid w:val="144B18B2"/>
    <w:rsid w:val="14E9B95B"/>
    <w:rsid w:val="154E6E4F"/>
    <w:rsid w:val="156C709F"/>
    <w:rsid w:val="1573F883"/>
    <w:rsid w:val="15A86953"/>
    <w:rsid w:val="16208AC0"/>
    <w:rsid w:val="167ED604"/>
    <w:rsid w:val="16ABD386"/>
    <w:rsid w:val="16B1DDD1"/>
    <w:rsid w:val="16C06816"/>
    <w:rsid w:val="184080AA"/>
    <w:rsid w:val="1840E64C"/>
    <w:rsid w:val="1866ACA6"/>
    <w:rsid w:val="18779747"/>
    <w:rsid w:val="188FB6D3"/>
    <w:rsid w:val="18943C20"/>
    <w:rsid w:val="1924054C"/>
    <w:rsid w:val="1B04300A"/>
    <w:rsid w:val="1BD4C1B7"/>
    <w:rsid w:val="1BE46828"/>
    <w:rsid w:val="1CFDA188"/>
    <w:rsid w:val="1DE8DF7D"/>
    <w:rsid w:val="1DF06761"/>
    <w:rsid w:val="1E81FB5E"/>
    <w:rsid w:val="1E918394"/>
    <w:rsid w:val="1EDB86DD"/>
    <w:rsid w:val="1EE640CD"/>
    <w:rsid w:val="1F133E4F"/>
    <w:rsid w:val="1F540A14"/>
    <w:rsid w:val="203C32B6"/>
    <w:rsid w:val="203E8FC7"/>
    <w:rsid w:val="207B20C2"/>
    <w:rsid w:val="208DB2D3"/>
    <w:rsid w:val="213597B1"/>
    <w:rsid w:val="2173EF7E"/>
    <w:rsid w:val="21E5E3EF"/>
    <w:rsid w:val="22BC50A0"/>
    <w:rsid w:val="232472AA"/>
    <w:rsid w:val="2335B85F"/>
    <w:rsid w:val="2335EB30"/>
    <w:rsid w:val="23572F85"/>
    <w:rsid w:val="236D47B3"/>
    <w:rsid w:val="237907D3"/>
    <w:rsid w:val="23BCAC80"/>
    <w:rsid w:val="23BFBAD3"/>
    <w:rsid w:val="23DF278E"/>
    <w:rsid w:val="2429D5E3"/>
    <w:rsid w:val="250C2A66"/>
    <w:rsid w:val="2516F8EC"/>
    <w:rsid w:val="252924B2"/>
    <w:rsid w:val="25639E99"/>
    <w:rsid w:val="25AE62FB"/>
    <w:rsid w:val="261A631F"/>
    <w:rsid w:val="26333270"/>
    <w:rsid w:val="26A179E0"/>
    <w:rsid w:val="272CB665"/>
    <w:rsid w:val="273E812F"/>
    <w:rsid w:val="27CA4ED3"/>
    <w:rsid w:val="27D4A41C"/>
    <w:rsid w:val="27D4B8B2"/>
    <w:rsid w:val="280C3370"/>
    <w:rsid w:val="28ED1264"/>
    <w:rsid w:val="291D19D4"/>
    <w:rsid w:val="293C868F"/>
    <w:rsid w:val="298F0E45"/>
    <w:rsid w:val="29B2029C"/>
    <w:rsid w:val="2AFBC1F9"/>
    <w:rsid w:val="2B7DB66D"/>
    <w:rsid w:val="2BB2273D"/>
    <w:rsid w:val="2CB22C93"/>
    <w:rsid w:val="2CE28EF2"/>
    <w:rsid w:val="2D4DBAEA"/>
    <w:rsid w:val="2D53791D"/>
    <w:rsid w:val="2DBFE9CA"/>
    <w:rsid w:val="2DD127E1"/>
    <w:rsid w:val="2DECACDD"/>
    <w:rsid w:val="2E4AA436"/>
    <w:rsid w:val="2E626AD2"/>
    <w:rsid w:val="2F013E8A"/>
    <w:rsid w:val="2F0F00E9"/>
    <w:rsid w:val="2F3ECA62"/>
    <w:rsid w:val="2F829A74"/>
    <w:rsid w:val="2F92698C"/>
    <w:rsid w:val="2FA6FAD3"/>
    <w:rsid w:val="2FBA86FB"/>
    <w:rsid w:val="2FD46499"/>
    <w:rsid w:val="3004A8BD"/>
    <w:rsid w:val="30FA96BF"/>
    <w:rsid w:val="313196FF"/>
    <w:rsid w:val="317034FA"/>
    <w:rsid w:val="320BA99E"/>
    <w:rsid w:val="3228E1AD"/>
    <w:rsid w:val="3257E760"/>
    <w:rsid w:val="32818005"/>
    <w:rsid w:val="32A6E661"/>
    <w:rsid w:val="32C492C3"/>
    <w:rsid w:val="32C64423"/>
    <w:rsid w:val="32DC4290"/>
    <w:rsid w:val="32FA64E2"/>
    <w:rsid w:val="3323B89A"/>
    <w:rsid w:val="334A73EE"/>
    <w:rsid w:val="337AB4A9"/>
    <w:rsid w:val="33FA254B"/>
    <w:rsid w:val="348BB948"/>
    <w:rsid w:val="34D5F597"/>
    <w:rsid w:val="351CFC39"/>
    <w:rsid w:val="35251529"/>
    <w:rsid w:val="353FA472"/>
    <w:rsid w:val="35772A0E"/>
    <w:rsid w:val="35A43028"/>
    <w:rsid w:val="35AE58AD"/>
    <w:rsid w:val="35D3FC2F"/>
    <w:rsid w:val="364610DD"/>
    <w:rsid w:val="36484DB1"/>
    <w:rsid w:val="364D96BF"/>
    <w:rsid w:val="3684DEAC"/>
    <w:rsid w:val="369A68DD"/>
    <w:rsid w:val="36F6E7B3"/>
    <w:rsid w:val="3720DB47"/>
    <w:rsid w:val="3738652F"/>
    <w:rsid w:val="373F886C"/>
    <w:rsid w:val="37907C02"/>
    <w:rsid w:val="379D2EB9"/>
    <w:rsid w:val="3864AB4C"/>
    <w:rsid w:val="38A08456"/>
    <w:rsid w:val="38F5364C"/>
    <w:rsid w:val="393FA91A"/>
    <w:rsid w:val="3957844C"/>
    <w:rsid w:val="3957A287"/>
    <w:rsid w:val="3978D72C"/>
    <w:rsid w:val="39D0EC0B"/>
    <w:rsid w:val="3A5B0CBA"/>
    <w:rsid w:val="3AEC4FAB"/>
    <w:rsid w:val="3B290834"/>
    <w:rsid w:val="3B7329F6"/>
    <w:rsid w:val="3B744F4B"/>
    <w:rsid w:val="3B9296B1"/>
    <w:rsid w:val="3C8C4D9D"/>
    <w:rsid w:val="3C96157A"/>
    <w:rsid w:val="3CEBA27B"/>
    <w:rsid w:val="3D5C2947"/>
    <w:rsid w:val="3D773EBE"/>
    <w:rsid w:val="3DC66899"/>
    <w:rsid w:val="3F26D7BE"/>
    <w:rsid w:val="3F367E2F"/>
    <w:rsid w:val="3FA02142"/>
    <w:rsid w:val="3FB838EA"/>
    <w:rsid w:val="4007DEA5"/>
    <w:rsid w:val="401848B5"/>
    <w:rsid w:val="403F1335"/>
    <w:rsid w:val="409348AA"/>
    <w:rsid w:val="40D0A732"/>
    <w:rsid w:val="41427D68"/>
    <w:rsid w:val="417A1661"/>
    <w:rsid w:val="418E7E7B"/>
    <w:rsid w:val="41E3999B"/>
    <w:rsid w:val="4251D70C"/>
    <w:rsid w:val="42AA5FDB"/>
    <w:rsid w:val="42EC4CDC"/>
    <w:rsid w:val="4368BE89"/>
    <w:rsid w:val="43ADCA0E"/>
    <w:rsid w:val="43C7895C"/>
    <w:rsid w:val="4464B56E"/>
    <w:rsid w:val="44C623C0"/>
    <w:rsid w:val="454889BA"/>
    <w:rsid w:val="4584277F"/>
    <w:rsid w:val="45F10F96"/>
    <w:rsid w:val="460E66A7"/>
    <w:rsid w:val="46236731"/>
    <w:rsid w:val="465AD0E4"/>
    <w:rsid w:val="4672FD22"/>
    <w:rsid w:val="4687CE66"/>
    <w:rsid w:val="47313D95"/>
    <w:rsid w:val="4731522B"/>
    <w:rsid w:val="47372111"/>
    <w:rsid w:val="47AA9BAF"/>
    <w:rsid w:val="47B8361B"/>
    <w:rsid w:val="47FD2D0A"/>
    <w:rsid w:val="4822846D"/>
    <w:rsid w:val="485A31FC"/>
    <w:rsid w:val="48716051"/>
    <w:rsid w:val="48844D83"/>
    <w:rsid w:val="4920188E"/>
    <w:rsid w:val="49204B5F"/>
    <w:rsid w:val="49618003"/>
    <w:rsid w:val="4991EEC4"/>
    <w:rsid w:val="4995988E"/>
    <w:rsid w:val="49B15B7F"/>
    <w:rsid w:val="49B17015"/>
    <w:rsid w:val="4A0B5683"/>
    <w:rsid w:val="4ACBB049"/>
    <w:rsid w:val="4ADA4FE6"/>
    <w:rsid w:val="4B6BE3E3"/>
    <w:rsid w:val="4C07D5A0"/>
    <w:rsid w:val="4C122AE9"/>
    <w:rsid w:val="4C33BF82"/>
    <w:rsid w:val="4C64C5FC"/>
    <w:rsid w:val="4D1920AB"/>
    <w:rsid w:val="4D255023"/>
    <w:rsid w:val="4D7A5F71"/>
    <w:rsid w:val="4D9F5029"/>
    <w:rsid w:val="4E0D1B47"/>
    <w:rsid w:val="4E4DD800"/>
    <w:rsid w:val="4E53A0F5"/>
    <w:rsid w:val="4E6BC79A"/>
    <w:rsid w:val="4E7D5954"/>
    <w:rsid w:val="4EAA4240"/>
    <w:rsid w:val="4F791A6C"/>
    <w:rsid w:val="4FDAA9F5"/>
    <w:rsid w:val="5034A4F9"/>
    <w:rsid w:val="50F60D95"/>
    <w:rsid w:val="50F99924"/>
    <w:rsid w:val="519CBA3D"/>
    <w:rsid w:val="51C1DECF"/>
    <w:rsid w:val="51C4D427"/>
    <w:rsid w:val="520E5DA2"/>
    <w:rsid w:val="52EC6866"/>
    <w:rsid w:val="530A5E2C"/>
    <w:rsid w:val="53BB553F"/>
    <w:rsid w:val="53C8B335"/>
    <w:rsid w:val="53D02683"/>
    <w:rsid w:val="53E83486"/>
    <w:rsid w:val="54155043"/>
    <w:rsid w:val="546EE41D"/>
    <w:rsid w:val="54A69334"/>
    <w:rsid w:val="54D390B6"/>
    <w:rsid w:val="54F30D77"/>
    <w:rsid w:val="54FFB2C5"/>
    <w:rsid w:val="55533545"/>
    <w:rsid w:val="563B4058"/>
    <w:rsid w:val="5641A138"/>
    <w:rsid w:val="56B7E395"/>
    <w:rsid w:val="56BAC590"/>
    <w:rsid w:val="571F3DD0"/>
    <w:rsid w:val="574C3B52"/>
    <w:rsid w:val="575F896E"/>
    <w:rsid w:val="576BA80D"/>
    <w:rsid w:val="5783D44B"/>
    <w:rsid w:val="57913241"/>
    <w:rsid w:val="57C08CD4"/>
    <w:rsid w:val="57ED5785"/>
    <w:rsid w:val="57F3D7E7"/>
    <w:rsid w:val="5842BCAC"/>
    <w:rsid w:val="590951B3"/>
    <w:rsid w:val="59760802"/>
    <w:rsid w:val="599806A7"/>
    <w:rsid w:val="599A63B8"/>
    <w:rsid w:val="599FACC6"/>
    <w:rsid w:val="5B41B7E0"/>
    <w:rsid w:val="5B61249B"/>
    <w:rsid w:val="5B613931"/>
    <w:rsid w:val="5B75EBFC"/>
    <w:rsid w:val="5BCB9128"/>
    <w:rsid w:val="5C91BF21"/>
    <w:rsid w:val="5C984008"/>
    <w:rsid w:val="5D125766"/>
    <w:rsid w:val="5D1B8EC4"/>
    <w:rsid w:val="5D3AFB7F"/>
    <w:rsid w:val="5E06CCB9"/>
    <w:rsid w:val="5E36274C"/>
    <w:rsid w:val="5E6EEEC3"/>
    <w:rsid w:val="5EBDB819"/>
    <w:rsid w:val="5EE4ACB8"/>
    <w:rsid w:val="5F14D263"/>
    <w:rsid w:val="5F25C82E"/>
    <w:rsid w:val="5F46CE48"/>
    <w:rsid w:val="5F50341F"/>
    <w:rsid w:val="5F7E886E"/>
    <w:rsid w:val="5FC9B185"/>
    <w:rsid w:val="6015146D"/>
    <w:rsid w:val="601BC825"/>
    <w:rsid w:val="6056A67F"/>
    <w:rsid w:val="6130780D"/>
    <w:rsid w:val="6140FE6A"/>
    <w:rsid w:val="61852A03"/>
    <w:rsid w:val="6206E4BE"/>
    <w:rsid w:val="623B4BE9"/>
    <w:rsid w:val="62985A80"/>
    <w:rsid w:val="62CB2E14"/>
    <w:rsid w:val="62EAE236"/>
    <w:rsid w:val="630A6387"/>
    <w:rsid w:val="640DD48E"/>
    <w:rsid w:val="6422BD39"/>
    <w:rsid w:val="64431148"/>
    <w:rsid w:val="6508E4F1"/>
    <w:rsid w:val="651F76D7"/>
    <w:rsid w:val="656ED8A1"/>
    <w:rsid w:val="65BF7CB9"/>
    <w:rsid w:val="65E467DF"/>
    <w:rsid w:val="667195E1"/>
    <w:rsid w:val="66D4B2B9"/>
    <w:rsid w:val="66E7D212"/>
    <w:rsid w:val="6718AA4D"/>
    <w:rsid w:val="672CC901"/>
    <w:rsid w:val="67D63830"/>
    <w:rsid w:val="67F89A3B"/>
    <w:rsid w:val="67FAF74C"/>
    <w:rsid w:val="6800405A"/>
    <w:rsid w:val="680B29DD"/>
    <w:rsid w:val="68378847"/>
    <w:rsid w:val="6860BC45"/>
    <w:rsid w:val="68A88974"/>
    <w:rsid w:val="68A9914E"/>
    <w:rsid w:val="696AF9EA"/>
    <w:rsid w:val="69C4F4EE"/>
    <w:rsid w:val="69D9E46D"/>
    <w:rsid w:val="6A83539C"/>
    <w:rsid w:val="6A945C6F"/>
    <w:rsid w:val="6AD2F957"/>
    <w:rsid w:val="6BBA349A"/>
    <w:rsid w:val="6BC37658"/>
    <w:rsid w:val="6C796364"/>
    <w:rsid w:val="6CA20334"/>
    <w:rsid w:val="6CDAC9DC"/>
    <w:rsid w:val="6D037186"/>
    <w:rsid w:val="6D06986E"/>
    <w:rsid w:val="6D5D6C8A"/>
    <w:rsid w:val="6D8014C3"/>
    <w:rsid w:val="6D9AF02B"/>
    <w:rsid w:val="6DF4912E"/>
    <w:rsid w:val="6E0F0EDC"/>
    <w:rsid w:val="6EAA8C57"/>
    <w:rsid w:val="6EE0B1B3"/>
    <w:rsid w:val="6F6440F0"/>
    <w:rsid w:val="6F74C70F"/>
    <w:rsid w:val="6F83A406"/>
    <w:rsid w:val="6F991F6F"/>
    <w:rsid w:val="6FCBE018"/>
    <w:rsid w:val="7010A436"/>
    <w:rsid w:val="704B32F1"/>
    <w:rsid w:val="7077662A"/>
    <w:rsid w:val="707EA580"/>
    <w:rsid w:val="709B298C"/>
    <w:rsid w:val="70E710E7"/>
    <w:rsid w:val="71608D3C"/>
    <w:rsid w:val="71906CB9"/>
    <w:rsid w:val="71AAC337"/>
    <w:rsid w:val="71AC7497"/>
    <w:rsid w:val="71FC5847"/>
    <w:rsid w:val="71FFC529"/>
    <w:rsid w:val="7221E27B"/>
    <w:rsid w:val="7292111C"/>
    <w:rsid w:val="72B3583D"/>
    <w:rsid w:val="72D2C4F8"/>
    <w:rsid w:val="73254CAE"/>
    <w:rsid w:val="732C2A6F"/>
    <w:rsid w:val="732CBFFC"/>
    <w:rsid w:val="73503969"/>
    <w:rsid w:val="73911A01"/>
    <w:rsid w:val="73B6E0AB"/>
    <w:rsid w:val="73EE2898"/>
    <w:rsid w:val="742EB407"/>
    <w:rsid w:val="747553EF"/>
    <w:rsid w:val="74EED044"/>
    <w:rsid w:val="7607E5DB"/>
    <w:rsid w:val="761E95A3"/>
    <w:rsid w:val="766A1BCF"/>
    <w:rsid w:val="76744F65"/>
    <w:rsid w:val="772A4A8A"/>
    <w:rsid w:val="773A68C8"/>
    <w:rsid w:val="775AF02C"/>
    <w:rsid w:val="77E0E29F"/>
    <w:rsid w:val="77E3A526"/>
    <w:rsid w:val="77F135ED"/>
    <w:rsid w:val="7842D083"/>
    <w:rsid w:val="785234BA"/>
    <w:rsid w:val="789148F7"/>
    <w:rsid w:val="78AA4B8D"/>
    <w:rsid w:val="78C60F07"/>
    <w:rsid w:val="78D113A2"/>
    <w:rsid w:val="792BD304"/>
    <w:rsid w:val="79637FC5"/>
    <w:rsid w:val="799AE726"/>
    <w:rsid w:val="799DC7E8"/>
    <w:rsid w:val="79DFDE15"/>
    <w:rsid w:val="7A214860"/>
    <w:rsid w:val="7A410FB3"/>
    <w:rsid w:val="7A5978A5"/>
    <w:rsid w:val="7B177C64"/>
    <w:rsid w:val="7B1AC306"/>
    <w:rsid w:val="7B250C5A"/>
    <w:rsid w:val="7B2FE556"/>
    <w:rsid w:val="7B6363BF"/>
    <w:rsid w:val="7B74BE0A"/>
    <w:rsid w:val="7BC12847"/>
    <w:rsid w:val="7BDCE014"/>
    <w:rsid w:val="7C116F33"/>
    <w:rsid w:val="7CF18FFC"/>
    <w:rsid w:val="7E93CDE7"/>
    <w:rsid w:val="7EB33AA2"/>
    <w:rsid w:val="7ED346FA"/>
    <w:rsid w:val="7F6A3A98"/>
    <w:rsid w:val="7FB6A4D5"/>
    <w:rsid w:val="7FCED113"/>
    <w:rsid w:val="7FDE8C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C811D"/>
  <w15:chartTrackingRefBased/>
  <w15:docId w15:val="{3EBC1EF3-348C-4C58-8B63-A2D18ADC5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BCE"/>
    <w:pPr>
      <w:spacing w:after="0" w:line="276" w:lineRule="auto"/>
    </w:pPr>
    <w:rPr>
      <w:rFonts w:ascii="Arial" w:eastAsia="Arial" w:hAnsi="Arial" w:cs="Arial"/>
      <w:lang w:val="en" w:eastAsia="en-GB"/>
    </w:rPr>
  </w:style>
  <w:style w:type="paragraph" w:styleId="Heading1">
    <w:name w:val="heading 1"/>
    <w:basedOn w:val="Normal"/>
    <w:next w:val="Normal"/>
    <w:link w:val="Heading1Char"/>
    <w:uiPriority w:val="9"/>
    <w:qFormat/>
    <w:rsid w:val="00BD4BCE"/>
    <w:pPr>
      <w:keepNext/>
      <w:keepLines/>
      <w:spacing w:before="400" w:after="120"/>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BCE"/>
    <w:rPr>
      <w:rFonts w:ascii="Arial" w:eastAsia="Arial" w:hAnsi="Arial" w:cs="Arial"/>
      <w:sz w:val="40"/>
      <w:szCs w:val="40"/>
      <w:lang w:val="en" w:eastAsia="en-GB"/>
    </w:rPr>
  </w:style>
  <w:style w:type="paragraph" w:styleId="CommentText">
    <w:name w:val="annotation text"/>
    <w:basedOn w:val="Normal"/>
    <w:link w:val="CommentTextChar"/>
    <w:uiPriority w:val="99"/>
    <w:unhideWhenUsed/>
    <w:rsid w:val="00BD4BCE"/>
    <w:pPr>
      <w:spacing w:line="240" w:lineRule="auto"/>
    </w:pPr>
    <w:rPr>
      <w:sz w:val="20"/>
      <w:szCs w:val="20"/>
    </w:rPr>
  </w:style>
  <w:style w:type="character" w:customStyle="1" w:styleId="CommentTextChar">
    <w:name w:val="Comment Text Char"/>
    <w:basedOn w:val="DefaultParagraphFont"/>
    <w:link w:val="CommentText"/>
    <w:uiPriority w:val="99"/>
    <w:rsid w:val="00BD4BCE"/>
    <w:rPr>
      <w:rFonts w:ascii="Arial" w:eastAsia="Arial" w:hAnsi="Arial" w:cs="Arial"/>
      <w:sz w:val="20"/>
      <w:szCs w:val="20"/>
      <w:lang w:val="en" w:eastAsia="en-GB"/>
    </w:rPr>
  </w:style>
  <w:style w:type="character" w:styleId="CommentReference">
    <w:name w:val="annotation reference"/>
    <w:basedOn w:val="DefaultParagraphFont"/>
    <w:uiPriority w:val="99"/>
    <w:semiHidden/>
    <w:unhideWhenUsed/>
    <w:rsid w:val="00BD4BCE"/>
    <w:rPr>
      <w:sz w:val="16"/>
      <w:szCs w:val="16"/>
    </w:rPr>
  </w:style>
  <w:style w:type="paragraph" w:customStyle="1" w:styleId="paragraph">
    <w:name w:val="paragraph"/>
    <w:basedOn w:val="Normal"/>
    <w:rsid w:val="00BD4BC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BD4BCE"/>
  </w:style>
  <w:style w:type="character" w:customStyle="1" w:styleId="eop">
    <w:name w:val="eop"/>
    <w:basedOn w:val="DefaultParagraphFont"/>
    <w:rsid w:val="00BD4BCE"/>
  </w:style>
  <w:style w:type="character" w:customStyle="1" w:styleId="spellingerror">
    <w:name w:val="spellingerror"/>
    <w:basedOn w:val="DefaultParagraphFont"/>
    <w:rsid w:val="00BD4BCE"/>
  </w:style>
  <w:style w:type="paragraph" w:styleId="Header">
    <w:name w:val="header"/>
    <w:basedOn w:val="Normal"/>
    <w:link w:val="HeaderChar"/>
    <w:uiPriority w:val="99"/>
    <w:unhideWhenUsed/>
    <w:rsid w:val="00431CA9"/>
    <w:pPr>
      <w:tabs>
        <w:tab w:val="center" w:pos="4680"/>
        <w:tab w:val="right" w:pos="9360"/>
      </w:tabs>
      <w:spacing w:line="240" w:lineRule="auto"/>
    </w:pPr>
  </w:style>
  <w:style w:type="character" w:customStyle="1" w:styleId="HeaderChar">
    <w:name w:val="Header Char"/>
    <w:basedOn w:val="DefaultParagraphFont"/>
    <w:link w:val="Header"/>
    <w:uiPriority w:val="99"/>
    <w:rsid w:val="00431CA9"/>
    <w:rPr>
      <w:rFonts w:ascii="Arial" w:eastAsia="Arial" w:hAnsi="Arial" w:cs="Arial"/>
      <w:lang w:val="en" w:eastAsia="en-GB"/>
    </w:rPr>
  </w:style>
  <w:style w:type="paragraph" w:styleId="Footer">
    <w:name w:val="footer"/>
    <w:basedOn w:val="Normal"/>
    <w:link w:val="FooterChar"/>
    <w:uiPriority w:val="99"/>
    <w:unhideWhenUsed/>
    <w:rsid w:val="00431CA9"/>
    <w:pPr>
      <w:tabs>
        <w:tab w:val="center" w:pos="4680"/>
        <w:tab w:val="right" w:pos="9360"/>
      </w:tabs>
      <w:spacing w:line="240" w:lineRule="auto"/>
    </w:pPr>
  </w:style>
  <w:style w:type="character" w:customStyle="1" w:styleId="FooterChar">
    <w:name w:val="Footer Char"/>
    <w:basedOn w:val="DefaultParagraphFont"/>
    <w:link w:val="Footer"/>
    <w:uiPriority w:val="99"/>
    <w:rsid w:val="00431CA9"/>
    <w:rPr>
      <w:rFonts w:ascii="Arial" w:eastAsia="Arial" w:hAnsi="Arial" w:cs="Arial"/>
      <w:lang w:val="en" w:eastAsia="en-GB"/>
    </w:rPr>
  </w:style>
  <w:style w:type="paragraph" w:styleId="ListParagraph">
    <w:name w:val="List Paragraph"/>
    <w:aliases w:val="Citation List,references,Bullet Points,Liste Paragraf,List Bullet-OpsManual,Table of contents numbered,List Paragraph Char Char,List Paragraph1,Bullets,Graphic,Resume Title,Ha,Text,Use Case List Paragraph,Proposal Bullet List,List Item,bl"/>
    <w:basedOn w:val="Normal"/>
    <w:link w:val="ListParagraphChar"/>
    <w:uiPriority w:val="34"/>
    <w:qFormat/>
    <w:rsid w:val="000B7B44"/>
    <w:pPr>
      <w:ind w:left="720"/>
      <w:contextualSpacing/>
    </w:pPr>
  </w:style>
  <w:style w:type="paragraph" w:styleId="CommentSubject">
    <w:name w:val="annotation subject"/>
    <w:basedOn w:val="CommentText"/>
    <w:next w:val="CommentText"/>
    <w:link w:val="CommentSubjectChar"/>
    <w:uiPriority w:val="99"/>
    <w:semiHidden/>
    <w:unhideWhenUsed/>
    <w:rsid w:val="007A3FC1"/>
    <w:rPr>
      <w:b/>
      <w:bCs/>
    </w:rPr>
  </w:style>
  <w:style w:type="character" w:customStyle="1" w:styleId="CommentSubjectChar">
    <w:name w:val="Comment Subject Char"/>
    <w:basedOn w:val="CommentTextChar"/>
    <w:link w:val="CommentSubject"/>
    <w:uiPriority w:val="99"/>
    <w:semiHidden/>
    <w:rsid w:val="007A3FC1"/>
    <w:rPr>
      <w:rFonts w:ascii="Arial" w:eastAsia="Arial" w:hAnsi="Arial" w:cs="Arial"/>
      <w:b/>
      <w:bCs/>
      <w:sz w:val="20"/>
      <w:szCs w:val="20"/>
      <w:lang w:val="en" w:eastAsia="en-GB"/>
    </w:rPr>
  </w:style>
  <w:style w:type="table" w:styleId="TableGrid">
    <w:name w:val="Table Grid"/>
    <w:basedOn w:val="TableNormal"/>
    <w:uiPriority w:val="39"/>
    <w:rsid w:val="00185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references Char,Bullet Points Char,Liste Paragraf Char,List Bullet-OpsManual Char,Table of contents numbered Char,List Paragraph Char Char Char,List Paragraph1 Char,Bullets Char,Graphic Char,Resume Title Char"/>
    <w:link w:val="ListParagraph"/>
    <w:uiPriority w:val="34"/>
    <w:qFormat/>
    <w:locked/>
    <w:rsid w:val="00AA32F8"/>
    <w:rPr>
      <w:rFonts w:ascii="Arial" w:eastAsia="Arial" w:hAnsi="Arial" w:cs="Arial"/>
      <w:lang w:val="en" w:eastAsia="en-GB"/>
    </w:rPr>
  </w:style>
  <w:style w:type="character" w:customStyle="1" w:styleId="Mention1">
    <w:name w:val="Mention1"/>
    <w:basedOn w:val="DefaultParagraphFont"/>
    <w:uiPriority w:val="99"/>
    <w:unhideWhenUsed/>
    <w:rsid w:val="00AA32F8"/>
    <w:rPr>
      <w:color w:val="2B579A"/>
      <w:shd w:val="clear" w:color="auto" w:fill="E6E6E6"/>
    </w:rPr>
  </w:style>
  <w:style w:type="character" w:customStyle="1" w:styleId="UnresolvedMention1">
    <w:name w:val="Unresolved Mention1"/>
    <w:basedOn w:val="DefaultParagraphFont"/>
    <w:uiPriority w:val="99"/>
    <w:unhideWhenUsed/>
    <w:rsid w:val="00806832"/>
    <w:rPr>
      <w:color w:val="605E5C"/>
      <w:shd w:val="clear" w:color="auto" w:fill="E1DFDD"/>
    </w:rPr>
  </w:style>
  <w:style w:type="paragraph" w:styleId="Title">
    <w:name w:val="Title"/>
    <w:basedOn w:val="Normal"/>
    <w:link w:val="TitleChar"/>
    <w:uiPriority w:val="10"/>
    <w:qFormat/>
    <w:rsid w:val="00806832"/>
    <w:pPr>
      <w:spacing w:before="240" w:after="60" w:line="240" w:lineRule="auto"/>
      <w:jc w:val="center"/>
      <w:outlineLvl w:val="0"/>
    </w:pPr>
    <w:rPr>
      <w:rFonts w:eastAsia="MS Mincho"/>
      <w:b/>
      <w:bCs/>
      <w:kern w:val="28"/>
      <w:sz w:val="32"/>
      <w:szCs w:val="32"/>
      <w:lang w:val="en-US" w:eastAsia="ja-JP"/>
    </w:rPr>
  </w:style>
  <w:style w:type="character" w:customStyle="1" w:styleId="TitleChar">
    <w:name w:val="Title Char"/>
    <w:basedOn w:val="DefaultParagraphFont"/>
    <w:link w:val="Title"/>
    <w:uiPriority w:val="10"/>
    <w:rsid w:val="00806832"/>
    <w:rPr>
      <w:rFonts w:ascii="Arial" w:eastAsia="MS Mincho" w:hAnsi="Arial" w:cs="Arial"/>
      <w:b/>
      <w:bCs/>
      <w:kern w:val="28"/>
      <w:sz w:val="32"/>
      <w:szCs w:val="32"/>
      <w:lang w:eastAsia="ja-JP"/>
    </w:rPr>
  </w:style>
  <w:style w:type="paragraph" w:styleId="Revision">
    <w:name w:val="Revision"/>
    <w:hidden/>
    <w:uiPriority w:val="99"/>
    <w:semiHidden/>
    <w:rsid w:val="002518B4"/>
    <w:pPr>
      <w:spacing w:after="0" w:line="240" w:lineRule="auto"/>
    </w:pPr>
    <w:rPr>
      <w:rFonts w:ascii="Arial" w:eastAsia="Arial" w:hAnsi="Arial" w:cs="Arial"/>
      <w:lang w:val="en" w:eastAsia="en-GB"/>
    </w:rPr>
  </w:style>
  <w:style w:type="character" w:styleId="Hyperlink">
    <w:name w:val="Hyperlink"/>
    <w:basedOn w:val="DefaultParagraphFont"/>
    <w:uiPriority w:val="99"/>
    <w:unhideWhenUsed/>
    <w:rsid w:val="00775AC8"/>
    <w:rPr>
      <w:color w:val="0563C1" w:themeColor="hyperlink"/>
      <w:u w:val="single"/>
    </w:rPr>
  </w:style>
  <w:style w:type="character" w:styleId="FollowedHyperlink">
    <w:name w:val="FollowedHyperlink"/>
    <w:basedOn w:val="DefaultParagraphFont"/>
    <w:uiPriority w:val="99"/>
    <w:semiHidden/>
    <w:unhideWhenUsed/>
    <w:rsid w:val="0032033D"/>
    <w:rPr>
      <w:color w:val="954F72" w:themeColor="followedHyperlink"/>
      <w:u w:val="single"/>
    </w:rPr>
  </w:style>
  <w:style w:type="paragraph" w:styleId="NormalWeb">
    <w:name w:val="Normal (Web)"/>
    <w:basedOn w:val="Normal"/>
    <w:uiPriority w:val="99"/>
    <w:semiHidden/>
    <w:unhideWhenUsed/>
    <w:rsid w:val="003427F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urrentList1">
    <w:name w:val="Current List1"/>
    <w:uiPriority w:val="99"/>
    <w:rsid w:val="004E4361"/>
    <w:pPr>
      <w:numPr>
        <w:numId w:val="1"/>
      </w:numPr>
    </w:pPr>
  </w:style>
  <w:style w:type="numbering" w:customStyle="1" w:styleId="CurrentList2">
    <w:name w:val="Current List2"/>
    <w:uiPriority w:val="99"/>
    <w:rsid w:val="00F73FF8"/>
    <w:pPr>
      <w:numPr>
        <w:numId w:val="2"/>
      </w:numPr>
    </w:pPr>
  </w:style>
  <w:style w:type="numbering" w:customStyle="1" w:styleId="CurrentList3">
    <w:name w:val="Current List3"/>
    <w:uiPriority w:val="99"/>
    <w:rsid w:val="001E1C11"/>
    <w:pPr>
      <w:numPr>
        <w:numId w:val="3"/>
      </w:numPr>
    </w:pPr>
  </w:style>
  <w:style w:type="paragraph" w:styleId="NoSpacing">
    <w:name w:val="No Spacing"/>
    <w:uiPriority w:val="1"/>
    <w:qFormat/>
    <w:rsid w:val="00284A22"/>
    <w:pPr>
      <w:spacing w:after="0" w:line="240" w:lineRule="auto"/>
    </w:pPr>
    <w:rPr>
      <w:rFonts w:ascii="Arial" w:eastAsia="Arial" w:hAnsi="Arial" w:cs="Arial"/>
      <w:lang w:val="en" w:eastAsia="en-GB"/>
    </w:rPr>
  </w:style>
  <w:style w:type="paragraph" w:styleId="FootnoteText">
    <w:name w:val="footnote text"/>
    <w:basedOn w:val="Normal"/>
    <w:link w:val="FootnoteTextChar"/>
    <w:uiPriority w:val="99"/>
    <w:semiHidden/>
    <w:unhideWhenUsed/>
    <w:rsid w:val="00D77BD9"/>
    <w:pPr>
      <w:spacing w:line="240" w:lineRule="auto"/>
    </w:pPr>
    <w:rPr>
      <w:sz w:val="20"/>
      <w:szCs w:val="20"/>
    </w:rPr>
  </w:style>
  <w:style w:type="character" w:customStyle="1" w:styleId="FootnoteTextChar">
    <w:name w:val="Footnote Text Char"/>
    <w:basedOn w:val="DefaultParagraphFont"/>
    <w:link w:val="FootnoteText"/>
    <w:uiPriority w:val="99"/>
    <w:semiHidden/>
    <w:rsid w:val="00D77BD9"/>
    <w:rPr>
      <w:rFonts w:ascii="Arial" w:eastAsia="Arial" w:hAnsi="Arial" w:cs="Arial"/>
      <w:sz w:val="20"/>
      <w:szCs w:val="20"/>
      <w:lang w:val="en" w:eastAsia="en-GB"/>
    </w:rPr>
  </w:style>
  <w:style w:type="character" w:styleId="FootnoteReference">
    <w:name w:val="footnote reference"/>
    <w:basedOn w:val="DefaultParagraphFont"/>
    <w:uiPriority w:val="99"/>
    <w:semiHidden/>
    <w:unhideWhenUsed/>
    <w:rsid w:val="00D77BD9"/>
    <w:rPr>
      <w:vertAlign w:val="superscript"/>
    </w:rPr>
  </w:style>
  <w:style w:type="character" w:styleId="Emphasis">
    <w:name w:val="Emphasis"/>
    <w:basedOn w:val="DefaultParagraphFont"/>
    <w:uiPriority w:val="20"/>
    <w:qFormat/>
    <w:rsid w:val="00036581"/>
    <w:rPr>
      <w:i/>
      <w:iCs/>
    </w:rPr>
  </w:style>
  <w:style w:type="paragraph" w:customStyle="1" w:styleId="Default">
    <w:name w:val="Default"/>
    <w:rsid w:val="00AA040C"/>
    <w:pPr>
      <w:autoSpaceDE w:val="0"/>
      <w:autoSpaceDN w:val="0"/>
      <w:adjustRightInd w:val="0"/>
      <w:spacing w:after="0" w:line="240" w:lineRule="auto"/>
    </w:pPr>
    <w:rPr>
      <w:rFonts w:ascii="Arial" w:hAnsi="Arial" w:cs="Arial"/>
      <w:color w:val="000000"/>
      <w:sz w:val="24"/>
      <w:szCs w:val="24"/>
      <w:lang w:val="en-AU"/>
    </w:rPr>
  </w:style>
  <w:style w:type="character" w:customStyle="1" w:styleId="cf01">
    <w:name w:val="cf01"/>
    <w:basedOn w:val="DefaultParagraphFont"/>
    <w:rsid w:val="001D354A"/>
    <w:rPr>
      <w:rFonts w:ascii="Segoe UI" w:hAnsi="Segoe UI" w:cs="Segoe UI" w:hint="default"/>
      <w:sz w:val="18"/>
      <w:szCs w:val="18"/>
    </w:rPr>
  </w:style>
  <w:style w:type="paragraph" w:customStyle="1" w:styleId="pf0">
    <w:name w:val="pf0"/>
    <w:basedOn w:val="Normal"/>
    <w:rsid w:val="00C139A2"/>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cf11">
    <w:name w:val="cf11"/>
    <w:basedOn w:val="DefaultParagraphFont"/>
    <w:rsid w:val="00C139A2"/>
    <w:rPr>
      <w:rFonts w:ascii="Segoe UI" w:hAnsi="Segoe UI" w:cs="Segoe UI" w:hint="default"/>
      <w:sz w:val="18"/>
      <w:szCs w:val="18"/>
    </w:rPr>
  </w:style>
  <w:style w:type="character" w:customStyle="1" w:styleId="cf21">
    <w:name w:val="cf21"/>
    <w:basedOn w:val="DefaultParagraphFont"/>
    <w:rsid w:val="00C139A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054438">
      <w:bodyDiv w:val="1"/>
      <w:marLeft w:val="0"/>
      <w:marRight w:val="0"/>
      <w:marTop w:val="0"/>
      <w:marBottom w:val="0"/>
      <w:divBdr>
        <w:top w:val="none" w:sz="0" w:space="0" w:color="auto"/>
        <w:left w:val="none" w:sz="0" w:space="0" w:color="auto"/>
        <w:bottom w:val="none" w:sz="0" w:space="0" w:color="auto"/>
        <w:right w:val="none" w:sz="0" w:space="0" w:color="auto"/>
      </w:divBdr>
    </w:div>
    <w:div w:id="269314851">
      <w:bodyDiv w:val="1"/>
      <w:marLeft w:val="0"/>
      <w:marRight w:val="0"/>
      <w:marTop w:val="0"/>
      <w:marBottom w:val="0"/>
      <w:divBdr>
        <w:top w:val="none" w:sz="0" w:space="0" w:color="auto"/>
        <w:left w:val="none" w:sz="0" w:space="0" w:color="auto"/>
        <w:bottom w:val="none" w:sz="0" w:space="0" w:color="auto"/>
        <w:right w:val="none" w:sz="0" w:space="0" w:color="auto"/>
      </w:divBdr>
    </w:div>
    <w:div w:id="320038920">
      <w:bodyDiv w:val="1"/>
      <w:marLeft w:val="0"/>
      <w:marRight w:val="0"/>
      <w:marTop w:val="0"/>
      <w:marBottom w:val="0"/>
      <w:divBdr>
        <w:top w:val="none" w:sz="0" w:space="0" w:color="auto"/>
        <w:left w:val="none" w:sz="0" w:space="0" w:color="auto"/>
        <w:bottom w:val="none" w:sz="0" w:space="0" w:color="auto"/>
        <w:right w:val="none" w:sz="0" w:space="0" w:color="auto"/>
      </w:divBdr>
    </w:div>
    <w:div w:id="429617906">
      <w:bodyDiv w:val="1"/>
      <w:marLeft w:val="0"/>
      <w:marRight w:val="0"/>
      <w:marTop w:val="0"/>
      <w:marBottom w:val="0"/>
      <w:divBdr>
        <w:top w:val="none" w:sz="0" w:space="0" w:color="auto"/>
        <w:left w:val="none" w:sz="0" w:space="0" w:color="auto"/>
        <w:bottom w:val="none" w:sz="0" w:space="0" w:color="auto"/>
        <w:right w:val="none" w:sz="0" w:space="0" w:color="auto"/>
      </w:divBdr>
    </w:div>
    <w:div w:id="451949190">
      <w:bodyDiv w:val="1"/>
      <w:marLeft w:val="0"/>
      <w:marRight w:val="0"/>
      <w:marTop w:val="0"/>
      <w:marBottom w:val="0"/>
      <w:divBdr>
        <w:top w:val="none" w:sz="0" w:space="0" w:color="auto"/>
        <w:left w:val="none" w:sz="0" w:space="0" w:color="auto"/>
        <w:bottom w:val="none" w:sz="0" w:space="0" w:color="auto"/>
        <w:right w:val="none" w:sz="0" w:space="0" w:color="auto"/>
      </w:divBdr>
      <w:divsChild>
        <w:div w:id="2089766845">
          <w:marLeft w:val="0"/>
          <w:marRight w:val="0"/>
          <w:marTop w:val="0"/>
          <w:marBottom w:val="0"/>
          <w:divBdr>
            <w:top w:val="none" w:sz="0" w:space="0" w:color="auto"/>
            <w:left w:val="none" w:sz="0" w:space="0" w:color="auto"/>
            <w:bottom w:val="none" w:sz="0" w:space="0" w:color="auto"/>
            <w:right w:val="none" w:sz="0" w:space="0" w:color="auto"/>
          </w:divBdr>
        </w:div>
      </w:divsChild>
    </w:div>
    <w:div w:id="559102086">
      <w:bodyDiv w:val="1"/>
      <w:marLeft w:val="0"/>
      <w:marRight w:val="0"/>
      <w:marTop w:val="0"/>
      <w:marBottom w:val="0"/>
      <w:divBdr>
        <w:top w:val="none" w:sz="0" w:space="0" w:color="auto"/>
        <w:left w:val="none" w:sz="0" w:space="0" w:color="auto"/>
        <w:bottom w:val="none" w:sz="0" w:space="0" w:color="auto"/>
        <w:right w:val="none" w:sz="0" w:space="0" w:color="auto"/>
      </w:divBdr>
      <w:divsChild>
        <w:div w:id="778570844">
          <w:marLeft w:val="446"/>
          <w:marRight w:val="0"/>
          <w:marTop w:val="0"/>
          <w:marBottom w:val="0"/>
          <w:divBdr>
            <w:top w:val="none" w:sz="0" w:space="0" w:color="auto"/>
            <w:left w:val="none" w:sz="0" w:space="0" w:color="auto"/>
            <w:bottom w:val="none" w:sz="0" w:space="0" w:color="auto"/>
            <w:right w:val="none" w:sz="0" w:space="0" w:color="auto"/>
          </w:divBdr>
        </w:div>
        <w:div w:id="2123526703">
          <w:marLeft w:val="446"/>
          <w:marRight w:val="0"/>
          <w:marTop w:val="0"/>
          <w:marBottom w:val="0"/>
          <w:divBdr>
            <w:top w:val="none" w:sz="0" w:space="0" w:color="auto"/>
            <w:left w:val="none" w:sz="0" w:space="0" w:color="auto"/>
            <w:bottom w:val="none" w:sz="0" w:space="0" w:color="auto"/>
            <w:right w:val="none" w:sz="0" w:space="0" w:color="auto"/>
          </w:divBdr>
        </w:div>
      </w:divsChild>
    </w:div>
    <w:div w:id="596328717">
      <w:bodyDiv w:val="1"/>
      <w:marLeft w:val="0"/>
      <w:marRight w:val="0"/>
      <w:marTop w:val="0"/>
      <w:marBottom w:val="0"/>
      <w:divBdr>
        <w:top w:val="none" w:sz="0" w:space="0" w:color="auto"/>
        <w:left w:val="none" w:sz="0" w:space="0" w:color="auto"/>
        <w:bottom w:val="none" w:sz="0" w:space="0" w:color="auto"/>
        <w:right w:val="none" w:sz="0" w:space="0" w:color="auto"/>
      </w:divBdr>
    </w:div>
    <w:div w:id="634679841">
      <w:bodyDiv w:val="1"/>
      <w:marLeft w:val="0"/>
      <w:marRight w:val="0"/>
      <w:marTop w:val="0"/>
      <w:marBottom w:val="0"/>
      <w:divBdr>
        <w:top w:val="none" w:sz="0" w:space="0" w:color="auto"/>
        <w:left w:val="none" w:sz="0" w:space="0" w:color="auto"/>
        <w:bottom w:val="none" w:sz="0" w:space="0" w:color="auto"/>
        <w:right w:val="none" w:sz="0" w:space="0" w:color="auto"/>
      </w:divBdr>
    </w:div>
    <w:div w:id="663050011">
      <w:bodyDiv w:val="1"/>
      <w:marLeft w:val="0"/>
      <w:marRight w:val="0"/>
      <w:marTop w:val="0"/>
      <w:marBottom w:val="0"/>
      <w:divBdr>
        <w:top w:val="none" w:sz="0" w:space="0" w:color="auto"/>
        <w:left w:val="none" w:sz="0" w:space="0" w:color="auto"/>
        <w:bottom w:val="none" w:sz="0" w:space="0" w:color="auto"/>
        <w:right w:val="none" w:sz="0" w:space="0" w:color="auto"/>
      </w:divBdr>
    </w:div>
    <w:div w:id="666789310">
      <w:bodyDiv w:val="1"/>
      <w:marLeft w:val="0"/>
      <w:marRight w:val="0"/>
      <w:marTop w:val="0"/>
      <w:marBottom w:val="0"/>
      <w:divBdr>
        <w:top w:val="none" w:sz="0" w:space="0" w:color="auto"/>
        <w:left w:val="none" w:sz="0" w:space="0" w:color="auto"/>
        <w:bottom w:val="none" w:sz="0" w:space="0" w:color="auto"/>
        <w:right w:val="none" w:sz="0" w:space="0" w:color="auto"/>
      </w:divBdr>
    </w:div>
    <w:div w:id="696351096">
      <w:bodyDiv w:val="1"/>
      <w:marLeft w:val="0"/>
      <w:marRight w:val="0"/>
      <w:marTop w:val="0"/>
      <w:marBottom w:val="0"/>
      <w:divBdr>
        <w:top w:val="none" w:sz="0" w:space="0" w:color="auto"/>
        <w:left w:val="none" w:sz="0" w:space="0" w:color="auto"/>
        <w:bottom w:val="none" w:sz="0" w:space="0" w:color="auto"/>
        <w:right w:val="none" w:sz="0" w:space="0" w:color="auto"/>
      </w:divBdr>
      <w:divsChild>
        <w:div w:id="1160728799">
          <w:marLeft w:val="1080"/>
          <w:marRight w:val="0"/>
          <w:marTop w:val="100"/>
          <w:marBottom w:val="0"/>
          <w:divBdr>
            <w:top w:val="none" w:sz="0" w:space="0" w:color="auto"/>
            <w:left w:val="none" w:sz="0" w:space="0" w:color="auto"/>
            <w:bottom w:val="none" w:sz="0" w:space="0" w:color="auto"/>
            <w:right w:val="none" w:sz="0" w:space="0" w:color="auto"/>
          </w:divBdr>
        </w:div>
        <w:div w:id="1935700369">
          <w:marLeft w:val="1080"/>
          <w:marRight w:val="0"/>
          <w:marTop w:val="100"/>
          <w:marBottom w:val="0"/>
          <w:divBdr>
            <w:top w:val="none" w:sz="0" w:space="0" w:color="auto"/>
            <w:left w:val="none" w:sz="0" w:space="0" w:color="auto"/>
            <w:bottom w:val="none" w:sz="0" w:space="0" w:color="auto"/>
            <w:right w:val="none" w:sz="0" w:space="0" w:color="auto"/>
          </w:divBdr>
        </w:div>
      </w:divsChild>
    </w:div>
    <w:div w:id="714697641">
      <w:bodyDiv w:val="1"/>
      <w:marLeft w:val="0"/>
      <w:marRight w:val="0"/>
      <w:marTop w:val="0"/>
      <w:marBottom w:val="0"/>
      <w:divBdr>
        <w:top w:val="none" w:sz="0" w:space="0" w:color="auto"/>
        <w:left w:val="none" w:sz="0" w:space="0" w:color="auto"/>
        <w:bottom w:val="none" w:sz="0" w:space="0" w:color="auto"/>
        <w:right w:val="none" w:sz="0" w:space="0" w:color="auto"/>
      </w:divBdr>
      <w:divsChild>
        <w:div w:id="485634332">
          <w:marLeft w:val="547"/>
          <w:marRight w:val="0"/>
          <w:marTop w:val="0"/>
          <w:marBottom w:val="0"/>
          <w:divBdr>
            <w:top w:val="none" w:sz="0" w:space="0" w:color="auto"/>
            <w:left w:val="none" w:sz="0" w:space="0" w:color="auto"/>
            <w:bottom w:val="none" w:sz="0" w:space="0" w:color="auto"/>
            <w:right w:val="none" w:sz="0" w:space="0" w:color="auto"/>
          </w:divBdr>
        </w:div>
        <w:div w:id="832451658">
          <w:marLeft w:val="547"/>
          <w:marRight w:val="0"/>
          <w:marTop w:val="0"/>
          <w:marBottom w:val="0"/>
          <w:divBdr>
            <w:top w:val="none" w:sz="0" w:space="0" w:color="auto"/>
            <w:left w:val="none" w:sz="0" w:space="0" w:color="auto"/>
            <w:bottom w:val="none" w:sz="0" w:space="0" w:color="auto"/>
            <w:right w:val="none" w:sz="0" w:space="0" w:color="auto"/>
          </w:divBdr>
        </w:div>
        <w:div w:id="1220674050">
          <w:marLeft w:val="547"/>
          <w:marRight w:val="0"/>
          <w:marTop w:val="0"/>
          <w:marBottom w:val="0"/>
          <w:divBdr>
            <w:top w:val="none" w:sz="0" w:space="0" w:color="auto"/>
            <w:left w:val="none" w:sz="0" w:space="0" w:color="auto"/>
            <w:bottom w:val="none" w:sz="0" w:space="0" w:color="auto"/>
            <w:right w:val="none" w:sz="0" w:space="0" w:color="auto"/>
          </w:divBdr>
        </w:div>
        <w:div w:id="1766029581">
          <w:marLeft w:val="547"/>
          <w:marRight w:val="0"/>
          <w:marTop w:val="0"/>
          <w:marBottom w:val="0"/>
          <w:divBdr>
            <w:top w:val="none" w:sz="0" w:space="0" w:color="auto"/>
            <w:left w:val="none" w:sz="0" w:space="0" w:color="auto"/>
            <w:bottom w:val="none" w:sz="0" w:space="0" w:color="auto"/>
            <w:right w:val="none" w:sz="0" w:space="0" w:color="auto"/>
          </w:divBdr>
        </w:div>
        <w:div w:id="2067297246">
          <w:marLeft w:val="547"/>
          <w:marRight w:val="0"/>
          <w:marTop w:val="0"/>
          <w:marBottom w:val="0"/>
          <w:divBdr>
            <w:top w:val="none" w:sz="0" w:space="0" w:color="auto"/>
            <w:left w:val="none" w:sz="0" w:space="0" w:color="auto"/>
            <w:bottom w:val="none" w:sz="0" w:space="0" w:color="auto"/>
            <w:right w:val="none" w:sz="0" w:space="0" w:color="auto"/>
          </w:divBdr>
        </w:div>
      </w:divsChild>
    </w:div>
    <w:div w:id="729306217">
      <w:bodyDiv w:val="1"/>
      <w:marLeft w:val="0"/>
      <w:marRight w:val="0"/>
      <w:marTop w:val="0"/>
      <w:marBottom w:val="0"/>
      <w:divBdr>
        <w:top w:val="none" w:sz="0" w:space="0" w:color="auto"/>
        <w:left w:val="none" w:sz="0" w:space="0" w:color="auto"/>
        <w:bottom w:val="none" w:sz="0" w:space="0" w:color="auto"/>
        <w:right w:val="none" w:sz="0" w:space="0" w:color="auto"/>
      </w:divBdr>
    </w:div>
    <w:div w:id="756558693">
      <w:bodyDiv w:val="1"/>
      <w:marLeft w:val="0"/>
      <w:marRight w:val="0"/>
      <w:marTop w:val="0"/>
      <w:marBottom w:val="0"/>
      <w:divBdr>
        <w:top w:val="none" w:sz="0" w:space="0" w:color="auto"/>
        <w:left w:val="none" w:sz="0" w:space="0" w:color="auto"/>
        <w:bottom w:val="none" w:sz="0" w:space="0" w:color="auto"/>
        <w:right w:val="none" w:sz="0" w:space="0" w:color="auto"/>
      </w:divBdr>
    </w:div>
    <w:div w:id="824468281">
      <w:bodyDiv w:val="1"/>
      <w:marLeft w:val="0"/>
      <w:marRight w:val="0"/>
      <w:marTop w:val="0"/>
      <w:marBottom w:val="0"/>
      <w:divBdr>
        <w:top w:val="none" w:sz="0" w:space="0" w:color="auto"/>
        <w:left w:val="none" w:sz="0" w:space="0" w:color="auto"/>
        <w:bottom w:val="none" w:sz="0" w:space="0" w:color="auto"/>
        <w:right w:val="none" w:sz="0" w:space="0" w:color="auto"/>
      </w:divBdr>
      <w:divsChild>
        <w:div w:id="1665430684">
          <w:marLeft w:val="1080"/>
          <w:marRight w:val="0"/>
          <w:marTop w:val="100"/>
          <w:marBottom w:val="0"/>
          <w:divBdr>
            <w:top w:val="none" w:sz="0" w:space="0" w:color="auto"/>
            <w:left w:val="none" w:sz="0" w:space="0" w:color="auto"/>
            <w:bottom w:val="none" w:sz="0" w:space="0" w:color="auto"/>
            <w:right w:val="none" w:sz="0" w:space="0" w:color="auto"/>
          </w:divBdr>
        </w:div>
      </w:divsChild>
    </w:div>
    <w:div w:id="868419517">
      <w:bodyDiv w:val="1"/>
      <w:marLeft w:val="0"/>
      <w:marRight w:val="0"/>
      <w:marTop w:val="0"/>
      <w:marBottom w:val="0"/>
      <w:divBdr>
        <w:top w:val="none" w:sz="0" w:space="0" w:color="auto"/>
        <w:left w:val="none" w:sz="0" w:space="0" w:color="auto"/>
        <w:bottom w:val="none" w:sz="0" w:space="0" w:color="auto"/>
        <w:right w:val="none" w:sz="0" w:space="0" w:color="auto"/>
      </w:divBdr>
      <w:divsChild>
        <w:div w:id="87388066">
          <w:marLeft w:val="1080"/>
          <w:marRight w:val="0"/>
          <w:marTop w:val="100"/>
          <w:marBottom w:val="0"/>
          <w:divBdr>
            <w:top w:val="none" w:sz="0" w:space="0" w:color="auto"/>
            <w:left w:val="none" w:sz="0" w:space="0" w:color="auto"/>
            <w:bottom w:val="none" w:sz="0" w:space="0" w:color="auto"/>
            <w:right w:val="none" w:sz="0" w:space="0" w:color="auto"/>
          </w:divBdr>
        </w:div>
      </w:divsChild>
    </w:div>
    <w:div w:id="968440146">
      <w:bodyDiv w:val="1"/>
      <w:marLeft w:val="0"/>
      <w:marRight w:val="0"/>
      <w:marTop w:val="0"/>
      <w:marBottom w:val="0"/>
      <w:divBdr>
        <w:top w:val="none" w:sz="0" w:space="0" w:color="auto"/>
        <w:left w:val="none" w:sz="0" w:space="0" w:color="auto"/>
        <w:bottom w:val="none" w:sz="0" w:space="0" w:color="auto"/>
        <w:right w:val="none" w:sz="0" w:space="0" w:color="auto"/>
      </w:divBdr>
    </w:div>
    <w:div w:id="1061976897">
      <w:bodyDiv w:val="1"/>
      <w:marLeft w:val="0"/>
      <w:marRight w:val="0"/>
      <w:marTop w:val="0"/>
      <w:marBottom w:val="0"/>
      <w:divBdr>
        <w:top w:val="none" w:sz="0" w:space="0" w:color="auto"/>
        <w:left w:val="none" w:sz="0" w:space="0" w:color="auto"/>
        <w:bottom w:val="none" w:sz="0" w:space="0" w:color="auto"/>
        <w:right w:val="none" w:sz="0" w:space="0" w:color="auto"/>
      </w:divBdr>
    </w:div>
    <w:div w:id="1093626121">
      <w:bodyDiv w:val="1"/>
      <w:marLeft w:val="0"/>
      <w:marRight w:val="0"/>
      <w:marTop w:val="0"/>
      <w:marBottom w:val="0"/>
      <w:divBdr>
        <w:top w:val="none" w:sz="0" w:space="0" w:color="auto"/>
        <w:left w:val="none" w:sz="0" w:space="0" w:color="auto"/>
        <w:bottom w:val="none" w:sz="0" w:space="0" w:color="auto"/>
        <w:right w:val="none" w:sz="0" w:space="0" w:color="auto"/>
      </w:divBdr>
    </w:div>
    <w:div w:id="1227691088">
      <w:bodyDiv w:val="1"/>
      <w:marLeft w:val="0"/>
      <w:marRight w:val="0"/>
      <w:marTop w:val="0"/>
      <w:marBottom w:val="0"/>
      <w:divBdr>
        <w:top w:val="none" w:sz="0" w:space="0" w:color="auto"/>
        <w:left w:val="none" w:sz="0" w:space="0" w:color="auto"/>
        <w:bottom w:val="none" w:sz="0" w:space="0" w:color="auto"/>
        <w:right w:val="none" w:sz="0" w:space="0" w:color="auto"/>
      </w:divBdr>
    </w:div>
    <w:div w:id="1279946417">
      <w:bodyDiv w:val="1"/>
      <w:marLeft w:val="0"/>
      <w:marRight w:val="0"/>
      <w:marTop w:val="0"/>
      <w:marBottom w:val="0"/>
      <w:divBdr>
        <w:top w:val="none" w:sz="0" w:space="0" w:color="auto"/>
        <w:left w:val="none" w:sz="0" w:space="0" w:color="auto"/>
        <w:bottom w:val="none" w:sz="0" w:space="0" w:color="auto"/>
        <w:right w:val="none" w:sz="0" w:space="0" w:color="auto"/>
      </w:divBdr>
    </w:div>
    <w:div w:id="1324049875">
      <w:bodyDiv w:val="1"/>
      <w:marLeft w:val="0"/>
      <w:marRight w:val="0"/>
      <w:marTop w:val="0"/>
      <w:marBottom w:val="0"/>
      <w:divBdr>
        <w:top w:val="none" w:sz="0" w:space="0" w:color="auto"/>
        <w:left w:val="none" w:sz="0" w:space="0" w:color="auto"/>
        <w:bottom w:val="none" w:sz="0" w:space="0" w:color="auto"/>
        <w:right w:val="none" w:sz="0" w:space="0" w:color="auto"/>
      </w:divBdr>
    </w:div>
    <w:div w:id="1366832649">
      <w:bodyDiv w:val="1"/>
      <w:marLeft w:val="0"/>
      <w:marRight w:val="0"/>
      <w:marTop w:val="0"/>
      <w:marBottom w:val="0"/>
      <w:divBdr>
        <w:top w:val="none" w:sz="0" w:space="0" w:color="auto"/>
        <w:left w:val="none" w:sz="0" w:space="0" w:color="auto"/>
        <w:bottom w:val="none" w:sz="0" w:space="0" w:color="auto"/>
        <w:right w:val="none" w:sz="0" w:space="0" w:color="auto"/>
      </w:divBdr>
    </w:div>
    <w:div w:id="1374574205">
      <w:bodyDiv w:val="1"/>
      <w:marLeft w:val="0"/>
      <w:marRight w:val="0"/>
      <w:marTop w:val="0"/>
      <w:marBottom w:val="0"/>
      <w:divBdr>
        <w:top w:val="none" w:sz="0" w:space="0" w:color="auto"/>
        <w:left w:val="none" w:sz="0" w:space="0" w:color="auto"/>
        <w:bottom w:val="none" w:sz="0" w:space="0" w:color="auto"/>
        <w:right w:val="none" w:sz="0" w:space="0" w:color="auto"/>
      </w:divBdr>
    </w:div>
    <w:div w:id="1379282852">
      <w:bodyDiv w:val="1"/>
      <w:marLeft w:val="0"/>
      <w:marRight w:val="0"/>
      <w:marTop w:val="0"/>
      <w:marBottom w:val="0"/>
      <w:divBdr>
        <w:top w:val="none" w:sz="0" w:space="0" w:color="auto"/>
        <w:left w:val="none" w:sz="0" w:space="0" w:color="auto"/>
        <w:bottom w:val="none" w:sz="0" w:space="0" w:color="auto"/>
        <w:right w:val="none" w:sz="0" w:space="0" w:color="auto"/>
      </w:divBdr>
    </w:div>
    <w:div w:id="1393969701">
      <w:bodyDiv w:val="1"/>
      <w:marLeft w:val="0"/>
      <w:marRight w:val="0"/>
      <w:marTop w:val="0"/>
      <w:marBottom w:val="0"/>
      <w:divBdr>
        <w:top w:val="none" w:sz="0" w:space="0" w:color="auto"/>
        <w:left w:val="none" w:sz="0" w:space="0" w:color="auto"/>
        <w:bottom w:val="none" w:sz="0" w:space="0" w:color="auto"/>
        <w:right w:val="none" w:sz="0" w:space="0" w:color="auto"/>
      </w:divBdr>
    </w:div>
    <w:div w:id="1525896934">
      <w:bodyDiv w:val="1"/>
      <w:marLeft w:val="0"/>
      <w:marRight w:val="0"/>
      <w:marTop w:val="0"/>
      <w:marBottom w:val="0"/>
      <w:divBdr>
        <w:top w:val="none" w:sz="0" w:space="0" w:color="auto"/>
        <w:left w:val="none" w:sz="0" w:space="0" w:color="auto"/>
        <w:bottom w:val="none" w:sz="0" w:space="0" w:color="auto"/>
        <w:right w:val="none" w:sz="0" w:space="0" w:color="auto"/>
      </w:divBdr>
    </w:div>
    <w:div w:id="1539397317">
      <w:bodyDiv w:val="1"/>
      <w:marLeft w:val="0"/>
      <w:marRight w:val="0"/>
      <w:marTop w:val="0"/>
      <w:marBottom w:val="0"/>
      <w:divBdr>
        <w:top w:val="none" w:sz="0" w:space="0" w:color="auto"/>
        <w:left w:val="none" w:sz="0" w:space="0" w:color="auto"/>
        <w:bottom w:val="none" w:sz="0" w:space="0" w:color="auto"/>
        <w:right w:val="none" w:sz="0" w:space="0" w:color="auto"/>
      </w:divBdr>
      <w:divsChild>
        <w:div w:id="572273363">
          <w:marLeft w:val="0"/>
          <w:marRight w:val="0"/>
          <w:marTop w:val="0"/>
          <w:marBottom w:val="0"/>
          <w:divBdr>
            <w:top w:val="none" w:sz="0" w:space="0" w:color="auto"/>
            <w:left w:val="none" w:sz="0" w:space="0" w:color="auto"/>
            <w:bottom w:val="none" w:sz="0" w:space="0" w:color="auto"/>
            <w:right w:val="none" w:sz="0" w:space="0" w:color="auto"/>
          </w:divBdr>
          <w:divsChild>
            <w:div w:id="37357810">
              <w:marLeft w:val="0"/>
              <w:marRight w:val="0"/>
              <w:marTop w:val="0"/>
              <w:marBottom w:val="0"/>
              <w:divBdr>
                <w:top w:val="none" w:sz="0" w:space="0" w:color="auto"/>
                <w:left w:val="none" w:sz="0" w:space="0" w:color="auto"/>
                <w:bottom w:val="none" w:sz="0" w:space="0" w:color="auto"/>
                <w:right w:val="none" w:sz="0" w:space="0" w:color="auto"/>
              </w:divBdr>
              <w:divsChild>
                <w:div w:id="2144106564">
                  <w:marLeft w:val="0"/>
                  <w:marRight w:val="0"/>
                  <w:marTop w:val="0"/>
                  <w:marBottom w:val="0"/>
                  <w:divBdr>
                    <w:top w:val="none" w:sz="0" w:space="0" w:color="auto"/>
                    <w:left w:val="none" w:sz="0" w:space="0" w:color="auto"/>
                    <w:bottom w:val="none" w:sz="0" w:space="0" w:color="auto"/>
                    <w:right w:val="none" w:sz="0" w:space="0" w:color="auto"/>
                  </w:divBdr>
                </w:div>
              </w:divsChild>
            </w:div>
            <w:div w:id="478692110">
              <w:marLeft w:val="0"/>
              <w:marRight w:val="0"/>
              <w:marTop w:val="0"/>
              <w:marBottom w:val="0"/>
              <w:divBdr>
                <w:top w:val="none" w:sz="0" w:space="0" w:color="auto"/>
                <w:left w:val="none" w:sz="0" w:space="0" w:color="auto"/>
                <w:bottom w:val="none" w:sz="0" w:space="0" w:color="auto"/>
                <w:right w:val="none" w:sz="0" w:space="0" w:color="auto"/>
              </w:divBdr>
              <w:divsChild>
                <w:div w:id="866674073">
                  <w:marLeft w:val="0"/>
                  <w:marRight w:val="0"/>
                  <w:marTop w:val="0"/>
                  <w:marBottom w:val="0"/>
                  <w:divBdr>
                    <w:top w:val="none" w:sz="0" w:space="0" w:color="auto"/>
                    <w:left w:val="none" w:sz="0" w:space="0" w:color="auto"/>
                    <w:bottom w:val="none" w:sz="0" w:space="0" w:color="auto"/>
                    <w:right w:val="none" w:sz="0" w:space="0" w:color="auto"/>
                  </w:divBdr>
                </w:div>
                <w:div w:id="908659193">
                  <w:marLeft w:val="0"/>
                  <w:marRight w:val="0"/>
                  <w:marTop w:val="0"/>
                  <w:marBottom w:val="0"/>
                  <w:divBdr>
                    <w:top w:val="none" w:sz="0" w:space="0" w:color="auto"/>
                    <w:left w:val="none" w:sz="0" w:space="0" w:color="auto"/>
                    <w:bottom w:val="none" w:sz="0" w:space="0" w:color="auto"/>
                    <w:right w:val="none" w:sz="0" w:space="0" w:color="auto"/>
                  </w:divBdr>
                </w:div>
              </w:divsChild>
            </w:div>
            <w:div w:id="563680221">
              <w:marLeft w:val="0"/>
              <w:marRight w:val="0"/>
              <w:marTop w:val="0"/>
              <w:marBottom w:val="0"/>
              <w:divBdr>
                <w:top w:val="none" w:sz="0" w:space="0" w:color="auto"/>
                <w:left w:val="none" w:sz="0" w:space="0" w:color="auto"/>
                <w:bottom w:val="none" w:sz="0" w:space="0" w:color="auto"/>
                <w:right w:val="none" w:sz="0" w:space="0" w:color="auto"/>
              </w:divBdr>
              <w:divsChild>
                <w:div w:id="1096101502">
                  <w:marLeft w:val="0"/>
                  <w:marRight w:val="0"/>
                  <w:marTop w:val="0"/>
                  <w:marBottom w:val="0"/>
                  <w:divBdr>
                    <w:top w:val="none" w:sz="0" w:space="0" w:color="auto"/>
                    <w:left w:val="none" w:sz="0" w:space="0" w:color="auto"/>
                    <w:bottom w:val="none" w:sz="0" w:space="0" w:color="auto"/>
                    <w:right w:val="none" w:sz="0" w:space="0" w:color="auto"/>
                  </w:divBdr>
                </w:div>
              </w:divsChild>
            </w:div>
            <w:div w:id="862061366">
              <w:marLeft w:val="0"/>
              <w:marRight w:val="0"/>
              <w:marTop w:val="0"/>
              <w:marBottom w:val="0"/>
              <w:divBdr>
                <w:top w:val="none" w:sz="0" w:space="0" w:color="auto"/>
                <w:left w:val="none" w:sz="0" w:space="0" w:color="auto"/>
                <w:bottom w:val="none" w:sz="0" w:space="0" w:color="auto"/>
                <w:right w:val="none" w:sz="0" w:space="0" w:color="auto"/>
              </w:divBdr>
              <w:divsChild>
                <w:div w:id="811171557">
                  <w:marLeft w:val="0"/>
                  <w:marRight w:val="0"/>
                  <w:marTop w:val="0"/>
                  <w:marBottom w:val="0"/>
                  <w:divBdr>
                    <w:top w:val="none" w:sz="0" w:space="0" w:color="auto"/>
                    <w:left w:val="none" w:sz="0" w:space="0" w:color="auto"/>
                    <w:bottom w:val="none" w:sz="0" w:space="0" w:color="auto"/>
                    <w:right w:val="none" w:sz="0" w:space="0" w:color="auto"/>
                  </w:divBdr>
                </w:div>
              </w:divsChild>
            </w:div>
            <w:div w:id="1411927330">
              <w:marLeft w:val="0"/>
              <w:marRight w:val="0"/>
              <w:marTop w:val="0"/>
              <w:marBottom w:val="0"/>
              <w:divBdr>
                <w:top w:val="none" w:sz="0" w:space="0" w:color="auto"/>
                <w:left w:val="none" w:sz="0" w:space="0" w:color="auto"/>
                <w:bottom w:val="none" w:sz="0" w:space="0" w:color="auto"/>
                <w:right w:val="none" w:sz="0" w:space="0" w:color="auto"/>
              </w:divBdr>
              <w:divsChild>
                <w:div w:id="287396759">
                  <w:marLeft w:val="0"/>
                  <w:marRight w:val="0"/>
                  <w:marTop w:val="0"/>
                  <w:marBottom w:val="0"/>
                  <w:divBdr>
                    <w:top w:val="none" w:sz="0" w:space="0" w:color="auto"/>
                    <w:left w:val="none" w:sz="0" w:space="0" w:color="auto"/>
                    <w:bottom w:val="none" w:sz="0" w:space="0" w:color="auto"/>
                    <w:right w:val="none" w:sz="0" w:space="0" w:color="auto"/>
                  </w:divBdr>
                </w:div>
                <w:div w:id="1500923814">
                  <w:marLeft w:val="0"/>
                  <w:marRight w:val="0"/>
                  <w:marTop w:val="0"/>
                  <w:marBottom w:val="0"/>
                  <w:divBdr>
                    <w:top w:val="none" w:sz="0" w:space="0" w:color="auto"/>
                    <w:left w:val="none" w:sz="0" w:space="0" w:color="auto"/>
                    <w:bottom w:val="none" w:sz="0" w:space="0" w:color="auto"/>
                    <w:right w:val="none" w:sz="0" w:space="0" w:color="auto"/>
                  </w:divBdr>
                </w:div>
              </w:divsChild>
            </w:div>
            <w:div w:id="2097747082">
              <w:marLeft w:val="0"/>
              <w:marRight w:val="0"/>
              <w:marTop w:val="0"/>
              <w:marBottom w:val="0"/>
              <w:divBdr>
                <w:top w:val="none" w:sz="0" w:space="0" w:color="auto"/>
                <w:left w:val="none" w:sz="0" w:space="0" w:color="auto"/>
                <w:bottom w:val="none" w:sz="0" w:space="0" w:color="auto"/>
                <w:right w:val="none" w:sz="0" w:space="0" w:color="auto"/>
              </w:divBdr>
              <w:divsChild>
                <w:div w:id="21235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225238">
      <w:bodyDiv w:val="1"/>
      <w:marLeft w:val="0"/>
      <w:marRight w:val="0"/>
      <w:marTop w:val="0"/>
      <w:marBottom w:val="0"/>
      <w:divBdr>
        <w:top w:val="none" w:sz="0" w:space="0" w:color="auto"/>
        <w:left w:val="none" w:sz="0" w:space="0" w:color="auto"/>
        <w:bottom w:val="none" w:sz="0" w:space="0" w:color="auto"/>
        <w:right w:val="none" w:sz="0" w:space="0" w:color="auto"/>
      </w:divBdr>
    </w:div>
    <w:div w:id="1706101029">
      <w:bodyDiv w:val="1"/>
      <w:marLeft w:val="0"/>
      <w:marRight w:val="0"/>
      <w:marTop w:val="0"/>
      <w:marBottom w:val="0"/>
      <w:divBdr>
        <w:top w:val="none" w:sz="0" w:space="0" w:color="auto"/>
        <w:left w:val="none" w:sz="0" w:space="0" w:color="auto"/>
        <w:bottom w:val="none" w:sz="0" w:space="0" w:color="auto"/>
        <w:right w:val="none" w:sz="0" w:space="0" w:color="auto"/>
      </w:divBdr>
      <w:divsChild>
        <w:div w:id="309098310">
          <w:marLeft w:val="0"/>
          <w:marRight w:val="0"/>
          <w:marTop w:val="0"/>
          <w:marBottom w:val="0"/>
          <w:divBdr>
            <w:top w:val="none" w:sz="0" w:space="0" w:color="auto"/>
            <w:left w:val="none" w:sz="0" w:space="0" w:color="auto"/>
            <w:bottom w:val="none" w:sz="0" w:space="0" w:color="auto"/>
            <w:right w:val="none" w:sz="0" w:space="0" w:color="auto"/>
          </w:divBdr>
          <w:divsChild>
            <w:div w:id="239684054">
              <w:marLeft w:val="0"/>
              <w:marRight w:val="0"/>
              <w:marTop w:val="0"/>
              <w:marBottom w:val="0"/>
              <w:divBdr>
                <w:top w:val="none" w:sz="0" w:space="0" w:color="auto"/>
                <w:left w:val="none" w:sz="0" w:space="0" w:color="auto"/>
                <w:bottom w:val="none" w:sz="0" w:space="0" w:color="auto"/>
                <w:right w:val="none" w:sz="0" w:space="0" w:color="auto"/>
              </w:divBdr>
              <w:divsChild>
                <w:div w:id="1331443089">
                  <w:marLeft w:val="0"/>
                  <w:marRight w:val="0"/>
                  <w:marTop w:val="0"/>
                  <w:marBottom w:val="0"/>
                  <w:divBdr>
                    <w:top w:val="none" w:sz="0" w:space="0" w:color="auto"/>
                    <w:left w:val="none" w:sz="0" w:space="0" w:color="auto"/>
                    <w:bottom w:val="none" w:sz="0" w:space="0" w:color="auto"/>
                    <w:right w:val="none" w:sz="0" w:space="0" w:color="auto"/>
                  </w:divBdr>
                </w:div>
              </w:divsChild>
            </w:div>
            <w:div w:id="879901245">
              <w:marLeft w:val="0"/>
              <w:marRight w:val="0"/>
              <w:marTop w:val="0"/>
              <w:marBottom w:val="0"/>
              <w:divBdr>
                <w:top w:val="none" w:sz="0" w:space="0" w:color="auto"/>
                <w:left w:val="none" w:sz="0" w:space="0" w:color="auto"/>
                <w:bottom w:val="none" w:sz="0" w:space="0" w:color="auto"/>
                <w:right w:val="none" w:sz="0" w:space="0" w:color="auto"/>
              </w:divBdr>
              <w:divsChild>
                <w:div w:id="584648199">
                  <w:marLeft w:val="0"/>
                  <w:marRight w:val="0"/>
                  <w:marTop w:val="0"/>
                  <w:marBottom w:val="0"/>
                  <w:divBdr>
                    <w:top w:val="none" w:sz="0" w:space="0" w:color="auto"/>
                    <w:left w:val="none" w:sz="0" w:space="0" w:color="auto"/>
                    <w:bottom w:val="none" w:sz="0" w:space="0" w:color="auto"/>
                    <w:right w:val="none" w:sz="0" w:space="0" w:color="auto"/>
                  </w:divBdr>
                </w:div>
                <w:div w:id="1619753760">
                  <w:marLeft w:val="0"/>
                  <w:marRight w:val="0"/>
                  <w:marTop w:val="0"/>
                  <w:marBottom w:val="0"/>
                  <w:divBdr>
                    <w:top w:val="none" w:sz="0" w:space="0" w:color="auto"/>
                    <w:left w:val="none" w:sz="0" w:space="0" w:color="auto"/>
                    <w:bottom w:val="none" w:sz="0" w:space="0" w:color="auto"/>
                    <w:right w:val="none" w:sz="0" w:space="0" w:color="auto"/>
                  </w:divBdr>
                </w:div>
              </w:divsChild>
            </w:div>
            <w:div w:id="1192648869">
              <w:marLeft w:val="0"/>
              <w:marRight w:val="0"/>
              <w:marTop w:val="0"/>
              <w:marBottom w:val="0"/>
              <w:divBdr>
                <w:top w:val="none" w:sz="0" w:space="0" w:color="auto"/>
                <w:left w:val="none" w:sz="0" w:space="0" w:color="auto"/>
                <w:bottom w:val="none" w:sz="0" w:space="0" w:color="auto"/>
                <w:right w:val="none" w:sz="0" w:space="0" w:color="auto"/>
              </w:divBdr>
              <w:divsChild>
                <w:div w:id="1102336681">
                  <w:marLeft w:val="0"/>
                  <w:marRight w:val="0"/>
                  <w:marTop w:val="0"/>
                  <w:marBottom w:val="0"/>
                  <w:divBdr>
                    <w:top w:val="none" w:sz="0" w:space="0" w:color="auto"/>
                    <w:left w:val="none" w:sz="0" w:space="0" w:color="auto"/>
                    <w:bottom w:val="none" w:sz="0" w:space="0" w:color="auto"/>
                    <w:right w:val="none" w:sz="0" w:space="0" w:color="auto"/>
                  </w:divBdr>
                </w:div>
              </w:divsChild>
            </w:div>
            <w:div w:id="1455521570">
              <w:marLeft w:val="0"/>
              <w:marRight w:val="0"/>
              <w:marTop w:val="0"/>
              <w:marBottom w:val="0"/>
              <w:divBdr>
                <w:top w:val="none" w:sz="0" w:space="0" w:color="auto"/>
                <w:left w:val="none" w:sz="0" w:space="0" w:color="auto"/>
                <w:bottom w:val="none" w:sz="0" w:space="0" w:color="auto"/>
                <w:right w:val="none" w:sz="0" w:space="0" w:color="auto"/>
              </w:divBdr>
              <w:divsChild>
                <w:div w:id="21977477">
                  <w:marLeft w:val="0"/>
                  <w:marRight w:val="0"/>
                  <w:marTop w:val="0"/>
                  <w:marBottom w:val="0"/>
                  <w:divBdr>
                    <w:top w:val="none" w:sz="0" w:space="0" w:color="auto"/>
                    <w:left w:val="none" w:sz="0" w:space="0" w:color="auto"/>
                    <w:bottom w:val="none" w:sz="0" w:space="0" w:color="auto"/>
                    <w:right w:val="none" w:sz="0" w:space="0" w:color="auto"/>
                  </w:divBdr>
                </w:div>
              </w:divsChild>
            </w:div>
            <w:div w:id="1835871347">
              <w:marLeft w:val="0"/>
              <w:marRight w:val="0"/>
              <w:marTop w:val="0"/>
              <w:marBottom w:val="0"/>
              <w:divBdr>
                <w:top w:val="none" w:sz="0" w:space="0" w:color="auto"/>
                <w:left w:val="none" w:sz="0" w:space="0" w:color="auto"/>
                <w:bottom w:val="none" w:sz="0" w:space="0" w:color="auto"/>
                <w:right w:val="none" w:sz="0" w:space="0" w:color="auto"/>
              </w:divBdr>
              <w:divsChild>
                <w:div w:id="219098264">
                  <w:marLeft w:val="0"/>
                  <w:marRight w:val="0"/>
                  <w:marTop w:val="0"/>
                  <w:marBottom w:val="0"/>
                  <w:divBdr>
                    <w:top w:val="none" w:sz="0" w:space="0" w:color="auto"/>
                    <w:left w:val="none" w:sz="0" w:space="0" w:color="auto"/>
                    <w:bottom w:val="none" w:sz="0" w:space="0" w:color="auto"/>
                    <w:right w:val="none" w:sz="0" w:space="0" w:color="auto"/>
                  </w:divBdr>
                </w:div>
                <w:div w:id="1577786666">
                  <w:marLeft w:val="0"/>
                  <w:marRight w:val="0"/>
                  <w:marTop w:val="0"/>
                  <w:marBottom w:val="0"/>
                  <w:divBdr>
                    <w:top w:val="none" w:sz="0" w:space="0" w:color="auto"/>
                    <w:left w:val="none" w:sz="0" w:space="0" w:color="auto"/>
                    <w:bottom w:val="none" w:sz="0" w:space="0" w:color="auto"/>
                    <w:right w:val="none" w:sz="0" w:space="0" w:color="auto"/>
                  </w:divBdr>
                </w:div>
              </w:divsChild>
            </w:div>
            <w:div w:id="2061131726">
              <w:marLeft w:val="0"/>
              <w:marRight w:val="0"/>
              <w:marTop w:val="0"/>
              <w:marBottom w:val="0"/>
              <w:divBdr>
                <w:top w:val="none" w:sz="0" w:space="0" w:color="auto"/>
                <w:left w:val="none" w:sz="0" w:space="0" w:color="auto"/>
                <w:bottom w:val="none" w:sz="0" w:space="0" w:color="auto"/>
                <w:right w:val="none" w:sz="0" w:space="0" w:color="auto"/>
              </w:divBdr>
              <w:divsChild>
                <w:div w:id="7884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179266">
      <w:bodyDiv w:val="1"/>
      <w:marLeft w:val="0"/>
      <w:marRight w:val="0"/>
      <w:marTop w:val="0"/>
      <w:marBottom w:val="0"/>
      <w:divBdr>
        <w:top w:val="none" w:sz="0" w:space="0" w:color="auto"/>
        <w:left w:val="none" w:sz="0" w:space="0" w:color="auto"/>
        <w:bottom w:val="none" w:sz="0" w:space="0" w:color="auto"/>
        <w:right w:val="none" w:sz="0" w:space="0" w:color="auto"/>
      </w:divBdr>
    </w:div>
    <w:div w:id="1823080798">
      <w:bodyDiv w:val="1"/>
      <w:marLeft w:val="0"/>
      <w:marRight w:val="0"/>
      <w:marTop w:val="0"/>
      <w:marBottom w:val="0"/>
      <w:divBdr>
        <w:top w:val="none" w:sz="0" w:space="0" w:color="auto"/>
        <w:left w:val="none" w:sz="0" w:space="0" w:color="auto"/>
        <w:bottom w:val="none" w:sz="0" w:space="0" w:color="auto"/>
        <w:right w:val="none" w:sz="0" w:space="0" w:color="auto"/>
      </w:divBdr>
    </w:div>
    <w:div w:id="1922568916">
      <w:bodyDiv w:val="1"/>
      <w:marLeft w:val="0"/>
      <w:marRight w:val="0"/>
      <w:marTop w:val="0"/>
      <w:marBottom w:val="0"/>
      <w:divBdr>
        <w:top w:val="none" w:sz="0" w:space="0" w:color="auto"/>
        <w:left w:val="none" w:sz="0" w:space="0" w:color="auto"/>
        <w:bottom w:val="none" w:sz="0" w:space="0" w:color="auto"/>
        <w:right w:val="none" w:sz="0" w:space="0" w:color="auto"/>
      </w:divBdr>
    </w:div>
    <w:div w:id="1952786302">
      <w:bodyDiv w:val="1"/>
      <w:marLeft w:val="0"/>
      <w:marRight w:val="0"/>
      <w:marTop w:val="0"/>
      <w:marBottom w:val="0"/>
      <w:divBdr>
        <w:top w:val="none" w:sz="0" w:space="0" w:color="auto"/>
        <w:left w:val="none" w:sz="0" w:space="0" w:color="auto"/>
        <w:bottom w:val="none" w:sz="0" w:space="0" w:color="auto"/>
        <w:right w:val="none" w:sz="0" w:space="0" w:color="auto"/>
      </w:divBdr>
      <w:divsChild>
        <w:div w:id="41171021">
          <w:marLeft w:val="0"/>
          <w:marRight w:val="0"/>
          <w:marTop w:val="0"/>
          <w:marBottom w:val="0"/>
          <w:divBdr>
            <w:top w:val="none" w:sz="0" w:space="0" w:color="auto"/>
            <w:left w:val="none" w:sz="0" w:space="0" w:color="auto"/>
            <w:bottom w:val="none" w:sz="0" w:space="0" w:color="auto"/>
            <w:right w:val="none" w:sz="0" w:space="0" w:color="auto"/>
          </w:divBdr>
        </w:div>
      </w:divsChild>
    </w:div>
    <w:div w:id="210403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about:blan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9/05/relationships/documenttasks" Target="documenttasks/documenttasks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about:blan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A43C8DD-7982-43B9-B1AB-BA3DB70F9F30}">
    <t:Anchor>
      <t:Comment id="1598432536"/>
    </t:Anchor>
    <t:History>
      <t:Event id="{150CC8DA-67DB-4E73-AB3C-B8ABB2F2B172}" time="2021-07-28T10:36:11.111Z">
        <t:Attribution userId="S::ssingh@gavi.org::3c2f2231-3942-4bb8-9d90-8435c098fb31" userProvider="AD" userName="Smita Singh"/>
        <t:Anchor>
          <t:Comment id="98129769"/>
        </t:Anchor>
        <t:Create/>
      </t:Event>
      <t:Event id="{153BB033-02ED-47D3-BFE0-04FA1F5241FF}" time="2021-07-28T10:36:11.111Z">
        <t:Attribution userId="S::ssingh@gavi.org::3c2f2231-3942-4bb8-9d90-8435c098fb31" userProvider="AD" userName="Smita Singh"/>
        <t:Anchor>
          <t:Comment id="98129769"/>
        </t:Anchor>
        <t:Assign userId="S::rsoundardjee@gavi.org::c337124f-86db-4ef7-b062-924dc22f0008" userProvider="AD" userName="Riswana Soundardjee"/>
      </t:Event>
      <t:Event id="{BC8A21B9-3DBD-46D2-8062-54407F6CE020}" time="2021-07-28T10:36:11.111Z">
        <t:Attribution userId="S::ssingh@gavi.org::3c2f2231-3942-4bb8-9d90-8435c098fb31" userProvider="AD" userName="Smita Singh"/>
        <t:Anchor>
          <t:Comment id="98129769"/>
        </t:Anchor>
        <t:SetTitle title="@Riswana Soundardjee I've expanded this - does it looks okay no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93cb0222-e980-4273-ad97-85dba3159c09" ContentTypeId="0x0101009954897F3EE3CC4ABB9FB9EDAC9CDEBC"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55894003-98dc-4f3e-8669-85b90bdbcc8c">GAVI-438364776-957330</_dlc_DocId>
    <_dlc_DocIdUrl xmlns="55894003-98dc-4f3e-8669-85b90bdbcc8c">
      <Url>https://gavinet.sharepoint.com/teams/PAP/srp/_layouts/15/DocIdRedir.aspx?ID=GAVI-438364776-957330</Url>
      <Description>GAVI-438364776-957330</Description>
    </_dlc_DocIdUrl>
    <lcf76f155ced4ddcb4097134ff3c332f xmlns="5c2490db-6e42-4989-a0fb-d6ff54a6a7d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11" ma:contentTypeDescription="Gavi Document content type " ma:contentTypeScope="" ma:versionID="3b0b85d5947ea24f0c0956fc47bdb498">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b24f44a081ec587cada9ab9c1fee1689"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28A578-D6CE-4B46-9B14-9ECAFD982273}">
  <ds:schemaRefs>
    <ds:schemaRef ds:uri="Microsoft.SharePoint.Taxonomy.ContentTypeSync"/>
  </ds:schemaRefs>
</ds:datastoreItem>
</file>

<file path=customXml/itemProps2.xml><?xml version="1.0" encoding="utf-8"?>
<ds:datastoreItem xmlns:ds="http://schemas.openxmlformats.org/officeDocument/2006/customXml" ds:itemID="{443ABCCA-2525-4A32-B18C-E44E28EFC753}">
  <ds:schemaRefs>
    <ds:schemaRef ds:uri="http://schemas.microsoft.com/office/2006/metadata/properties"/>
    <ds:schemaRef ds:uri="http://schemas.microsoft.com/office/infopath/2007/PartnerControls"/>
    <ds:schemaRef ds:uri="d0706217-df7c-4bf4-936d-b09aa3b837af"/>
    <ds:schemaRef ds:uri="700359ba-e36c-422a-9925-ddada98091a9"/>
    <ds:schemaRef ds:uri="a0d399e1-4586-4335-9383-7d9098bfc9ba"/>
  </ds:schemaRefs>
</ds:datastoreItem>
</file>

<file path=customXml/itemProps3.xml><?xml version="1.0" encoding="utf-8"?>
<ds:datastoreItem xmlns:ds="http://schemas.openxmlformats.org/officeDocument/2006/customXml" ds:itemID="{2C700CF6-81B9-4BC7-9B03-9022B18EDC6D}">
  <ds:schemaRefs>
    <ds:schemaRef ds:uri="http://schemas.openxmlformats.org/officeDocument/2006/bibliography"/>
  </ds:schemaRefs>
</ds:datastoreItem>
</file>

<file path=customXml/itemProps4.xml><?xml version="1.0" encoding="utf-8"?>
<ds:datastoreItem xmlns:ds="http://schemas.openxmlformats.org/officeDocument/2006/customXml" ds:itemID="{404F728E-98BA-48D5-8C0D-AFF4B98B0BF5}">
  <ds:schemaRefs>
    <ds:schemaRef ds:uri="http://schemas.microsoft.com/sharepoint/events"/>
  </ds:schemaRefs>
</ds:datastoreItem>
</file>

<file path=customXml/itemProps5.xml><?xml version="1.0" encoding="utf-8"?>
<ds:datastoreItem xmlns:ds="http://schemas.openxmlformats.org/officeDocument/2006/customXml" ds:itemID="{B510E385-F15C-49C0-BF1D-0F2315539B29}">
  <ds:schemaRefs>
    <ds:schemaRef ds:uri="http://schemas.microsoft.com/sharepoint/v3/contenttype/forms"/>
  </ds:schemaRefs>
</ds:datastoreItem>
</file>

<file path=customXml/itemProps6.xml><?xml version="1.0" encoding="utf-8"?>
<ds:datastoreItem xmlns:ds="http://schemas.openxmlformats.org/officeDocument/2006/customXml" ds:itemID="{9947442F-8BE1-48A5-9771-8328870DD933}"/>
</file>

<file path=docProps/app.xml><?xml version="1.0" encoding="utf-8"?>
<Properties xmlns="http://schemas.openxmlformats.org/officeDocument/2006/extended-properties" xmlns:vt="http://schemas.openxmlformats.org/officeDocument/2006/docPropsVTypes">
  <Template>Normal.dotm</Template>
  <TotalTime>3</TotalTime>
  <Pages>16</Pages>
  <Words>6152</Words>
  <Characters>35072</Characters>
  <Application>Microsoft Office Word</Application>
  <DocSecurity>4</DocSecurity>
  <Lines>292</Lines>
  <Paragraphs>82</Paragraphs>
  <ScaleCrop>false</ScaleCrop>
  <HeadingPairs>
    <vt:vector size="2" baseType="variant">
      <vt:variant>
        <vt:lpstr>Title</vt:lpstr>
      </vt:variant>
      <vt:variant>
        <vt:i4>1</vt:i4>
      </vt:variant>
    </vt:vector>
  </HeadingPairs>
  <TitlesOfParts>
    <vt:vector size="1" baseType="lpstr">
      <vt:lpstr>seeee</vt:lpstr>
    </vt:vector>
  </TitlesOfParts>
  <Company/>
  <LinksUpToDate>false</LinksUpToDate>
  <CharactersWithSpaces>41142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seeee</dc:title>
  <dc:subject/>
  <dc:creator>Stephanie Phipps (Consultant)</dc:creator>
  <cp:keywords/>
  <dc:description/>
  <cp:lastModifiedBy>Anjana KC</cp:lastModifiedBy>
  <cp:revision>2</cp:revision>
  <dcterms:created xsi:type="dcterms:W3CDTF">2022-05-27T12:24:00Z</dcterms:created>
  <dcterms:modified xsi:type="dcterms:W3CDTF">2022-05-27T12:24:00Z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0x0101009954897F3EE3CC4ABB9FB9EDAC9CDEBC0061E92A44B5DD2545AEF000129C25E859</vt:lpwstr>
  </property>
  <property fmtid="{D5CDD505-2E9C-101B-9397-08002B2CF9AE}" pid="3" name="SharedWithUsers">
    <vt:lpwstr>566;#Ranjana Kumar;#12158;#Katja Schemionek;#3520;#Alex de Jonquieres;#13088;#Daria Piccand;#17886;#Susan Mackay;#867;#Maya Getchell (Consultant);#24960;#Ibrahim Mohammed;#12006;#Jean-Charles Dubourg;#25188;#Eric Sarriot;#13264;#Sara Menzies;#113;#Riswana</vt:lpwstr>
  </property>
  <property fmtid="{D5CDD505-2E9C-101B-9397-08002B2CF9AE}" pid="4" name="MSIP_Label_0a957285-7815-485a-9751-5b273b784ad5_Enabled">
    <vt:lpwstr>true</vt:lpwstr>
  </property>
  <property fmtid="{D5CDD505-2E9C-101B-9397-08002B2CF9AE}" pid="5" name="MSIP_Label_0a957285-7815-485a-9751-5b273b784ad5_SetDate">
    <vt:lpwstr>2021-06-28T14:41:48Z</vt:lpwstr>
  </property>
  <property fmtid="{D5CDD505-2E9C-101B-9397-08002B2CF9AE}" pid="6" name="MSIP_Label_0a957285-7815-485a-9751-5b273b784ad5_Method">
    <vt:lpwstr>Privileged</vt:lpwstr>
  </property>
  <property fmtid="{D5CDD505-2E9C-101B-9397-08002B2CF9AE}" pid="7" name="MSIP_Label_0a957285-7815-485a-9751-5b273b784ad5_Name">
    <vt:lpwstr>0a957285-7815-485a-9751-5b273b784ad5</vt:lpwstr>
  </property>
  <property fmtid="{D5CDD505-2E9C-101B-9397-08002B2CF9AE}" pid="8" name="MSIP_Label_0a957285-7815-485a-9751-5b273b784ad5_SiteId">
    <vt:lpwstr>1de6d9f3-0daf-4df6-b9d6-5959f16f6118</vt:lpwstr>
  </property>
  <property fmtid="{D5CDD505-2E9C-101B-9397-08002B2CF9AE}" pid="9" name="MSIP_Label_0a957285-7815-485a-9751-5b273b784ad5_ActionId">
    <vt:lpwstr>b3f6c006-4701-4f2b-898d-0000134ac9f8</vt:lpwstr>
  </property>
  <property fmtid="{D5CDD505-2E9C-101B-9397-08002B2CF9AE}" pid="10" name="MSIP_Label_0a957285-7815-485a-9751-5b273b784ad5_ContentBits">
    <vt:lpwstr>0</vt:lpwstr>
  </property>
  <property fmtid="{D5CDD505-2E9C-101B-9397-08002B2CF9AE}" pid="11" name="_dlc_DocIdItemGuid">
    <vt:lpwstr>e9801dc7-4f53-420a-abb5-b1bdd6533ad7</vt:lpwstr>
  </property>
  <property fmtid="{D5CDD505-2E9C-101B-9397-08002B2CF9AE}" pid="12" name="Lang">
    <vt:lpwstr/>
  </property>
  <property fmtid="{D5CDD505-2E9C-101B-9397-08002B2CF9AE}" pid="13" name="TaxKeyword">
    <vt:lpwstr/>
  </property>
  <property fmtid="{D5CDD505-2E9C-101B-9397-08002B2CF9AE}" pid="14" name="Risk">
    <vt:lpwstr/>
  </property>
  <property fmtid="{D5CDD505-2E9C-101B-9397-08002B2CF9AE}" pid="15" name="Health">
    <vt:lpwstr/>
  </property>
  <property fmtid="{D5CDD505-2E9C-101B-9397-08002B2CF9AE}" pid="16" name="Vaccine">
    <vt:lpwstr/>
  </property>
  <property fmtid="{D5CDD505-2E9C-101B-9397-08002B2CF9AE}" pid="17" name="Governance">
    <vt:lpwstr/>
  </property>
  <property fmtid="{D5CDD505-2E9C-101B-9397-08002B2CF9AE}" pid="18" name="Country">
    <vt:lpwstr/>
  </property>
  <property fmtid="{D5CDD505-2E9C-101B-9397-08002B2CF9AE}" pid="19" name="International Development">
    <vt:lpwstr/>
  </property>
  <property fmtid="{D5CDD505-2E9C-101B-9397-08002B2CF9AE}" pid="20" name="Market Shaping">
    <vt:lpwstr/>
  </property>
  <property fmtid="{D5CDD505-2E9C-101B-9397-08002B2CF9AE}" pid="21" name="Programme and project management">
    <vt:lpwstr/>
  </property>
  <property fmtid="{D5CDD505-2E9C-101B-9397-08002B2CF9AE}" pid="22" name="Strategy and Policy">
    <vt:lpwstr/>
  </property>
  <property fmtid="{D5CDD505-2E9C-101B-9397-08002B2CF9AE}" pid="23" name="Stakeholder">
    <vt:lpwstr/>
  </property>
  <property fmtid="{D5CDD505-2E9C-101B-9397-08002B2CF9AE}" pid="24" name="Document Type">
    <vt:lpwstr/>
  </property>
  <property fmtid="{D5CDD505-2E9C-101B-9397-08002B2CF9AE}" pid="25" name="Finance">
    <vt:lpwstr/>
  </property>
  <property fmtid="{D5CDD505-2E9C-101B-9397-08002B2CF9AE}" pid="26" name="Country Type">
    <vt:lpwstr/>
  </property>
  <property fmtid="{D5CDD505-2E9C-101B-9397-08002B2CF9AE}" pid="27" name="Health System Strengthening">
    <vt:lpwstr/>
  </property>
  <property fmtid="{D5CDD505-2E9C-101B-9397-08002B2CF9AE}" pid="28" name="Location1">
    <vt:lpwstr/>
  </property>
  <property fmtid="{D5CDD505-2E9C-101B-9397-08002B2CF9AE}" pid="29" name="IT Systems">
    <vt:lpwstr/>
  </property>
  <property fmtid="{D5CDD505-2E9C-101B-9397-08002B2CF9AE}" pid="30" name="Depto">
    <vt:lpwstr/>
  </property>
</Properties>
</file>