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DCE4E" w14:textId="270304DC" w:rsidR="00B177EC" w:rsidRPr="00B177EC" w:rsidRDefault="3347F58F" w:rsidP="3347F58F">
      <w:pPr>
        <w:spacing w:line="300" w:lineRule="exact"/>
        <w:jc w:val="center"/>
        <w:rPr>
          <w:b/>
          <w:bCs/>
          <w:color w:val="4472C4" w:themeColor="accent1"/>
          <w:sz w:val="32"/>
          <w:szCs w:val="32"/>
          <w:lang w:val="en-GB"/>
        </w:rPr>
      </w:pPr>
      <w:r w:rsidRPr="3347F58F">
        <w:rPr>
          <w:b/>
          <w:bCs/>
          <w:color w:val="4472C4" w:themeColor="accent1"/>
          <w:sz w:val="32"/>
          <w:szCs w:val="32"/>
          <w:lang w:val="en-GB"/>
        </w:rPr>
        <w:t>Yemen</w:t>
      </w:r>
    </w:p>
    <w:p w14:paraId="2F1C3C11" w14:textId="77777777" w:rsidR="00B177EC" w:rsidRDefault="00B177EC" w:rsidP="00FC4A11">
      <w:pPr>
        <w:spacing w:line="300" w:lineRule="exact"/>
        <w:rPr>
          <w:b/>
          <w:color w:val="4472C4" w:themeColor="accent1"/>
          <w:sz w:val="36"/>
          <w:szCs w:val="36"/>
          <w:lang w:val="en-GB"/>
        </w:rPr>
      </w:pPr>
    </w:p>
    <w:p w14:paraId="104F20A4" w14:textId="46A3E482" w:rsidR="00EA7614" w:rsidRDefault="000301CD" w:rsidP="002C42E8">
      <w:pPr>
        <w:spacing w:line="300" w:lineRule="exact"/>
        <w:jc w:val="center"/>
        <w:rPr>
          <w:b/>
          <w:color w:val="4471C4"/>
          <w:sz w:val="32"/>
          <w:szCs w:val="32"/>
          <w:lang w:val="en-GB"/>
        </w:rPr>
      </w:pPr>
      <w:r w:rsidRPr="4E4DD800">
        <w:rPr>
          <w:b/>
          <w:color w:val="4471C4"/>
          <w:sz w:val="32"/>
          <w:szCs w:val="32"/>
          <w:lang w:val="en-GB"/>
        </w:rPr>
        <w:t>PEF Targeted Country Assistance (TCA) Narrative</w:t>
      </w:r>
    </w:p>
    <w:p w14:paraId="299FEA98" w14:textId="14379F3C" w:rsidR="00EA7614" w:rsidRPr="000301CD" w:rsidRDefault="000301CD" w:rsidP="002C42E8">
      <w:pPr>
        <w:spacing w:line="300" w:lineRule="exact"/>
        <w:jc w:val="center"/>
        <w:rPr>
          <w:bCs/>
          <w:color w:val="808080" w:themeColor="background1" w:themeShade="80"/>
          <w:sz w:val="32"/>
          <w:szCs w:val="32"/>
          <w:lang w:val="en-GB"/>
        </w:rPr>
      </w:pPr>
      <w:r w:rsidRPr="4E4DD800">
        <w:rPr>
          <w:b/>
          <w:color w:val="4471C4"/>
          <w:sz w:val="32"/>
          <w:szCs w:val="32"/>
          <w:lang w:val="en-GB"/>
        </w:rPr>
        <w:t>for 2022-</w:t>
      </w:r>
      <w:r w:rsidRPr="4E4DD800">
        <w:rPr>
          <w:b/>
          <w:bCs/>
          <w:color w:val="4471C4"/>
          <w:sz w:val="32"/>
          <w:szCs w:val="32"/>
          <w:lang w:val="en-GB"/>
        </w:rPr>
        <w:t>2025 Multi-</w:t>
      </w:r>
      <w:r w:rsidRPr="4E4DD800">
        <w:rPr>
          <w:b/>
          <w:bCs/>
          <w:color w:val="4472C4" w:themeColor="accent1"/>
          <w:sz w:val="32"/>
          <w:szCs w:val="32"/>
          <w:lang w:val="en-GB"/>
        </w:rPr>
        <w:t>Year Planning</w:t>
      </w:r>
    </w:p>
    <w:p w14:paraId="505C9912" w14:textId="77777777" w:rsidR="000301CD" w:rsidRDefault="000301CD" w:rsidP="00FC4A11">
      <w:pPr>
        <w:spacing w:line="300" w:lineRule="exact"/>
        <w:rPr>
          <w:bCs/>
          <w:color w:val="808080" w:themeColor="background1" w:themeShade="80"/>
          <w:lang w:val="en-GB"/>
        </w:rPr>
      </w:pPr>
    </w:p>
    <w:p w14:paraId="0E23D244" w14:textId="0CE1D800" w:rsidR="000D0267" w:rsidRDefault="00322FAC" w:rsidP="00FC4A11">
      <w:pPr>
        <w:spacing w:line="300" w:lineRule="exact"/>
        <w:rPr>
          <w:bCs/>
          <w:color w:val="808080" w:themeColor="background1" w:themeShade="80"/>
        </w:rPr>
      </w:pPr>
      <w:r w:rsidRPr="00072D93">
        <w:rPr>
          <w:bCs/>
          <w:color w:val="808080" w:themeColor="background1" w:themeShade="80"/>
          <w:lang w:val="en-GB"/>
        </w:rPr>
        <w:t>Use this template to create a narrative that contextualise</w:t>
      </w:r>
      <w:r w:rsidR="008447E6">
        <w:rPr>
          <w:bCs/>
          <w:color w:val="808080" w:themeColor="background1" w:themeShade="80"/>
          <w:lang w:val="en-GB"/>
        </w:rPr>
        <w:t>s</w:t>
      </w:r>
      <w:r w:rsidRPr="00072D93">
        <w:rPr>
          <w:bCs/>
          <w:color w:val="808080" w:themeColor="background1" w:themeShade="80"/>
          <w:lang w:val="en-GB"/>
        </w:rPr>
        <w:t xml:space="preserve"> your </w:t>
      </w:r>
      <w:r w:rsidR="00E14236" w:rsidRPr="00072D93">
        <w:rPr>
          <w:bCs/>
          <w:color w:val="808080" w:themeColor="background1" w:themeShade="80"/>
          <w:lang w:val="en-GB"/>
        </w:rPr>
        <w:t>TCA plan</w:t>
      </w:r>
      <w:r w:rsidR="00EF52EE">
        <w:rPr>
          <w:bCs/>
          <w:color w:val="808080" w:themeColor="background1" w:themeShade="80"/>
          <w:lang w:val="en-GB"/>
        </w:rPr>
        <w:t xml:space="preserve"> for the planned</w:t>
      </w:r>
      <w:r w:rsidR="009731D8">
        <w:rPr>
          <w:bCs/>
          <w:color w:val="808080" w:themeColor="background1" w:themeShade="80"/>
          <w:lang w:val="en-GB"/>
        </w:rPr>
        <w:t xml:space="preserve"> duration</w:t>
      </w:r>
      <w:r w:rsidRPr="00072D93">
        <w:rPr>
          <w:bCs/>
          <w:color w:val="808080" w:themeColor="background1" w:themeShade="80"/>
          <w:lang w:val="en-GB"/>
        </w:rPr>
        <w:t xml:space="preserve"> and how the support </w:t>
      </w:r>
      <w:r w:rsidR="007454E0">
        <w:rPr>
          <w:bCs/>
          <w:color w:val="808080" w:themeColor="background1" w:themeShade="80"/>
          <w:lang w:val="en-GB"/>
        </w:rPr>
        <w:t>that</w:t>
      </w:r>
      <w:r w:rsidRPr="00072D93">
        <w:rPr>
          <w:bCs/>
          <w:color w:val="808080" w:themeColor="background1" w:themeShade="80"/>
          <w:lang w:val="en-GB"/>
        </w:rPr>
        <w:t xml:space="preserve"> you are requesting from Gavi will help you </w:t>
      </w:r>
      <w:r w:rsidR="008E6274">
        <w:rPr>
          <w:bCs/>
          <w:color w:val="808080" w:themeColor="background1" w:themeShade="80"/>
          <w:lang w:val="en-GB"/>
        </w:rPr>
        <w:t>reach your immuni</w:t>
      </w:r>
      <w:r w:rsidR="00FF2C35">
        <w:rPr>
          <w:bCs/>
          <w:color w:val="808080" w:themeColor="background1" w:themeShade="80"/>
          <w:lang w:val="en-GB"/>
        </w:rPr>
        <w:t>s</w:t>
      </w:r>
      <w:r w:rsidR="008E6274">
        <w:rPr>
          <w:bCs/>
          <w:color w:val="808080" w:themeColor="background1" w:themeShade="80"/>
          <w:lang w:val="en-GB"/>
        </w:rPr>
        <w:t xml:space="preserve">ation goals. </w:t>
      </w:r>
      <w:r w:rsidRPr="00072D93">
        <w:rPr>
          <w:bCs/>
          <w:color w:val="808080" w:themeColor="background1" w:themeShade="80"/>
        </w:rPr>
        <w:t xml:space="preserve"> </w:t>
      </w:r>
    </w:p>
    <w:p w14:paraId="6F6CC660" w14:textId="77777777" w:rsidR="00056DDF" w:rsidRPr="00072D93" w:rsidRDefault="00056DDF" w:rsidP="00FC4A11">
      <w:pPr>
        <w:spacing w:line="300" w:lineRule="exact"/>
        <w:rPr>
          <w:bCs/>
          <w:color w:val="808080" w:themeColor="background1" w:themeShade="80"/>
        </w:rPr>
      </w:pPr>
    </w:p>
    <w:p w14:paraId="1AB11C18" w14:textId="238BD1D1" w:rsidR="001C1D82" w:rsidRPr="0065351E" w:rsidRDefault="00056DDF" w:rsidP="00056DDF">
      <w:pPr>
        <w:spacing w:line="300" w:lineRule="exact"/>
        <w:ind w:left="426"/>
        <w:rPr>
          <w:i/>
          <w:color w:val="808080" w:themeColor="background1" w:themeShade="80"/>
          <w:lang w:val="en-GB"/>
        </w:rPr>
      </w:pPr>
      <w:r w:rsidRPr="0065351E">
        <w:rPr>
          <w:i/>
          <w:color w:val="808080" w:themeColor="background1" w:themeShade="80"/>
          <w:lang w:val="en-GB"/>
        </w:rPr>
        <w:t>(Populated by Gavi)</w:t>
      </w:r>
    </w:p>
    <w:tbl>
      <w:tblPr>
        <w:tblStyle w:val="TableGrid"/>
        <w:tblW w:w="9067" w:type="dxa"/>
        <w:shd w:val="clear" w:color="auto" w:fill="FFFFFF" w:themeFill="background1"/>
        <w:tblLook w:val="04A0" w:firstRow="1" w:lastRow="0" w:firstColumn="1" w:lastColumn="0" w:noHBand="0" w:noVBand="1"/>
      </w:tblPr>
      <w:tblGrid>
        <w:gridCol w:w="2185"/>
        <w:gridCol w:w="787"/>
        <w:gridCol w:w="4961"/>
        <w:gridCol w:w="1134"/>
      </w:tblGrid>
      <w:tr w:rsidR="00FB048D" w14:paraId="70C3917F" w14:textId="6D7D2D4E" w:rsidTr="579F3735">
        <w:tc>
          <w:tcPr>
            <w:tcW w:w="2185" w:type="dxa"/>
            <w:shd w:val="clear" w:color="auto" w:fill="DEEAF6" w:themeFill="accent5" w:themeFillTint="33"/>
          </w:tcPr>
          <w:p w14:paraId="7BD2C001" w14:textId="20F00943" w:rsidR="00FB048D" w:rsidRPr="00372D1F" w:rsidRDefault="00FB048D" w:rsidP="00FC4A11">
            <w:pPr>
              <w:spacing w:line="300" w:lineRule="exact"/>
              <w:rPr>
                <w:b/>
                <w:lang w:val="en-GB"/>
              </w:rPr>
            </w:pPr>
            <w:r w:rsidRPr="00372D1F">
              <w:rPr>
                <w:b/>
                <w:lang w:val="en-GB"/>
              </w:rPr>
              <w:t>Total Envelope</w:t>
            </w:r>
          </w:p>
        </w:tc>
        <w:tc>
          <w:tcPr>
            <w:tcW w:w="5748" w:type="dxa"/>
            <w:gridSpan w:val="2"/>
            <w:shd w:val="clear" w:color="auto" w:fill="DEEAF6" w:themeFill="accent5" w:themeFillTint="33"/>
          </w:tcPr>
          <w:p w14:paraId="5F1CD927" w14:textId="6426DCE3" w:rsidR="00FB048D" w:rsidRPr="00372D1F" w:rsidRDefault="00FB048D" w:rsidP="00FC4A11">
            <w:pPr>
              <w:spacing w:line="300" w:lineRule="exact"/>
              <w:rPr>
                <w:b/>
                <w:lang w:val="en-GB"/>
              </w:rPr>
            </w:pPr>
            <w:r w:rsidRPr="00372D1F">
              <w:rPr>
                <w:b/>
                <w:lang w:val="en-GB"/>
              </w:rPr>
              <w:t>Indicative allocation per 2022-2025</w:t>
            </w:r>
          </w:p>
        </w:tc>
        <w:tc>
          <w:tcPr>
            <w:tcW w:w="1134" w:type="dxa"/>
            <w:shd w:val="clear" w:color="auto" w:fill="DEEAF6" w:themeFill="accent5" w:themeFillTint="33"/>
          </w:tcPr>
          <w:p w14:paraId="7640021E" w14:textId="0969877A" w:rsidR="00FB048D" w:rsidRPr="00372D1F" w:rsidRDefault="00FB048D" w:rsidP="00FC4A11">
            <w:pPr>
              <w:spacing w:line="300" w:lineRule="exact"/>
              <w:rPr>
                <w:b/>
                <w:lang w:val="en-GB"/>
              </w:rPr>
            </w:pPr>
            <w:r>
              <w:rPr>
                <w:b/>
                <w:lang w:val="en-GB"/>
              </w:rPr>
              <w:t>%</w:t>
            </w:r>
          </w:p>
        </w:tc>
      </w:tr>
      <w:tr w:rsidR="00FB048D" w14:paraId="150C4E2A" w14:textId="117ACA42" w:rsidTr="579F3735">
        <w:tc>
          <w:tcPr>
            <w:tcW w:w="2185" w:type="dxa"/>
            <w:vMerge w:val="restart"/>
            <w:shd w:val="clear" w:color="auto" w:fill="FFFFFF" w:themeFill="background1"/>
          </w:tcPr>
          <w:p w14:paraId="731ED098" w14:textId="0FF7776A" w:rsidR="00FB048D" w:rsidRDefault="00FB048D" w:rsidP="36550081">
            <w:pPr>
              <w:spacing w:line="300" w:lineRule="exact"/>
              <w:rPr>
                <w:color w:val="808080" w:themeColor="background1" w:themeShade="80"/>
                <w:lang w:val="en-GB"/>
              </w:rPr>
            </w:pPr>
            <w:r w:rsidRPr="36550081">
              <w:rPr>
                <w:color w:val="808080" w:themeColor="background1" w:themeShade="80"/>
                <w:lang w:val="en-GB"/>
              </w:rPr>
              <w:t xml:space="preserve">$ </w:t>
            </w:r>
            <w:r w:rsidR="36550081" w:rsidRPr="36550081">
              <w:rPr>
                <w:color w:val="808080" w:themeColor="background1" w:themeShade="80"/>
                <w:lang w:val="en-GB"/>
              </w:rPr>
              <w:t>7,574,259</w:t>
            </w:r>
          </w:p>
        </w:tc>
        <w:tc>
          <w:tcPr>
            <w:tcW w:w="787" w:type="dxa"/>
            <w:shd w:val="clear" w:color="auto" w:fill="E2EFD9" w:themeFill="accent6" w:themeFillTint="33"/>
          </w:tcPr>
          <w:p w14:paraId="7CFDAA42" w14:textId="1406FB5F" w:rsidR="00FB048D" w:rsidRPr="007530C5" w:rsidRDefault="00FB048D" w:rsidP="36550081">
            <w:pPr>
              <w:spacing w:line="300" w:lineRule="exact"/>
              <w:rPr>
                <w:b/>
                <w:bCs/>
                <w:lang w:val="en-GB"/>
              </w:rPr>
            </w:pPr>
            <w:r w:rsidRPr="36550081">
              <w:rPr>
                <w:b/>
                <w:bCs/>
                <w:lang w:val="en-GB"/>
              </w:rPr>
              <w:t>2022</w:t>
            </w:r>
          </w:p>
        </w:tc>
        <w:tc>
          <w:tcPr>
            <w:tcW w:w="4961" w:type="dxa"/>
            <w:shd w:val="clear" w:color="auto" w:fill="E2EFD9" w:themeFill="accent6" w:themeFillTint="33"/>
          </w:tcPr>
          <w:p w14:paraId="1627F830" w14:textId="4DE7DF59" w:rsidR="00FB048D" w:rsidRPr="003F1471" w:rsidRDefault="00FB048D" w:rsidP="36550081">
            <w:pPr>
              <w:spacing w:line="300" w:lineRule="exact"/>
              <w:rPr>
                <w:color w:val="808080" w:themeColor="background1" w:themeShade="80"/>
                <w:lang w:val="en-GB"/>
              </w:rPr>
            </w:pPr>
            <w:r w:rsidRPr="36550081">
              <w:rPr>
                <w:color w:val="808080" w:themeColor="background1" w:themeShade="80"/>
                <w:lang w:val="en-GB"/>
              </w:rPr>
              <w:t xml:space="preserve">$ </w:t>
            </w:r>
            <w:r w:rsidR="36550081" w:rsidRPr="36550081">
              <w:rPr>
                <w:color w:val="808080" w:themeColor="background1" w:themeShade="80"/>
                <w:lang w:val="en-GB"/>
              </w:rPr>
              <w:t>1,480,912</w:t>
            </w:r>
          </w:p>
          <w:p w14:paraId="00353A5A" w14:textId="248B2D5E" w:rsidR="00FB048D" w:rsidRPr="003F1471" w:rsidRDefault="00FB048D" w:rsidP="36550081">
            <w:pPr>
              <w:spacing w:line="300" w:lineRule="exact"/>
              <w:rPr>
                <w:color w:val="808080" w:themeColor="background1" w:themeShade="80"/>
                <w:lang w:val="en-GB"/>
              </w:rPr>
            </w:pPr>
          </w:p>
        </w:tc>
        <w:tc>
          <w:tcPr>
            <w:tcW w:w="1134" w:type="dxa"/>
            <w:shd w:val="clear" w:color="auto" w:fill="E2EFD9" w:themeFill="accent6" w:themeFillTint="33"/>
          </w:tcPr>
          <w:p w14:paraId="2EADFDF3" w14:textId="6E8693E9" w:rsidR="00FB048D" w:rsidRDefault="5D3D2F1F" w:rsidP="36550081">
            <w:pPr>
              <w:spacing w:line="300" w:lineRule="exact"/>
              <w:rPr>
                <w:color w:val="808080" w:themeColor="background1" w:themeShade="80"/>
                <w:lang w:val="en-GB"/>
              </w:rPr>
            </w:pPr>
            <w:r w:rsidRPr="579F3735">
              <w:rPr>
                <w:color w:val="808080" w:themeColor="background1" w:themeShade="80"/>
                <w:lang w:val="en-GB"/>
              </w:rPr>
              <w:t>19.6%</w:t>
            </w:r>
          </w:p>
        </w:tc>
      </w:tr>
      <w:tr w:rsidR="00FB048D" w14:paraId="3A3CDB53" w14:textId="7AF48707" w:rsidTr="579F3735">
        <w:tc>
          <w:tcPr>
            <w:tcW w:w="2185" w:type="dxa"/>
            <w:vMerge/>
          </w:tcPr>
          <w:p w14:paraId="0CA26921" w14:textId="77777777" w:rsidR="00FB048D" w:rsidRDefault="00FB048D" w:rsidP="00FC4A11">
            <w:pPr>
              <w:spacing w:line="300" w:lineRule="exact"/>
              <w:rPr>
                <w:bCs/>
                <w:color w:val="808080" w:themeColor="background1" w:themeShade="80"/>
                <w:lang w:val="en-GB"/>
              </w:rPr>
            </w:pPr>
          </w:p>
        </w:tc>
        <w:tc>
          <w:tcPr>
            <w:tcW w:w="787" w:type="dxa"/>
            <w:shd w:val="clear" w:color="auto" w:fill="E2EFD9" w:themeFill="accent6" w:themeFillTint="33"/>
          </w:tcPr>
          <w:p w14:paraId="5CF45603" w14:textId="2F76FA56" w:rsidR="00FB048D" w:rsidRPr="007530C5" w:rsidRDefault="00FB048D" w:rsidP="36550081">
            <w:pPr>
              <w:spacing w:line="300" w:lineRule="exact"/>
              <w:rPr>
                <w:b/>
                <w:bCs/>
                <w:lang w:val="en-GB"/>
              </w:rPr>
            </w:pPr>
            <w:r w:rsidRPr="36550081">
              <w:rPr>
                <w:b/>
                <w:bCs/>
                <w:lang w:val="en-GB"/>
              </w:rPr>
              <w:t>2023</w:t>
            </w:r>
          </w:p>
        </w:tc>
        <w:tc>
          <w:tcPr>
            <w:tcW w:w="4961" w:type="dxa"/>
            <w:shd w:val="clear" w:color="auto" w:fill="E2EFD9" w:themeFill="accent6" w:themeFillTint="33"/>
          </w:tcPr>
          <w:p w14:paraId="515DEB1D" w14:textId="1428AFE5" w:rsidR="00FB048D" w:rsidRPr="003F1471" w:rsidRDefault="00FB048D" w:rsidP="36550081">
            <w:pPr>
              <w:spacing w:line="300" w:lineRule="exact"/>
              <w:rPr>
                <w:color w:val="808080" w:themeColor="background1" w:themeShade="80"/>
                <w:lang w:val="en-GB"/>
              </w:rPr>
            </w:pPr>
            <w:r w:rsidRPr="36550081">
              <w:rPr>
                <w:color w:val="808080" w:themeColor="background1" w:themeShade="80"/>
                <w:lang w:val="en-GB"/>
              </w:rPr>
              <w:t xml:space="preserve">$ </w:t>
            </w:r>
            <w:r w:rsidR="36550081" w:rsidRPr="36550081">
              <w:rPr>
                <w:color w:val="808080" w:themeColor="background1" w:themeShade="80"/>
                <w:lang w:val="en-GB"/>
              </w:rPr>
              <w:t>2,031,116</w:t>
            </w:r>
          </w:p>
          <w:p w14:paraId="4DA7D255" w14:textId="009AE7E6" w:rsidR="00FB048D" w:rsidRPr="003F1471" w:rsidRDefault="00FB048D" w:rsidP="36550081">
            <w:pPr>
              <w:spacing w:line="300" w:lineRule="exact"/>
              <w:rPr>
                <w:color w:val="808080" w:themeColor="background1" w:themeShade="80"/>
                <w:lang w:val="en-GB"/>
              </w:rPr>
            </w:pPr>
          </w:p>
        </w:tc>
        <w:tc>
          <w:tcPr>
            <w:tcW w:w="1134" w:type="dxa"/>
            <w:shd w:val="clear" w:color="auto" w:fill="E2EFD9" w:themeFill="accent6" w:themeFillTint="33"/>
          </w:tcPr>
          <w:p w14:paraId="11ED1C8B" w14:textId="2673B671" w:rsidR="00FB048D" w:rsidRDefault="36550081" w:rsidP="36550081">
            <w:pPr>
              <w:spacing w:line="300" w:lineRule="exact"/>
              <w:rPr>
                <w:color w:val="808080" w:themeColor="background1" w:themeShade="80"/>
                <w:lang w:val="en-GB"/>
              </w:rPr>
            </w:pPr>
            <w:r w:rsidRPr="36550081">
              <w:rPr>
                <w:color w:val="808080" w:themeColor="background1" w:themeShade="80"/>
                <w:lang w:val="en-GB"/>
              </w:rPr>
              <w:t>26.8%</w:t>
            </w:r>
          </w:p>
        </w:tc>
      </w:tr>
      <w:tr w:rsidR="00FB048D" w14:paraId="2B41AF6E" w14:textId="32236133" w:rsidTr="579F3735">
        <w:tc>
          <w:tcPr>
            <w:tcW w:w="2185" w:type="dxa"/>
            <w:vMerge/>
          </w:tcPr>
          <w:p w14:paraId="738943EB" w14:textId="77777777" w:rsidR="00FB048D" w:rsidRDefault="00FB048D" w:rsidP="00FC4A11">
            <w:pPr>
              <w:spacing w:line="300" w:lineRule="exact"/>
              <w:rPr>
                <w:bCs/>
                <w:color w:val="808080" w:themeColor="background1" w:themeShade="80"/>
                <w:lang w:val="en-GB"/>
              </w:rPr>
            </w:pPr>
          </w:p>
        </w:tc>
        <w:tc>
          <w:tcPr>
            <w:tcW w:w="787" w:type="dxa"/>
            <w:shd w:val="clear" w:color="auto" w:fill="E2EFD9" w:themeFill="accent6" w:themeFillTint="33"/>
          </w:tcPr>
          <w:p w14:paraId="28C528DF" w14:textId="4AE7C869" w:rsidR="00FB048D" w:rsidRPr="007530C5" w:rsidRDefault="00FB048D" w:rsidP="36550081">
            <w:pPr>
              <w:spacing w:line="300" w:lineRule="exact"/>
              <w:rPr>
                <w:b/>
                <w:bCs/>
                <w:lang w:val="en-GB"/>
              </w:rPr>
            </w:pPr>
            <w:r w:rsidRPr="36550081">
              <w:rPr>
                <w:b/>
                <w:bCs/>
                <w:lang w:val="en-GB"/>
              </w:rPr>
              <w:t>2024</w:t>
            </w:r>
          </w:p>
        </w:tc>
        <w:tc>
          <w:tcPr>
            <w:tcW w:w="4961" w:type="dxa"/>
            <w:shd w:val="clear" w:color="auto" w:fill="E2EFD9" w:themeFill="accent6" w:themeFillTint="33"/>
          </w:tcPr>
          <w:p w14:paraId="7F16C4A9" w14:textId="4C2587CE" w:rsidR="00FB048D" w:rsidRPr="003F1471" w:rsidRDefault="00FB048D" w:rsidP="36550081">
            <w:pPr>
              <w:spacing w:line="300" w:lineRule="exact"/>
              <w:rPr>
                <w:color w:val="808080" w:themeColor="background1" w:themeShade="80"/>
                <w:lang w:val="en-GB"/>
              </w:rPr>
            </w:pPr>
            <w:r w:rsidRPr="36550081">
              <w:rPr>
                <w:color w:val="808080" w:themeColor="background1" w:themeShade="80"/>
                <w:lang w:val="en-GB"/>
              </w:rPr>
              <w:t xml:space="preserve">$ </w:t>
            </w:r>
            <w:r w:rsidR="36550081" w:rsidRPr="36550081">
              <w:rPr>
                <w:color w:val="808080" w:themeColor="background1" w:themeShade="80"/>
                <w:lang w:val="en-GB"/>
              </w:rPr>
              <w:t>2,031,116</w:t>
            </w:r>
          </w:p>
          <w:p w14:paraId="73FF7BEA" w14:textId="25946F07" w:rsidR="00FB048D" w:rsidRPr="003F1471" w:rsidRDefault="00FB048D" w:rsidP="36550081">
            <w:pPr>
              <w:spacing w:line="300" w:lineRule="exact"/>
              <w:rPr>
                <w:color w:val="808080" w:themeColor="background1" w:themeShade="80"/>
                <w:lang w:val="en-GB"/>
              </w:rPr>
            </w:pPr>
          </w:p>
        </w:tc>
        <w:tc>
          <w:tcPr>
            <w:tcW w:w="1134" w:type="dxa"/>
            <w:shd w:val="clear" w:color="auto" w:fill="E2EFD9" w:themeFill="accent6" w:themeFillTint="33"/>
          </w:tcPr>
          <w:p w14:paraId="39C3E90E" w14:textId="2673B671" w:rsidR="00FB048D" w:rsidRDefault="36550081" w:rsidP="36550081">
            <w:pPr>
              <w:spacing w:line="300" w:lineRule="exact"/>
              <w:rPr>
                <w:color w:val="808080" w:themeColor="background1" w:themeShade="80"/>
                <w:lang w:val="en-GB"/>
              </w:rPr>
            </w:pPr>
            <w:r w:rsidRPr="36550081">
              <w:rPr>
                <w:color w:val="808080" w:themeColor="background1" w:themeShade="80"/>
                <w:lang w:val="en-GB"/>
              </w:rPr>
              <w:t>26.8%</w:t>
            </w:r>
          </w:p>
          <w:p w14:paraId="1254B287" w14:textId="46086364" w:rsidR="00FB048D" w:rsidRDefault="00FB048D" w:rsidP="36550081">
            <w:pPr>
              <w:spacing w:line="300" w:lineRule="exact"/>
              <w:rPr>
                <w:color w:val="808080" w:themeColor="background1" w:themeShade="80"/>
                <w:lang w:val="en-GB"/>
              </w:rPr>
            </w:pPr>
          </w:p>
        </w:tc>
      </w:tr>
      <w:tr w:rsidR="00FB048D" w14:paraId="73C20E40" w14:textId="35835C83" w:rsidTr="579F3735">
        <w:tc>
          <w:tcPr>
            <w:tcW w:w="2185" w:type="dxa"/>
            <w:vMerge/>
          </w:tcPr>
          <w:p w14:paraId="18EF2475" w14:textId="77777777" w:rsidR="00FB048D" w:rsidRDefault="00FB048D" w:rsidP="00FC4A11">
            <w:pPr>
              <w:spacing w:line="300" w:lineRule="exact"/>
              <w:rPr>
                <w:bCs/>
                <w:color w:val="808080" w:themeColor="background1" w:themeShade="80"/>
                <w:lang w:val="en-GB"/>
              </w:rPr>
            </w:pPr>
          </w:p>
        </w:tc>
        <w:tc>
          <w:tcPr>
            <w:tcW w:w="787" w:type="dxa"/>
            <w:shd w:val="clear" w:color="auto" w:fill="E2EFD9" w:themeFill="accent6" w:themeFillTint="33"/>
          </w:tcPr>
          <w:p w14:paraId="0B5FF449" w14:textId="369B0CA3" w:rsidR="00FB048D" w:rsidRPr="007530C5" w:rsidRDefault="00FB048D" w:rsidP="36550081">
            <w:pPr>
              <w:spacing w:line="300" w:lineRule="exact"/>
              <w:rPr>
                <w:b/>
                <w:bCs/>
                <w:lang w:val="en-GB"/>
              </w:rPr>
            </w:pPr>
            <w:r w:rsidRPr="36550081">
              <w:rPr>
                <w:b/>
                <w:bCs/>
                <w:lang w:val="en-GB"/>
              </w:rPr>
              <w:t>2025</w:t>
            </w:r>
          </w:p>
        </w:tc>
        <w:tc>
          <w:tcPr>
            <w:tcW w:w="4961" w:type="dxa"/>
            <w:shd w:val="clear" w:color="auto" w:fill="E2EFD9" w:themeFill="accent6" w:themeFillTint="33"/>
          </w:tcPr>
          <w:p w14:paraId="1EBA798F" w14:textId="17E1F112" w:rsidR="00FB048D" w:rsidRPr="003F1471" w:rsidRDefault="00FB048D" w:rsidP="36550081">
            <w:pPr>
              <w:spacing w:line="300" w:lineRule="exact"/>
              <w:rPr>
                <w:color w:val="808080" w:themeColor="background1" w:themeShade="80"/>
                <w:lang w:val="en-GB"/>
              </w:rPr>
            </w:pPr>
            <w:r w:rsidRPr="36550081">
              <w:rPr>
                <w:color w:val="808080" w:themeColor="background1" w:themeShade="80"/>
                <w:lang w:val="en-GB"/>
              </w:rPr>
              <w:t xml:space="preserve">$ </w:t>
            </w:r>
            <w:r w:rsidR="36550081" w:rsidRPr="36550081">
              <w:rPr>
                <w:color w:val="808080" w:themeColor="background1" w:themeShade="80"/>
                <w:lang w:val="en-GB"/>
              </w:rPr>
              <w:t>2,031,116</w:t>
            </w:r>
          </w:p>
          <w:p w14:paraId="29566DE1" w14:textId="53D4FFC8" w:rsidR="00FB048D" w:rsidRPr="003F1471" w:rsidRDefault="00FB048D" w:rsidP="36550081">
            <w:pPr>
              <w:spacing w:line="300" w:lineRule="exact"/>
              <w:rPr>
                <w:color w:val="808080" w:themeColor="background1" w:themeShade="80"/>
                <w:lang w:val="en-GB"/>
              </w:rPr>
            </w:pPr>
          </w:p>
        </w:tc>
        <w:tc>
          <w:tcPr>
            <w:tcW w:w="1134" w:type="dxa"/>
            <w:shd w:val="clear" w:color="auto" w:fill="E2EFD9" w:themeFill="accent6" w:themeFillTint="33"/>
          </w:tcPr>
          <w:p w14:paraId="38AC0BF6" w14:textId="2673B671" w:rsidR="00FB048D" w:rsidRDefault="36550081" w:rsidP="36550081">
            <w:pPr>
              <w:spacing w:line="300" w:lineRule="exact"/>
              <w:rPr>
                <w:color w:val="808080" w:themeColor="background1" w:themeShade="80"/>
                <w:lang w:val="en-GB"/>
              </w:rPr>
            </w:pPr>
            <w:r w:rsidRPr="36550081">
              <w:rPr>
                <w:color w:val="808080" w:themeColor="background1" w:themeShade="80"/>
                <w:lang w:val="en-GB"/>
              </w:rPr>
              <w:t>26.8%</w:t>
            </w:r>
          </w:p>
          <w:p w14:paraId="0B80D2E7" w14:textId="3777FCF7" w:rsidR="00FB048D" w:rsidRDefault="00FB048D" w:rsidP="36550081">
            <w:pPr>
              <w:spacing w:line="300" w:lineRule="exact"/>
              <w:rPr>
                <w:color w:val="808080" w:themeColor="background1" w:themeShade="80"/>
                <w:lang w:val="en-GB"/>
              </w:rPr>
            </w:pPr>
          </w:p>
        </w:tc>
      </w:tr>
    </w:tbl>
    <w:p w14:paraId="1F6083B3" w14:textId="77777777" w:rsidR="00A47FCF" w:rsidRDefault="00A47FCF" w:rsidP="00FC4A11">
      <w:pPr>
        <w:spacing w:line="300" w:lineRule="exact"/>
        <w:rPr>
          <w:bCs/>
          <w:color w:val="808080" w:themeColor="background1" w:themeShade="80"/>
          <w:lang w:val="en-GB"/>
        </w:rPr>
      </w:pPr>
    </w:p>
    <w:p w14:paraId="030CF340" w14:textId="34A3E30E" w:rsidR="00650EB6" w:rsidRDefault="00FB7375" w:rsidP="00CE1F57">
      <w:pPr>
        <w:pStyle w:val="ListParagraph"/>
        <w:numPr>
          <w:ilvl w:val="0"/>
          <w:numId w:val="4"/>
        </w:numPr>
        <w:spacing w:line="300" w:lineRule="exact"/>
        <w:ind w:left="426"/>
        <w:rPr>
          <w:b/>
          <w:color w:val="84C650"/>
          <w:sz w:val="26"/>
          <w:szCs w:val="26"/>
          <w:lang w:val="en-GB"/>
        </w:rPr>
      </w:pPr>
      <w:r>
        <w:rPr>
          <w:b/>
          <w:color w:val="70AD47" w:themeColor="accent6"/>
          <w:sz w:val="26"/>
          <w:szCs w:val="26"/>
          <w:lang w:val="en-GB"/>
        </w:rPr>
        <w:t>K</w:t>
      </w:r>
      <w:r w:rsidRPr="00FB7375">
        <w:rPr>
          <w:b/>
          <w:color w:val="70AD47" w:themeColor="accent6"/>
          <w:sz w:val="26"/>
          <w:szCs w:val="26"/>
          <w:lang w:val="en-GB"/>
        </w:rPr>
        <w:t xml:space="preserve">ey objectives for the </w:t>
      </w:r>
      <w:r>
        <w:rPr>
          <w:b/>
          <w:color w:val="70AD47" w:themeColor="accent6"/>
          <w:sz w:val="26"/>
          <w:szCs w:val="26"/>
          <w:lang w:val="en-GB"/>
        </w:rPr>
        <w:t>EPI</w:t>
      </w:r>
      <w:r w:rsidRPr="00FB7375">
        <w:rPr>
          <w:b/>
          <w:color w:val="70AD47" w:themeColor="accent6"/>
          <w:sz w:val="26"/>
          <w:szCs w:val="26"/>
          <w:lang w:val="en-GB"/>
        </w:rPr>
        <w:t xml:space="preserve"> program and known gaps/bottlenecks </w:t>
      </w:r>
      <w:r w:rsidR="00650EB6">
        <w:rPr>
          <w:b/>
          <w:color w:val="70AD47" w:themeColor="accent6"/>
          <w:sz w:val="26"/>
          <w:szCs w:val="26"/>
          <w:lang w:val="en-GB"/>
        </w:rPr>
        <w:t>(0.5 page)</w:t>
      </w:r>
    </w:p>
    <w:p w14:paraId="52D793FC" w14:textId="77777777" w:rsidR="000E69CF" w:rsidRDefault="000E69CF" w:rsidP="00FC4A11">
      <w:pPr>
        <w:spacing w:line="300" w:lineRule="exact"/>
        <w:rPr>
          <w:bCs/>
          <w:color w:val="808080" w:themeColor="background1" w:themeShade="80"/>
          <w:lang w:val="en-GB"/>
        </w:rPr>
      </w:pPr>
    </w:p>
    <w:tbl>
      <w:tblPr>
        <w:tblStyle w:val="TableGrid"/>
        <w:tblW w:w="9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70"/>
      </w:tblGrid>
      <w:tr w:rsidR="00650EB6" w14:paraId="4DE8D376" w14:textId="77777777" w:rsidTr="00904135">
        <w:tc>
          <w:tcPr>
            <w:tcW w:w="9270" w:type="dxa"/>
            <w:tcBorders>
              <w:bottom w:val="single" w:sz="6" w:space="0" w:color="auto"/>
            </w:tcBorders>
            <w:shd w:val="clear" w:color="auto" w:fill="F2F2F2" w:themeFill="background1" w:themeFillShade="F2"/>
          </w:tcPr>
          <w:p w14:paraId="7976640A" w14:textId="70A33093" w:rsidR="00650EB6" w:rsidRPr="00650EB6" w:rsidRDefault="00650EB6" w:rsidP="00871FCF">
            <w:pPr>
              <w:spacing w:line="300" w:lineRule="exact"/>
              <w:rPr>
                <w:b/>
                <w:i/>
                <w:iCs/>
                <w:color w:val="000000" w:themeColor="text1"/>
                <w:sz w:val="20"/>
                <w:szCs w:val="20"/>
                <w:lang w:val="en-GB"/>
              </w:rPr>
            </w:pPr>
            <w:r>
              <w:rPr>
                <w:b/>
                <w:bCs/>
                <w:i/>
                <w:iCs/>
                <w:color w:val="000000" w:themeColor="text1"/>
                <w:sz w:val="20"/>
                <w:szCs w:val="20"/>
                <w:lang w:val="en-GB"/>
              </w:rPr>
              <w:t xml:space="preserve">1.1 </w:t>
            </w:r>
            <w:r w:rsidRPr="008C7464">
              <w:rPr>
                <w:b/>
                <w:bCs/>
                <w:i/>
                <w:iCs/>
                <w:sz w:val="20"/>
                <w:szCs w:val="20"/>
              </w:rPr>
              <w:t xml:space="preserve">Please note any country context that </w:t>
            </w:r>
            <w:r w:rsidR="00483273">
              <w:rPr>
                <w:b/>
                <w:bCs/>
                <w:i/>
                <w:iCs/>
                <w:sz w:val="20"/>
                <w:szCs w:val="20"/>
              </w:rPr>
              <w:t>is</w:t>
            </w:r>
            <w:r w:rsidRPr="008C7464">
              <w:rPr>
                <w:b/>
                <w:bCs/>
                <w:i/>
                <w:iCs/>
                <w:sz w:val="20"/>
                <w:szCs w:val="20"/>
              </w:rPr>
              <w:t xml:space="preserve"> significant to understanding the country</w:t>
            </w:r>
            <w:r w:rsidR="00483273">
              <w:rPr>
                <w:b/>
                <w:bCs/>
                <w:i/>
                <w:iCs/>
                <w:sz w:val="20"/>
                <w:szCs w:val="20"/>
              </w:rPr>
              <w:t>'s</w:t>
            </w:r>
            <w:r w:rsidRPr="008C7464">
              <w:rPr>
                <w:b/>
                <w:bCs/>
                <w:i/>
                <w:iCs/>
                <w:sz w:val="20"/>
                <w:szCs w:val="20"/>
              </w:rPr>
              <w:t xml:space="preserve"> vision and request for Gavi TCA support. What specific effects do these factors have on the national immunisation programme</w:t>
            </w:r>
            <w:r w:rsidR="003036DC">
              <w:rPr>
                <w:b/>
                <w:bCs/>
                <w:i/>
                <w:iCs/>
                <w:sz w:val="20"/>
                <w:szCs w:val="20"/>
              </w:rPr>
              <w:t>?</w:t>
            </w:r>
          </w:p>
        </w:tc>
      </w:tr>
      <w:tr w:rsidR="00650EB6" w14:paraId="79578C2F" w14:textId="77777777" w:rsidTr="00904135">
        <w:tc>
          <w:tcPr>
            <w:tcW w:w="9270" w:type="dxa"/>
            <w:tcBorders>
              <w:top w:val="single" w:sz="6" w:space="0" w:color="auto"/>
              <w:left w:val="single" w:sz="6" w:space="0" w:color="auto"/>
              <w:bottom w:val="single" w:sz="6" w:space="0" w:color="auto"/>
              <w:right w:val="single" w:sz="6" w:space="0" w:color="auto"/>
            </w:tcBorders>
          </w:tcPr>
          <w:p w14:paraId="6BC0A9D7" w14:textId="6DF57D71" w:rsidR="007A27E7" w:rsidRPr="007A27E7" w:rsidRDefault="007A27E7" w:rsidP="00904135">
            <w:pPr>
              <w:spacing w:line="300" w:lineRule="exact"/>
              <w:rPr>
                <w:color w:val="92D050"/>
              </w:rPr>
            </w:pPr>
            <w:r w:rsidRPr="007A27E7">
              <w:rPr>
                <w:color w:val="92D050"/>
              </w:rPr>
              <w:t>The national vision whose goal is a modern health system that meets and interacts with the needs of society, based on individual and collective responsibility, and supports the achievement of sustainable development;</w:t>
            </w:r>
            <w:r w:rsidR="00D37AD4">
              <w:rPr>
                <w:color w:val="92D050"/>
              </w:rPr>
              <w:t xml:space="preserve"> to </w:t>
            </w:r>
            <w:proofErr w:type="spellStart"/>
            <w:r w:rsidR="00D37AD4">
              <w:rPr>
                <w:color w:val="92D050"/>
              </w:rPr>
              <w:t>each</w:t>
            </w:r>
            <w:proofErr w:type="spellEnd"/>
            <w:r w:rsidR="00D37AD4">
              <w:rPr>
                <w:color w:val="92D050"/>
              </w:rPr>
              <w:t xml:space="preserve"> this goal the MOPH&amp;P </w:t>
            </w:r>
            <w:r w:rsidR="00904135">
              <w:rPr>
                <w:color w:val="92D050"/>
              </w:rPr>
              <w:t>look for o</w:t>
            </w:r>
            <w:r w:rsidRPr="007A27E7">
              <w:rPr>
                <w:color w:val="92D050"/>
              </w:rPr>
              <w:t>perating and activating all working, non-functioning and closed health facilities so that they provide all packages of primary health care services and not only immunization service</w:t>
            </w:r>
            <w:r w:rsidR="00904135">
              <w:rPr>
                <w:color w:val="92D050"/>
              </w:rPr>
              <w:t xml:space="preserve">s, and </w:t>
            </w:r>
            <w:r w:rsidRPr="007A27E7">
              <w:rPr>
                <w:color w:val="92D050"/>
              </w:rPr>
              <w:t xml:space="preserve">provide health services at the level of districts that are consistent with the needs of citizens, with the availability of all elements and </w:t>
            </w:r>
            <w:r w:rsidR="00904135">
              <w:rPr>
                <w:color w:val="92D050"/>
              </w:rPr>
              <w:t>supplies</w:t>
            </w:r>
            <w:r w:rsidRPr="007A27E7">
              <w:rPr>
                <w:color w:val="92D050"/>
              </w:rPr>
              <w:t xml:space="preserve"> for providing services in health facilities on a continuous basis and without interruption</w:t>
            </w:r>
            <w:r w:rsidR="00904135">
              <w:rPr>
                <w:color w:val="92D050"/>
              </w:rPr>
              <w:t>, and e</w:t>
            </w:r>
            <w:r w:rsidRPr="007A27E7">
              <w:rPr>
                <w:color w:val="92D050"/>
              </w:rPr>
              <w:t>nhancing citizens' confidence in the health services provided in health facilities</w:t>
            </w:r>
            <w:r w:rsidR="00904135">
              <w:rPr>
                <w:color w:val="92D050"/>
              </w:rPr>
              <w:t xml:space="preserve"> and e</w:t>
            </w:r>
            <w:r w:rsidRPr="007A27E7">
              <w:rPr>
                <w:color w:val="92D050"/>
              </w:rPr>
              <w:t xml:space="preserve">xpanding the provision of services in </w:t>
            </w:r>
            <w:proofErr w:type="spellStart"/>
            <w:r w:rsidRPr="007A27E7">
              <w:rPr>
                <w:color w:val="92D050"/>
              </w:rPr>
              <w:t>isadvantaged</w:t>
            </w:r>
            <w:proofErr w:type="spellEnd"/>
            <w:r w:rsidRPr="007A27E7">
              <w:rPr>
                <w:color w:val="92D050"/>
              </w:rPr>
              <w:t xml:space="preserve"> </w:t>
            </w:r>
            <w:proofErr w:type="spellStart"/>
            <w:r w:rsidRPr="007A27E7">
              <w:rPr>
                <w:color w:val="92D050"/>
              </w:rPr>
              <w:t>areas</w:t>
            </w:r>
            <w:r w:rsidR="00904135">
              <w:rPr>
                <w:color w:val="92D050"/>
              </w:rPr>
              <w:t>.</w:t>
            </w:r>
            <w:r w:rsidRPr="007A27E7">
              <w:rPr>
                <w:color w:val="92D050"/>
              </w:rPr>
              <w:t>In</w:t>
            </w:r>
            <w:proofErr w:type="spellEnd"/>
            <w:r w:rsidRPr="007A27E7">
              <w:rPr>
                <w:color w:val="92D050"/>
              </w:rPr>
              <w:t xml:space="preserve"> this exceptional situation that the Republic of Yemen is going through and the scarcity of resources that serve the health system in general and the immunization program in particular, this support from GAVI is the main and fruitful support that the immunization program touches by achieving the basic objectives, providing integrated services and raising the coverage of vaccines by supporting routine activities or </w:t>
            </w:r>
            <w:r w:rsidR="00904135">
              <w:rPr>
                <w:color w:val="92D050"/>
              </w:rPr>
              <w:t>a</w:t>
            </w:r>
            <w:r w:rsidRPr="007A27E7">
              <w:rPr>
                <w:color w:val="92D050"/>
              </w:rPr>
              <w:t>ctivities to reach under-vaccinated children, zero-dose cases, or increase coverage in high-risk areas.</w:t>
            </w:r>
          </w:p>
          <w:p w14:paraId="594099EF" w14:textId="6BCB3101" w:rsidR="007A27E7" w:rsidRPr="007A27E7" w:rsidRDefault="007A27E7" w:rsidP="007A27E7">
            <w:pPr>
              <w:spacing w:line="300" w:lineRule="exact"/>
              <w:rPr>
                <w:color w:val="92D050"/>
              </w:rPr>
            </w:pPr>
            <w:r w:rsidRPr="007A27E7">
              <w:rPr>
                <w:color w:val="92D050"/>
              </w:rPr>
              <w:t xml:space="preserve">Providing immunization services must be through the government health sector exclusively. Immunization services cannot be provided through international or local organizations, as the </w:t>
            </w:r>
            <w:r w:rsidRPr="007A27E7">
              <w:rPr>
                <w:color w:val="92D050"/>
              </w:rPr>
              <w:lastRenderedPageBreak/>
              <w:t xml:space="preserve">Ministry is able to reach all areas, including conflict areas or fragile areas. The problem is not the access, but the lack of health facilities, the lack of health personnel, the lack of </w:t>
            </w:r>
            <w:r w:rsidR="00CE176A">
              <w:rPr>
                <w:color w:val="92D050"/>
              </w:rPr>
              <w:t>i</w:t>
            </w:r>
            <w:r w:rsidRPr="007A27E7">
              <w:rPr>
                <w:color w:val="92D050"/>
              </w:rPr>
              <w:t xml:space="preserve">ncentives, medicines and medical </w:t>
            </w:r>
            <w:proofErr w:type="gramStart"/>
            <w:r w:rsidRPr="007A27E7">
              <w:rPr>
                <w:color w:val="92D050"/>
              </w:rPr>
              <w:t>supplies;</w:t>
            </w:r>
            <w:proofErr w:type="gramEnd"/>
          </w:p>
          <w:p w14:paraId="24498591" w14:textId="68A59A5B" w:rsidR="007A27E7" w:rsidRPr="007A27E7" w:rsidRDefault="007A27E7" w:rsidP="00CD6D86">
            <w:pPr>
              <w:spacing w:line="300" w:lineRule="exact"/>
              <w:jc w:val="both"/>
              <w:rPr>
                <w:color w:val="92D050"/>
              </w:rPr>
            </w:pPr>
            <w:r w:rsidRPr="007A27E7">
              <w:rPr>
                <w:color w:val="92D050"/>
              </w:rPr>
              <w:t>Among the most important difficulties that the</w:t>
            </w:r>
            <w:r w:rsidR="00CE176A">
              <w:rPr>
                <w:color w:val="92D050"/>
              </w:rPr>
              <w:t xml:space="preserve"> EPI</w:t>
            </w:r>
            <w:r w:rsidRPr="007A27E7">
              <w:rPr>
                <w:color w:val="92D050"/>
              </w:rPr>
              <w:t xml:space="preserve"> program and the health sector in general are the insufficient financial resources to provide services and reach all targeted areas, the leakage of trained health workers, and the lack of an </w:t>
            </w:r>
            <w:proofErr w:type="spellStart"/>
            <w:r w:rsidRPr="007A27E7">
              <w:rPr>
                <w:color w:val="92D050"/>
              </w:rPr>
              <w:t>utomated</w:t>
            </w:r>
            <w:proofErr w:type="spellEnd"/>
            <w:r w:rsidRPr="007A27E7">
              <w:rPr>
                <w:color w:val="92D050"/>
              </w:rPr>
              <w:t xml:space="preserve"> electronic system for collecting and analyzing data at all levels and at the level of children's beneficiaries.</w:t>
            </w:r>
          </w:p>
          <w:p w14:paraId="3395C0CD" w14:textId="77777777" w:rsidR="007A27E7" w:rsidRPr="00EE2BB5" w:rsidRDefault="007A27E7" w:rsidP="007A27E7">
            <w:pPr>
              <w:spacing w:line="300" w:lineRule="exact"/>
              <w:rPr>
                <w:b/>
                <w:bCs/>
                <w:color w:val="92D050"/>
              </w:rPr>
            </w:pPr>
            <w:r w:rsidRPr="00EE2BB5">
              <w:rPr>
                <w:b/>
                <w:bCs/>
                <w:color w:val="92D050"/>
              </w:rPr>
              <w:t xml:space="preserve">Impact of factors on immunization: </w:t>
            </w:r>
          </w:p>
          <w:p w14:paraId="4F86CB64" w14:textId="36A8EB50" w:rsidR="00650EB6" w:rsidRDefault="007A27E7" w:rsidP="007A27E7">
            <w:pPr>
              <w:spacing w:line="300" w:lineRule="exact"/>
              <w:jc w:val="both"/>
              <w:rPr>
                <w:color w:val="92D050"/>
              </w:rPr>
            </w:pPr>
            <w:r w:rsidRPr="007A27E7">
              <w:rPr>
                <w:color w:val="92D050"/>
              </w:rPr>
              <w:t xml:space="preserve">Support focused on immunization alone will not greatly improve immunization coverage, since the health needs are </w:t>
            </w:r>
            <w:proofErr w:type="gramStart"/>
            <w:r w:rsidRPr="007A27E7">
              <w:rPr>
                <w:color w:val="92D050"/>
              </w:rPr>
              <w:t>multiple</w:t>
            </w:r>
            <w:proofErr w:type="gramEnd"/>
            <w:r w:rsidRPr="007A27E7">
              <w:rPr>
                <w:color w:val="92D050"/>
              </w:rPr>
              <w:t xml:space="preserve"> and the citizen needs and searches for different health services that meet the needs. The citizen's confidence in health services in Health facilities will not improve unless through the provision of all services in health facilities with the availability of trained health personnel, the availability of equipment and the availability of essential medicines. Citizens’ confidence in the health sector, which must meet their needs, in addition to these rumors, there is great doubt and convictions among a large and influential group in society about the safety of vaccines (including educated people, doctors, university professors and senior leaders, as some of them refuse and instruct others not to immunize) and it is constantly increasing It is not possible to reduce these doubts and convictions except by providing a national laboratory with national expertise that works to implement studies and research on the safety of Vaccines, in addition to following up on the side effects of vaccines, as well as conducting basic tests for the safety of vaccines.</w:t>
            </w:r>
          </w:p>
          <w:p w14:paraId="606E71D0" w14:textId="183F334D" w:rsidR="00FE7298" w:rsidRPr="002D1487" w:rsidRDefault="00FE7298" w:rsidP="002D1487">
            <w:pPr>
              <w:spacing w:line="300" w:lineRule="exact"/>
              <w:rPr>
                <w:b/>
                <w:bCs/>
                <w:color w:val="92D050"/>
              </w:rPr>
            </w:pPr>
            <w:r w:rsidRPr="002D1487">
              <w:rPr>
                <w:b/>
                <w:bCs/>
                <w:color w:val="92D050"/>
              </w:rPr>
              <w:t>The role and contribution of TA to the national immunization program:</w:t>
            </w:r>
          </w:p>
          <w:p w14:paraId="3309810F" w14:textId="6189611E" w:rsidR="002D1487" w:rsidRPr="002D1487" w:rsidRDefault="002D1487" w:rsidP="00314F6D">
            <w:pPr>
              <w:spacing w:line="300" w:lineRule="exact"/>
              <w:jc w:val="both"/>
              <w:rPr>
                <w:color w:val="92D050"/>
              </w:rPr>
            </w:pPr>
            <w:r w:rsidRPr="002D1487">
              <w:rPr>
                <w:color w:val="92D050"/>
              </w:rPr>
              <w:t xml:space="preserve">Supporting the EPI operation room at the central and governorate level, this well improve decision and response to the information from the health facilities related to the zero- dose and </w:t>
            </w:r>
            <w:proofErr w:type="spellStart"/>
            <w:r w:rsidRPr="002D1487">
              <w:rPr>
                <w:color w:val="92D050"/>
              </w:rPr>
              <w:t>underimmunized</w:t>
            </w:r>
            <w:proofErr w:type="spellEnd"/>
            <w:r w:rsidRPr="002D1487">
              <w:rPr>
                <w:color w:val="92D050"/>
              </w:rPr>
              <w:t xml:space="preserve"> children</w:t>
            </w:r>
            <w:r w:rsidR="00314F6D">
              <w:rPr>
                <w:color w:val="92D050"/>
              </w:rPr>
              <w:t xml:space="preserve">. </w:t>
            </w:r>
            <w:r w:rsidRPr="002D1487">
              <w:rPr>
                <w:color w:val="92D050"/>
              </w:rPr>
              <w:t xml:space="preserve">The TA of the HIS for the MOH and EPI well result in improving the data regarding the cold chain and vaccines availability at all level and the data of the immunized children around the days and this well give the EPI the exact information about the zero-dose and </w:t>
            </w:r>
            <w:proofErr w:type="spellStart"/>
            <w:r w:rsidRPr="002D1487">
              <w:rPr>
                <w:color w:val="92D050"/>
              </w:rPr>
              <w:t>underimmunized</w:t>
            </w:r>
            <w:proofErr w:type="spellEnd"/>
            <w:r w:rsidRPr="002D1487">
              <w:rPr>
                <w:color w:val="92D050"/>
              </w:rPr>
              <w:t xml:space="preserve"> children</w:t>
            </w:r>
            <w:r w:rsidR="00314F6D">
              <w:rPr>
                <w:color w:val="92D050"/>
              </w:rPr>
              <w:t>, a</w:t>
            </w:r>
            <w:r w:rsidRPr="002D1487">
              <w:rPr>
                <w:color w:val="92D050"/>
              </w:rPr>
              <w:t>ssisting those concerned in the MOH and EPI in identifying gaps and weaknesses and taking action quickly before any outbreak occurs and the spread of diseases which can prevented by immunization (VPD)</w:t>
            </w:r>
            <w:r w:rsidR="00CD6D86">
              <w:rPr>
                <w:color w:val="92D050"/>
              </w:rPr>
              <w:t>;</w:t>
            </w:r>
          </w:p>
          <w:p w14:paraId="78052B35" w14:textId="1DF1329E" w:rsidR="00FE7298" w:rsidRPr="002D1487" w:rsidRDefault="002D1487" w:rsidP="00314F6D">
            <w:pPr>
              <w:spacing w:line="300" w:lineRule="exact"/>
              <w:jc w:val="both"/>
              <w:rPr>
                <w:color w:val="FF0000"/>
              </w:rPr>
            </w:pPr>
            <w:r w:rsidRPr="002D1487">
              <w:rPr>
                <w:color w:val="92D050"/>
              </w:rPr>
              <w:t xml:space="preserve">Rapid communication through the operating room with the directors of the EPI in the governorates and districts and providing them with feedback and any instructions that help reduce zero dose and </w:t>
            </w:r>
            <w:proofErr w:type="spellStart"/>
            <w:r w:rsidRPr="002D1487">
              <w:rPr>
                <w:color w:val="92D050"/>
              </w:rPr>
              <w:t>underimmunized</w:t>
            </w:r>
            <w:proofErr w:type="spellEnd"/>
            <w:r w:rsidRPr="002D1487">
              <w:rPr>
                <w:color w:val="92D050"/>
              </w:rPr>
              <w:t xml:space="preserve"> children</w:t>
            </w:r>
            <w:r w:rsidR="00314F6D">
              <w:rPr>
                <w:color w:val="92D050"/>
              </w:rPr>
              <w:t xml:space="preserve">, </w:t>
            </w:r>
            <w:r w:rsidRPr="002D1487">
              <w:rPr>
                <w:color w:val="92D050"/>
              </w:rPr>
              <w:t>The presence and participation and contribution of experts from the core international organization (WHO&amp;UNICEF) in the operating room helps in the rapid TA and decision-making response to the needs and interventions.</w:t>
            </w:r>
            <w:r w:rsidRPr="002D1487">
              <w:t xml:space="preserve">  </w:t>
            </w:r>
          </w:p>
        </w:tc>
      </w:tr>
    </w:tbl>
    <w:p w14:paraId="434C7691" w14:textId="77777777" w:rsidR="000759BE" w:rsidRPr="00DE3638" w:rsidRDefault="000759BE" w:rsidP="00FC4A11">
      <w:pPr>
        <w:spacing w:line="300" w:lineRule="exact"/>
        <w:rPr>
          <w:bCs/>
          <w:color w:val="808080" w:themeColor="background1" w:themeShade="80"/>
        </w:rPr>
      </w:pPr>
    </w:p>
    <w:p w14:paraId="5CAF378B" w14:textId="658F9E51" w:rsidR="004E4361" w:rsidRPr="00372D1F" w:rsidRDefault="004E4361" w:rsidP="00CE1F57">
      <w:pPr>
        <w:pStyle w:val="ListParagraph"/>
        <w:numPr>
          <w:ilvl w:val="0"/>
          <w:numId w:val="4"/>
        </w:numPr>
        <w:spacing w:line="300" w:lineRule="exact"/>
        <w:ind w:left="426"/>
        <w:rPr>
          <w:b/>
          <w:bCs/>
          <w:color w:val="84C650"/>
          <w:sz w:val="26"/>
          <w:szCs w:val="26"/>
          <w:lang w:val="en-GB"/>
        </w:rPr>
      </w:pPr>
      <w:r w:rsidRPr="08473C56">
        <w:rPr>
          <w:b/>
          <w:bCs/>
          <w:color w:val="70AD47" w:themeColor="accent6"/>
          <w:sz w:val="26"/>
          <w:szCs w:val="26"/>
          <w:lang w:val="en-GB"/>
        </w:rPr>
        <w:t xml:space="preserve">Current </w:t>
      </w:r>
      <w:r w:rsidR="00352AE9" w:rsidRPr="08473C56">
        <w:rPr>
          <w:b/>
          <w:bCs/>
          <w:color w:val="70AD47" w:themeColor="accent6"/>
          <w:sz w:val="26"/>
          <w:szCs w:val="26"/>
          <w:lang w:val="en-GB"/>
        </w:rPr>
        <w:t>TA needs</w:t>
      </w:r>
      <w:r w:rsidRPr="08473C56">
        <w:rPr>
          <w:b/>
          <w:bCs/>
          <w:color w:val="70AD47" w:themeColor="accent6"/>
          <w:sz w:val="26"/>
          <w:szCs w:val="26"/>
          <w:lang w:val="en-GB"/>
        </w:rPr>
        <w:t xml:space="preserve"> of your immunisation system </w:t>
      </w:r>
      <w:r w:rsidR="006D5892" w:rsidRPr="08473C56">
        <w:rPr>
          <w:b/>
          <w:bCs/>
          <w:color w:val="70AD47" w:themeColor="accent6"/>
          <w:sz w:val="26"/>
          <w:szCs w:val="26"/>
          <w:lang w:val="en-GB"/>
        </w:rPr>
        <w:t>(</w:t>
      </w:r>
      <w:r w:rsidR="00301307" w:rsidRPr="08473C56">
        <w:rPr>
          <w:b/>
          <w:bCs/>
          <w:color w:val="70AD47" w:themeColor="accent6"/>
          <w:sz w:val="26"/>
          <w:szCs w:val="26"/>
          <w:lang w:val="en-GB"/>
        </w:rPr>
        <w:t xml:space="preserve">1-2 </w:t>
      </w:r>
      <w:r w:rsidR="006D5892" w:rsidRPr="08473C56">
        <w:rPr>
          <w:b/>
          <w:bCs/>
          <w:color w:val="70AD47" w:themeColor="accent6"/>
          <w:sz w:val="26"/>
          <w:szCs w:val="26"/>
          <w:lang w:val="en-GB"/>
        </w:rPr>
        <w:t>pages)</w:t>
      </w:r>
    </w:p>
    <w:p w14:paraId="272993D5" w14:textId="0A023459" w:rsidR="0095370A" w:rsidRPr="00D93986" w:rsidRDefault="00EC2EA5" w:rsidP="00E50185">
      <w:pPr>
        <w:pStyle w:val="ListParagraph"/>
        <w:spacing w:line="300" w:lineRule="exact"/>
        <w:ind w:left="142"/>
        <w:rPr>
          <w:b/>
          <w:i/>
          <w:sz w:val="20"/>
          <w:szCs w:val="20"/>
        </w:rPr>
      </w:pPr>
      <w:r w:rsidRPr="00D93986">
        <w:rPr>
          <w:b/>
          <w:bCs/>
          <w:i/>
          <w:iCs/>
          <w:sz w:val="20"/>
          <w:szCs w:val="20"/>
        </w:rPr>
        <w:t xml:space="preserve">Please provide </w:t>
      </w:r>
      <w:r w:rsidR="008B2F8A" w:rsidRPr="00D93986">
        <w:rPr>
          <w:b/>
          <w:bCs/>
          <w:i/>
          <w:iCs/>
          <w:sz w:val="20"/>
          <w:szCs w:val="20"/>
        </w:rPr>
        <w:t xml:space="preserve">the planned allocation of PEF TCA towards </w:t>
      </w:r>
      <w:r w:rsidR="004010B7" w:rsidRPr="00D93986">
        <w:rPr>
          <w:b/>
          <w:bCs/>
          <w:i/>
          <w:iCs/>
          <w:sz w:val="20"/>
          <w:szCs w:val="20"/>
        </w:rPr>
        <w:t>investments areas and hig</w:t>
      </w:r>
      <w:r w:rsidR="00107D9F">
        <w:rPr>
          <w:b/>
          <w:bCs/>
          <w:i/>
          <w:iCs/>
          <w:sz w:val="20"/>
          <w:szCs w:val="20"/>
        </w:rPr>
        <w:t>h</w:t>
      </w:r>
      <w:r w:rsidR="004010B7" w:rsidRPr="00D93986">
        <w:rPr>
          <w:b/>
          <w:bCs/>
          <w:i/>
          <w:iCs/>
          <w:sz w:val="20"/>
          <w:szCs w:val="20"/>
        </w:rPr>
        <w:t>-level objectives. Gavi-supported investment areas and a menu of objectives are available for refer</w:t>
      </w:r>
      <w:r w:rsidR="00107D9F">
        <w:rPr>
          <w:b/>
          <w:bCs/>
          <w:i/>
          <w:iCs/>
          <w:sz w:val="20"/>
          <w:szCs w:val="20"/>
        </w:rPr>
        <w:t>e</w:t>
      </w:r>
      <w:r w:rsidR="004010B7" w:rsidRPr="00D93986">
        <w:rPr>
          <w:b/>
          <w:bCs/>
          <w:i/>
          <w:iCs/>
          <w:sz w:val="20"/>
          <w:szCs w:val="20"/>
        </w:rPr>
        <w:t>nce in Gav</w:t>
      </w:r>
      <w:r w:rsidR="00107D9F">
        <w:rPr>
          <w:b/>
          <w:bCs/>
          <w:i/>
          <w:iCs/>
          <w:sz w:val="20"/>
          <w:szCs w:val="20"/>
        </w:rPr>
        <w:t>i</w:t>
      </w:r>
      <w:r w:rsidR="004010B7" w:rsidRPr="00D93986">
        <w:rPr>
          <w:b/>
          <w:bCs/>
          <w:i/>
          <w:iCs/>
          <w:sz w:val="20"/>
          <w:szCs w:val="20"/>
        </w:rPr>
        <w:t xml:space="preserve">’s </w:t>
      </w:r>
      <w:hyperlink r:id="rId13" w:history="1">
        <w:r w:rsidR="00270AE6" w:rsidRPr="00270AE6">
          <w:rPr>
            <w:rStyle w:val="Hyperlink"/>
            <w:b/>
            <w:bCs/>
            <w:i/>
            <w:iCs/>
            <w:sz w:val="20"/>
            <w:szCs w:val="20"/>
          </w:rPr>
          <w:t>Programme Funding Guidelines</w:t>
        </w:r>
      </w:hyperlink>
      <w:r w:rsidR="004010B7" w:rsidRPr="00D93986">
        <w:rPr>
          <w:b/>
          <w:bCs/>
          <w:i/>
          <w:iCs/>
          <w:sz w:val="20"/>
          <w:szCs w:val="20"/>
        </w:rPr>
        <w:t>.</w:t>
      </w:r>
      <w:r w:rsidR="00DD6A66">
        <w:rPr>
          <w:b/>
          <w:bCs/>
          <w:i/>
          <w:iCs/>
          <w:sz w:val="20"/>
          <w:szCs w:val="20"/>
        </w:rPr>
        <w:t xml:space="preserve"> The country can plan </w:t>
      </w:r>
      <w:r w:rsidR="00B0585F">
        <w:rPr>
          <w:b/>
          <w:bCs/>
          <w:i/>
          <w:iCs/>
          <w:sz w:val="20"/>
          <w:szCs w:val="20"/>
        </w:rPr>
        <w:t>for the remaining duration of their current HSS grant.</w:t>
      </w:r>
    </w:p>
    <w:p w14:paraId="6567DB8B" w14:textId="77777777" w:rsidR="007F2F8B" w:rsidRDefault="007F2F8B" w:rsidP="00372D1F">
      <w:pPr>
        <w:pStyle w:val="ListParagraph"/>
        <w:spacing w:line="300" w:lineRule="exact"/>
        <w:ind w:left="426"/>
        <w:rPr>
          <w:i/>
          <w:color w:val="808080" w:themeColor="background1" w:themeShade="80"/>
          <w:lang w:val="en-GB"/>
        </w:rPr>
      </w:pPr>
    </w:p>
    <w:p w14:paraId="1D079834" w14:textId="3BFFF507" w:rsidR="00655D56" w:rsidRPr="006C63B1" w:rsidRDefault="00372D1F" w:rsidP="6D39E4EB">
      <w:pPr>
        <w:pStyle w:val="ListParagraph"/>
        <w:spacing w:line="300" w:lineRule="exact"/>
        <w:ind w:left="426"/>
        <w:rPr>
          <w:i/>
          <w:iCs/>
          <w:color w:val="808080" w:themeColor="background1" w:themeShade="80"/>
          <w:lang w:val="en-GB"/>
        </w:rPr>
      </w:pPr>
      <w:r w:rsidRPr="6D39E4EB">
        <w:rPr>
          <w:i/>
          <w:iCs/>
          <w:color w:val="808080" w:themeColor="background1" w:themeShade="80"/>
          <w:lang w:val="en-GB"/>
        </w:rPr>
        <w:t>(Please feel free to add lines as needed)</w:t>
      </w:r>
    </w:p>
    <w:tbl>
      <w:tblPr>
        <w:tblW w:w="11395" w:type="dxa"/>
        <w:jc w:val="center"/>
        <w:tblLook w:val="04A0" w:firstRow="1" w:lastRow="0" w:firstColumn="1" w:lastColumn="0" w:noHBand="0" w:noVBand="1"/>
      </w:tblPr>
      <w:tblGrid>
        <w:gridCol w:w="1807"/>
        <w:gridCol w:w="3498"/>
        <w:gridCol w:w="1036"/>
        <w:gridCol w:w="6"/>
        <w:gridCol w:w="1030"/>
        <w:gridCol w:w="6"/>
        <w:gridCol w:w="1030"/>
        <w:gridCol w:w="6"/>
        <w:gridCol w:w="1030"/>
        <w:gridCol w:w="6"/>
        <w:gridCol w:w="1074"/>
        <w:gridCol w:w="12"/>
        <w:gridCol w:w="848"/>
        <w:gridCol w:w="6"/>
      </w:tblGrid>
      <w:tr w:rsidR="00E04F69" w:rsidRPr="00E04F69" w14:paraId="6662BDAE" w14:textId="77777777" w:rsidTr="00BB5C93">
        <w:trPr>
          <w:gridAfter w:val="1"/>
          <w:wAfter w:w="6" w:type="dxa"/>
          <w:trHeight w:val="300"/>
          <w:jc w:val="center"/>
        </w:trPr>
        <w:tc>
          <w:tcPr>
            <w:tcW w:w="5305" w:type="dxa"/>
            <w:gridSpan w:val="2"/>
            <w:tcBorders>
              <w:top w:val="single" w:sz="4" w:space="0" w:color="auto"/>
              <w:left w:val="single" w:sz="4" w:space="0" w:color="auto"/>
              <w:bottom w:val="single" w:sz="4" w:space="0" w:color="auto"/>
              <w:right w:val="single" w:sz="4" w:space="0" w:color="auto"/>
            </w:tcBorders>
            <w:shd w:val="clear" w:color="000000" w:fill="D9E2F3"/>
            <w:vAlign w:val="center"/>
            <w:hideMark/>
          </w:tcPr>
          <w:p w14:paraId="1981C738" w14:textId="77777777" w:rsidR="00E04F69" w:rsidRPr="00E04F69" w:rsidRDefault="00E04F69" w:rsidP="00E04F69">
            <w:pPr>
              <w:spacing w:line="240" w:lineRule="auto"/>
              <w:jc w:val="center"/>
              <w:rPr>
                <w:rFonts w:ascii="Calibri" w:eastAsia="Times New Roman" w:hAnsi="Calibri" w:cs="Calibri"/>
                <w:b/>
                <w:bCs/>
                <w:color w:val="000000"/>
                <w:sz w:val="16"/>
                <w:szCs w:val="16"/>
                <w:lang w:val="en-US" w:eastAsia="en-US"/>
              </w:rPr>
            </w:pPr>
            <w:r w:rsidRPr="00E04F69">
              <w:rPr>
                <w:rFonts w:ascii="Calibri" w:eastAsia="Times New Roman" w:hAnsi="Calibri" w:cs="Calibri"/>
                <w:b/>
                <w:bCs/>
                <w:color w:val="000000"/>
                <w:sz w:val="16"/>
                <w:szCs w:val="16"/>
                <w:lang w:val="en-US" w:eastAsia="en-US"/>
              </w:rPr>
              <w:lastRenderedPageBreak/>
              <w:t>High-level Plan</w:t>
            </w:r>
          </w:p>
        </w:tc>
        <w:tc>
          <w:tcPr>
            <w:tcW w:w="6084" w:type="dxa"/>
            <w:gridSpan w:val="11"/>
            <w:tcBorders>
              <w:top w:val="single" w:sz="4" w:space="0" w:color="auto"/>
              <w:left w:val="nil"/>
              <w:bottom w:val="single" w:sz="4" w:space="0" w:color="auto"/>
              <w:right w:val="single" w:sz="4" w:space="0" w:color="auto"/>
            </w:tcBorders>
            <w:shd w:val="clear" w:color="000000" w:fill="D9E2F3"/>
            <w:vAlign w:val="center"/>
            <w:hideMark/>
          </w:tcPr>
          <w:p w14:paraId="22C47900" w14:textId="77777777" w:rsidR="00E04F69" w:rsidRPr="00E04F69" w:rsidRDefault="00E04F69" w:rsidP="00E04F69">
            <w:pPr>
              <w:spacing w:line="240" w:lineRule="auto"/>
              <w:jc w:val="center"/>
              <w:rPr>
                <w:rFonts w:ascii="Calibri" w:eastAsia="Times New Roman" w:hAnsi="Calibri" w:cs="Calibri"/>
                <w:b/>
                <w:bCs/>
                <w:color w:val="000000"/>
                <w:sz w:val="16"/>
                <w:szCs w:val="16"/>
                <w:lang w:val="en-US" w:eastAsia="en-US"/>
              </w:rPr>
            </w:pPr>
            <w:r w:rsidRPr="00E04F69">
              <w:rPr>
                <w:rFonts w:ascii="Calibri" w:eastAsia="Times New Roman" w:hAnsi="Calibri" w:cs="Calibri"/>
                <w:b/>
                <w:bCs/>
                <w:color w:val="000000"/>
                <w:sz w:val="16"/>
                <w:szCs w:val="16"/>
                <w:lang w:val="en-US" w:eastAsia="en-US"/>
              </w:rPr>
              <w:t>Budget (USD)</w:t>
            </w:r>
          </w:p>
        </w:tc>
      </w:tr>
      <w:tr w:rsidR="00E04F69" w:rsidRPr="00E04F69" w14:paraId="2A586311" w14:textId="77777777" w:rsidTr="00BB5C93">
        <w:trPr>
          <w:trHeight w:val="300"/>
          <w:jc w:val="center"/>
        </w:trPr>
        <w:tc>
          <w:tcPr>
            <w:tcW w:w="1807" w:type="dxa"/>
            <w:tcBorders>
              <w:top w:val="nil"/>
              <w:left w:val="single" w:sz="4" w:space="0" w:color="auto"/>
              <w:bottom w:val="single" w:sz="4" w:space="0" w:color="auto"/>
              <w:right w:val="single" w:sz="4" w:space="0" w:color="auto"/>
            </w:tcBorders>
            <w:shd w:val="clear" w:color="000000" w:fill="D9E2F3"/>
            <w:vAlign w:val="center"/>
            <w:hideMark/>
          </w:tcPr>
          <w:p w14:paraId="75139D64" w14:textId="77777777" w:rsidR="00E04F69" w:rsidRPr="00E04F69" w:rsidRDefault="00E04F69" w:rsidP="00E04F69">
            <w:pPr>
              <w:spacing w:line="240" w:lineRule="auto"/>
              <w:jc w:val="center"/>
              <w:rPr>
                <w:rFonts w:ascii="Calibri" w:eastAsia="Times New Roman" w:hAnsi="Calibri" w:cs="Calibri"/>
                <w:b/>
                <w:bCs/>
                <w:color w:val="000000"/>
                <w:sz w:val="16"/>
                <w:szCs w:val="16"/>
                <w:lang w:val="en-US" w:eastAsia="en-US"/>
              </w:rPr>
            </w:pPr>
            <w:r w:rsidRPr="00E04F69">
              <w:rPr>
                <w:rFonts w:ascii="Calibri" w:eastAsia="Times New Roman" w:hAnsi="Calibri" w:cs="Calibri"/>
                <w:b/>
                <w:bCs/>
                <w:color w:val="000000"/>
                <w:sz w:val="16"/>
                <w:szCs w:val="16"/>
                <w:lang w:val="en-US" w:eastAsia="en-US"/>
              </w:rPr>
              <w:t>Investment Area</w:t>
            </w:r>
          </w:p>
        </w:tc>
        <w:tc>
          <w:tcPr>
            <w:tcW w:w="3498" w:type="dxa"/>
            <w:tcBorders>
              <w:top w:val="nil"/>
              <w:left w:val="nil"/>
              <w:bottom w:val="single" w:sz="4" w:space="0" w:color="auto"/>
              <w:right w:val="single" w:sz="4" w:space="0" w:color="auto"/>
            </w:tcBorders>
            <w:shd w:val="clear" w:color="000000" w:fill="D9E2F3"/>
            <w:vAlign w:val="center"/>
            <w:hideMark/>
          </w:tcPr>
          <w:p w14:paraId="0C89F5B9" w14:textId="77777777" w:rsidR="00E04F69" w:rsidRPr="00E04F69" w:rsidRDefault="00E04F69" w:rsidP="00E04F69">
            <w:pPr>
              <w:spacing w:line="240" w:lineRule="auto"/>
              <w:jc w:val="center"/>
              <w:rPr>
                <w:rFonts w:ascii="Calibri" w:eastAsia="Times New Roman" w:hAnsi="Calibri" w:cs="Calibri"/>
                <w:b/>
                <w:bCs/>
                <w:color w:val="000000"/>
                <w:sz w:val="16"/>
                <w:szCs w:val="16"/>
                <w:lang w:val="en-US" w:eastAsia="en-US"/>
              </w:rPr>
            </w:pPr>
            <w:r w:rsidRPr="00E04F69">
              <w:rPr>
                <w:rFonts w:ascii="Calibri" w:eastAsia="Times New Roman" w:hAnsi="Calibri" w:cs="Calibri"/>
                <w:b/>
                <w:bCs/>
                <w:color w:val="000000"/>
                <w:sz w:val="16"/>
                <w:szCs w:val="16"/>
                <w:lang w:val="en-US" w:eastAsia="en-US"/>
              </w:rPr>
              <w:t>High-level objective/ activities</w:t>
            </w:r>
          </w:p>
        </w:tc>
        <w:tc>
          <w:tcPr>
            <w:tcW w:w="1042" w:type="dxa"/>
            <w:gridSpan w:val="2"/>
            <w:tcBorders>
              <w:top w:val="nil"/>
              <w:left w:val="nil"/>
              <w:bottom w:val="single" w:sz="4" w:space="0" w:color="auto"/>
              <w:right w:val="single" w:sz="4" w:space="0" w:color="auto"/>
            </w:tcBorders>
            <w:shd w:val="clear" w:color="000000" w:fill="D9E2F3"/>
            <w:vAlign w:val="center"/>
            <w:hideMark/>
          </w:tcPr>
          <w:p w14:paraId="23A47F5E" w14:textId="77777777" w:rsidR="00E04F69" w:rsidRPr="00E04F69" w:rsidRDefault="00E04F69" w:rsidP="00E04F69">
            <w:pPr>
              <w:spacing w:line="240" w:lineRule="auto"/>
              <w:jc w:val="center"/>
              <w:rPr>
                <w:rFonts w:ascii="Calibri" w:eastAsia="Times New Roman" w:hAnsi="Calibri" w:cs="Calibri"/>
                <w:b/>
                <w:bCs/>
                <w:color w:val="000000"/>
                <w:sz w:val="16"/>
                <w:szCs w:val="16"/>
                <w:lang w:val="en-US" w:eastAsia="en-US"/>
              </w:rPr>
            </w:pPr>
            <w:r w:rsidRPr="00E04F69">
              <w:rPr>
                <w:rFonts w:ascii="Calibri" w:eastAsia="Times New Roman" w:hAnsi="Calibri" w:cs="Calibri"/>
                <w:b/>
                <w:bCs/>
                <w:color w:val="000000"/>
                <w:sz w:val="16"/>
                <w:szCs w:val="16"/>
                <w:lang w:val="en-US" w:eastAsia="en-US"/>
              </w:rPr>
              <w:t>2022</w:t>
            </w:r>
          </w:p>
        </w:tc>
        <w:tc>
          <w:tcPr>
            <w:tcW w:w="1036" w:type="dxa"/>
            <w:gridSpan w:val="2"/>
            <w:tcBorders>
              <w:top w:val="nil"/>
              <w:left w:val="nil"/>
              <w:bottom w:val="single" w:sz="4" w:space="0" w:color="auto"/>
              <w:right w:val="single" w:sz="4" w:space="0" w:color="auto"/>
            </w:tcBorders>
            <w:shd w:val="clear" w:color="000000" w:fill="D9E2F3"/>
            <w:vAlign w:val="center"/>
            <w:hideMark/>
          </w:tcPr>
          <w:p w14:paraId="78B705B9" w14:textId="77777777" w:rsidR="00E04F69" w:rsidRPr="00E04F69" w:rsidRDefault="00E04F69" w:rsidP="00E04F69">
            <w:pPr>
              <w:spacing w:line="240" w:lineRule="auto"/>
              <w:jc w:val="center"/>
              <w:rPr>
                <w:rFonts w:ascii="Calibri" w:eastAsia="Times New Roman" w:hAnsi="Calibri" w:cs="Calibri"/>
                <w:b/>
                <w:bCs/>
                <w:color w:val="000000"/>
                <w:sz w:val="16"/>
                <w:szCs w:val="16"/>
                <w:lang w:val="en-US" w:eastAsia="en-US"/>
              </w:rPr>
            </w:pPr>
            <w:r w:rsidRPr="00E04F69">
              <w:rPr>
                <w:rFonts w:ascii="Calibri" w:eastAsia="Times New Roman" w:hAnsi="Calibri" w:cs="Calibri"/>
                <w:b/>
                <w:bCs/>
                <w:color w:val="000000"/>
                <w:sz w:val="16"/>
                <w:szCs w:val="16"/>
                <w:lang w:val="en-US" w:eastAsia="en-US"/>
              </w:rPr>
              <w:t>2023</w:t>
            </w:r>
          </w:p>
        </w:tc>
        <w:tc>
          <w:tcPr>
            <w:tcW w:w="1036" w:type="dxa"/>
            <w:gridSpan w:val="2"/>
            <w:tcBorders>
              <w:top w:val="nil"/>
              <w:left w:val="nil"/>
              <w:bottom w:val="single" w:sz="4" w:space="0" w:color="auto"/>
              <w:right w:val="single" w:sz="4" w:space="0" w:color="auto"/>
            </w:tcBorders>
            <w:shd w:val="clear" w:color="000000" w:fill="D9E2F3"/>
            <w:vAlign w:val="center"/>
            <w:hideMark/>
          </w:tcPr>
          <w:p w14:paraId="20637C7A" w14:textId="77777777" w:rsidR="00E04F69" w:rsidRPr="00E04F69" w:rsidRDefault="00E04F69" w:rsidP="00E04F69">
            <w:pPr>
              <w:spacing w:line="240" w:lineRule="auto"/>
              <w:jc w:val="center"/>
              <w:rPr>
                <w:rFonts w:ascii="Calibri" w:eastAsia="Times New Roman" w:hAnsi="Calibri" w:cs="Calibri"/>
                <w:b/>
                <w:bCs/>
                <w:color w:val="000000"/>
                <w:sz w:val="16"/>
                <w:szCs w:val="16"/>
                <w:lang w:val="en-US" w:eastAsia="en-US"/>
              </w:rPr>
            </w:pPr>
            <w:r w:rsidRPr="00E04F69">
              <w:rPr>
                <w:rFonts w:ascii="Calibri" w:eastAsia="Times New Roman" w:hAnsi="Calibri" w:cs="Calibri"/>
                <w:b/>
                <w:bCs/>
                <w:color w:val="000000"/>
                <w:sz w:val="16"/>
                <w:szCs w:val="16"/>
                <w:lang w:val="en-US" w:eastAsia="en-US"/>
              </w:rPr>
              <w:t>2024</w:t>
            </w:r>
          </w:p>
        </w:tc>
        <w:tc>
          <w:tcPr>
            <w:tcW w:w="1036" w:type="dxa"/>
            <w:gridSpan w:val="2"/>
            <w:tcBorders>
              <w:top w:val="nil"/>
              <w:left w:val="nil"/>
              <w:bottom w:val="single" w:sz="4" w:space="0" w:color="auto"/>
              <w:right w:val="single" w:sz="4" w:space="0" w:color="auto"/>
            </w:tcBorders>
            <w:shd w:val="clear" w:color="000000" w:fill="D9E2F3"/>
            <w:vAlign w:val="center"/>
            <w:hideMark/>
          </w:tcPr>
          <w:p w14:paraId="23AB07F3" w14:textId="77777777" w:rsidR="00E04F69" w:rsidRPr="00E04F69" w:rsidRDefault="00E04F69" w:rsidP="00E04F69">
            <w:pPr>
              <w:spacing w:line="240" w:lineRule="auto"/>
              <w:jc w:val="center"/>
              <w:rPr>
                <w:rFonts w:ascii="Calibri" w:eastAsia="Times New Roman" w:hAnsi="Calibri" w:cs="Calibri"/>
                <w:b/>
                <w:bCs/>
                <w:color w:val="000000"/>
                <w:sz w:val="16"/>
                <w:szCs w:val="16"/>
                <w:lang w:val="en-US" w:eastAsia="en-US"/>
              </w:rPr>
            </w:pPr>
            <w:r w:rsidRPr="00E04F69">
              <w:rPr>
                <w:rFonts w:ascii="Calibri" w:eastAsia="Times New Roman" w:hAnsi="Calibri" w:cs="Calibri"/>
                <w:b/>
                <w:bCs/>
                <w:color w:val="000000"/>
                <w:sz w:val="16"/>
                <w:szCs w:val="16"/>
                <w:lang w:val="en-US" w:eastAsia="en-US"/>
              </w:rPr>
              <w:t>2025</w:t>
            </w:r>
          </w:p>
        </w:tc>
        <w:tc>
          <w:tcPr>
            <w:tcW w:w="1086" w:type="dxa"/>
            <w:gridSpan w:val="2"/>
            <w:tcBorders>
              <w:top w:val="nil"/>
              <w:left w:val="nil"/>
              <w:bottom w:val="single" w:sz="4" w:space="0" w:color="auto"/>
              <w:right w:val="single" w:sz="4" w:space="0" w:color="auto"/>
            </w:tcBorders>
            <w:shd w:val="clear" w:color="000000" w:fill="D9E2F3"/>
            <w:vAlign w:val="center"/>
            <w:hideMark/>
          </w:tcPr>
          <w:p w14:paraId="735CAE85" w14:textId="77777777" w:rsidR="00E04F69" w:rsidRPr="00E04F69" w:rsidRDefault="00E04F69" w:rsidP="00E04F69">
            <w:pPr>
              <w:spacing w:line="240" w:lineRule="auto"/>
              <w:jc w:val="center"/>
              <w:rPr>
                <w:rFonts w:ascii="Calibri" w:eastAsia="Times New Roman" w:hAnsi="Calibri" w:cs="Calibri"/>
                <w:b/>
                <w:bCs/>
                <w:color w:val="000000"/>
                <w:sz w:val="16"/>
                <w:szCs w:val="16"/>
                <w:lang w:val="en-US" w:eastAsia="en-US"/>
              </w:rPr>
            </w:pPr>
            <w:r w:rsidRPr="00E04F69">
              <w:rPr>
                <w:rFonts w:ascii="Calibri" w:eastAsia="Times New Roman" w:hAnsi="Calibri" w:cs="Calibri"/>
                <w:b/>
                <w:bCs/>
                <w:color w:val="000000"/>
                <w:sz w:val="16"/>
                <w:szCs w:val="16"/>
                <w:lang w:val="en-US" w:eastAsia="en-US"/>
              </w:rPr>
              <w:t>total</w:t>
            </w:r>
          </w:p>
        </w:tc>
        <w:tc>
          <w:tcPr>
            <w:tcW w:w="854" w:type="dxa"/>
            <w:gridSpan w:val="2"/>
            <w:tcBorders>
              <w:top w:val="nil"/>
              <w:left w:val="nil"/>
              <w:bottom w:val="single" w:sz="4" w:space="0" w:color="auto"/>
              <w:right w:val="single" w:sz="4" w:space="0" w:color="auto"/>
            </w:tcBorders>
            <w:shd w:val="clear" w:color="000000" w:fill="D9E2F3"/>
            <w:vAlign w:val="center"/>
            <w:hideMark/>
          </w:tcPr>
          <w:p w14:paraId="45A01BD4" w14:textId="77777777" w:rsidR="00E04F69" w:rsidRPr="00E04F69" w:rsidRDefault="00E04F69" w:rsidP="00E04F69">
            <w:pPr>
              <w:spacing w:line="240" w:lineRule="auto"/>
              <w:jc w:val="center"/>
              <w:rPr>
                <w:rFonts w:ascii="Calibri" w:eastAsia="Times New Roman" w:hAnsi="Calibri" w:cs="Calibri"/>
                <w:b/>
                <w:bCs/>
                <w:color w:val="000000"/>
                <w:sz w:val="16"/>
                <w:szCs w:val="16"/>
                <w:lang w:val="en-US" w:eastAsia="en-US"/>
              </w:rPr>
            </w:pPr>
            <w:r w:rsidRPr="00E04F69">
              <w:rPr>
                <w:rFonts w:ascii="Calibri" w:eastAsia="Times New Roman" w:hAnsi="Calibri" w:cs="Calibri"/>
                <w:b/>
                <w:bCs/>
                <w:color w:val="000000"/>
                <w:sz w:val="16"/>
                <w:szCs w:val="16"/>
                <w:lang w:val="en-US" w:eastAsia="en-US"/>
              </w:rPr>
              <w:t>%</w:t>
            </w:r>
          </w:p>
        </w:tc>
      </w:tr>
      <w:tr w:rsidR="00E04F69" w:rsidRPr="00E04F69" w14:paraId="108C1328" w14:textId="77777777" w:rsidTr="00BB5C93">
        <w:trPr>
          <w:trHeight w:val="675"/>
          <w:jc w:val="center"/>
        </w:trPr>
        <w:tc>
          <w:tcPr>
            <w:tcW w:w="1807" w:type="dxa"/>
            <w:tcBorders>
              <w:top w:val="nil"/>
              <w:left w:val="single" w:sz="4" w:space="0" w:color="auto"/>
              <w:bottom w:val="single" w:sz="4" w:space="0" w:color="auto"/>
              <w:right w:val="single" w:sz="4" w:space="0" w:color="auto"/>
            </w:tcBorders>
            <w:shd w:val="clear" w:color="auto" w:fill="auto"/>
            <w:vAlign w:val="center"/>
            <w:hideMark/>
          </w:tcPr>
          <w:p w14:paraId="1BDD4EDB" w14:textId="77777777" w:rsidR="00E04F69" w:rsidRPr="00E04F69" w:rsidRDefault="00E04F69" w:rsidP="00E04F69">
            <w:pPr>
              <w:spacing w:line="240" w:lineRule="auto"/>
              <w:jc w:val="center"/>
              <w:rPr>
                <w:rFonts w:ascii="Calibri" w:eastAsia="Times New Roman" w:hAnsi="Calibri" w:cs="Calibri"/>
                <w:color w:val="000000"/>
                <w:sz w:val="16"/>
                <w:szCs w:val="16"/>
                <w:lang w:val="en-US" w:eastAsia="en-US"/>
              </w:rPr>
            </w:pPr>
            <w:r w:rsidRPr="00E04F69">
              <w:rPr>
                <w:rFonts w:ascii="Calibri" w:eastAsia="Times New Roman" w:hAnsi="Calibri" w:cs="Calibri"/>
                <w:color w:val="000000"/>
                <w:sz w:val="16"/>
                <w:szCs w:val="16"/>
                <w:lang w:val="en-US" w:eastAsia="en-US"/>
              </w:rPr>
              <w:t xml:space="preserve">Governance, policy, strategic </w:t>
            </w:r>
            <w:proofErr w:type="gramStart"/>
            <w:r w:rsidRPr="00E04F69">
              <w:rPr>
                <w:rFonts w:ascii="Calibri" w:eastAsia="Times New Roman" w:hAnsi="Calibri" w:cs="Calibri"/>
                <w:color w:val="000000"/>
                <w:sz w:val="16"/>
                <w:szCs w:val="16"/>
                <w:lang w:val="en-US" w:eastAsia="en-US"/>
              </w:rPr>
              <w:t>planning</w:t>
            </w:r>
            <w:proofErr w:type="gramEnd"/>
            <w:r w:rsidRPr="00E04F69">
              <w:rPr>
                <w:rFonts w:ascii="Calibri" w:eastAsia="Times New Roman" w:hAnsi="Calibri" w:cs="Calibri"/>
                <w:color w:val="000000"/>
                <w:sz w:val="16"/>
                <w:szCs w:val="16"/>
                <w:lang w:val="en-US" w:eastAsia="en-US"/>
              </w:rPr>
              <w:t xml:space="preserve"> and programme management</w:t>
            </w:r>
          </w:p>
        </w:tc>
        <w:tc>
          <w:tcPr>
            <w:tcW w:w="3498" w:type="dxa"/>
            <w:tcBorders>
              <w:top w:val="nil"/>
              <w:left w:val="nil"/>
              <w:bottom w:val="single" w:sz="4" w:space="0" w:color="auto"/>
              <w:right w:val="single" w:sz="4" w:space="0" w:color="auto"/>
            </w:tcBorders>
            <w:shd w:val="clear" w:color="auto" w:fill="auto"/>
            <w:vAlign w:val="center"/>
            <w:hideMark/>
          </w:tcPr>
          <w:p w14:paraId="1426EC92" w14:textId="77777777" w:rsidR="00E04F69" w:rsidRPr="00E04F69" w:rsidRDefault="00E04F69" w:rsidP="00E04F69">
            <w:pPr>
              <w:spacing w:line="240" w:lineRule="auto"/>
              <w:jc w:val="center"/>
              <w:rPr>
                <w:rFonts w:ascii="Calibri" w:eastAsia="Times New Roman" w:hAnsi="Calibri" w:cs="Calibri"/>
                <w:color w:val="000000"/>
                <w:sz w:val="16"/>
                <w:szCs w:val="16"/>
                <w:lang w:val="en-US" w:eastAsia="en-US"/>
              </w:rPr>
            </w:pPr>
            <w:r w:rsidRPr="00E04F69">
              <w:rPr>
                <w:rFonts w:ascii="Calibri" w:eastAsia="Times New Roman" w:hAnsi="Calibri" w:cs="Calibri"/>
                <w:color w:val="000000"/>
                <w:sz w:val="16"/>
                <w:szCs w:val="16"/>
                <w:lang w:val="en-US" w:eastAsia="en-US"/>
              </w:rPr>
              <w:t>activating the central operation room and immunization operational rooms at the central and governorate levels</w:t>
            </w:r>
          </w:p>
        </w:tc>
        <w:tc>
          <w:tcPr>
            <w:tcW w:w="1042" w:type="dxa"/>
            <w:gridSpan w:val="2"/>
            <w:tcBorders>
              <w:top w:val="nil"/>
              <w:left w:val="nil"/>
              <w:bottom w:val="single" w:sz="4" w:space="0" w:color="auto"/>
              <w:right w:val="single" w:sz="4" w:space="0" w:color="auto"/>
            </w:tcBorders>
            <w:shd w:val="clear" w:color="auto" w:fill="auto"/>
            <w:vAlign w:val="center"/>
            <w:hideMark/>
          </w:tcPr>
          <w:p w14:paraId="344E5BAE" w14:textId="77777777" w:rsidR="00E04F69" w:rsidRPr="00E04F69" w:rsidRDefault="00E04F69" w:rsidP="00E04F69">
            <w:pPr>
              <w:spacing w:line="240" w:lineRule="auto"/>
              <w:jc w:val="center"/>
              <w:rPr>
                <w:rFonts w:ascii="Calibri" w:eastAsia="Times New Roman" w:hAnsi="Calibri" w:cs="Calibri"/>
                <w:color w:val="000000"/>
                <w:sz w:val="16"/>
                <w:szCs w:val="16"/>
                <w:lang w:val="en-US" w:eastAsia="en-US"/>
              </w:rPr>
            </w:pPr>
            <w:r w:rsidRPr="00E04F69">
              <w:rPr>
                <w:rFonts w:ascii="Calibri" w:eastAsia="Times New Roman" w:hAnsi="Calibri" w:cs="Calibri"/>
                <w:color w:val="000000"/>
                <w:sz w:val="16"/>
                <w:szCs w:val="16"/>
                <w:lang w:val="en-US" w:eastAsia="en-US"/>
              </w:rPr>
              <w:t>$400,000</w:t>
            </w:r>
          </w:p>
        </w:tc>
        <w:tc>
          <w:tcPr>
            <w:tcW w:w="1036" w:type="dxa"/>
            <w:gridSpan w:val="2"/>
            <w:tcBorders>
              <w:top w:val="nil"/>
              <w:left w:val="nil"/>
              <w:bottom w:val="single" w:sz="4" w:space="0" w:color="auto"/>
              <w:right w:val="single" w:sz="4" w:space="0" w:color="auto"/>
            </w:tcBorders>
            <w:shd w:val="clear" w:color="auto" w:fill="auto"/>
            <w:vAlign w:val="center"/>
            <w:hideMark/>
          </w:tcPr>
          <w:p w14:paraId="3D1FF65B" w14:textId="77777777" w:rsidR="00E04F69" w:rsidRPr="00E04F69" w:rsidRDefault="00E04F69" w:rsidP="00E04F69">
            <w:pPr>
              <w:spacing w:line="240" w:lineRule="auto"/>
              <w:jc w:val="center"/>
              <w:rPr>
                <w:rFonts w:ascii="Calibri" w:eastAsia="Times New Roman" w:hAnsi="Calibri" w:cs="Calibri"/>
                <w:color w:val="000000"/>
                <w:sz w:val="16"/>
                <w:szCs w:val="16"/>
                <w:lang w:val="en-US" w:eastAsia="en-US"/>
              </w:rPr>
            </w:pPr>
            <w:r w:rsidRPr="00E04F69">
              <w:rPr>
                <w:rFonts w:ascii="Calibri" w:eastAsia="Times New Roman" w:hAnsi="Calibri" w:cs="Calibri"/>
                <w:color w:val="000000"/>
                <w:sz w:val="16"/>
                <w:szCs w:val="16"/>
                <w:lang w:val="en-US" w:eastAsia="en-US"/>
              </w:rPr>
              <w:t>$245,370</w:t>
            </w:r>
          </w:p>
        </w:tc>
        <w:tc>
          <w:tcPr>
            <w:tcW w:w="1036" w:type="dxa"/>
            <w:gridSpan w:val="2"/>
            <w:tcBorders>
              <w:top w:val="nil"/>
              <w:left w:val="nil"/>
              <w:bottom w:val="single" w:sz="4" w:space="0" w:color="auto"/>
              <w:right w:val="single" w:sz="4" w:space="0" w:color="auto"/>
            </w:tcBorders>
            <w:shd w:val="clear" w:color="auto" w:fill="auto"/>
            <w:vAlign w:val="center"/>
            <w:hideMark/>
          </w:tcPr>
          <w:p w14:paraId="0E3ADA3A" w14:textId="77777777" w:rsidR="00E04F69" w:rsidRPr="00E04F69" w:rsidRDefault="00E04F69" w:rsidP="00E04F69">
            <w:pPr>
              <w:spacing w:line="240" w:lineRule="auto"/>
              <w:jc w:val="center"/>
              <w:rPr>
                <w:rFonts w:ascii="Calibri" w:eastAsia="Times New Roman" w:hAnsi="Calibri" w:cs="Calibri"/>
                <w:color w:val="000000"/>
                <w:sz w:val="16"/>
                <w:szCs w:val="16"/>
                <w:lang w:val="en-US" w:eastAsia="en-US"/>
              </w:rPr>
            </w:pPr>
            <w:r w:rsidRPr="00E04F69">
              <w:rPr>
                <w:rFonts w:ascii="Calibri" w:eastAsia="Times New Roman" w:hAnsi="Calibri" w:cs="Calibri"/>
                <w:color w:val="000000"/>
                <w:sz w:val="16"/>
                <w:szCs w:val="16"/>
                <w:lang w:val="en-US" w:eastAsia="en-US"/>
              </w:rPr>
              <w:t>$245,370</w:t>
            </w:r>
          </w:p>
        </w:tc>
        <w:tc>
          <w:tcPr>
            <w:tcW w:w="1036" w:type="dxa"/>
            <w:gridSpan w:val="2"/>
            <w:tcBorders>
              <w:top w:val="nil"/>
              <w:left w:val="nil"/>
              <w:bottom w:val="single" w:sz="4" w:space="0" w:color="auto"/>
              <w:right w:val="single" w:sz="4" w:space="0" w:color="auto"/>
            </w:tcBorders>
            <w:shd w:val="clear" w:color="auto" w:fill="auto"/>
            <w:vAlign w:val="center"/>
            <w:hideMark/>
          </w:tcPr>
          <w:p w14:paraId="02D29C65" w14:textId="77777777" w:rsidR="00E04F69" w:rsidRPr="00E04F69" w:rsidRDefault="00E04F69" w:rsidP="00E04F69">
            <w:pPr>
              <w:spacing w:line="240" w:lineRule="auto"/>
              <w:jc w:val="center"/>
              <w:rPr>
                <w:rFonts w:ascii="Calibri" w:eastAsia="Times New Roman" w:hAnsi="Calibri" w:cs="Calibri"/>
                <w:color w:val="000000"/>
                <w:sz w:val="16"/>
                <w:szCs w:val="16"/>
                <w:lang w:val="en-US" w:eastAsia="en-US"/>
              </w:rPr>
            </w:pPr>
            <w:r w:rsidRPr="00E04F69">
              <w:rPr>
                <w:rFonts w:ascii="Calibri" w:eastAsia="Times New Roman" w:hAnsi="Calibri" w:cs="Calibri"/>
                <w:color w:val="000000"/>
                <w:sz w:val="16"/>
                <w:szCs w:val="16"/>
                <w:lang w:val="en-US" w:eastAsia="en-US"/>
              </w:rPr>
              <w:t>$245,370</w:t>
            </w:r>
          </w:p>
        </w:tc>
        <w:tc>
          <w:tcPr>
            <w:tcW w:w="1086" w:type="dxa"/>
            <w:gridSpan w:val="2"/>
            <w:tcBorders>
              <w:top w:val="nil"/>
              <w:left w:val="nil"/>
              <w:bottom w:val="single" w:sz="4" w:space="0" w:color="auto"/>
              <w:right w:val="single" w:sz="4" w:space="0" w:color="auto"/>
            </w:tcBorders>
            <w:shd w:val="clear" w:color="auto" w:fill="auto"/>
            <w:vAlign w:val="center"/>
            <w:hideMark/>
          </w:tcPr>
          <w:p w14:paraId="64C68071" w14:textId="77777777" w:rsidR="00E04F69" w:rsidRPr="00E04F69" w:rsidRDefault="00E04F69" w:rsidP="00E04F69">
            <w:pPr>
              <w:spacing w:line="240" w:lineRule="auto"/>
              <w:jc w:val="center"/>
              <w:rPr>
                <w:rFonts w:ascii="Calibri" w:eastAsia="Times New Roman" w:hAnsi="Calibri" w:cs="Calibri"/>
                <w:color w:val="000000"/>
                <w:sz w:val="16"/>
                <w:szCs w:val="16"/>
                <w:lang w:val="en-US" w:eastAsia="en-US"/>
              </w:rPr>
            </w:pPr>
            <w:r w:rsidRPr="00E04F69">
              <w:rPr>
                <w:rFonts w:ascii="Calibri" w:eastAsia="Times New Roman" w:hAnsi="Calibri" w:cs="Calibri"/>
                <w:color w:val="000000"/>
                <w:sz w:val="16"/>
                <w:szCs w:val="16"/>
                <w:lang w:val="en-US" w:eastAsia="en-US"/>
              </w:rPr>
              <w:t>$1,136,110</w:t>
            </w:r>
          </w:p>
        </w:tc>
        <w:tc>
          <w:tcPr>
            <w:tcW w:w="854" w:type="dxa"/>
            <w:gridSpan w:val="2"/>
            <w:tcBorders>
              <w:top w:val="nil"/>
              <w:left w:val="nil"/>
              <w:bottom w:val="single" w:sz="4" w:space="0" w:color="auto"/>
              <w:right w:val="single" w:sz="4" w:space="0" w:color="auto"/>
            </w:tcBorders>
            <w:shd w:val="clear" w:color="auto" w:fill="auto"/>
            <w:noWrap/>
            <w:vAlign w:val="center"/>
            <w:hideMark/>
          </w:tcPr>
          <w:p w14:paraId="2E3A6045" w14:textId="77777777" w:rsidR="00E04F69" w:rsidRPr="00E04F69" w:rsidRDefault="00E04F69" w:rsidP="00E04F69">
            <w:pPr>
              <w:spacing w:line="240" w:lineRule="auto"/>
              <w:jc w:val="center"/>
              <w:rPr>
                <w:rFonts w:ascii="Calibri" w:eastAsia="Times New Roman" w:hAnsi="Calibri" w:cs="Calibri"/>
                <w:color w:val="000000"/>
                <w:sz w:val="18"/>
                <w:szCs w:val="18"/>
                <w:lang w:val="en-US" w:eastAsia="en-US"/>
              </w:rPr>
            </w:pPr>
            <w:r w:rsidRPr="00E04F69">
              <w:rPr>
                <w:rFonts w:ascii="Calibri" w:eastAsia="Times New Roman" w:hAnsi="Calibri" w:cs="Calibri"/>
                <w:color w:val="000000"/>
                <w:sz w:val="18"/>
                <w:szCs w:val="18"/>
                <w:lang w:val="en-US" w:eastAsia="en-US"/>
              </w:rPr>
              <w:t>15%</w:t>
            </w:r>
          </w:p>
        </w:tc>
      </w:tr>
      <w:tr w:rsidR="00E04F69" w:rsidRPr="00E04F69" w14:paraId="1E8CB61D" w14:textId="77777777" w:rsidTr="00BB5C93">
        <w:trPr>
          <w:trHeight w:val="300"/>
          <w:jc w:val="center"/>
        </w:trPr>
        <w:tc>
          <w:tcPr>
            <w:tcW w:w="1807" w:type="dxa"/>
            <w:vMerge w:val="restart"/>
            <w:tcBorders>
              <w:top w:val="nil"/>
              <w:left w:val="single" w:sz="4" w:space="0" w:color="auto"/>
              <w:bottom w:val="single" w:sz="4" w:space="0" w:color="auto"/>
              <w:right w:val="single" w:sz="4" w:space="0" w:color="auto"/>
            </w:tcBorders>
            <w:shd w:val="clear" w:color="auto" w:fill="auto"/>
            <w:vAlign w:val="center"/>
            <w:hideMark/>
          </w:tcPr>
          <w:p w14:paraId="68C7A212" w14:textId="77777777" w:rsidR="00E04F69" w:rsidRPr="00E04F69" w:rsidRDefault="00E04F69" w:rsidP="00E04F69">
            <w:pPr>
              <w:spacing w:line="240" w:lineRule="auto"/>
              <w:jc w:val="center"/>
              <w:rPr>
                <w:rFonts w:ascii="Calibri" w:eastAsia="Times New Roman" w:hAnsi="Calibri" w:cs="Calibri"/>
                <w:color w:val="000000"/>
                <w:sz w:val="16"/>
                <w:szCs w:val="16"/>
                <w:lang w:val="en-US" w:eastAsia="en-US"/>
              </w:rPr>
            </w:pPr>
            <w:r w:rsidRPr="00E04F69">
              <w:rPr>
                <w:rFonts w:ascii="Calibri" w:eastAsia="Times New Roman" w:hAnsi="Calibri" w:cs="Calibri"/>
                <w:color w:val="000000"/>
                <w:sz w:val="16"/>
                <w:szCs w:val="16"/>
                <w:lang w:val="en-US" w:eastAsia="en-US"/>
              </w:rPr>
              <w:t>Health information systems and monitoring and learning</w:t>
            </w:r>
          </w:p>
        </w:tc>
        <w:tc>
          <w:tcPr>
            <w:tcW w:w="3498" w:type="dxa"/>
            <w:tcBorders>
              <w:top w:val="nil"/>
              <w:left w:val="nil"/>
              <w:bottom w:val="single" w:sz="4" w:space="0" w:color="auto"/>
              <w:right w:val="single" w:sz="4" w:space="0" w:color="auto"/>
            </w:tcBorders>
            <w:shd w:val="clear" w:color="auto" w:fill="auto"/>
            <w:vAlign w:val="center"/>
            <w:hideMark/>
          </w:tcPr>
          <w:p w14:paraId="4DA183C0" w14:textId="77777777" w:rsidR="00E04F69" w:rsidRPr="00E04F69" w:rsidRDefault="00E04F69" w:rsidP="00E04F69">
            <w:pPr>
              <w:spacing w:line="240" w:lineRule="auto"/>
              <w:jc w:val="center"/>
              <w:rPr>
                <w:rFonts w:ascii="Calibri" w:eastAsia="Times New Roman" w:hAnsi="Calibri" w:cs="Calibri"/>
                <w:color w:val="000000"/>
                <w:sz w:val="16"/>
                <w:szCs w:val="16"/>
                <w:lang w:val="en-US" w:eastAsia="en-US"/>
              </w:rPr>
            </w:pPr>
            <w:r w:rsidRPr="00E04F69">
              <w:rPr>
                <w:rFonts w:ascii="Calibri" w:eastAsia="Times New Roman" w:hAnsi="Calibri" w:cs="Calibri"/>
                <w:color w:val="000000"/>
                <w:sz w:val="16"/>
                <w:szCs w:val="16"/>
                <w:lang w:val="en-US" w:eastAsia="en-US"/>
              </w:rPr>
              <w:t>Strengthening the HIS for the MOH and EPI program</w:t>
            </w:r>
          </w:p>
        </w:tc>
        <w:tc>
          <w:tcPr>
            <w:tcW w:w="1042" w:type="dxa"/>
            <w:gridSpan w:val="2"/>
            <w:tcBorders>
              <w:top w:val="nil"/>
              <w:left w:val="nil"/>
              <w:bottom w:val="single" w:sz="4" w:space="0" w:color="auto"/>
              <w:right w:val="single" w:sz="4" w:space="0" w:color="auto"/>
            </w:tcBorders>
            <w:shd w:val="clear" w:color="auto" w:fill="auto"/>
            <w:vAlign w:val="center"/>
            <w:hideMark/>
          </w:tcPr>
          <w:p w14:paraId="48483637" w14:textId="77777777" w:rsidR="00E04F69" w:rsidRPr="00E04F69" w:rsidRDefault="00E04F69" w:rsidP="00E04F69">
            <w:pPr>
              <w:spacing w:line="240" w:lineRule="auto"/>
              <w:jc w:val="center"/>
              <w:rPr>
                <w:rFonts w:ascii="Calibri" w:eastAsia="Times New Roman" w:hAnsi="Calibri" w:cs="Calibri"/>
                <w:color w:val="000000"/>
                <w:sz w:val="16"/>
                <w:szCs w:val="16"/>
                <w:lang w:val="en-US" w:eastAsia="en-US"/>
              </w:rPr>
            </w:pPr>
            <w:r w:rsidRPr="00E04F69">
              <w:rPr>
                <w:rFonts w:ascii="Calibri" w:eastAsia="Times New Roman" w:hAnsi="Calibri" w:cs="Calibri"/>
                <w:color w:val="000000"/>
                <w:sz w:val="16"/>
                <w:szCs w:val="16"/>
                <w:lang w:val="en-US" w:eastAsia="en-US"/>
              </w:rPr>
              <w:t>$65,000</w:t>
            </w:r>
          </w:p>
        </w:tc>
        <w:tc>
          <w:tcPr>
            <w:tcW w:w="1036" w:type="dxa"/>
            <w:gridSpan w:val="2"/>
            <w:tcBorders>
              <w:top w:val="nil"/>
              <w:left w:val="nil"/>
              <w:bottom w:val="single" w:sz="4" w:space="0" w:color="auto"/>
              <w:right w:val="single" w:sz="4" w:space="0" w:color="auto"/>
            </w:tcBorders>
            <w:shd w:val="clear" w:color="auto" w:fill="auto"/>
            <w:vAlign w:val="center"/>
            <w:hideMark/>
          </w:tcPr>
          <w:p w14:paraId="1554B12D" w14:textId="77777777" w:rsidR="00E04F69" w:rsidRPr="00E04F69" w:rsidRDefault="00E04F69" w:rsidP="00E04F69">
            <w:pPr>
              <w:spacing w:line="240" w:lineRule="auto"/>
              <w:jc w:val="center"/>
              <w:rPr>
                <w:rFonts w:ascii="Calibri" w:eastAsia="Times New Roman" w:hAnsi="Calibri" w:cs="Calibri"/>
                <w:color w:val="000000"/>
                <w:sz w:val="16"/>
                <w:szCs w:val="16"/>
                <w:lang w:val="en-US" w:eastAsia="en-US"/>
              </w:rPr>
            </w:pPr>
            <w:r w:rsidRPr="00E04F69">
              <w:rPr>
                <w:rFonts w:ascii="Calibri" w:eastAsia="Times New Roman" w:hAnsi="Calibri" w:cs="Calibri"/>
                <w:color w:val="000000"/>
                <w:sz w:val="16"/>
                <w:szCs w:val="16"/>
                <w:lang w:val="en-US" w:eastAsia="en-US"/>
              </w:rPr>
              <w:t>$104,570</w:t>
            </w:r>
          </w:p>
        </w:tc>
        <w:tc>
          <w:tcPr>
            <w:tcW w:w="1036" w:type="dxa"/>
            <w:gridSpan w:val="2"/>
            <w:tcBorders>
              <w:top w:val="nil"/>
              <w:left w:val="nil"/>
              <w:bottom w:val="single" w:sz="4" w:space="0" w:color="auto"/>
              <w:right w:val="single" w:sz="4" w:space="0" w:color="auto"/>
            </w:tcBorders>
            <w:shd w:val="clear" w:color="auto" w:fill="auto"/>
            <w:vAlign w:val="center"/>
            <w:hideMark/>
          </w:tcPr>
          <w:p w14:paraId="6D1DD2FA" w14:textId="77777777" w:rsidR="00E04F69" w:rsidRPr="00E04F69" w:rsidRDefault="00E04F69" w:rsidP="00E04F69">
            <w:pPr>
              <w:spacing w:line="240" w:lineRule="auto"/>
              <w:jc w:val="center"/>
              <w:rPr>
                <w:rFonts w:ascii="Calibri" w:eastAsia="Times New Roman" w:hAnsi="Calibri" w:cs="Calibri"/>
                <w:color w:val="000000"/>
                <w:sz w:val="16"/>
                <w:szCs w:val="16"/>
                <w:lang w:val="en-US" w:eastAsia="en-US"/>
              </w:rPr>
            </w:pPr>
            <w:r w:rsidRPr="00E04F69">
              <w:rPr>
                <w:rFonts w:ascii="Calibri" w:eastAsia="Times New Roman" w:hAnsi="Calibri" w:cs="Calibri"/>
                <w:color w:val="000000"/>
                <w:sz w:val="16"/>
                <w:szCs w:val="16"/>
                <w:lang w:val="en-US" w:eastAsia="en-US"/>
              </w:rPr>
              <w:t>$104,570</w:t>
            </w:r>
          </w:p>
        </w:tc>
        <w:tc>
          <w:tcPr>
            <w:tcW w:w="1036" w:type="dxa"/>
            <w:gridSpan w:val="2"/>
            <w:tcBorders>
              <w:top w:val="nil"/>
              <w:left w:val="nil"/>
              <w:bottom w:val="single" w:sz="4" w:space="0" w:color="auto"/>
              <w:right w:val="single" w:sz="4" w:space="0" w:color="auto"/>
            </w:tcBorders>
            <w:shd w:val="clear" w:color="auto" w:fill="auto"/>
            <w:vAlign w:val="center"/>
            <w:hideMark/>
          </w:tcPr>
          <w:p w14:paraId="2C33B389" w14:textId="77777777" w:rsidR="00E04F69" w:rsidRPr="00E04F69" w:rsidRDefault="00E04F69" w:rsidP="00E04F69">
            <w:pPr>
              <w:spacing w:line="240" w:lineRule="auto"/>
              <w:jc w:val="center"/>
              <w:rPr>
                <w:rFonts w:ascii="Calibri" w:eastAsia="Times New Roman" w:hAnsi="Calibri" w:cs="Calibri"/>
                <w:color w:val="000000"/>
                <w:sz w:val="16"/>
                <w:szCs w:val="16"/>
                <w:lang w:val="en-US" w:eastAsia="en-US"/>
              </w:rPr>
            </w:pPr>
            <w:r w:rsidRPr="00E04F69">
              <w:rPr>
                <w:rFonts w:ascii="Calibri" w:eastAsia="Times New Roman" w:hAnsi="Calibri" w:cs="Calibri"/>
                <w:color w:val="000000"/>
                <w:sz w:val="16"/>
                <w:szCs w:val="16"/>
                <w:lang w:val="en-US" w:eastAsia="en-US"/>
              </w:rPr>
              <w:t>$104,570</w:t>
            </w:r>
          </w:p>
        </w:tc>
        <w:tc>
          <w:tcPr>
            <w:tcW w:w="1086" w:type="dxa"/>
            <w:gridSpan w:val="2"/>
            <w:tcBorders>
              <w:top w:val="nil"/>
              <w:left w:val="nil"/>
              <w:bottom w:val="single" w:sz="4" w:space="0" w:color="auto"/>
              <w:right w:val="single" w:sz="4" w:space="0" w:color="auto"/>
            </w:tcBorders>
            <w:shd w:val="clear" w:color="auto" w:fill="auto"/>
            <w:vAlign w:val="center"/>
            <w:hideMark/>
          </w:tcPr>
          <w:p w14:paraId="567B6C34" w14:textId="77777777" w:rsidR="00E04F69" w:rsidRPr="00E04F69" w:rsidRDefault="00E04F69" w:rsidP="00E04F69">
            <w:pPr>
              <w:spacing w:line="240" w:lineRule="auto"/>
              <w:jc w:val="center"/>
              <w:rPr>
                <w:rFonts w:ascii="Calibri" w:eastAsia="Times New Roman" w:hAnsi="Calibri" w:cs="Calibri"/>
                <w:color w:val="000000"/>
                <w:sz w:val="16"/>
                <w:szCs w:val="16"/>
                <w:lang w:val="en-US" w:eastAsia="en-US"/>
              </w:rPr>
            </w:pPr>
            <w:r w:rsidRPr="00E04F69">
              <w:rPr>
                <w:rFonts w:ascii="Calibri" w:eastAsia="Times New Roman" w:hAnsi="Calibri" w:cs="Calibri"/>
                <w:color w:val="000000"/>
                <w:sz w:val="16"/>
                <w:szCs w:val="16"/>
                <w:lang w:val="en-US" w:eastAsia="en-US"/>
              </w:rPr>
              <w:t>$378,710</w:t>
            </w:r>
          </w:p>
        </w:tc>
        <w:tc>
          <w:tcPr>
            <w:tcW w:w="854" w:type="dxa"/>
            <w:gridSpan w:val="2"/>
            <w:tcBorders>
              <w:top w:val="nil"/>
              <w:left w:val="nil"/>
              <w:bottom w:val="single" w:sz="4" w:space="0" w:color="auto"/>
              <w:right w:val="single" w:sz="4" w:space="0" w:color="auto"/>
            </w:tcBorders>
            <w:shd w:val="clear" w:color="auto" w:fill="auto"/>
            <w:noWrap/>
            <w:vAlign w:val="center"/>
            <w:hideMark/>
          </w:tcPr>
          <w:p w14:paraId="57F2F423" w14:textId="77777777" w:rsidR="00E04F69" w:rsidRPr="00E04F69" w:rsidRDefault="00E04F69" w:rsidP="00E04F69">
            <w:pPr>
              <w:spacing w:line="240" w:lineRule="auto"/>
              <w:jc w:val="center"/>
              <w:rPr>
                <w:rFonts w:ascii="Calibri" w:eastAsia="Times New Roman" w:hAnsi="Calibri" w:cs="Calibri"/>
                <w:color w:val="000000"/>
                <w:sz w:val="18"/>
                <w:szCs w:val="18"/>
                <w:lang w:val="en-US" w:eastAsia="en-US"/>
              </w:rPr>
            </w:pPr>
            <w:r w:rsidRPr="00E04F69">
              <w:rPr>
                <w:rFonts w:ascii="Calibri" w:eastAsia="Times New Roman" w:hAnsi="Calibri" w:cs="Calibri"/>
                <w:color w:val="000000"/>
                <w:sz w:val="18"/>
                <w:szCs w:val="18"/>
                <w:lang w:val="en-US" w:eastAsia="en-US"/>
              </w:rPr>
              <w:t>5%</w:t>
            </w:r>
          </w:p>
        </w:tc>
      </w:tr>
      <w:tr w:rsidR="00E04F69" w:rsidRPr="00E04F69" w14:paraId="3F8E0520" w14:textId="77777777" w:rsidTr="00BB5C93">
        <w:trPr>
          <w:trHeight w:val="450"/>
          <w:jc w:val="center"/>
        </w:trPr>
        <w:tc>
          <w:tcPr>
            <w:tcW w:w="1807" w:type="dxa"/>
            <w:vMerge/>
            <w:tcBorders>
              <w:top w:val="nil"/>
              <w:left w:val="single" w:sz="4" w:space="0" w:color="auto"/>
              <w:bottom w:val="single" w:sz="4" w:space="0" w:color="auto"/>
              <w:right w:val="single" w:sz="4" w:space="0" w:color="auto"/>
            </w:tcBorders>
            <w:vAlign w:val="center"/>
            <w:hideMark/>
          </w:tcPr>
          <w:p w14:paraId="17333062" w14:textId="77777777" w:rsidR="00E04F69" w:rsidRPr="00E04F69" w:rsidRDefault="00E04F69" w:rsidP="00E04F69">
            <w:pPr>
              <w:spacing w:line="240" w:lineRule="auto"/>
              <w:jc w:val="center"/>
              <w:rPr>
                <w:rFonts w:ascii="Calibri" w:eastAsia="Times New Roman" w:hAnsi="Calibri" w:cs="Calibri"/>
                <w:color w:val="000000"/>
                <w:sz w:val="16"/>
                <w:szCs w:val="16"/>
                <w:lang w:val="en-US" w:eastAsia="en-US"/>
              </w:rPr>
            </w:pPr>
          </w:p>
        </w:tc>
        <w:tc>
          <w:tcPr>
            <w:tcW w:w="3498" w:type="dxa"/>
            <w:tcBorders>
              <w:top w:val="nil"/>
              <w:left w:val="nil"/>
              <w:bottom w:val="single" w:sz="4" w:space="0" w:color="auto"/>
              <w:right w:val="single" w:sz="4" w:space="0" w:color="auto"/>
            </w:tcBorders>
            <w:shd w:val="clear" w:color="auto" w:fill="auto"/>
            <w:vAlign w:val="center"/>
            <w:hideMark/>
          </w:tcPr>
          <w:p w14:paraId="21D3DBC5" w14:textId="77777777" w:rsidR="00E04F69" w:rsidRPr="00E04F69" w:rsidRDefault="00E04F69" w:rsidP="00E04F69">
            <w:pPr>
              <w:spacing w:line="240" w:lineRule="auto"/>
              <w:jc w:val="center"/>
              <w:rPr>
                <w:rFonts w:ascii="Calibri" w:eastAsia="Times New Roman" w:hAnsi="Calibri" w:cs="Calibri"/>
                <w:color w:val="000000"/>
                <w:sz w:val="16"/>
                <w:szCs w:val="16"/>
                <w:lang w:val="en-US" w:eastAsia="en-US"/>
              </w:rPr>
            </w:pPr>
            <w:r w:rsidRPr="00E04F69">
              <w:rPr>
                <w:rFonts w:ascii="Calibri" w:eastAsia="Times New Roman" w:hAnsi="Calibri" w:cs="Calibri"/>
                <w:color w:val="000000"/>
                <w:sz w:val="16"/>
                <w:szCs w:val="16"/>
                <w:lang w:val="en-US" w:eastAsia="en-US"/>
              </w:rPr>
              <w:t>Supporting the establishment of the National Research center for Immunization and Vaccines</w:t>
            </w:r>
          </w:p>
        </w:tc>
        <w:tc>
          <w:tcPr>
            <w:tcW w:w="1042" w:type="dxa"/>
            <w:gridSpan w:val="2"/>
            <w:tcBorders>
              <w:top w:val="nil"/>
              <w:left w:val="nil"/>
              <w:bottom w:val="single" w:sz="4" w:space="0" w:color="auto"/>
              <w:right w:val="single" w:sz="4" w:space="0" w:color="auto"/>
            </w:tcBorders>
            <w:shd w:val="clear" w:color="auto" w:fill="auto"/>
            <w:vAlign w:val="center"/>
            <w:hideMark/>
          </w:tcPr>
          <w:p w14:paraId="57A2E8EF" w14:textId="77777777" w:rsidR="00E04F69" w:rsidRPr="00E04F69" w:rsidRDefault="00E04F69" w:rsidP="00E04F69">
            <w:pPr>
              <w:spacing w:line="240" w:lineRule="auto"/>
              <w:jc w:val="center"/>
              <w:rPr>
                <w:rFonts w:ascii="Calibri" w:eastAsia="Times New Roman" w:hAnsi="Calibri" w:cs="Calibri"/>
                <w:color w:val="000000"/>
                <w:sz w:val="16"/>
                <w:szCs w:val="16"/>
                <w:lang w:val="en-US" w:eastAsia="en-US"/>
              </w:rPr>
            </w:pPr>
            <w:r w:rsidRPr="00E04F69">
              <w:rPr>
                <w:rFonts w:ascii="Calibri" w:eastAsia="Times New Roman" w:hAnsi="Calibri" w:cs="Calibri"/>
                <w:color w:val="000000"/>
                <w:sz w:val="16"/>
                <w:szCs w:val="16"/>
                <w:lang w:val="en-US" w:eastAsia="en-US"/>
              </w:rPr>
              <w:t>$450,000</w:t>
            </w:r>
          </w:p>
        </w:tc>
        <w:tc>
          <w:tcPr>
            <w:tcW w:w="1036" w:type="dxa"/>
            <w:gridSpan w:val="2"/>
            <w:tcBorders>
              <w:top w:val="nil"/>
              <w:left w:val="nil"/>
              <w:bottom w:val="single" w:sz="4" w:space="0" w:color="auto"/>
              <w:right w:val="single" w:sz="4" w:space="0" w:color="auto"/>
            </w:tcBorders>
            <w:shd w:val="clear" w:color="auto" w:fill="auto"/>
            <w:vAlign w:val="center"/>
            <w:hideMark/>
          </w:tcPr>
          <w:p w14:paraId="1FCF06E5" w14:textId="77777777" w:rsidR="00E04F69" w:rsidRPr="00E04F69" w:rsidRDefault="00E04F69" w:rsidP="00E04F69">
            <w:pPr>
              <w:spacing w:line="240" w:lineRule="auto"/>
              <w:jc w:val="center"/>
              <w:rPr>
                <w:rFonts w:ascii="Calibri" w:eastAsia="Times New Roman" w:hAnsi="Calibri" w:cs="Calibri"/>
                <w:color w:val="000000"/>
                <w:sz w:val="16"/>
                <w:szCs w:val="16"/>
                <w:lang w:val="en-US" w:eastAsia="en-US"/>
              </w:rPr>
            </w:pPr>
            <w:r w:rsidRPr="00E04F69">
              <w:rPr>
                <w:rFonts w:ascii="Calibri" w:eastAsia="Times New Roman" w:hAnsi="Calibri" w:cs="Calibri"/>
                <w:color w:val="000000"/>
                <w:sz w:val="16"/>
                <w:szCs w:val="16"/>
                <w:lang w:val="en-US" w:eastAsia="en-US"/>
              </w:rPr>
              <w:t>$354,950</w:t>
            </w:r>
          </w:p>
        </w:tc>
        <w:tc>
          <w:tcPr>
            <w:tcW w:w="1036" w:type="dxa"/>
            <w:gridSpan w:val="2"/>
            <w:tcBorders>
              <w:top w:val="nil"/>
              <w:left w:val="nil"/>
              <w:bottom w:val="single" w:sz="4" w:space="0" w:color="auto"/>
              <w:right w:val="single" w:sz="4" w:space="0" w:color="auto"/>
            </w:tcBorders>
            <w:shd w:val="clear" w:color="auto" w:fill="auto"/>
            <w:vAlign w:val="center"/>
            <w:hideMark/>
          </w:tcPr>
          <w:p w14:paraId="64485283" w14:textId="77777777" w:rsidR="00E04F69" w:rsidRPr="00E04F69" w:rsidRDefault="00E04F69" w:rsidP="00E04F69">
            <w:pPr>
              <w:spacing w:line="240" w:lineRule="auto"/>
              <w:jc w:val="center"/>
              <w:rPr>
                <w:rFonts w:ascii="Calibri" w:eastAsia="Times New Roman" w:hAnsi="Calibri" w:cs="Calibri"/>
                <w:color w:val="000000"/>
                <w:sz w:val="16"/>
                <w:szCs w:val="16"/>
                <w:lang w:val="en-US" w:eastAsia="en-US"/>
              </w:rPr>
            </w:pPr>
            <w:r w:rsidRPr="00E04F69">
              <w:rPr>
                <w:rFonts w:ascii="Calibri" w:eastAsia="Times New Roman" w:hAnsi="Calibri" w:cs="Calibri"/>
                <w:color w:val="000000"/>
                <w:sz w:val="16"/>
                <w:szCs w:val="16"/>
                <w:lang w:val="en-US" w:eastAsia="en-US"/>
              </w:rPr>
              <w:t>$354,950</w:t>
            </w:r>
          </w:p>
        </w:tc>
        <w:tc>
          <w:tcPr>
            <w:tcW w:w="1036" w:type="dxa"/>
            <w:gridSpan w:val="2"/>
            <w:tcBorders>
              <w:top w:val="nil"/>
              <w:left w:val="nil"/>
              <w:bottom w:val="single" w:sz="4" w:space="0" w:color="auto"/>
              <w:right w:val="single" w:sz="4" w:space="0" w:color="auto"/>
            </w:tcBorders>
            <w:shd w:val="clear" w:color="auto" w:fill="auto"/>
            <w:vAlign w:val="center"/>
            <w:hideMark/>
          </w:tcPr>
          <w:p w14:paraId="459244D4" w14:textId="77777777" w:rsidR="00E04F69" w:rsidRPr="00E04F69" w:rsidRDefault="00E04F69" w:rsidP="00E04F69">
            <w:pPr>
              <w:spacing w:line="240" w:lineRule="auto"/>
              <w:jc w:val="center"/>
              <w:rPr>
                <w:rFonts w:ascii="Calibri" w:eastAsia="Times New Roman" w:hAnsi="Calibri" w:cs="Calibri"/>
                <w:color w:val="000000"/>
                <w:sz w:val="16"/>
                <w:szCs w:val="16"/>
                <w:lang w:val="en-US" w:eastAsia="en-US"/>
              </w:rPr>
            </w:pPr>
            <w:r w:rsidRPr="00E04F69">
              <w:rPr>
                <w:rFonts w:ascii="Calibri" w:eastAsia="Times New Roman" w:hAnsi="Calibri" w:cs="Calibri"/>
                <w:color w:val="000000"/>
                <w:sz w:val="16"/>
                <w:szCs w:val="16"/>
                <w:lang w:val="en-US" w:eastAsia="en-US"/>
              </w:rPr>
              <w:t>$354,950</w:t>
            </w:r>
          </w:p>
        </w:tc>
        <w:tc>
          <w:tcPr>
            <w:tcW w:w="1086" w:type="dxa"/>
            <w:gridSpan w:val="2"/>
            <w:tcBorders>
              <w:top w:val="nil"/>
              <w:left w:val="nil"/>
              <w:bottom w:val="single" w:sz="4" w:space="0" w:color="auto"/>
              <w:right w:val="single" w:sz="4" w:space="0" w:color="auto"/>
            </w:tcBorders>
            <w:shd w:val="clear" w:color="auto" w:fill="auto"/>
            <w:vAlign w:val="center"/>
            <w:hideMark/>
          </w:tcPr>
          <w:p w14:paraId="17675FAC" w14:textId="77777777" w:rsidR="00E04F69" w:rsidRPr="00E04F69" w:rsidRDefault="00E04F69" w:rsidP="00E04F69">
            <w:pPr>
              <w:spacing w:line="240" w:lineRule="auto"/>
              <w:jc w:val="center"/>
              <w:rPr>
                <w:rFonts w:ascii="Calibri" w:eastAsia="Times New Roman" w:hAnsi="Calibri" w:cs="Calibri"/>
                <w:color w:val="000000"/>
                <w:sz w:val="16"/>
                <w:szCs w:val="16"/>
                <w:lang w:val="en-US" w:eastAsia="en-US"/>
              </w:rPr>
            </w:pPr>
            <w:r w:rsidRPr="00E04F69">
              <w:rPr>
                <w:rFonts w:ascii="Calibri" w:eastAsia="Times New Roman" w:hAnsi="Calibri" w:cs="Calibri"/>
                <w:color w:val="000000"/>
                <w:sz w:val="16"/>
                <w:szCs w:val="16"/>
                <w:lang w:val="en-US" w:eastAsia="en-US"/>
              </w:rPr>
              <w:t>$1,514,850</w:t>
            </w:r>
          </w:p>
        </w:tc>
        <w:tc>
          <w:tcPr>
            <w:tcW w:w="854" w:type="dxa"/>
            <w:gridSpan w:val="2"/>
            <w:tcBorders>
              <w:top w:val="nil"/>
              <w:left w:val="nil"/>
              <w:bottom w:val="single" w:sz="4" w:space="0" w:color="auto"/>
              <w:right w:val="single" w:sz="4" w:space="0" w:color="auto"/>
            </w:tcBorders>
            <w:shd w:val="clear" w:color="auto" w:fill="auto"/>
            <w:noWrap/>
            <w:vAlign w:val="center"/>
            <w:hideMark/>
          </w:tcPr>
          <w:p w14:paraId="73CDF71D" w14:textId="77777777" w:rsidR="00E04F69" w:rsidRPr="00E04F69" w:rsidRDefault="00E04F69" w:rsidP="00E04F69">
            <w:pPr>
              <w:spacing w:line="240" w:lineRule="auto"/>
              <w:jc w:val="center"/>
              <w:rPr>
                <w:rFonts w:ascii="Calibri" w:eastAsia="Times New Roman" w:hAnsi="Calibri" w:cs="Calibri"/>
                <w:color w:val="000000"/>
                <w:sz w:val="18"/>
                <w:szCs w:val="18"/>
                <w:lang w:val="en-US" w:eastAsia="en-US"/>
              </w:rPr>
            </w:pPr>
            <w:r w:rsidRPr="00E04F69">
              <w:rPr>
                <w:rFonts w:ascii="Calibri" w:eastAsia="Times New Roman" w:hAnsi="Calibri" w:cs="Calibri"/>
                <w:color w:val="000000"/>
                <w:sz w:val="18"/>
                <w:szCs w:val="18"/>
                <w:lang w:val="en-US" w:eastAsia="en-US"/>
              </w:rPr>
              <w:t>20%</w:t>
            </w:r>
          </w:p>
        </w:tc>
      </w:tr>
      <w:tr w:rsidR="00E04F69" w:rsidRPr="00E04F69" w14:paraId="7DAB4F20" w14:textId="77777777" w:rsidTr="00BB5C93">
        <w:trPr>
          <w:trHeight w:val="675"/>
          <w:jc w:val="center"/>
        </w:trPr>
        <w:tc>
          <w:tcPr>
            <w:tcW w:w="1807" w:type="dxa"/>
            <w:tcBorders>
              <w:top w:val="nil"/>
              <w:left w:val="single" w:sz="4" w:space="0" w:color="auto"/>
              <w:bottom w:val="single" w:sz="4" w:space="0" w:color="auto"/>
              <w:right w:val="single" w:sz="4" w:space="0" w:color="auto"/>
            </w:tcBorders>
            <w:shd w:val="clear" w:color="auto" w:fill="auto"/>
            <w:vAlign w:val="center"/>
            <w:hideMark/>
          </w:tcPr>
          <w:p w14:paraId="4667848D" w14:textId="77777777" w:rsidR="00E04F69" w:rsidRPr="00E04F69" w:rsidRDefault="00E04F69" w:rsidP="00E04F69">
            <w:pPr>
              <w:spacing w:line="240" w:lineRule="auto"/>
              <w:jc w:val="center"/>
              <w:rPr>
                <w:rFonts w:ascii="Calibri" w:eastAsia="Times New Roman" w:hAnsi="Calibri" w:cs="Calibri"/>
                <w:color w:val="000000"/>
                <w:sz w:val="16"/>
                <w:szCs w:val="16"/>
                <w:lang w:val="en-US" w:eastAsia="en-US"/>
              </w:rPr>
            </w:pPr>
            <w:r w:rsidRPr="00E04F69">
              <w:rPr>
                <w:rFonts w:ascii="Calibri" w:eastAsia="Times New Roman" w:hAnsi="Calibri" w:cs="Calibri"/>
                <w:color w:val="000000"/>
                <w:sz w:val="16"/>
                <w:szCs w:val="16"/>
                <w:lang w:val="en-US" w:eastAsia="en-US"/>
              </w:rPr>
              <w:t>Demand generation and community engagement</w:t>
            </w:r>
          </w:p>
        </w:tc>
        <w:tc>
          <w:tcPr>
            <w:tcW w:w="3498" w:type="dxa"/>
            <w:tcBorders>
              <w:top w:val="nil"/>
              <w:left w:val="nil"/>
              <w:bottom w:val="single" w:sz="4" w:space="0" w:color="auto"/>
              <w:right w:val="single" w:sz="4" w:space="0" w:color="auto"/>
            </w:tcBorders>
            <w:shd w:val="clear" w:color="auto" w:fill="auto"/>
            <w:vAlign w:val="center"/>
            <w:hideMark/>
          </w:tcPr>
          <w:p w14:paraId="0C54EC98" w14:textId="77777777" w:rsidR="00E04F69" w:rsidRPr="00E04F69" w:rsidRDefault="00E04F69" w:rsidP="00E04F69">
            <w:pPr>
              <w:spacing w:line="240" w:lineRule="auto"/>
              <w:jc w:val="center"/>
              <w:rPr>
                <w:rFonts w:ascii="Calibri" w:eastAsia="Times New Roman" w:hAnsi="Calibri" w:cs="Calibri"/>
                <w:color w:val="000000"/>
                <w:sz w:val="16"/>
                <w:szCs w:val="16"/>
                <w:lang w:val="en-US" w:eastAsia="en-US"/>
              </w:rPr>
            </w:pPr>
            <w:r w:rsidRPr="00E04F69">
              <w:rPr>
                <w:rFonts w:ascii="Calibri" w:eastAsia="Times New Roman" w:hAnsi="Calibri" w:cs="Calibri"/>
                <w:color w:val="000000"/>
                <w:sz w:val="16"/>
                <w:szCs w:val="16"/>
                <w:lang w:val="en-US" w:eastAsia="en-US"/>
              </w:rPr>
              <w:t>increase awareness and education of health and nutrition, strengthening immunity and building confidence in health services, including the promotion of facility-based health services</w:t>
            </w:r>
          </w:p>
        </w:tc>
        <w:tc>
          <w:tcPr>
            <w:tcW w:w="1042" w:type="dxa"/>
            <w:gridSpan w:val="2"/>
            <w:tcBorders>
              <w:top w:val="nil"/>
              <w:left w:val="nil"/>
              <w:bottom w:val="single" w:sz="4" w:space="0" w:color="auto"/>
              <w:right w:val="single" w:sz="4" w:space="0" w:color="auto"/>
            </w:tcBorders>
            <w:shd w:val="clear" w:color="auto" w:fill="auto"/>
            <w:vAlign w:val="center"/>
            <w:hideMark/>
          </w:tcPr>
          <w:p w14:paraId="31052EC1" w14:textId="77777777" w:rsidR="00E04F69" w:rsidRPr="00E04F69" w:rsidRDefault="00E04F69" w:rsidP="00E04F69">
            <w:pPr>
              <w:spacing w:line="240" w:lineRule="auto"/>
              <w:jc w:val="center"/>
              <w:rPr>
                <w:rFonts w:ascii="Calibri" w:eastAsia="Times New Roman" w:hAnsi="Calibri" w:cs="Calibri"/>
                <w:color w:val="000000"/>
                <w:sz w:val="16"/>
                <w:szCs w:val="16"/>
                <w:lang w:val="en-US" w:eastAsia="en-US"/>
              </w:rPr>
            </w:pPr>
            <w:r w:rsidRPr="00E04F69">
              <w:rPr>
                <w:rFonts w:ascii="Calibri" w:eastAsia="Times New Roman" w:hAnsi="Calibri" w:cs="Calibri"/>
                <w:color w:val="000000"/>
                <w:sz w:val="16"/>
                <w:szCs w:val="16"/>
                <w:lang w:val="en-US" w:eastAsia="en-US"/>
              </w:rPr>
              <w:t>$105,914</w:t>
            </w:r>
          </w:p>
        </w:tc>
        <w:tc>
          <w:tcPr>
            <w:tcW w:w="1036" w:type="dxa"/>
            <w:gridSpan w:val="2"/>
            <w:tcBorders>
              <w:top w:val="nil"/>
              <w:left w:val="nil"/>
              <w:bottom w:val="single" w:sz="4" w:space="0" w:color="auto"/>
              <w:right w:val="single" w:sz="4" w:space="0" w:color="auto"/>
            </w:tcBorders>
            <w:shd w:val="clear" w:color="auto" w:fill="auto"/>
            <w:vAlign w:val="center"/>
            <w:hideMark/>
          </w:tcPr>
          <w:p w14:paraId="2EDF6A0C" w14:textId="77777777" w:rsidR="00E04F69" w:rsidRPr="00E04F69" w:rsidRDefault="00E04F69" w:rsidP="00E04F69">
            <w:pPr>
              <w:spacing w:line="240" w:lineRule="auto"/>
              <w:jc w:val="center"/>
              <w:rPr>
                <w:rFonts w:ascii="Calibri" w:eastAsia="Times New Roman" w:hAnsi="Calibri" w:cs="Calibri"/>
                <w:color w:val="000000"/>
                <w:sz w:val="16"/>
                <w:szCs w:val="16"/>
                <w:lang w:val="en-US" w:eastAsia="en-US"/>
              </w:rPr>
            </w:pPr>
            <w:r w:rsidRPr="00E04F69">
              <w:rPr>
                <w:rFonts w:ascii="Calibri" w:eastAsia="Times New Roman" w:hAnsi="Calibri" w:cs="Calibri"/>
                <w:color w:val="000000"/>
                <w:sz w:val="16"/>
                <w:szCs w:val="16"/>
                <w:lang w:val="en-US" w:eastAsia="en-US"/>
              </w:rPr>
              <w:t>$217,170</w:t>
            </w:r>
          </w:p>
        </w:tc>
        <w:tc>
          <w:tcPr>
            <w:tcW w:w="1036" w:type="dxa"/>
            <w:gridSpan w:val="2"/>
            <w:tcBorders>
              <w:top w:val="nil"/>
              <w:left w:val="nil"/>
              <w:bottom w:val="single" w:sz="4" w:space="0" w:color="auto"/>
              <w:right w:val="single" w:sz="4" w:space="0" w:color="auto"/>
            </w:tcBorders>
            <w:shd w:val="clear" w:color="auto" w:fill="auto"/>
            <w:vAlign w:val="center"/>
            <w:hideMark/>
          </w:tcPr>
          <w:p w14:paraId="4BF41039" w14:textId="77777777" w:rsidR="00E04F69" w:rsidRPr="00E04F69" w:rsidRDefault="00E04F69" w:rsidP="00E04F69">
            <w:pPr>
              <w:spacing w:line="240" w:lineRule="auto"/>
              <w:jc w:val="center"/>
              <w:rPr>
                <w:rFonts w:ascii="Calibri" w:eastAsia="Times New Roman" w:hAnsi="Calibri" w:cs="Calibri"/>
                <w:color w:val="000000"/>
                <w:sz w:val="16"/>
                <w:szCs w:val="16"/>
                <w:lang w:val="en-US" w:eastAsia="en-US"/>
              </w:rPr>
            </w:pPr>
            <w:r w:rsidRPr="00E04F69">
              <w:rPr>
                <w:rFonts w:ascii="Calibri" w:eastAsia="Times New Roman" w:hAnsi="Calibri" w:cs="Calibri"/>
                <w:color w:val="000000"/>
                <w:sz w:val="16"/>
                <w:szCs w:val="16"/>
                <w:lang w:val="en-US" w:eastAsia="en-US"/>
              </w:rPr>
              <w:t>$217,170</w:t>
            </w:r>
          </w:p>
        </w:tc>
        <w:tc>
          <w:tcPr>
            <w:tcW w:w="1036" w:type="dxa"/>
            <w:gridSpan w:val="2"/>
            <w:tcBorders>
              <w:top w:val="nil"/>
              <w:left w:val="nil"/>
              <w:bottom w:val="single" w:sz="4" w:space="0" w:color="auto"/>
              <w:right w:val="single" w:sz="4" w:space="0" w:color="auto"/>
            </w:tcBorders>
            <w:shd w:val="clear" w:color="auto" w:fill="auto"/>
            <w:vAlign w:val="center"/>
            <w:hideMark/>
          </w:tcPr>
          <w:p w14:paraId="6D1F2795" w14:textId="77777777" w:rsidR="00E04F69" w:rsidRPr="00E04F69" w:rsidRDefault="00E04F69" w:rsidP="00E04F69">
            <w:pPr>
              <w:spacing w:line="240" w:lineRule="auto"/>
              <w:jc w:val="center"/>
              <w:rPr>
                <w:rFonts w:ascii="Calibri" w:eastAsia="Times New Roman" w:hAnsi="Calibri" w:cs="Calibri"/>
                <w:color w:val="000000"/>
                <w:sz w:val="16"/>
                <w:szCs w:val="16"/>
                <w:lang w:val="en-US" w:eastAsia="en-US"/>
              </w:rPr>
            </w:pPr>
            <w:r w:rsidRPr="00E04F69">
              <w:rPr>
                <w:rFonts w:ascii="Calibri" w:eastAsia="Times New Roman" w:hAnsi="Calibri" w:cs="Calibri"/>
                <w:color w:val="000000"/>
                <w:sz w:val="16"/>
                <w:szCs w:val="16"/>
                <w:lang w:val="en-US" w:eastAsia="en-US"/>
              </w:rPr>
              <w:t>$217,170</w:t>
            </w:r>
          </w:p>
        </w:tc>
        <w:tc>
          <w:tcPr>
            <w:tcW w:w="1086" w:type="dxa"/>
            <w:gridSpan w:val="2"/>
            <w:tcBorders>
              <w:top w:val="nil"/>
              <w:left w:val="nil"/>
              <w:bottom w:val="single" w:sz="4" w:space="0" w:color="auto"/>
              <w:right w:val="single" w:sz="4" w:space="0" w:color="auto"/>
            </w:tcBorders>
            <w:shd w:val="clear" w:color="auto" w:fill="auto"/>
            <w:vAlign w:val="center"/>
            <w:hideMark/>
          </w:tcPr>
          <w:p w14:paraId="5F3E66E7" w14:textId="77777777" w:rsidR="00E04F69" w:rsidRPr="00E04F69" w:rsidRDefault="00E04F69" w:rsidP="00E04F69">
            <w:pPr>
              <w:spacing w:line="240" w:lineRule="auto"/>
              <w:jc w:val="center"/>
              <w:rPr>
                <w:rFonts w:ascii="Calibri" w:eastAsia="Times New Roman" w:hAnsi="Calibri" w:cs="Calibri"/>
                <w:color w:val="000000"/>
                <w:sz w:val="16"/>
                <w:szCs w:val="16"/>
                <w:lang w:val="en-US" w:eastAsia="en-US"/>
              </w:rPr>
            </w:pPr>
            <w:r w:rsidRPr="00E04F69">
              <w:rPr>
                <w:rFonts w:ascii="Calibri" w:eastAsia="Times New Roman" w:hAnsi="Calibri" w:cs="Calibri"/>
                <w:color w:val="000000"/>
                <w:sz w:val="16"/>
                <w:szCs w:val="16"/>
                <w:lang w:val="en-US" w:eastAsia="en-US"/>
              </w:rPr>
              <w:t>$757,424</w:t>
            </w:r>
          </w:p>
        </w:tc>
        <w:tc>
          <w:tcPr>
            <w:tcW w:w="854" w:type="dxa"/>
            <w:gridSpan w:val="2"/>
            <w:tcBorders>
              <w:top w:val="nil"/>
              <w:left w:val="nil"/>
              <w:bottom w:val="single" w:sz="4" w:space="0" w:color="auto"/>
              <w:right w:val="single" w:sz="4" w:space="0" w:color="auto"/>
            </w:tcBorders>
            <w:shd w:val="clear" w:color="auto" w:fill="auto"/>
            <w:noWrap/>
            <w:vAlign w:val="center"/>
            <w:hideMark/>
          </w:tcPr>
          <w:p w14:paraId="77FE9BC8" w14:textId="77777777" w:rsidR="00E04F69" w:rsidRPr="00E04F69" w:rsidRDefault="00E04F69" w:rsidP="00E04F69">
            <w:pPr>
              <w:spacing w:line="240" w:lineRule="auto"/>
              <w:jc w:val="center"/>
              <w:rPr>
                <w:rFonts w:ascii="Calibri" w:eastAsia="Times New Roman" w:hAnsi="Calibri" w:cs="Calibri"/>
                <w:color w:val="000000"/>
                <w:sz w:val="18"/>
                <w:szCs w:val="18"/>
                <w:lang w:val="en-US" w:eastAsia="en-US"/>
              </w:rPr>
            </w:pPr>
            <w:r w:rsidRPr="00E04F69">
              <w:rPr>
                <w:rFonts w:ascii="Calibri" w:eastAsia="Times New Roman" w:hAnsi="Calibri" w:cs="Calibri"/>
                <w:color w:val="000000"/>
                <w:sz w:val="18"/>
                <w:szCs w:val="18"/>
                <w:lang w:val="en-US" w:eastAsia="en-US"/>
              </w:rPr>
              <w:t>10%</w:t>
            </w:r>
          </w:p>
        </w:tc>
      </w:tr>
      <w:tr w:rsidR="00E04F69" w:rsidRPr="00E04F69" w14:paraId="16373223" w14:textId="77777777" w:rsidTr="00BB5C93">
        <w:trPr>
          <w:trHeight w:val="450"/>
          <w:jc w:val="center"/>
        </w:trPr>
        <w:tc>
          <w:tcPr>
            <w:tcW w:w="1807" w:type="dxa"/>
            <w:tcBorders>
              <w:top w:val="nil"/>
              <w:left w:val="single" w:sz="4" w:space="0" w:color="auto"/>
              <w:bottom w:val="single" w:sz="4" w:space="0" w:color="auto"/>
              <w:right w:val="single" w:sz="4" w:space="0" w:color="auto"/>
            </w:tcBorders>
            <w:shd w:val="clear" w:color="auto" w:fill="auto"/>
            <w:vAlign w:val="center"/>
            <w:hideMark/>
          </w:tcPr>
          <w:p w14:paraId="3007680D" w14:textId="77777777" w:rsidR="00E04F69" w:rsidRPr="00E04F69" w:rsidRDefault="00E04F69" w:rsidP="00E04F69">
            <w:pPr>
              <w:spacing w:line="240" w:lineRule="auto"/>
              <w:jc w:val="center"/>
              <w:rPr>
                <w:rFonts w:ascii="Calibri" w:eastAsia="Times New Roman" w:hAnsi="Calibri" w:cs="Calibri"/>
                <w:color w:val="000000"/>
                <w:sz w:val="16"/>
                <w:szCs w:val="16"/>
                <w:lang w:val="en-US" w:eastAsia="en-US"/>
              </w:rPr>
            </w:pPr>
            <w:r w:rsidRPr="00E04F69">
              <w:rPr>
                <w:rFonts w:ascii="Calibri" w:eastAsia="Times New Roman" w:hAnsi="Calibri" w:cs="Calibri"/>
                <w:color w:val="000000"/>
                <w:sz w:val="16"/>
                <w:szCs w:val="16"/>
                <w:lang w:val="en-US" w:eastAsia="en-US"/>
              </w:rPr>
              <w:t>Human resources for health</w:t>
            </w:r>
          </w:p>
        </w:tc>
        <w:tc>
          <w:tcPr>
            <w:tcW w:w="3498" w:type="dxa"/>
            <w:tcBorders>
              <w:top w:val="nil"/>
              <w:left w:val="nil"/>
              <w:bottom w:val="single" w:sz="4" w:space="0" w:color="auto"/>
              <w:right w:val="single" w:sz="4" w:space="0" w:color="auto"/>
            </w:tcBorders>
            <w:shd w:val="clear" w:color="auto" w:fill="auto"/>
            <w:vAlign w:val="center"/>
            <w:hideMark/>
          </w:tcPr>
          <w:p w14:paraId="272F8414" w14:textId="77777777" w:rsidR="00E04F69" w:rsidRPr="00E04F69" w:rsidRDefault="00E04F69" w:rsidP="00E04F69">
            <w:pPr>
              <w:spacing w:line="240" w:lineRule="auto"/>
              <w:jc w:val="center"/>
              <w:rPr>
                <w:rFonts w:ascii="Calibri" w:eastAsia="Times New Roman" w:hAnsi="Calibri" w:cs="Calibri"/>
                <w:color w:val="000000"/>
                <w:sz w:val="16"/>
                <w:szCs w:val="16"/>
                <w:lang w:val="en-US" w:eastAsia="en-US"/>
              </w:rPr>
            </w:pPr>
            <w:r w:rsidRPr="00E04F69">
              <w:rPr>
                <w:rFonts w:ascii="Calibri" w:eastAsia="Times New Roman" w:hAnsi="Calibri" w:cs="Calibri"/>
                <w:color w:val="000000"/>
                <w:sz w:val="16"/>
                <w:szCs w:val="16"/>
                <w:lang w:val="en-US" w:eastAsia="en-US"/>
              </w:rPr>
              <w:t>Appointing national experts and competencies at the level of hubs or governorates in public health and immunization</w:t>
            </w:r>
          </w:p>
        </w:tc>
        <w:tc>
          <w:tcPr>
            <w:tcW w:w="1042" w:type="dxa"/>
            <w:gridSpan w:val="2"/>
            <w:tcBorders>
              <w:top w:val="nil"/>
              <w:left w:val="nil"/>
              <w:bottom w:val="single" w:sz="4" w:space="0" w:color="auto"/>
              <w:right w:val="single" w:sz="4" w:space="0" w:color="auto"/>
            </w:tcBorders>
            <w:shd w:val="clear" w:color="auto" w:fill="auto"/>
            <w:vAlign w:val="center"/>
            <w:hideMark/>
          </w:tcPr>
          <w:p w14:paraId="64EAC66F" w14:textId="77777777" w:rsidR="00E04F69" w:rsidRPr="00E04F69" w:rsidRDefault="00E04F69" w:rsidP="00E04F69">
            <w:pPr>
              <w:spacing w:line="240" w:lineRule="auto"/>
              <w:jc w:val="center"/>
              <w:rPr>
                <w:rFonts w:ascii="Calibri" w:eastAsia="Times New Roman" w:hAnsi="Calibri" w:cs="Calibri"/>
                <w:color w:val="000000"/>
                <w:sz w:val="16"/>
                <w:szCs w:val="16"/>
                <w:lang w:val="en-US" w:eastAsia="en-US"/>
              </w:rPr>
            </w:pPr>
            <w:r w:rsidRPr="00E04F69">
              <w:rPr>
                <w:rFonts w:ascii="Calibri" w:eastAsia="Times New Roman" w:hAnsi="Calibri" w:cs="Calibri"/>
                <w:color w:val="000000"/>
                <w:sz w:val="16"/>
                <w:szCs w:val="16"/>
                <w:lang w:val="en-US" w:eastAsia="en-US"/>
              </w:rPr>
              <w:t>$60,000</w:t>
            </w:r>
          </w:p>
        </w:tc>
        <w:tc>
          <w:tcPr>
            <w:tcW w:w="1036" w:type="dxa"/>
            <w:gridSpan w:val="2"/>
            <w:tcBorders>
              <w:top w:val="nil"/>
              <w:left w:val="nil"/>
              <w:bottom w:val="single" w:sz="4" w:space="0" w:color="auto"/>
              <w:right w:val="single" w:sz="4" w:space="0" w:color="auto"/>
            </w:tcBorders>
            <w:shd w:val="clear" w:color="auto" w:fill="auto"/>
            <w:vAlign w:val="center"/>
            <w:hideMark/>
          </w:tcPr>
          <w:p w14:paraId="1DCB81FE" w14:textId="77777777" w:rsidR="00E04F69" w:rsidRPr="00E04F69" w:rsidRDefault="00E04F69" w:rsidP="00E04F69">
            <w:pPr>
              <w:spacing w:line="240" w:lineRule="auto"/>
              <w:jc w:val="center"/>
              <w:rPr>
                <w:rFonts w:ascii="Calibri" w:eastAsia="Times New Roman" w:hAnsi="Calibri" w:cs="Calibri"/>
                <w:color w:val="000000"/>
                <w:sz w:val="16"/>
                <w:szCs w:val="16"/>
                <w:lang w:val="en-US" w:eastAsia="en-US"/>
              </w:rPr>
            </w:pPr>
            <w:r w:rsidRPr="00E04F69">
              <w:rPr>
                <w:rFonts w:ascii="Calibri" w:eastAsia="Times New Roman" w:hAnsi="Calibri" w:cs="Calibri"/>
                <w:color w:val="000000"/>
                <w:sz w:val="16"/>
                <w:szCs w:val="16"/>
                <w:lang w:val="en-US" w:eastAsia="en-US"/>
              </w:rPr>
              <w:t>$232,475</w:t>
            </w:r>
          </w:p>
        </w:tc>
        <w:tc>
          <w:tcPr>
            <w:tcW w:w="1036" w:type="dxa"/>
            <w:gridSpan w:val="2"/>
            <w:tcBorders>
              <w:top w:val="nil"/>
              <w:left w:val="nil"/>
              <w:bottom w:val="single" w:sz="4" w:space="0" w:color="auto"/>
              <w:right w:val="single" w:sz="4" w:space="0" w:color="auto"/>
            </w:tcBorders>
            <w:shd w:val="clear" w:color="auto" w:fill="auto"/>
            <w:vAlign w:val="center"/>
            <w:hideMark/>
          </w:tcPr>
          <w:p w14:paraId="2346B5CE" w14:textId="77777777" w:rsidR="00E04F69" w:rsidRPr="00E04F69" w:rsidRDefault="00E04F69" w:rsidP="00E04F69">
            <w:pPr>
              <w:spacing w:line="240" w:lineRule="auto"/>
              <w:jc w:val="center"/>
              <w:rPr>
                <w:rFonts w:ascii="Calibri" w:eastAsia="Times New Roman" w:hAnsi="Calibri" w:cs="Calibri"/>
                <w:color w:val="000000"/>
                <w:sz w:val="16"/>
                <w:szCs w:val="16"/>
                <w:lang w:val="en-US" w:eastAsia="en-US"/>
              </w:rPr>
            </w:pPr>
            <w:r w:rsidRPr="00E04F69">
              <w:rPr>
                <w:rFonts w:ascii="Calibri" w:eastAsia="Times New Roman" w:hAnsi="Calibri" w:cs="Calibri"/>
                <w:color w:val="000000"/>
                <w:sz w:val="16"/>
                <w:szCs w:val="16"/>
                <w:lang w:val="en-US" w:eastAsia="en-US"/>
              </w:rPr>
              <w:t>$232,475</w:t>
            </w:r>
          </w:p>
        </w:tc>
        <w:tc>
          <w:tcPr>
            <w:tcW w:w="1036" w:type="dxa"/>
            <w:gridSpan w:val="2"/>
            <w:tcBorders>
              <w:top w:val="nil"/>
              <w:left w:val="nil"/>
              <w:bottom w:val="single" w:sz="4" w:space="0" w:color="auto"/>
              <w:right w:val="single" w:sz="4" w:space="0" w:color="auto"/>
            </w:tcBorders>
            <w:shd w:val="clear" w:color="auto" w:fill="auto"/>
            <w:vAlign w:val="center"/>
            <w:hideMark/>
          </w:tcPr>
          <w:p w14:paraId="6AB97314" w14:textId="77777777" w:rsidR="00E04F69" w:rsidRPr="00E04F69" w:rsidRDefault="00E04F69" w:rsidP="00E04F69">
            <w:pPr>
              <w:spacing w:line="240" w:lineRule="auto"/>
              <w:jc w:val="center"/>
              <w:rPr>
                <w:rFonts w:ascii="Calibri" w:eastAsia="Times New Roman" w:hAnsi="Calibri" w:cs="Calibri"/>
                <w:color w:val="000000"/>
                <w:sz w:val="16"/>
                <w:szCs w:val="16"/>
                <w:lang w:val="en-US" w:eastAsia="en-US"/>
              </w:rPr>
            </w:pPr>
            <w:r w:rsidRPr="00E04F69">
              <w:rPr>
                <w:rFonts w:ascii="Calibri" w:eastAsia="Times New Roman" w:hAnsi="Calibri" w:cs="Calibri"/>
                <w:color w:val="000000"/>
                <w:sz w:val="16"/>
                <w:szCs w:val="16"/>
                <w:lang w:val="en-US" w:eastAsia="en-US"/>
              </w:rPr>
              <w:t>$232,475</w:t>
            </w:r>
          </w:p>
        </w:tc>
        <w:tc>
          <w:tcPr>
            <w:tcW w:w="1086" w:type="dxa"/>
            <w:gridSpan w:val="2"/>
            <w:tcBorders>
              <w:top w:val="nil"/>
              <w:left w:val="nil"/>
              <w:bottom w:val="single" w:sz="4" w:space="0" w:color="auto"/>
              <w:right w:val="single" w:sz="4" w:space="0" w:color="auto"/>
            </w:tcBorders>
            <w:shd w:val="clear" w:color="auto" w:fill="auto"/>
            <w:vAlign w:val="center"/>
            <w:hideMark/>
          </w:tcPr>
          <w:p w14:paraId="6780BEE6" w14:textId="77777777" w:rsidR="00E04F69" w:rsidRPr="00E04F69" w:rsidRDefault="00E04F69" w:rsidP="00E04F69">
            <w:pPr>
              <w:spacing w:line="240" w:lineRule="auto"/>
              <w:jc w:val="center"/>
              <w:rPr>
                <w:rFonts w:ascii="Calibri" w:eastAsia="Times New Roman" w:hAnsi="Calibri" w:cs="Calibri"/>
                <w:color w:val="000000"/>
                <w:sz w:val="16"/>
                <w:szCs w:val="16"/>
                <w:lang w:val="en-US" w:eastAsia="en-US"/>
              </w:rPr>
            </w:pPr>
            <w:r w:rsidRPr="00E04F69">
              <w:rPr>
                <w:rFonts w:ascii="Calibri" w:eastAsia="Times New Roman" w:hAnsi="Calibri" w:cs="Calibri"/>
                <w:color w:val="000000"/>
                <w:sz w:val="16"/>
                <w:szCs w:val="16"/>
                <w:lang w:val="en-US" w:eastAsia="en-US"/>
              </w:rPr>
              <w:t>$757,425</w:t>
            </w:r>
          </w:p>
        </w:tc>
        <w:tc>
          <w:tcPr>
            <w:tcW w:w="854" w:type="dxa"/>
            <w:gridSpan w:val="2"/>
            <w:tcBorders>
              <w:top w:val="nil"/>
              <w:left w:val="nil"/>
              <w:bottom w:val="single" w:sz="4" w:space="0" w:color="auto"/>
              <w:right w:val="single" w:sz="4" w:space="0" w:color="auto"/>
            </w:tcBorders>
            <w:shd w:val="clear" w:color="auto" w:fill="auto"/>
            <w:noWrap/>
            <w:vAlign w:val="center"/>
            <w:hideMark/>
          </w:tcPr>
          <w:p w14:paraId="51286854" w14:textId="77777777" w:rsidR="00E04F69" w:rsidRPr="00E04F69" w:rsidRDefault="00E04F69" w:rsidP="00E04F69">
            <w:pPr>
              <w:spacing w:line="240" w:lineRule="auto"/>
              <w:jc w:val="center"/>
              <w:rPr>
                <w:rFonts w:ascii="Calibri" w:eastAsia="Times New Roman" w:hAnsi="Calibri" w:cs="Calibri"/>
                <w:color w:val="000000"/>
                <w:sz w:val="18"/>
                <w:szCs w:val="18"/>
                <w:lang w:val="en-US" w:eastAsia="en-US"/>
              </w:rPr>
            </w:pPr>
            <w:r w:rsidRPr="00E04F69">
              <w:rPr>
                <w:rFonts w:ascii="Calibri" w:eastAsia="Times New Roman" w:hAnsi="Calibri" w:cs="Calibri"/>
                <w:color w:val="000000"/>
                <w:sz w:val="18"/>
                <w:szCs w:val="18"/>
                <w:lang w:val="en-US" w:eastAsia="en-US"/>
              </w:rPr>
              <w:t>10%</w:t>
            </w:r>
          </w:p>
        </w:tc>
      </w:tr>
      <w:tr w:rsidR="00E04F69" w:rsidRPr="00E04F69" w14:paraId="7FFD696E" w14:textId="77777777" w:rsidTr="00BB5C93">
        <w:trPr>
          <w:trHeight w:val="675"/>
          <w:jc w:val="center"/>
        </w:trPr>
        <w:tc>
          <w:tcPr>
            <w:tcW w:w="1807" w:type="dxa"/>
            <w:tcBorders>
              <w:top w:val="nil"/>
              <w:left w:val="single" w:sz="4" w:space="0" w:color="auto"/>
              <w:bottom w:val="single" w:sz="4" w:space="0" w:color="auto"/>
              <w:right w:val="single" w:sz="4" w:space="0" w:color="auto"/>
            </w:tcBorders>
            <w:shd w:val="clear" w:color="auto" w:fill="auto"/>
            <w:vAlign w:val="center"/>
            <w:hideMark/>
          </w:tcPr>
          <w:p w14:paraId="5E8B3777" w14:textId="77777777" w:rsidR="00E04F69" w:rsidRPr="00E04F69" w:rsidRDefault="00E04F69" w:rsidP="00E04F69">
            <w:pPr>
              <w:spacing w:line="240" w:lineRule="auto"/>
              <w:jc w:val="center"/>
              <w:rPr>
                <w:rFonts w:ascii="Calibri" w:eastAsia="Times New Roman" w:hAnsi="Calibri" w:cs="Calibri"/>
                <w:color w:val="000000"/>
                <w:sz w:val="16"/>
                <w:szCs w:val="16"/>
                <w:lang w:val="en-US" w:eastAsia="en-US"/>
              </w:rPr>
            </w:pPr>
            <w:r w:rsidRPr="00E04F69">
              <w:rPr>
                <w:rFonts w:ascii="Calibri" w:eastAsia="Times New Roman" w:hAnsi="Calibri" w:cs="Calibri"/>
                <w:color w:val="000000"/>
                <w:sz w:val="16"/>
                <w:szCs w:val="16"/>
                <w:lang w:val="en-US" w:eastAsia="en-US"/>
              </w:rPr>
              <w:t>Service delivery</w:t>
            </w:r>
          </w:p>
        </w:tc>
        <w:tc>
          <w:tcPr>
            <w:tcW w:w="3498" w:type="dxa"/>
            <w:tcBorders>
              <w:top w:val="nil"/>
              <w:left w:val="nil"/>
              <w:bottom w:val="single" w:sz="4" w:space="0" w:color="auto"/>
              <w:right w:val="single" w:sz="4" w:space="0" w:color="auto"/>
            </w:tcBorders>
            <w:shd w:val="clear" w:color="auto" w:fill="auto"/>
            <w:vAlign w:val="center"/>
            <w:hideMark/>
          </w:tcPr>
          <w:p w14:paraId="1DDBA667" w14:textId="77777777" w:rsidR="00E04F69" w:rsidRPr="00E04F69" w:rsidRDefault="00E04F69" w:rsidP="00E04F69">
            <w:pPr>
              <w:spacing w:line="240" w:lineRule="auto"/>
              <w:jc w:val="center"/>
              <w:rPr>
                <w:rFonts w:ascii="Calibri" w:eastAsia="Times New Roman" w:hAnsi="Calibri" w:cs="Calibri"/>
                <w:color w:val="000000"/>
                <w:sz w:val="16"/>
                <w:szCs w:val="16"/>
                <w:lang w:val="en-US" w:eastAsia="en-US"/>
              </w:rPr>
            </w:pPr>
            <w:r w:rsidRPr="00E04F69">
              <w:rPr>
                <w:rFonts w:ascii="Calibri" w:eastAsia="Times New Roman" w:hAnsi="Calibri" w:cs="Calibri"/>
                <w:color w:val="000000"/>
                <w:sz w:val="16"/>
                <w:szCs w:val="16"/>
                <w:lang w:val="en-US" w:eastAsia="en-US"/>
              </w:rPr>
              <w:t>Supporting the provision and functioning of health services in health facilities as supply side and generating the demand side of services in the community</w:t>
            </w:r>
          </w:p>
        </w:tc>
        <w:tc>
          <w:tcPr>
            <w:tcW w:w="1042" w:type="dxa"/>
            <w:gridSpan w:val="2"/>
            <w:tcBorders>
              <w:top w:val="nil"/>
              <w:left w:val="nil"/>
              <w:bottom w:val="single" w:sz="4" w:space="0" w:color="auto"/>
              <w:right w:val="single" w:sz="4" w:space="0" w:color="auto"/>
            </w:tcBorders>
            <w:shd w:val="clear" w:color="auto" w:fill="auto"/>
            <w:vAlign w:val="center"/>
            <w:hideMark/>
          </w:tcPr>
          <w:p w14:paraId="0E8B6C8D" w14:textId="77777777" w:rsidR="00E04F69" w:rsidRPr="00E04F69" w:rsidRDefault="00E04F69" w:rsidP="00E04F69">
            <w:pPr>
              <w:spacing w:line="240" w:lineRule="auto"/>
              <w:jc w:val="center"/>
              <w:rPr>
                <w:rFonts w:ascii="Calibri" w:eastAsia="Times New Roman" w:hAnsi="Calibri" w:cs="Calibri"/>
                <w:color w:val="000000"/>
                <w:sz w:val="16"/>
                <w:szCs w:val="16"/>
                <w:lang w:val="en-US" w:eastAsia="en-US"/>
              </w:rPr>
            </w:pPr>
            <w:r w:rsidRPr="00E04F69">
              <w:rPr>
                <w:rFonts w:ascii="Calibri" w:eastAsia="Times New Roman" w:hAnsi="Calibri" w:cs="Calibri"/>
                <w:color w:val="000000"/>
                <w:sz w:val="16"/>
                <w:szCs w:val="16"/>
                <w:lang w:val="en-US" w:eastAsia="en-US"/>
              </w:rPr>
              <w:t>$400,000</w:t>
            </w:r>
          </w:p>
        </w:tc>
        <w:tc>
          <w:tcPr>
            <w:tcW w:w="1036" w:type="dxa"/>
            <w:gridSpan w:val="2"/>
            <w:tcBorders>
              <w:top w:val="nil"/>
              <w:left w:val="nil"/>
              <w:bottom w:val="single" w:sz="4" w:space="0" w:color="auto"/>
              <w:right w:val="single" w:sz="4" w:space="0" w:color="auto"/>
            </w:tcBorders>
            <w:shd w:val="clear" w:color="auto" w:fill="auto"/>
            <w:vAlign w:val="center"/>
            <w:hideMark/>
          </w:tcPr>
          <w:p w14:paraId="15D01A5E" w14:textId="77777777" w:rsidR="00E04F69" w:rsidRPr="00E04F69" w:rsidRDefault="00E04F69" w:rsidP="00E04F69">
            <w:pPr>
              <w:spacing w:line="240" w:lineRule="auto"/>
              <w:jc w:val="center"/>
              <w:rPr>
                <w:rFonts w:ascii="Calibri" w:eastAsia="Times New Roman" w:hAnsi="Calibri" w:cs="Calibri"/>
                <w:color w:val="000000"/>
                <w:sz w:val="16"/>
                <w:szCs w:val="16"/>
                <w:lang w:val="en-US" w:eastAsia="en-US"/>
              </w:rPr>
            </w:pPr>
            <w:r w:rsidRPr="00E04F69">
              <w:rPr>
                <w:rFonts w:ascii="Calibri" w:eastAsia="Times New Roman" w:hAnsi="Calibri" w:cs="Calibri"/>
                <w:color w:val="000000"/>
                <w:sz w:val="16"/>
                <w:szCs w:val="16"/>
                <w:lang w:val="en-US" w:eastAsia="en-US"/>
              </w:rPr>
              <w:t>$876,580</w:t>
            </w:r>
          </w:p>
        </w:tc>
        <w:tc>
          <w:tcPr>
            <w:tcW w:w="1036" w:type="dxa"/>
            <w:gridSpan w:val="2"/>
            <w:tcBorders>
              <w:top w:val="nil"/>
              <w:left w:val="nil"/>
              <w:bottom w:val="single" w:sz="4" w:space="0" w:color="auto"/>
              <w:right w:val="single" w:sz="4" w:space="0" w:color="auto"/>
            </w:tcBorders>
            <w:shd w:val="clear" w:color="auto" w:fill="auto"/>
            <w:vAlign w:val="center"/>
            <w:hideMark/>
          </w:tcPr>
          <w:p w14:paraId="6B904404" w14:textId="77777777" w:rsidR="00E04F69" w:rsidRPr="00E04F69" w:rsidRDefault="00E04F69" w:rsidP="00E04F69">
            <w:pPr>
              <w:spacing w:line="240" w:lineRule="auto"/>
              <w:jc w:val="center"/>
              <w:rPr>
                <w:rFonts w:ascii="Calibri" w:eastAsia="Times New Roman" w:hAnsi="Calibri" w:cs="Calibri"/>
                <w:color w:val="000000"/>
                <w:sz w:val="16"/>
                <w:szCs w:val="16"/>
                <w:lang w:val="en-US" w:eastAsia="en-US"/>
              </w:rPr>
            </w:pPr>
            <w:r w:rsidRPr="00E04F69">
              <w:rPr>
                <w:rFonts w:ascii="Calibri" w:eastAsia="Times New Roman" w:hAnsi="Calibri" w:cs="Calibri"/>
                <w:color w:val="000000"/>
                <w:sz w:val="16"/>
                <w:szCs w:val="16"/>
                <w:lang w:val="en-US" w:eastAsia="en-US"/>
              </w:rPr>
              <w:t>$876,580</w:t>
            </w:r>
          </w:p>
        </w:tc>
        <w:tc>
          <w:tcPr>
            <w:tcW w:w="1036" w:type="dxa"/>
            <w:gridSpan w:val="2"/>
            <w:tcBorders>
              <w:top w:val="nil"/>
              <w:left w:val="nil"/>
              <w:bottom w:val="single" w:sz="4" w:space="0" w:color="auto"/>
              <w:right w:val="single" w:sz="4" w:space="0" w:color="auto"/>
            </w:tcBorders>
            <w:shd w:val="clear" w:color="auto" w:fill="auto"/>
            <w:vAlign w:val="center"/>
            <w:hideMark/>
          </w:tcPr>
          <w:p w14:paraId="188E2C51" w14:textId="77777777" w:rsidR="00E04F69" w:rsidRPr="00E04F69" w:rsidRDefault="00E04F69" w:rsidP="00E04F69">
            <w:pPr>
              <w:spacing w:line="240" w:lineRule="auto"/>
              <w:jc w:val="center"/>
              <w:rPr>
                <w:rFonts w:ascii="Calibri" w:eastAsia="Times New Roman" w:hAnsi="Calibri" w:cs="Calibri"/>
                <w:color w:val="000000"/>
                <w:sz w:val="16"/>
                <w:szCs w:val="16"/>
                <w:lang w:val="en-US" w:eastAsia="en-US"/>
              </w:rPr>
            </w:pPr>
            <w:r w:rsidRPr="00E04F69">
              <w:rPr>
                <w:rFonts w:ascii="Calibri" w:eastAsia="Times New Roman" w:hAnsi="Calibri" w:cs="Calibri"/>
                <w:color w:val="000000"/>
                <w:sz w:val="16"/>
                <w:szCs w:val="16"/>
                <w:lang w:val="en-US" w:eastAsia="en-US"/>
              </w:rPr>
              <w:t>$876,580</w:t>
            </w:r>
          </w:p>
        </w:tc>
        <w:tc>
          <w:tcPr>
            <w:tcW w:w="1086" w:type="dxa"/>
            <w:gridSpan w:val="2"/>
            <w:tcBorders>
              <w:top w:val="nil"/>
              <w:left w:val="nil"/>
              <w:bottom w:val="single" w:sz="4" w:space="0" w:color="auto"/>
              <w:right w:val="single" w:sz="4" w:space="0" w:color="auto"/>
            </w:tcBorders>
            <w:shd w:val="clear" w:color="auto" w:fill="auto"/>
            <w:vAlign w:val="center"/>
            <w:hideMark/>
          </w:tcPr>
          <w:p w14:paraId="2146D168" w14:textId="77777777" w:rsidR="00E04F69" w:rsidRPr="00E04F69" w:rsidRDefault="00E04F69" w:rsidP="00E04F69">
            <w:pPr>
              <w:spacing w:line="240" w:lineRule="auto"/>
              <w:jc w:val="center"/>
              <w:rPr>
                <w:rFonts w:ascii="Calibri" w:eastAsia="Times New Roman" w:hAnsi="Calibri" w:cs="Calibri"/>
                <w:color w:val="000000"/>
                <w:sz w:val="16"/>
                <w:szCs w:val="16"/>
                <w:lang w:val="en-US" w:eastAsia="en-US"/>
              </w:rPr>
            </w:pPr>
            <w:r w:rsidRPr="00E04F69">
              <w:rPr>
                <w:rFonts w:ascii="Calibri" w:eastAsia="Times New Roman" w:hAnsi="Calibri" w:cs="Calibri"/>
                <w:color w:val="000000"/>
                <w:sz w:val="16"/>
                <w:szCs w:val="16"/>
                <w:lang w:val="en-US" w:eastAsia="en-US"/>
              </w:rPr>
              <w:t>$3,029,740</w:t>
            </w:r>
          </w:p>
        </w:tc>
        <w:tc>
          <w:tcPr>
            <w:tcW w:w="854" w:type="dxa"/>
            <w:gridSpan w:val="2"/>
            <w:tcBorders>
              <w:top w:val="nil"/>
              <w:left w:val="nil"/>
              <w:bottom w:val="single" w:sz="4" w:space="0" w:color="auto"/>
              <w:right w:val="single" w:sz="4" w:space="0" w:color="auto"/>
            </w:tcBorders>
            <w:shd w:val="clear" w:color="auto" w:fill="auto"/>
            <w:noWrap/>
            <w:vAlign w:val="center"/>
            <w:hideMark/>
          </w:tcPr>
          <w:p w14:paraId="34DC3C2D" w14:textId="77777777" w:rsidR="00E04F69" w:rsidRPr="00E04F69" w:rsidRDefault="00E04F69" w:rsidP="00E04F69">
            <w:pPr>
              <w:spacing w:line="240" w:lineRule="auto"/>
              <w:jc w:val="center"/>
              <w:rPr>
                <w:rFonts w:ascii="Calibri" w:eastAsia="Times New Roman" w:hAnsi="Calibri" w:cs="Calibri"/>
                <w:color w:val="000000"/>
                <w:sz w:val="18"/>
                <w:szCs w:val="18"/>
                <w:lang w:val="en-US" w:eastAsia="en-US"/>
              </w:rPr>
            </w:pPr>
            <w:r w:rsidRPr="00E04F69">
              <w:rPr>
                <w:rFonts w:ascii="Calibri" w:eastAsia="Times New Roman" w:hAnsi="Calibri" w:cs="Calibri"/>
                <w:color w:val="000000"/>
                <w:sz w:val="18"/>
                <w:szCs w:val="18"/>
                <w:lang w:val="en-US" w:eastAsia="en-US"/>
              </w:rPr>
              <w:t>40%</w:t>
            </w:r>
          </w:p>
        </w:tc>
      </w:tr>
      <w:tr w:rsidR="00E04F69" w:rsidRPr="00E04F69" w14:paraId="07061C77" w14:textId="77777777" w:rsidTr="00BB5C93">
        <w:trPr>
          <w:gridAfter w:val="1"/>
          <w:wAfter w:w="6" w:type="dxa"/>
          <w:trHeight w:val="300"/>
          <w:jc w:val="center"/>
        </w:trPr>
        <w:tc>
          <w:tcPr>
            <w:tcW w:w="5305" w:type="dxa"/>
            <w:gridSpan w:val="2"/>
            <w:tcBorders>
              <w:top w:val="single" w:sz="4" w:space="0" w:color="auto"/>
              <w:left w:val="single" w:sz="4" w:space="0" w:color="auto"/>
              <w:bottom w:val="single" w:sz="4" w:space="0" w:color="auto"/>
              <w:right w:val="single" w:sz="4" w:space="0" w:color="auto"/>
            </w:tcBorders>
            <w:shd w:val="clear" w:color="000000" w:fill="D9E2F3"/>
            <w:vAlign w:val="center"/>
            <w:hideMark/>
          </w:tcPr>
          <w:p w14:paraId="37C28E0F" w14:textId="77777777" w:rsidR="00E04F69" w:rsidRPr="00E04F69" w:rsidRDefault="00E04F69" w:rsidP="00E04F69">
            <w:pPr>
              <w:spacing w:line="240" w:lineRule="auto"/>
              <w:jc w:val="center"/>
              <w:rPr>
                <w:rFonts w:ascii="Calibri" w:eastAsia="Times New Roman" w:hAnsi="Calibri" w:cs="Calibri"/>
                <w:b/>
                <w:bCs/>
                <w:color w:val="000000"/>
                <w:sz w:val="16"/>
                <w:szCs w:val="16"/>
                <w:lang w:val="en-US" w:eastAsia="en-US"/>
              </w:rPr>
            </w:pPr>
            <w:r w:rsidRPr="00E04F69">
              <w:rPr>
                <w:rFonts w:ascii="Calibri" w:eastAsia="Times New Roman" w:hAnsi="Calibri" w:cs="Calibri"/>
                <w:b/>
                <w:bCs/>
                <w:color w:val="000000"/>
                <w:sz w:val="16"/>
                <w:szCs w:val="16"/>
                <w:lang w:val="en-US" w:eastAsia="en-US"/>
              </w:rPr>
              <w:t>Indicative allocation per Year in USD</w:t>
            </w:r>
          </w:p>
        </w:tc>
        <w:tc>
          <w:tcPr>
            <w:tcW w:w="1036" w:type="dxa"/>
            <w:tcBorders>
              <w:top w:val="nil"/>
              <w:left w:val="nil"/>
              <w:bottom w:val="single" w:sz="4" w:space="0" w:color="auto"/>
              <w:right w:val="single" w:sz="4" w:space="0" w:color="auto"/>
            </w:tcBorders>
            <w:shd w:val="clear" w:color="000000" w:fill="D9E1F2"/>
            <w:noWrap/>
            <w:vAlign w:val="center"/>
            <w:hideMark/>
          </w:tcPr>
          <w:p w14:paraId="3DD09AE9" w14:textId="77777777" w:rsidR="00E04F69" w:rsidRPr="00E04F69" w:rsidRDefault="00E04F69" w:rsidP="00E04F69">
            <w:pPr>
              <w:spacing w:line="240" w:lineRule="auto"/>
              <w:jc w:val="center"/>
              <w:rPr>
                <w:rFonts w:ascii="Calibri" w:eastAsia="Times New Roman" w:hAnsi="Calibri" w:cs="Calibri"/>
                <w:color w:val="000000"/>
                <w:sz w:val="18"/>
                <w:szCs w:val="18"/>
                <w:lang w:val="en-US" w:eastAsia="en-US"/>
              </w:rPr>
            </w:pPr>
            <w:r w:rsidRPr="00E04F69">
              <w:rPr>
                <w:rFonts w:ascii="Calibri" w:eastAsia="Times New Roman" w:hAnsi="Calibri" w:cs="Calibri"/>
                <w:color w:val="000000"/>
                <w:sz w:val="18"/>
                <w:szCs w:val="18"/>
                <w:lang w:val="en-US" w:eastAsia="en-US"/>
              </w:rPr>
              <w:t>$1,480,914</w:t>
            </w:r>
          </w:p>
        </w:tc>
        <w:tc>
          <w:tcPr>
            <w:tcW w:w="1036" w:type="dxa"/>
            <w:gridSpan w:val="2"/>
            <w:tcBorders>
              <w:top w:val="nil"/>
              <w:left w:val="nil"/>
              <w:bottom w:val="single" w:sz="4" w:space="0" w:color="auto"/>
              <w:right w:val="single" w:sz="4" w:space="0" w:color="auto"/>
            </w:tcBorders>
            <w:shd w:val="clear" w:color="000000" w:fill="D9E1F2"/>
            <w:noWrap/>
            <w:vAlign w:val="center"/>
            <w:hideMark/>
          </w:tcPr>
          <w:p w14:paraId="06D39EBC" w14:textId="77777777" w:rsidR="00E04F69" w:rsidRPr="00E04F69" w:rsidRDefault="00E04F69" w:rsidP="00E04F69">
            <w:pPr>
              <w:spacing w:line="240" w:lineRule="auto"/>
              <w:jc w:val="center"/>
              <w:rPr>
                <w:rFonts w:ascii="Calibri" w:eastAsia="Times New Roman" w:hAnsi="Calibri" w:cs="Calibri"/>
                <w:color w:val="000000"/>
                <w:sz w:val="18"/>
                <w:szCs w:val="18"/>
                <w:lang w:val="en-US" w:eastAsia="en-US"/>
              </w:rPr>
            </w:pPr>
            <w:r w:rsidRPr="00E04F69">
              <w:rPr>
                <w:rFonts w:ascii="Calibri" w:eastAsia="Times New Roman" w:hAnsi="Calibri" w:cs="Calibri"/>
                <w:color w:val="000000"/>
                <w:sz w:val="18"/>
                <w:szCs w:val="18"/>
                <w:lang w:val="en-US" w:eastAsia="en-US"/>
              </w:rPr>
              <w:t>$2,031,115</w:t>
            </w:r>
          </w:p>
        </w:tc>
        <w:tc>
          <w:tcPr>
            <w:tcW w:w="1036" w:type="dxa"/>
            <w:gridSpan w:val="2"/>
            <w:tcBorders>
              <w:top w:val="nil"/>
              <w:left w:val="nil"/>
              <w:bottom w:val="single" w:sz="4" w:space="0" w:color="auto"/>
              <w:right w:val="single" w:sz="4" w:space="0" w:color="auto"/>
            </w:tcBorders>
            <w:shd w:val="clear" w:color="000000" w:fill="D9E1F2"/>
            <w:noWrap/>
            <w:vAlign w:val="center"/>
            <w:hideMark/>
          </w:tcPr>
          <w:p w14:paraId="7F7D4DB6" w14:textId="77777777" w:rsidR="00E04F69" w:rsidRPr="00E04F69" w:rsidRDefault="00E04F69" w:rsidP="00E04F69">
            <w:pPr>
              <w:spacing w:line="240" w:lineRule="auto"/>
              <w:jc w:val="center"/>
              <w:rPr>
                <w:rFonts w:ascii="Calibri" w:eastAsia="Times New Roman" w:hAnsi="Calibri" w:cs="Calibri"/>
                <w:color w:val="000000"/>
                <w:sz w:val="18"/>
                <w:szCs w:val="18"/>
                <w:lang w:val="en-US" w:eastAsia="en-US"/>
              </w:rPr>
            </w:pPr>
            <w:r w:rsidRPr="00E04F69">
              <w:rPr>
                <w:rFonts w:ascii="Calibri" w:eastAsia="Times New Roman" w:hAnsi="Calibri" w:cs="Calibri"/>
                <w:color w:val="000000"/>
                <w:sz w:val="18"/>
                <w:szCs w:val="18"/>
                <w:lang w:val="en-US" w:eastAsia="en-US"/>
              </w:rPr>
              <w:t>$2,031,115</w:t>
            </w:r>
          </w:p>
        </w:tc>
        <w:tc>
          <w:tcPr>
            <w:tcW w:w="1036" w:type="dxa"/>
            <w:gridSpan w:val="2"/>
            <w:tcBorders>
              <w:top w:val="nil"/>
              <w:left w:val="nil"/>
              <w:bottom w:val="single" w:sz="4" w:space="0" w:color="auto"/>
              <w:right w:val="single" w:sz="4" w:space="0" w:color="auto"/>
            </w:tcBorders>
            <w:shd w:val="clear" w:color="000000" w:fill="D9E1F2"/>
            <w:noWrap/>
            <w:vAlign w:val="center"/>
            <w:hideMark/>
          </w:tcPr>
          <w:p w14:paraId="051B40E6" w14:textId="77777777" w:rsidR="00E04F69" w:rsidRPr="00E04F69" w:rsidRDefault="00E04F69" w:rsidP="00E04F69">
            <w:pPr>
              <w:spacing w:line="240" w:lineRule="auto"/>
              <w:jc w:val="center"/>
              <w:rPr>
                <w:rFonts w:ascii="Calibri" w:eastAsia="Times New Roman" w:hAnsi="Calibri" w:cs="Calibri"/>
                <w:color w:val="000000"/>
                <w:sz w:val="18"/>
                <w:szCs w:val="18"/>
                <w:lang w:val="en-US" w:eastAsia="en-US"/>
              </w:rPr>
            </w:pPr>
            <w:r w:rsidRPr="00E04F69">
              <w:rPr>
                <w:rFonts w:ascii="Calibri" w:eastAsia="Times New Roman" w:hAnsi="Calibri" w:cs="Calibri"/>
                <w:color w:val="000000"/>
                <w:sz w:val="18"/>
                <w:szCs w:val="18"/>
                <w:lang w:val="en-US" w:eastAsia="en-US"/>
              </w:rPr>
              <w:t>$2,031,115</w:t>
            </w:r>
          </w:p>
        </w:tc>
        <w:tc>
          <w:tcPr>
            <w:tcW w:w="1080" w:type="dxa"/>
            <w:gridSpan w:val="2"/>
            <w:tcBorders>
              <w:top w:val="nil"/>
              <w:left w:val="nil"/>
              <w:bottom w:val="single" w:sz="4" w:space="0" w:color="auto"/>
              <w:right w:val="single" w:sz="4" w:space="0" w:color="auto"/>
            </w:tcBorders>
            <w:shd w:val="clear" w:color="000000" w:fill="D9E1F2"/>
            <w:noWrap/>
            <w:vAlign w:val="center"/>
            <w:hideMark/>
          </w:tcPr>
          <w:p w14:paraId="01955BC0" w14:textId="77777777" w:rsidR="00E04F69" w:rsidRPr="00E04F69" w:rsidRDefault="00E04F69" w:rsidP="00E04F69">
            <w:pPr>
              <w:spacing w:line="240" w:lineRule="auto"/>
              <w:jc w:val="center"/>
              <w:rPr>
                <w:rFonts w:ascii="Calibri" w:eastAsia="Times New Roman" w:hAnsi="Calibri" w:cs="Calibri"/>
                <w:color w:val="000000"/>
                <w:sz w:val="18"/>
                <w:szCs w:val="18"/>
                <w:lang w:val="en-US" w:eastAsia="en-US"/>
              </w:rPr>
            </w:pPr>
            <w:r w:rsidRPr="00E04F69">
              <w:rPr>
                <w:rFonts w:ascii="Calibri" w:eastAsia="Times New Roman" w:hAnsi="Calibri" w:cs="Calibri"/>
                <w:color w:val="000000"/>
                <w:sz w:val="18"/>
                <w:szCs w:val="18"/>
                <w:lang w:val="en-US" w:eastAsia="en-US"/>
              </w:rPr>
              <w:t>$7,574,259</w:t>
            </w:r>
          </w:p>
        </w:tc>
        <w:tc>
          <w:tcPr>
            <w:tcW w:w="860" w:type="dxa"/>
            <w:gridSpan w:val="2"/>
            <w:tcBorders>
              <w:top w:val="nil"/>
              <w:left w:val="nil"/>
              <w:bottom w:val="single" w:sz="4" w:space="0" w:color="auto"/>
              <w:right w:val="single" w:sz="4" w:space="0" w:color="auto"/>
            </w:tcBorders>
            <w:shd w:val="clear" w:color="000000" w:fill="D9E1F2"/>
            <w:noWrap/>
            <w:vAlign w:val="center"/>
            <w:hideMark/>
          </w:tcPr>
          <w:p w14:paraId="59ED7DF6" w14:textId="77777777" w:rsidR="00E04F69" w:rsidRPr="00E04F69" w:rsidRDefault="00E04F69" w:rsidP="00E04F69">
            <w:pPr>
              <w:spacing w:line="240" w:lineRule="auto"/>
              <w:jc w:val="center"/>
              <w:rPr>
                <w:rFonts w:ascii="Calibri" w:eastAsia="Times New Roman" w:hAnsi="Calibri" w:cs="Calibri"/>
                <w:color w:val="000000"/>
                <w:sz w:val="18"/>
                <w:szCs w:val="18"/>
                <w:lang w:val="en-US" w:eastAsia="en-US"/>
              </w:rPr>
            </w:pPr>
            <w:r w:rsidRPr="00E04F69">
              <w:rPr>
                <w:rFonts w:ascii="Calibri" w:eastAsia="Times New Roman" w:hAnsi="Calibri" w:cs="Calibri"/>
                <w:color w:val="000000"/>
                <w:sz w:val="18"/>
                <w:szCs w:val="18"/>
                <w:lang w:val="en-US" w:eastAsia="en-US"/>
              </w:rPr>
              <w:t>100%</w:t>
            </w:r>
          </w:p>
        </w:tc>
      </w:tr>
      <w:tr w:rsidR="00E04F69" w:rsidRPr="00E04F69" w14:paraId="3BB8351A" w14:textId="77777777" w:rsidTr="00BB5C93">
        <w:trPr>
          <w:gridAfter w:val="1"/>
          <w:wAfter w:w="6" w:type="dxa"/>
          <w:trHeight w:val="300"/>
          <w:jc w:val="center"/>
        </w:trPr>
        <w:tc>
          <w:tcPr>
            <w:tcW w:w="5305" w:type="dxa"/>
            <w:gridSpan w:val="2"/>
            <w:tcBorders>
              <w:top w:val="single" w:sz="4" w:space="0" w:color="auto"/>
              <w:left w:val="single" w:sz="4" w:space="0" w:color="auto"/>
              <w:bottom w:val="single" w:sz="4" w:space="0" w:color="auto"/>
              <w:right w:val="single" w:sz="4" w:space="0" w:color="auto"/>
            </w:tcBorders>
            <w:shd w:val="clear" w:color="000000" w:fill="D9E2F3"/>
            <w:vAlign w:val="center"/>
            <w:hideMark/>
          </w:tcPr>
          <w:p w14:paraId="107EB4DC" w14:textId="77777777" w:rsidR="00E04F69" w:rsidRPr="00E04F69" w:rsidRDefault="00E04F69" w:rsidP="00E04F69">
            <w:pPr>
              <w:spacing w:line="240" w:lineRule="auto"/>
              <w:jc w:val="center"/>
              <w:rPr>
                <w:rFonts w:ascii="Calibri" w:eastAsia="Times New Roman" w:hAnsi="Calibri" w:cs="Calibri"/>
                <w:b/>
                <w:bCs/>
                <w:color w:val="000000"/>
                <w:sz w:val="16"/>
                <w:szCs w:val="16"/>
                <w:lang w:val="en-US" w:eastAsia="en-US"/>
              </w:rPr>
            </w:pPr>
            <w:r w:rsidRPr="00E04F69">
              <w:rPr>
                <w:rFonts w:ascii="Calibri" w:eastAsia="Times New Roman" w:hAnsi="Calibri" w:cs="Calibri"/>
                <w:b/>
                <w:bCs/>
                <w:color w:val="000000"/>
                <w:sz w:val="16"/>
                <w:szCs w:val="16"/>
                <w:lang w:val="en-US" w:eastAsia="en-US"/>
              </w:rPr>
              <w:t>Indicative allocation per Year in %</w:t>
            </w:r>
          </w:p>
        </w:tc>
        <w:tc>
          <w:tcPr>
            <w:tcW w:w="1036" w:type="dxa"/>
            <w:tcBorders>
              <w:top w:val="nil"/>
              <w:left w:val="nil"/>
              <w:bottom w:val="single" w:sz="4" w:space="0" w:color="auto"/>
              <w:right w:val="single" w:sz="4" w:space="0" w:color="auto"/>
            </w:tcBorders>
            <w:shd w:val="clear" w:color="000000" w:fill="D9E1F2"/>
            <w:noWrap/>
            <w:vAlign w:val="center"/>
            <w:hideMark/>
          </w:tcPr>
          <w:p w14:paraId="67ED152A" w14:textId="77777777" w:rsidR="00E04F69" w:rsidRPr="00E04F69" w:rsidRDefault="00E04F69" w:rsidP="00E04F69">
            <w:pPr>
              <w:spacing w:line="240" w:lineRule="auto"/>
              <w:jc w:val="center"/>
              <w:rPr>
                <w:rFonts w:ascii="Calibri" w:eastAsia="Times New Roman" w:hAnsi="Calibri" w:cs="Calibri"/>
                <w:color w:val="000000"/>
                <w:sz w:val="18"/>
                <w:szCs w:val="18"/>
                <w:lang w:val="en-US" w:eastAsia="en-US"/>
              </w:rPr>
            </w:pPr>
            <w:r w:rsidRPr="00E04F69">
              <w:rPr>
                <w:rFonts w:ascii="Calibri" w:eastAsia="Times New Roman" w:hAnsi="Calibri" w:cs="Calibri"/>
                <w:color w:val="000000"/>
                <w:sz w:val="18"/>
                <w:szCs w:val="18"/>
                <w:lang w:val="en-US" w:eastAsia="en-US"/>
              </w:rPr>
              <w:t>19.6%</w:t>
            </w:r>
          </w:p>
        </w:tc>
        <w:tc>
          <w:tcPr>
            <w:tcW w:w="1036" w:type="dxa"/>
            <w:gridSpan w:val="2"/>
            <w:tcBorders>
              <w:top w:val="nil"/>
              <w:left w:val="nil"/>
              <w:bottom w:val="single" w:sz="4" w:space="0" w:color="auto"/>
              <w:right w:val="single" w:sz="4" w:space="0" w:color="auto"/>
            </w:tcBorders>
            <w:shd w:val="clear" w:color="000000" w:fill="D9E1F2"/>
            <w:noWrap/>
            <w:vAlign w:val="center"/>
            <w:hideMark/>
          </w:tcPr>
          <w:p w14:paraId="0D51E3C6" w14:textId="77777777" w:rsidR="00E04F69" w:rsidRPr="00E04F69" w:rsidRDefault="00E04F69" w:rsidP="00E04F69">
            <w:pPr>
              <w:spacing w:line="240" w:lineRule="auto"/>
              <w:jc w:val="center"/>
              <w:rPr>
                <w:rFonts w:ascii="Calibri" w:eastAsia="Times New Roman" w:hAnsi="Calibri" w:cs="Calibri"/>
                <w:color w:val="000000"/>
                <w:sz w:val="18"/>
                <w:szCs w:val="18"/>
                <w:lang w:val="en-US" w:eastAsia="en-US"/>
              </w:rPr>
            </w:pPr>
            <w:r w:rsidRPr="00E04F69">
              <w:rPr>
                <w:rFonts w:ascii="Calibri" w:eastAsia="Times New Roman" w:hAnsi="Calibri" w:cs="Calibri"/>
                <w:color w:val="000000"/>
                <w:sz w:val="18"/>
                <w:szCs w:val="18"/>
                <w:lang w:val="en-US" w:eastAsia="en-US"/>
              </w:rPr>
              <w:t>26.8%</w:t>
            </w:r>
          </w:p>
        </w:tc>
        <w:tc>
          <w:tcPr>
            <w:tcW w:w="1036" w:type="dxa"/>
            <w:gridSpan w:val="2"/>
            <w:tcBorders>
              <w:top w:val="nil"/>
              <w:left w:val="nil"/>
              <w:bottom w:val="single" w:sz="4" w:space="0" w:color="auto"/>
              <w:right w:val="single" w:sz="4" w:space="0" w:color="auto"/>
            </w:tcBorders>
            <w:shd w:val="clear" w:color="000000" w:fill="D9E1F2"/>
            <w:noWrap/>
            <w:vAlign w:val="center"/>
            <w:hideMark/>
          </w:tcPr>
          <w:p w14:paraId="199BCB8B" w14:textId="77777777" w:rsidR="00E04F69" w:rsidRPr="00E04F69" w:rsidRDefault="00E04F69" w:rsidP="00E04F69">
            <w:pPr>
              <w:spacing w:line="240" w:lineRule="auto"/>
              <w:jc w:val="center"/>
              <w:rPr>
                <w:rFonts w:ascii="Calibri" w:eastAsia="Times New Roman" w:hAnsi="Calibri" w:cs="Calibri"/>
                <w:color w:val="000000"/>
                <w:sz w:val="18"/>
                <w:szCs w:val="18"/>
                <w:lang w:val="en-US" w:eastAsia="en-US"/>
              </w:rPr>
            </w:pPr>
            <w:r w:rsidRPr="00E04F69">
              <w:rPr>
                <w:rFonts w:ascii="Calibri" w:eastAsia="Times New Roman" w:hAnsi="Calibri" w:cs="Calibri"/>
                <w:color w:val="000000"/>
                <w:sz w:val="18"/>
                <w:szCs w:val="18"/>
                <w:lang w:val="en-US" w:eastAsia="en-US"/>
              </w:rPr>
              <w:t>26.8%</w:t>
            </w:r>
          </w:p>
        </w:tc>
        <w:tc>
          <w:tcPr>
            <w:tcW w:w="1036" w:type="dxa"/>
            <w:gridSpan w:val="2"/>
            <w:tcBorders>
              <w:top w:val="nil"/>
              <w:left w:val="nil"/>
              <w:bottom w:val="single" w:sz="4" w:space="0" w:color="auto"/>
              <w:right w:val="single" w:sz="4" w:space="0" w:color="auto"/>
            </w:tcBorders>
            <w:shd w:val="clear" w:color="000000" w:fill="D9E1F2"/>
            <w:noWrap/>
            <w:vAlign w:val="center"/>
            <w:hideMark/>
          </w:tcPr>
          <w:p w14:paraId="08DC5836" w14:textId="77777777" w:rsidR="00E04F69" w:rsidRPr="00E04F69" w:rsidRDefault="00E04F69" w:rsidP="00E04F69">
            <w:pPr>
              <w:spacing w:line="240" w:lineRule="auto"/>
              <w:jc w:val="center"/>
              <w:rPr>
                <w:rFonts w:ascii="Calibri" w:eastAsia="Times New Roman" w:hAnsi="Calibri" w:cs="Calibri"/>
                <w:color w:val="000000"/>
                <w:sz w:val="18"/>
                <w:szCs w:val="18"/>
                <w:lang w:val="en-US" w:eastAsia="en-US"/>
              </w:rPr>
            </w:pPr>
            <w:r w:rsidRPr="00E04F69">
              <w:rPr>
                <w:rFonts w:ascii="Calibri" w:eastAsia="Times New Roman" w:hAnsi="Calibri" w:cs="Calibri"/>
                <w:color w:val="000000"/>
                <w:sz w:val="18"/>
                <w:szCs w:val="18"/>
                <w:lang w:val="en-US" w:eastAsia="en-US"/>
              </w:rPr>
              <w:t>26.8%</w:t>
            </w:r>
          </w:p>
        </w:tc>
        <w:tc>
          <w:tcPr>
            <w:tcW w:w="1080" w:type="dxa"/>
            <w:gridSpan w:val="2"/>
            <w:tcBorders>
              <w:top w:val="nil"/>
              <w:left w:val="nil"/>
              <w:bottom w:val="single" w:sz="4" w:space="0" w:color="auto"/>
              <w:right w:val="single" w:sz="4" w:space="0" w:color="auto"/>
            </w:tcBorders>
            <w:shd w:val="clear" w:color="000000" w:fill="D9E1F2"/>
            <w:noWrap/>
            <w:vAlign w:val="center"/>
            <w:hideMark/>
          </w:tcPr>
          <w:p w14:paraId="0830B263" w14:textId="77777777" w:rsidR="00E04F69" w:rsidRPr="00E04F69" w:rsidRDefault="00E04F69" w:rsidP="00E04F69">
            <w:pPr>
              <w:spacing w:line="240" w:lineRule="auto"/>
              <w:jc w:val="center"/>
              <w:rPr>
                <w:rFonts w:ascii="Calibri" w:eastAsia="Times New Roman" w:hAnsi="Calibri" w:cs="Calibri"/>
                <w:color w:val="000000"/>
                <w:sz w:val="18"/>
                <w:szCs w:val="18"/>
                <w:lang w:val="en-US" w:eastAsia="en-US"/>
              </w:rPr>
            </w:pPr>
            <w:r w:rsidRPr="00E04F69">
              <w:rPr>
                <w:rFonts w:ascii="Calibri" w:eastAsia="Times New Roman" w:hAnsi="Calibri" w:cs="Calibri"/>
                <w:color w:val="000000"/>
                <w:sz w:val="18"/>
                <w:szCs w:val="18"/>
                <w:lang w:val="en-US" w:eastAsia="en-US"/>
              </w:rPr>
              <w:t>100%</w:t>
            </w:r>
          </w:p>
        </w:tc>
        <w:tc>
          <w:tcPr>
            <w:tcW w:w="860" w:type="dxa"/>
            <w:gridSpan w:val="2"/>
            <w:tcBorders>
              <w:top w:val="nil"/>
              <w:left w:val="nil"/>
              <w:bottom w:val="single" w:sz="4" w:space="0" w:color="auto"/>
              <w:right w:val="single" w:sz="4" w:space="0" w:color="auto"/>
            </w:tcBorders>
            <w:shd w:val="clear" w:color="000000" w:fill="D9E1F2"/>
            <w:noWrap/>
            <w:vAlign w:val="center"/>
            <w:hideMark/>
          </w:tcPr>
          <w:p w14:paraId="4F383E3B" w14:textId="77777777" w:rsidR="00E04F69" w:rsidRPr="00E04F69" w:rsidRDefault="00E04F69" w:rsidP="00E04F69">
            <w:pPr>
              <w:spacing w:line="240" w:lineRule="auto"/>
              <w:jc w:val="center"/>
              <w:rPr>
                <w:rFonts w:ascii="Calibri" w:eastAsia="Times New Roman" w:hAnsi="Calibri" w:cs="Calibri"/>
                <w:color w:val="000000"/>
                <w:lang w:val="en-US" w:eastAsia="en-US"/>
              </w:rPr>
            </w:pPr>
            <w:r w:rsidRPr="00E04F69">
              <w:rPr>
                <w:rFonts w:ascii="Calibri" w:eastAsia="Times New Roman" w:hAnsi="Calibri" w:cs="Calibri"/>
                <w:color w:val="000000"/>
                <w:lang w:val="en-US" w:eastAsia="en-US"/>
              </w:rPr>
              <w:t> </w:t>
            </w:r>
          </w:p>
        </w:tc>
      </w:tr>
    </w:tbl>
    <w:p w14:paraId="2C7CBE23" w14:textId="743A35D5" w:rsidR="00B6495D" w:rsidRPr="0058615A" w:rsidRDefault="00B6495D" w:rsidP="0058615A">
      <w:pPr>
        <w:spacing w:line="300" w:lineRule="exact"/>
        <w:jc w:val="both"/>
        <w:rPr>
          <w:rFonts w:eastAsia="Times New Roman"/>
          <w:color w:val="FF0000"/>
        </w:rPr>
      </w:pPr>
    </w:p>
    <w:p w14:paraId="430135D1" w14:textId="77777777" w:rsidR="008A72E0" w:rsidRDefault="008A72E0"/>
    <w:tbl>
      <w:tblPr>
        <w:tblStyle w:val="TableGrid"/>
        <w:tblW w:w="91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2"/>
      </w:tblGrid>
      <w:tr w:rsidR="00372D1F" w14:paraId="42B6E5C8" w14:textId="77777777" w:rsidTr="0BA8BF99">
        <w:tc>
          <w:tcPr>
            <w:tcW w:w="9192" w:type="dxa"/>
            <w:tcBorders>
              <w:bottom w:val="single" w:sz="4" w:space="0" w:color="auto"/>
            </w:tcBorders>
            <w:shd w:val="clear" w:color="auto" w:fill="F2F2F2" w:themeFill="background1" w:themeFillShade="F2"/>
          </w:tcPr>
          <w:p w14:paraId="5594A626" w14:textId="06689130" w:rsidR="00372D1F" w:rsidRPr="00B614D7" w:rsidRDefault="00372D1F" w:rsidP="00372D1F">
            <w:pPr>
              <w:spacing w:line="300" w:lineRule="exact"/>
              <w:rPr>
                <w:b/>
                <w:bCs/>
                <w:i/>
                <w:iCs/>
                <w:sz w:val="20"/>
                <w:szCs w:val="20"/>
              </w:rPr>
            </w:pPr>
            <w:r>
              <w:rPr>
                <w:b/>
                <w:bCs/>
                <w:i/>
                <w:iCs/>
                <w:sz w:val="20"/>
                <w:szCs w:val="20"/>
              </w:rPr>
              <w:t xml:space="preserve">2.1 </w:t>
            </w:r>
            <w:r w:rsidRPr="00B614D7">
              <w:rPr>
                <w:b/>
                <w:bCs/>
                <w:i/>
                <w:iCs/>
                <w:sz w:val="20"/>
                <w:szCs w:val="20"/>
              </w:rPr>
              <w:t>Please reflect and describe your immunisation system</w:t>
            </w:r>
            <w:r w:rsidR="008447E6">
              <w:rPr>
                <w:b/>
                <w:bCs/>
                <w:i/>
                <w:iCs/>
                <w:sz w:val="20"/>
                <w:szCs w:val="20"/>
              </w:rPr>
              <w:t>'</w:t>
            </w:r>
            <w:r w:rsidRPr="00B614D7">
              <w:rPr>
                <w:b/>
                <w:bCs/>
                <w:i/>
                <w:iCs/>
                <w:sz w:val="20"/>
                <w:szCs w:val="20"/>
              </w:rPr>
              <w:t>s current TA needs</w:t>
            </w:r>
            <w:r>
              <w:rPr>
                <w:b/>
                <w:bCs/>
                <w:i/>
                <w:iCs/>
                <w:sz w:val="20"/>
                <w:szCs w:val="20"/>
              </w:rPr>
              <w:t xml:space="preserve"> as they are</w:t>
            </w:r>
            <w:r w:rsidRPr="00B614D7">
              <w:rPr>
                <w:b/>
                <w:bCs/>
                <w:i/>
                <w:iCs/>
                <w:sz w:val="20"/>
                <w:szCs w:val="20"/>
              </w:rPr>
              <w:t xml:space="preserve"> aligned with investments made by Government, Gavi and bilateral/multilateral donors. Your answers shall provide the context of and rationale for </w:t>
            </w:r>
            <w:r w:rsidR="0076309A">
              <w:rPr>
                <w:b/>
                <w:bCs/>
                <w:i/>
                <w:iCs/>
                <w:sz w:val="20"/>
                <w:szCs w:val="20"/>
              </w:rPr>
              <w:t>the requeste</w:t>
            </w:r>
            <w:r w:rsidR="007203BA">
              <w:rPr>
                <w:b/>
                <w:bCs/>
                <w:i/>
                <w:iCs/>
                <w:sz w:val="20"/>
                <w:szCs w:val="20"/>
              </w:rPr>
              <w:t>d TCA support from Gavi.</w:t>
            </w:r>
            <w:r w:rsidRPr="00B614D7">
              <w:rPr>
                <w:b/>
                <w:bCs/>
                <w:sz w:val="20"/>
                <w:szCs w:val="20"/>
              </w:rPr>
              <w:t xml:space="preserve"> </w:t>
            </w:r>
            <w:r w:rsidRPr="00B614D7">
              <w:rPr>
                <w:b/>
                <w:bCs/>
                <w:i/>
                <w:iCs/>
                <w:sz w:val="20"/>
                <w:szCs w:val="20"/>
              </w:rPr>
              <w:t xml:space="preserve">Please explicitly note the duration of </w:t>
            </w:r>
            <w:r w:rsidR="007203BA">
              <w:rPr>
                <w:b/>
                <w:bCs/>
                <w:i/>
                <w:iCs/>
                <w:sz w:val="20"/>
                <w:szCs w:val="20"/>
              </w:rPr>
              <w:t>the requested support</w:t>
            </w:r>
            <w:r w:rsidRPr="00B614D7">
              <w:rPr>
                <w:b/>
                <w:bCs/>
                <w:i/>
                <w:iCs/>
                <w:sz w:val="20"/>
                <w:szCs w:val="20"/>
              </w:rPr>
              <w:t>.</w:t>
            </w:r>
          </w:p>
        </w:tc>
      </w:tr>
      <w:tr w:rsidR="00372D1F" w14:paraId="19BE42B7" w14:textId="77777777" w:rsidTr="0BA8BF99">
        <w:tc>
          <w:tcPr>
            <w:tcW w:w="9192" w:type="dxa"/>
            <w:tcBorders>
              <w:top w:val="single" w:sz="4" w:space="0" w:color="auto"/>
              <w:left w:val="single" w:sz="4" w:space="0" w:color="auto"/>
              <w:bottom w:val="single" w:sz="4" w:space="0" w:color="auto"/>
              <w:right w:val="single" w:sz="4" w:space="0" w:color="auto"/>
            </w:tcBorders>
          </w:tcPr>
          <w:p w14:paraId="66ECE59A" w14:textId="77777777" w:rsidR="007A27E7" w:rsidRPr="007A27E7" w:rsidRDefault="007A27E7" w:rsidP="007A27E7">
            <w:pPr>
              <w:spacing w:line="300" w:lineRule="exact"/>
              <w:rPr>
                <w:b/>
                <w:bCs/>
                <w:color w:val="92D050"/>
                <w:lang w:val="en-GB"/>
              </w:rPr>
            </w:pPr>
            <w:r w:rsidRPr="007A27E7">
              <w:rPr>
                <w:b/>
                <w:bCs/>
                <w:color w:val="92D050"/>
                <w:lang w:val="en-GB"/>
              </w:rPr>
              <w:t>Current Technical Assistance needs for the EPI:</w:t>
            </w:r>
          </w:p>
          <w:p w14:paraId="6230D4BC" w14:textId="7F6E82C0" w:rsidR="007A27E7" w:rsidRPr="000A2668" w:rsidRDefault="007A27E7" w:rsidP="000A2668">
            <w:pPr>
              <w:spacing w:line="300" w:lineRule="exact"/>
              <w:rPr>
                <w:color w:val="92D050"/>
                <w:lang w:val="en-GB"/>
              </w:rPr>
            </w:pPr>
            <w:r w:rsidRPr="000A2668">
              <w:rPr>
                <w:color w:val="92D050"/>
                <w:lang w:val="en-GB"/>
              </w:rPr>
              <w:t>The Ministry of Health, within the framework of reforming and regulating the health sector and upgrading its services, is approaching to support the provision of health services, including immunization services, in a routine and sustainable manner, in fixed health facilities, and to expand their provision through fixed-term investments in infrastructure, staff provision, and service provision requirements such as equipment, medicines and medical laboratories, and in a manner Exceptional and temporary.</w:t>
            </w:r>
            <w:r w:rsidR="000A2668">
              <w:rPr>
                <w:color w:val="92D050"/>
                <w:lang w:val="en-GB"/>
              </w:rPr>
              <w:t xml:space="preserve"> </w:t>
            </w:r>
            <w:r w:rsidRPr="000A2668">
              <w:rPr>
                <w:color w:val="92D050"/>
                <w:lang w:val="en-GB"/>
              </w:rPr>
              <w:t xml:space="preserve">From this point of view, the Ministry of Health is thinking of working through many activities that support and enhance the knowledge and interventions required, and </w:t>
            </w:r>
            <w:proofErr w:type="gramStart"/>
            <w:r w:rsidRPr="000A2668">
              <w:rPr>
                <w:color w:val="92D050"/>
                <w:lang w:val="en-GB"/>
              </w:rPr>
              <w:t>in order to</w:t>
            </w:r>
            <w:proofErr w:type="gramEnd"/>
            <w:r w:rsidRPr="000A2668">
              <w:rPr>
                <w:color w:val="92D050"/>
                <w:lang w:val="en-GB"/>
              </w:rPr>
              <w:t xml:space="preserve"> reach Therefore, it is necessary to support some interventions that will contribute directly and indirectly to improving health interventions in general and immunization in particular, in addition to continuity and immediate response</w:t>
            </w:r>
            <w:r w:rsidR="00FF4777">
              <w:rPr>
                <w:color w:val="92D050"/>
                <w:lang w:val="en-GB"/>
              </w:rPr>
              <w:t>.</w:t>
            </w:r>
          </w:p>
          <w:p w14:paraId="065E11EF" w14:textId="2BAE1100" w:rsidR="007A27E7" w:rsidRPr="000A2668" w:rsidRDefault="007A27E7" w:rsidP="007A27E7">
            <w:pPr>
              <w:spacing w:line="300" w:lineRule="exact"/>
              <w:rPr>
                <w:color w:val="92D050"/>
                <w:lang w:val="en-GB"/>
              </w:rPr>
            </w:pPr>
            <w:r w:rsidRPr="000A2668">
              <w:rPr>
                <w:b/>
                <w:bCs/>
                <w:color w:val="92D050"/>
                <w:lang w:val="en-GB"/>
              </w:rPr>
              <w:t xml:space="preserve">1) Activating the </w:t>
            </w:r>
            <w:r w:rsidR="00635922">
              <w:rPr>
                <w:b/>
                <w:bCs/>
                <w:color w:val="92D050"/>
                <w:lang w:val="en-GB"/>
              </w:rPr>
              <w:t>operation Rooms</w:t>
            </w:r>
            <w:r w:rsidR="00FF4777">
              <w:rPr>
                <w:b/>
                <w:bCs/>
                <w:color w:val="92D050"/>
                <w:lang w:val="en-GB"/>
              </w:rPr>
              <w:t xml:space="preserve"> </w:t>
            </w:r>
            <w:r w:rsidR="00635922">
              <w:rPr>
                <w:b/>
                <w:bCs/>
                <w:color w:val="92D050"/>
                <w:lang w:val="en-GB"/>
              </w:rPr>
              <w:t xml:space="preserve">for MOH &amp; EPI </w:t>
            </w:r>
            <w:r w:rsidRPr="000A2668">
              <w:rPr>
                <w:b/>
                <w:bCs/>
                <w:color w:val="92D050"/>
                <w:lang w:val="en-GB"/>
              </w:rPr>
              <w:t>at the central and governorate level:</w:t>
            </w:r>
            <w:r w:rsidRPr="000A2668">
              <w:rPr>
                <w:color w:val="92D050"/>
                <w:lang w:val="en-GB"/>
              </w:rPr>
              <w:t xml:space="preserve"> This intervention is directly and indirectly in line with the health interventions carried out by the government represented by the Ministry of Health, as well as Gavi’s investments, as this activity aims to enhance the provision of the primary health care service package, including immunization </w:t>
            </w:r>
            <w:r w:rsidR="00FF4777">
              <w:rPr>
                <w:color w:val="92D050"/>
                <w:lang w:val="en-GB"/>
              </w:rPr>
              <w:t>at all</w:t>
            </w:r>
            <w:r w:rsidRPr="000A2668">
              <w:rPr>
                <w:color w:val="92D050"/>
                <w:lang w:val="en-GB"/>
              </w:rPr>
              <w:t xml:space="preserve"> level</w:t>
            </w:r>
            <w:r w:rsidR="00FF4777">
              <w:rPr>
                <w:color w:val="92D050"/>
                <w:lang w:val="en-GB"/>
              </w:rPr>
              <w:t>s</w:t>
            </w:r>
            <w:r w:rsidRPr="000A2668">
              <w:rPr>
                <w:color w:val="92D050"/>
                <w:lang w:val="en-GB"/>
              </w:rPr>
              <w:t xml:space="preserve"> around the clock through many goals </w:t>
            </w:r>
            <w:r w:rsidRPr="006C0D66">
              <w:rPr>
                <w:sz w:val="20"/>
                <w:szCs w:val="20"/>
                <w:lang w:val="en-GB"/>
              </w:rPr>
              <w:t xml:space="preserve">(knowing the operational status of health facilities and the gaps in the field, knowing the level of provision of the primary health care service package, the shortcomings in the provision of services in health facilities, knowing the gap in immunization services, the cold chain and the supply of immunization supplies, and including It includes the number of unvaccinated and retarded children and knowing the reasons </w:t>
            </w:r>
            <w:r w:rsidRPr="006C0D66">
              <w:rPr>
                <w:sz w:val="20"/>
                <w:szCs w:val="20"/>
                <w:lang w:val="en-GB"/>
              </w:rPr>
              <w:lastRenderedPageBreak/>
              <w:t xml:space="preserve">for this, to work on developing solutions, in addition to direct response to solve problems and shortcomings by communicating with governorates, directorates and health facilities on a daily and around-the-clock basis). </w:t>
            </w:r>
            <w:r w:rsidRPr="000A2668">
              <w:rPr>
                <w:color w:val="92D050"/>
                <w:lang w:val="en-GB"/>
              </w:rPr>
              <w:t xml:space="preserve">The </w:t>
            </w:r>
            <w:r w:rsidR="00D952DB">
              <w:rPr>
                <w:color w:val="92D050"/>
                <w:lang w:val="en-GB"/>
              </w:rPr>
              <w:t xml:space="preserve">ORs </w:t>
            </w:r>
            <w:r w:rsidRPr="000A2668">
              <w:rPr>
                <w:color w:val="92D050"/>
                <w:lang w:val="en-GB"/>
              </w:rPr>
              <w:t>consists of experts, technicians, assistants, statisticians, secretaries, in addition to the participation of immunization experts working for the World Health Organization and UNICEF, and the operating room will be directly linked to the governorates, directorates and health facilities.</w:t>
            </w:r>
          </w:p>
          <w:p w14:paraId="61E2A4EF" w14:textId="6A9023D9" w:rsidR="007A27E7" w:rsidRPr="000A2668" w:rsidRDefault="007A27E7" w:rsidP="007A27E7">
            <w:pPr>
              <w:spacing w:line="300" w:lineRule="exact"/>
              <w:rPr>
                <w:color w:val="92D050"/>
                <w:lang w:val="en-GB"/>
              </w:rPr>
            </w:pPr>
            <w:r w:rsidRPr="006C0D66">
              <w:rPr>
                <w:b/>
                <w:bCs/>
                <w:color w:val="92D050"/>
                <w:lang w:val="en-GB"/>
              </w:rPr>
              <w:t>2) Strengthening the EPI Information System:</w:t>
            </w:r>
            <w:r w:rsidRPr="000A2668">
              <w:rPr>
                <w:color w:val="92D050"/>
                <w:lang w:val="en-GB"/>
              </w:rPr>
              <w:t xml:space="preserve"> Enhanced health information systems are essential in order to make decision, update detailed micro-plans and manage the immunization program at all levels, track progress, and provide learning to improve performance and designing strategies to reach zero-dose and </w:t>
            </w:r>
            <w:proofErr w:type="spellStart"/>
            <w:r w:rsidRPr="000A2668">
              <w:rPr>
                <w:color w:val="92D050"/>
                <w:lang w:val="en-GB"/>
              </w:rPr>
              <w:t>underimmunised</w:t>
            </w:r>
            <w:proofErr w:type="spellEnd"/>
            <w:r w:rsidRPr="000A2668">
              <w:rPr>
                <w:color w:val="92D050"/>
                <w:lang w:val="en-GB"/>
              </w:rPr>
              <w:t xml:space="preserve"> children and missed communities, and overcome gender related barriers to immunization, generate and use qualitative timing and quantitative information at subnational and community levels for decision making, bringing operational data and results together and monitoring both implementation progress and performance</w:t>
            </w:r>
            <w:r w:rsidR="006C0D66">
              <w:rPr>
                <w:color w:val="92D050"/>
                <w:lang w:val="en-GB"/>
              </w:rPr>
              <w:t xml:space="preserve"> and</w:t>
            </w:r>
            <w:r w:rsidRPr="000A2668">
              <w:rPr>
                <w:color w:val="92D050"/>
                <w:lang w:val="en-GB"/>
              </w:rPr>
              <w:t xml:space="preserve"> to overcome persistent data challenges based on preparedness and priorities of interventions.</w:t>
            </w:r>
          </w:p>
          <w:p w14:paraId="4EDE5DFC" w14:textId="77777777" w:rsidR="007A27E7" w:rsidRPr="000A2668" w:rsidRDefault="007A27E7" w:rsidP="007A27E7">
            <w:pPr>
              <w:spacing w:line="300" w:lineRule="exact"/>
              <w:rPr>
                <w:color w:val="92D050"/>
                <w:lang w:val="en-GB"/>
              </w:rPr>
            </w:pPr>
            <w:r w:rsidRPr="0BA8BF99">
              <w:rPr>
                <w:b/>
                <w:bCs/>
                <w:color w:val="92D050"/>
                <w:lang w:val="en-GB"/>
              </w:rPr>
              <w:t xml:space="preserve">3) Supporting the establishment of the National Research </w:t>
            </w:r>
            <w:proofErr w:type="spellStart"/>
            <w:r w:rsidRPr="0BA8BF99">
              <w:rPr>
                <w:b/>
                <w:bCs/>
                <w:color w:val="92D050"/>
                <w:lang w:val="en-GB"/>
              </w:rPr>
              <w:t>Center</w:t>
            </w:r>
            <w:proofErr w:type="spellEnd"/>
            <w:r w:rsidRPr="0BA8BF99">
              <w:rPr>
                <w:b/>
                <w:bCs/>
                <w:color w:val="92D050"/>
                <w:lang w:val="en-GB"/>
              </w:rPr>
              <w:t xml:space="preserve"> for Immunization and Vaccine: </w:t>
            </w:r>
            <w:r w:rsidRPr="0BA8BF99">
              <w:rPr>
                <w:color w:val="92D050"/>
                <w:lang w:val="en-GB"/>
              </w:rPr>
              <w:t xml:space="preserve">within the national vision of the Ministry of Health to have the distinction of providing integrated scientific research with the aim of improving the health of society and protecting it from the spread of diseases covered by immunization, especially since Yemen has witnessed repeated epidemic waves of diseases covered by immunization, the most important of which is the diphtheria and measles epidemics; in addition to distortion of immunization campaigns. It was necessary for the Ministry of health to look with a keen vision to establish a research development mechanism concerned with the quality, safety and security and effectiveness of vaccines and immunization, in addition to studying the diseases covered by immunization and their health and social determinants and risk factors. This activity is in line with Gavi investments in health information, surveillance, monitoring and learning from experience. This research </w:t>
            </w:r>
            <w:proofErr w:type="spellStart"/>
            <w:r w:rsidRPr="0BA8BF99">
              <w:rPr>
                <w:color w:val="92D050"/>
                <w:lang w:val="en-GB"/>
              </w:rPr>
              <w:t>center</w:t>
            </w:r>
            <w:proofErr w:type="spellEnd"/>
            <w:r w:rsidRPr="0BA8BF99">
              <w:rPr>
                <w:color w:val="92D050"/>
                <w:lang w:val="en-GB"/>
              </w:rPr>
              <w:t xml:space="preserve"> will enhance the capacity of health workers to use timely and evidence-based interventions such as implementation research, surveys, assessments and monitoring, qualitative studies to understand challenges and barriers related to demand, rejections and </w:t>
            </w:r>
            <w:proofErr w:type="spellStart"/>
            <w:r w:rsidRPr="0BA8BF99">
              <w:rPr>
                <w:color w:val="92D050"/>
                <w:lang w:val="en-GB"/>
              </w:rPr>
              <w:t>rumors</w:t>
            </w:r>
            <w:proofErr w:type="spellEnd"/>
            <w:r w:rsidRPr="0BA8BF99">
              <w:rPr>
                <w:color w:val="92D050"/>
                <w:lang w:val="en-GB"/>
              </w:rPr>
              <w:t xml:space="preserve"> against immunization, and factors associated with poor coverage, community rejection, zero-dose </w:t>
            </w:r>
            <w:proofErr w:type="gramStart"/>
            <w:r w:rsidRPr="0BA8BF99">
              <w:rPr>
                <w:color w:val="92D050"/>
                <w:lang w:val="en-GB"/>
              </w:rPr>
              <w:t>children</w:t>
            </w:r>
            <w:proofErr w:type="gramEnd"/>
            <w:r w:rsidRPr="0BA8BF99">
              <w:rPr>
                <w:color w:val="92D050"/>
                <w:lang w:val="en-GB"/>
              </w:rPr>
              <w:t xml:space="preserve"> and lost communities. The research </w:t>
            </w:r>
            <w:proofErr w:type="spellStart"/>
            <w:r w:rsidRPr="0BA8BF99">
              <w:rPr>
                <w:color w:val="92D050"/>
                <w:lang w:val="en-GB"/>
              </w:rPr>
              <w:t>center</w:t>
            </w:r>
            <w:proofErr w:type="spellEnd"/>
            <w:r w:rsidRPr="0BA8BF99">
              <w:rPr>
                <w:color w:val="92D050"/>
                <w:lang w:val="en-GB"/>
              </w:rPr>
              <w:t xml:space="preserve"> aims to contribute to improving the health status of society in Yemen by providing a quality, safe and effective vaccine to reduce morbidity and mortality resulting from diseases covered by immunization and vaccines assay. The </w:t>
            </w:r>
            <w:proofErr w:type="spellStart"/>
            <w:r w:rsidRPr="0BA8BF99">
              <w:rPr>
                <w:color w:val="92D050"/>
                <w:lang w:val="en-GB"/>
              </w:rPr>
              <w:t>center</w:t>
            </w:r>
            <w:proofErr w:type="spellEnd"/>
            <w:r w:rsidRPr="0BA8BF99">
              <w:rPr>
                <w:color w:val="92D050"/>
                <w:lang w:val="en-GB"/>
              </w:rPr>
              <w:t xml:space="preserve"> will work on the continuous research evaluation of the coverage of the routine vaccine and the immunization activities implemented through the national immunization program through direct and indirect detection of zero and missing cases. The </w:t>
            </w:r>
            <w:proofErr w:type="spellStart"/>
            <w:r w:rsidRPr="0BA8BF99">
              <w:rPr>
                <w:color w:val="92D050"/>
                <w:lang w:val="en-GB"/>
              </w:rPr>
              <w:t>center</w:t>
            </w:r>
            <w:proofErr w:type="spellEnd"/>
            <w:r w:rsidRPr="0BA8BF99">
              <w:rPr>
                <w:color w:val="92D050"/>
                <w:lang w:val="en-GB"/>
              </w:rPr>
              <w:t xml:space="preserve"> will also contribute to building the human capacity of immunization cadres in assessing the negative effects of immunization on a continuous and regular basis.</w:t>
            </w:r>
          </w:p>
          <w:p w14:paraId="43C85B5F" w14:textId="780275F1" w:rsidR="007A27E7" w:rsidRPr="000A2668" w:rsidRDefault="007A27E7" w:rsidP="007A27E7">
            <w:pPr>
              <w:spacing w:line="300" w:lineRule="exact"/>
              <w:rPr>
                <w:color w:val="92D050"/>
                <w:lang w:val="en-GB"/>
              </w:rPr>
            </w:pPr>
            <w:r w:rsidRPr="007A27E7">
              <w:rPr>
                <w:b/>
                <w:bCs/>
                <w:color w:val="92D050"/>
                <w:lang w:val="en-GB"/>
              </w:rPr>
              <w:t>4) Awareness and education of health and nutrition, strengthening immunity and building confidence in health services, including the promotion of attached health services:</w:t>
            </w:r>
            <w:r w:rsidRPr="000A2668">
              <w:rPr>
                <w:color w:val="92D050"/>
                <w:lang w:val="en-GB"/>
              </w:rPr>
              <w:t xml:space="preserve"> There are many </w:t>
            </w:r>
            <w:proofErr w:type="spellStart"/>
            <w:r w:rsidRPr="000A2668">
              <w:rPr>
                <w:color w:val="92D050"/>
                <w:lang w:val="en-GB"/>
              </w:rPr>
              <w:t>rumors</w:t>
            </w:r>
            <w:proofErr w:type="spellEnd"/>
            <w:r w:rsidRPr="000A2668">
              <w:rPr>
                <w:color w:val="92D050"/>
                <w:lang w:val="en-GB"/>
              </w:rPr>
              <w:t xml:space="preserve"> in Yemeni society that have affected immunization directly and indirectly, as confidence in immunization has been lost, as immunization has become for the citizen</w:t>
            </w:r>
            <w:r w:rsidR="00700FE7">
              <w:rPr>
                <w:color w:val="92D050"/>
                <w:lang w:val="en-GB"/>
              </w:rPr>
              <w:t>s</w:t>
            </w:r>
            <w:r w:rsidRPr="000A2668">
              <w:rPr>
                <w:color w:val="92D050"/>
                <w:lang w:val="en-GB"/>
              </w:rPr>
              <w:t xml:space="preserve"> not a priority in light of the economic situation in which he is living, </w:t>
            </w:r>
            <w:r w:rsidRPr="000A2668">
              <w:rPr>
                <w:color w:val="92D050"/>
                <w:lang w:val="en-GB"/>
              </w:rPr>
              <w:lastRenderedPageBreak/>
              <w:t>and the shortcomings in the availability of basic health services or their absence in health facilities</w:t>
            </w:r>
            <w:r w:rsidR="003934E8">
              <w:rPr>
                <w:color w:val="92D050"/>
                <w:lang w:val="en-GB"/>
              </w:rPr>
              <w:t>.</w:t>
            </w:r>
            <w:r w:rsidRPr="000A2668">
              <w:rPr>
                <w:color w:val="92D050"/>
                <w:lang w:val="en-GB"/>
              </w:rPr>
              <w:t xml:space="preserve"> </w:t>
            </w:r>
            <w:r w:rsidR="003934E8">
              <w:rPr>
                <w:color w:val="92D050"/>
                <w:lang w:val="en-GB"/>
              </w:rPr>
              <w:t>T</w:t>
            </w:r>
            <w:r w:rsidRPr="000A2668">
              <w:rPr>
                <w:color w:val="92D050"/>
                <w:lang w:val="en-GB"/>
              </w:rPr>
              <w:t xml:space="preserve">he lack of medicines makes the citizen reluctance to search for immunization service, so health education will be </w:t>
            </w:r>
            <w:r w:rsidR="00700FE7">
              <w:rPr>
                <w:color w:val="92D050"/>
                <w:lang w:val="en-GB"/>
              </w:rPr>
              <w:t>o</w:t>
            </w:r>
            <w:r w:rsidRPr="000A2668">
              <w:rPr>
                <w:color w:val="92D050"/>
                <w:lang w:val="en-GB"/>
              </w:rPr>
              <w:t xml:space="preserve">ne of the factors that will promote health services in health facilities, which will raise the percentage of their use by the citizen, including immunization, and thus reduce children with zero doses and </w:t>
            </w:r>
            <w:proofErr w:type="spellStart"/>
            <w:r w:rsidR="00700FE7">
              <w:rPr>
                <w:color w:val="92D050"/>
                <w:lang w:val="en-GB"/>
              </w:rPr>
              <w:t>underimmunized</w:t>
            </w:r>
            <w:proofErr w:type="spellEnd"/>
            <w:r w:rsidRPr="000A2668">
              <w:rPr>
                <w:color w:val="92D050"/>
                <w:lang w:val="en-GB"/>
              </w:rPr>
              <w:t xml:space="preserve">. Promoting health awareness requires working to </w:t>
            </w:r>
            <w:r w:rsidR="00D62254">
              <w:rPr>
                <w:color w:val="92D050"/>
                <w:lang w:val="en-GB"/>
              </w:rPr>
              <w:t>strength</w:t>
            </w:r>
            <w:r w:rsidRPr="000A2668">
              <w:rPr>
                <w:color w:val="92D050"/>
                <w:lang w:val="en-GB"/>
              </w:rPr>
              <w:t xml:space="preserve"> health programs</w:t>
            </w:r>
            <w:r w:rsidR="00D62254">
              <w:rPr>
                <w:color w:val="92D050"/>
                <w:lang w:val="en-GB"/>
              </w:rPr>
              <w:t xml:space="preserve"> including</w:t>
            </w:r>
            <w:r w:rsidRPr="000A2668">
              <w:rPr>
                <w:color w:val="92D050"/>
                <w:lang w:val="en-GB"/>
              </w:rPr>
              <w:t xml:space="preserve">, as well as training broadcasters on how to investigate accurate medical information to ensure that </w:t>
            </w:r>
            <w:proofErr w:type="spellStart"/>
            <w:r w:rsidRPr="000A2668">
              <w:rPr>
                <w:color w:val="92D050"/>
                <w:lang w:val="en-GB"/>
              </w:rPr>
              <w:t>rumors</w:t>
            </w:r>
            <w:proofErr w:type="spellEnd"/>
            <w:r w:rsidRPr="000A2668">
              <w:rPr>
                <w:color w:val="92D050"/>
                <w:lang w:val="en-GB"/>
              </w:rPr>
              <w:t xml:space="preserve"> are refuted and the right impact on listeners, in addition to working on designing media programs specialized in </w:t>
            </w:r>
            <w:r w:rsidR="00700FE7">
              <w:rPr>
                <w:color w:val="92D050"/>
                <w:lang w:val="en-GB"/>
              </w:rPr>
              <w:t>t</w:t>
            </w:r>
            <w:r w:rsidRPr="000A2668">
              <w:rPr>
                <w:color w:val="92D050"/>
                <w:lang w:val="en-GB"/>
              </w:rPr>
              <w:t>he field of health awareness and education</w:t>
            </w:r>
            <w:r w:rsidR="00D62254">
              <w:rPr>
                <w:color w:val="92D050"/>
                <w:lang w:val="en-GB"/>
              </w:rPr>
              <w:t xml:space="preserve"> </w:t>
            </w:r>
            <w:r w:rsidRPr="000A2668">
              <w:rPr>
                <w:color w:val="92D050"/>
                <w:lang w:val="en-GB"/>
              </w:rPr>
              <w:t xml:space="preserve">to find specialized educators, broadcasters and media professionals. One of the issues that must be emphasized in the field of health education and awareness is to strengthen health program managers and health workers in the ways and methods of health education in professional, </w:t>
            </w:r>
            <w:proofErr w:type="gramStart"/>
            <w:r w:rsidRPr="000A2668">
              <w:rPr>
                <w:color w:val="92D050"/>
                <w:lang w:val="en-GB"/>
              </w:rPr>
              <w:t>attractive</w:t>
            </w:r>
            <w:proofErr w:type="gramEnd"/>
            <w:r w:rsidRPr="000A2668">
              <w:rPr>
                <w:color w:val="92D050"/>
                <w:lang w:val="en-GB"/>
              </w:rPr>
              <w:t xml:space="preserve"> and convincing methods based on evidence</w:t>
            </w:r>
            <w:r w:rsidR="00D62254">
              <w:rPr>
                <w:color w:val="92D050"/>
                <w:lang w:val="en-GB"/>
              </w:rPr>
              <w:t>.</w:t>
            </w:r>
          </w:p>
          <w:p w14:paraId="786628A5" w14:textId="77777777" w:rsidR="007A27E7" w:rsidRPr="007A27E7" w:rsidRDefault="007A27E7" w:rsidP="007A27E7">
            <w:pPr>
              <w:spacing w:line="300" w:lineRule="exact"/>
              <w:rPr>
                <w:b/>
                <w:bCs/>
                <w:color w:val="92D050"/>
                <w:lang w:val="en-GB"/>
              </w:rPr>
            </w:pPr>
            <w:r w:rsidRPr="007A27E7">
              <w:rPr>
                <w:b/>
                <w:bCs/>
                <w:color w:val="92D050"/>
                <w:lang w:val="en-GB"/>
              </w:rPr>
              <w:t>5) Appointing national experts and competencies at the governorate level in public health and immunization:</w:t>
            </w:r>
          </w:p>
          <w:p w14:paraId="7F2453D2" w14:textId="675D27CB" w:rsidR="007A27E7" w:rsidRDefault="00673607" w:rsidP="002C6172">
            <w:pPr>
              <w:spacing w:line="300" w:lineRule="exact"/>
              <w:rPr>
                <w:color w:val="92D050"/>
                <w:lang w:val="en-GB"/>
              </w:rPr>
            </w:pPr>
            <w:r w:rsidRPr="00673607">
              <w:rPr>
                <w:color w:val="92D050"/>
                <w:lang w:val="en-GB"/>
              </w:rPr>
              <w:t>The national experts are EPI and PHC cadres who have worked for years in immunization and gain great experience and skills cumulated through many years</w:t>
            </w:r>
            <w:r w:rsidR="002C6172">
              <w:rPr>
                <w:color w:val="92D050"/>
                <w:lang w:val="en-GB"/>
              </w:rPr>
              <w:t>, i</w:t>
            </w:r>
            <w:r w:rsidRPr="00673607">
              <w:rPr>
                <w:color w:val="92D050"/>
                <w:lang w:val="en-GB"/>
              </w:rPr>
              <w:t>n addition to that there are the national and international experts set in the core organization (WHO and UNICEF) who can also transfer the skills</w:t>
            </w:r>
            <w:r w:rsidR="002C6172">
              <w:rPr>
                <w:color w:val="92D050"/>
                <w:lang w:val="en-GB"/>
              </w:rPr>
              <w:t>, e</w:t>
            </w:r>
            <w:r w:rsidRPr="00673607">
              <w:rPr>
                <w:color w:val="92D050"/>
                <w:lang w:val="en-GB"/>
              </w:rPr>
              <w:t>ach national expert will be responsible for a number of governorates, thus transferring expertise and training in the field and following up on the decisions of the Ministry's leadership, the EPI, and rapid interventions will ensure high quality as it is close to the leadership of the health offices in the governorates and districts and is considered an assistant to the EPI program</w:t>
            </w:r>
            <w:r w:rsidR="002C6172">
              <w:rPr>
                <w:color w:val="92D050"/>
                <w:lang w:val="en-GB"/>
              </w:rPr>
              <w:t xml:space="preserve">, </w:t>
            </w:r>
            <w:r w:rsidR="002A5B13">
              <w:rPr>
                <w:color w:val="92D050"/>
                <w:lang w:val="en-GB"/>
              </w:rPr>
              <w:t>t</w:t>
            </w:r>
            <w:r w:rsidR="007A27E7" w:rsidRPr="000A2668">
              <w:rPr>
                <w:color w:val="92D050"/>
                <w:lang w:val="en-GB"/>
              </w:rPr>
              <w:t xml:space="preserve">he competencies are direct technical support at the different levels. There is no doubt that the field presence of experts and national competencies will help in providing scenarios for new interventions that will enable access to the missing groups that failed to complete the basic doses of vaccines, especially since all the activities currently implemented in the fixed and delivery sites, </w:t>
            </w:r>
            <w:proofErr w:type="gramStart"/>
            <w:r w:rsidR="007A27E7" w:rsidRPr="000A2668">
              <w:rPr>
                <w:color w:val="92D050"/>
                <w:lang w:val="en-GB"/>
              </w:rPr>
              <w:t>training</w:t>
            </w:r>
            <w:proofErr w:type="gramEnd"/>
            <w:r w:rsidR="007A27E7" w:rsidRPr="000A2668">
              <w:rPr>
                <w:color w:val="92D050"/>
                <w:lang w:val="en-GB"/>
              </w:rPr>
              <w:t xml:space="preserve"> and field supervision, have reached results.</w:t>
            </w:r>
          </w:p>
          <w:p w14:paraId="2B1CBA63" w14:textId="3FAD8717" w:rsidR="0045037A" w:rsidRPr="0061797A" w:rsidRDefault="0045037A" w:rsidP="0045037A">
            <w:pPr>
              <w:spacing w:line="300" w:lineRule="exact"/>
              <w:rPr>
                <w:b/>
                <w:bCs/>
                <w:color w:val="92D050"/>
                <w:lang w:val="en-GB"/>
              </w:rPr>
            </w:pPr>
            <w:r w:rsidRPr="0061797A">
              <w:rPr>
                <w:b/>
                <w:bCs/>
                <w:color w:val="92D050"/>
                <w:lang w:val="en-GB"/>
              </w:rPr>
              <w:t>6) Supporting the provision and functioning of health services in all health facilities as supply side and generating the demand side of services in the community:</w:t>
            </w:r>
          </w:p>
          <w:p w14:paraId="7D9A0BA9" w14:textId="08272F4D" w:rsidR="00372D1F" w:rsidRDefault="0045037A" w:rsidP="00684B23">
            <w:pPr>
              <w:spacing w:line="300" w:lineRule="exact"/>
              <w:jc w:val="both"/>
              <w:rPr>
                <w:color w:val="92D050"/>
                <w:lang w:val="en-GB"/>
              </w:rPr>
            </w:pPr>
            <w:r w:rsidRPr="0045037A">
              <w:rPr>
                <w:color w:val="92D050"/>
                <w:lang w:val="en-GB"/>
              </w:rPr>
              <w:t>Operating and activating all working, non-functioning and closed health facilities so that they provide all packages of primary health care services and not only immunization service, in aim to provide health services at the level of districts that are consistent with the needs of citizens, such as primary, secondary, or emergency health care services or referral services, with the availability of all elements and factors for providing services in health facilities on a continuous basis and without interruption, in addition to that enhancing citizens' confidence in the health services provided in health facilities, focusing on the countryside, and activating the health district system so that primary and secondary health services are provided at the district level.</w:t>
            </w:r>
          </w:p>
        </w:tc>
      </w:tr>
      <w:tr w:rsidR="0071439C" w14:paraId="0D9AF231" w14:textId="77777777" w:rsidTr="0BA8BF99">
        <w:tc>
          <w:tcPr>
            <w:tcW w:w="9192" w:type="dxa"/>
            <w:tcBorders>
              <w:top w:val="single" w:sz="4" w:space="0" w:color="auto"/>
              <w:bottom w:val="single" w:sz="4" w:space="0" w:color="auto"/>
            </w:tcBorders>
            <w:shd w:val="clear" w:color="auto" w:fill="F2F2F2" w:themeFill="background1" w:themeFillShade="F2"/>
          </w:tcPr>
          <w:p w14:paraId="14533925" w14:textId="50C71BD7" w:rsidR="00E165B4" w:rsidRDefault="0071439C" w:rsidP="00CE1F57">
            <w:pPr>
              <w:pStyle w:val="ListParagraph"/>
              <w:numPr>
                <w:ilvl w:val="1"/>
                <w:numId w:val="4"/>
              </w:numPr>
              <w:spacing w:line="300" w:lineRule="exact"/>
              <w:ind w:left="316" w:hanging="316"/>
              <w:rPr>
                <w:b/>
                <w:bCs/>
                <w:i/>
                <w:iCs/>
                <w:sz w:val="20"/>
                <w:szCs w:val="20"/>
              </w:rPr>
            </w:pPr>
            <w:r w:rsidRPr="00CF3BC4">
              <w:rPr>
                <w:b/>
                <w:bCs/>
                <w:i/>
                <w:iCs/>
                <w:sz w:val="20"/>
                <w:szCs w:val="20"/>
              </w:rPr>
              <w:lastRenderedPageBreak/>
              <w:t xml:space="preserve">How </w:t>
            </w:r>
            <w:r w:rsidR="00BE4270">
              <w:rPr>
                <w:b/>
                <w:bCs/>
                <w:i/>
                <w:iCs/>
                <w:sz w:val="20"/>
                <w:szCs w:val="20"/>
              </w:rPr>
              <w:t xml:space="preserve">will </w:t>
            </w:r>
            <w:r w:rsidR="00120AAE">
              <w:rPr>
                <w:b/>
                <w:bCs/>
                <w:i/>
                <w:iCs/>
                <w:sz w:val="20"/>
                <w:szCs w:val="20"/>
              </w:rPr>
              <w:t>the requested TCA support advance</w:t>
            </w:r>
            <w:r w:rsidR="00257A1B">
              <w:rPr>
                <w:b/>
                <w:bCs/>
                <w:i/>
                <w:iCs/>
                <w:sz w:val="20"/>
                <w:szCs w:val="20"/>
              </w:rPr>
              <w:t xml:space="preserve"> </w:t>
            </w:r>
            <w:r w:rsidR="00393D45" w:rsidRPr="00393D45">
              <w:rPr>
                <w:b/>
                <w:bCs/>
                <w:i/>
                <w:iCs/>
                <w:sz w:val="20"/>
                <w:szCs w:val="20"/>
              </w:rPr>
              <w:t xml:space="preserve">Gavi's 5.0 mission </w:t>
            </w:r>
            <w:r w:rsidR="00A95F01">
              <w:rPr>
                <w:b/>
                <w:bCs/>
                <w:i/>
                <w:iCs/>
                <w:sz w:val="20"/>
                <w:szCs w:val="20"/>
              </w:rPr>
              <w:t>per the</w:t>
            </w:r>
            <w:r w:rsidR="00A95F01" w:rsidRPr="00393D45">
              <w:rPr>
                <w:b/>
                <w:bCs/>
                <w:i/>
                <w:iCs/>
                <w:sz w:val="20"/>
                <w:szCs w:val="20"/>
              </w:rPr>
              <w:t xml:space="preserve"> country</w:t>
            </w:r>
            <w:r w:rsidR="008447E6">
              <w:rPr>
                <w:b/>
                <w:bCs/>
                <w:i/>
                <w:iCs/>
                <w:sz w:val="20"/>
                <w:szCs w:val="20"/>
              </w:rPr>
              <w:t>'</w:t>
            </w:r>
            <w:r w:rsidR="00A95F01" w:rsidRPr="00393D45">
              <w:rPr>
                <w:b/>
                <w:bCs/>
                <w:i/>
                <w:iCs/>
                <w:sz w:val="20"/>
                <w:szCs w:val="20"/>
              </w:rPr>
              <w:t xml:space="preserve">s context </w:t>
            </w:r>
            <w:r w:rsidR="00296E78">
              <w:rPr>
                <w:b/>
                <w:bCs/>
                <w:i/>
                <w:iCs/>
                <w:sz w:val="20"/>
                <w:szCs w:val="20"/>
              </w:rPr>
              <w:t>with focus</w:t>
            </w:r>
            <w:r w:rsidR="004435AF">
              <w:rPr>
                <w:b/>
                <w:bCs/>
                <w:i/>
                <w:iCs/>
                <w:sz w:val="20"/>
                <w:szCs w:val="20"/>
              </w:rPr>
              <w:t xml:space="preserve"> on</w:t>
            </w:r>
            <w:r w:rsidR="00E165B4">
              <w:rPr>
                <w:b/>
                <w:bCs/>
                <w:i/>
                <w:iCs/>
                <w:sz w:val="20"/>
                <w:szCs w:val="20"/>
              </w:rPr>
              <w:t>:</w:t>
            </w:r>
          </w:p>
          <w:p w14:paraId="2112DA8C" w14:textId="427D12AB" w:rsidR="00544D9B" w:rsidRPr="00544D9B" w:rsidRDefault="00544D9B" w:rsidP="00CE1F57">
            <w:pPr>
              <w:pStyle w:val="ListParagraph"/>
              <w:numPr>
                <w:ilvl w:val="0"/>
                <w:numId w:val="5"/>
              </w:numPr>
              <w:spacing w:line="300" w:lineRule="exact"/>
              <w:ind w:left="741"/>
              <w:rPr>
                <w:b/>
                <w:bCs/>
                <w:i/>
                <w:iCs/>
                <w:sz w:val="20"/>
                <w:szCs w:val="20"/>
              </w:rPr>
            </w:pPr>
            <w:r w:rsidRPr="00544D9B">
              <w:rPr>
                <w:b/>
                <w:bCs/>
                <w:i/>
                <w:iCs/>
                <w:sz w:val="20"/>
                <w:szCs w:val="20"/>
              </w:rPr>
              <w:t xml:space="preserve">identifying </w:t>
            </w:r>
            <w:r w:rsidR="00393D45" w:rsidRPr="00393D45">
              <w:rPr>
                <w:b/>
                <w:bCs/>
                <w:i/>
                <w:iCs/>
                <w:sz w:val="20"/>
                <w:szCs w:val="20"/>
              </w:rPr>
              <w:t xml:space="preserve">and reaching zero-dose </w:t>
            </w:r>
            <w:r w:rsidR="00A95F01" w:rsidRPr="00CF3BC4">
              <w:rPr>
                <w:b/>
                <w:bCs/>
                <w:i/>
                <w:iCs/>
                <w:sz w:val="20"/>
                <w:szCs w:val="20"/>
              </w:rPr>
              <w:t xml:space="preserve">and </w:t>
            </w:r>
            <w:r w:rsidRPr="00544D9B">
              <w:rPr>
                <w:b/>
                <w:bCs/>
                <w:i/>
                <w:iCs/>
                <w:sz w:val="20"/>
                <w:szCs w:val="20"/>
              </w:rPr>
              <w:t xml:space="preserve">consistently </w:t>
            </w:r>
            <w:r w:rsidR="00A95F01" w:rsidRPr="00CF3BC4">
              <w:rPr>
                <w:b/>
                <w:bCs/>
                <w:i/>
                <w:iCs/>
                <w:sz w:val="20"/>
                <w:szCs w:val="20"/>
              </w:rPr>
              <w:t xml:space="preserve">missed </w:t>
            </w:r>
            <w:r w:rsidRPr="00544D9B">
              <w:rPr>
                <w:b/>
                <w:bCs/>
                <w:i/>
                <w:iCs/>
                <w:sz w:val="20"/>
                <w:szCs w:val="20"/>
              </w:rPr>
              <w:t xml:space="preserve">children </w:t>
            </w:r>
            <w:r w:rsidR="002C0185">
              <w:rPr>
                <w:b/>
                <w:bCs/>
                <w:i/>
                <w:iCs/>
                <w:sz w:val="20"/>
                <w:szCs w:val="20"/>
              </w:rPr>
              <w:t xml:space="preserve">and </w:t>
            </w:r>
            <w:proofErr w:type="gramStart"/>
            <w:r w:rsidR="002C0185">
              <w:rPr>
                <w:b/>
                <w:bCs/>
                <w:i/>
                <w:iCs/>
                <w:sz w:val="20"/>
                <w:szCs w:val="20"/>
              </w:rPr>
              <w:t>communities</w:t>
            </w:r>
            <w:r w:rsidRPr="00544D9B">
              <w:rPr>
                <w:b/>
                <w:bCs/>
                <w:i/>
                <w:iCs/>
                <w:sz w:val="20"/>
                <w:szCs w:val="20"/>
              </w:rPr>
              <w:t>;</w:t>
            </w:r>
            <w:proofErr w:type="gramEnd"/>
          </w:p>
          <w:p w14:paraId="6B56EB6C" w14:textId="77777777" w:rsidR="00544D9B" w:rsidRPr="00544D9B" w:rsidRDefault="00544D9B" w:rsidP="00CE1F57">
            <w:pPr>
              <w:pStyle w:val="ListParagraph"/>
              <w:numPr>
                <w:ilvl w:val="0"/>
                <w:numId w:val="5"/>
              </w:numPr>
              <w:spacing w:line="300" w:lineRule="exact"/>
              <w:ind w:left="741"/>
              <w:rPr>
                <w:b/>
                <w:bCs/>
                <w:i/>
                <w:iCs/>
                <w:sz w:val="20"/>
                <w:szCs w:val="20"/>
              </w:rPr>
            </w:pPr>
            <w:r w:rsidRPr="00544D9B">
              <w:rPr>
                <w:b/>
                <w:bCs/>
                <w:i/>
                <w:iCs/>
                <w:sz w:val="20"/>
                <w:szCs w:val="20"/>
              </w:rPr>
              <w:t>improving</w:t>
            </w:r>
            <w:r w:rsidR="001B19F2">
              <w:rPr>
                <w:b/>
                <w:bCs/>
                <w:i/>
                <w:iCs/>
                <w:sz w:val="20"/>
                <w:szCs w:val="20"/>
              </w:rPr>
              <w:t xml:space="preserve"> </w:t>
            </w:r>
            <w:r w:rsidR="00316DE0">
              <w:rPr>
                <w:b/>
                <w:bCs/>
                <w:i/>
                <w:iCs/>
                <w:sz w:val="20"/>
                <w:szCs w:val="20"/>
              </w:rPr>
              <w:t xml:space="preserve">stock reporting and vaccine management at sub-national </w:t>
            </w:r>
            <w:proofErr w:type="gramStart"/>
            <w:r w:rsidR="00316DE0">
              <w:rPr>
                <w:b/>
                <w:bCs/>
                <w:i/>
                <w:iCs/>
                <w:sz w:val="20"/>
                <w:szCs w:val="20"/>
              </w:rPr>
              <w:t>level</w:t>
            </w:r>
            <w:r w:rsidRPr="00544D9B">
              <w:rPr>
                <w:b/>
                <w:bCs/>
                <w:i/>
                <w:iCs/>
                <w:sz w:val="20"/>
                <w:szCs w:val="20"/>
              </w:rPr>
              <w:t>;</w:t>
            </w:r>
            <w:proofErr w:type="gramEnd"/>
          </w:p>
          <w:p w14:paraId="009281C7" w14:textId="77777777" w:rsidR="00544D9B" w:rsidRPr="00544D9B" w:rsidRDefault="00544D9B" w:rsidP="00CE1F57">
            <w:pPr>
              <w:pStyle w:val="ListParagraph"/>
              <w:numPr>
                <w:ilvl w:val="0"/>
                <w:numId w:val="5"/>
              </w:numPr>
              <w:spacing w:line="300" w:lineRule="exact"/>
              <w:ind w:left="741"/>
              <w:rPr>
                <w:b/>
                <w:bCs/>
                <w:i/>
                <w:iCs/>
                <w:sz w:val="20"/>
                <w:szCs w:val="20"/>
              </w:rPr>
            </w:pPr>
            <w:r w:rsidRPr="00544D9B">
              <w:rPr>
                <w:b/>
                <w:bCs/>
                <w:i/>
                <w:iCs/>
                <w:sz w:val="20"/>
                <w:szCs w:val="20"/>
              </w:rPr>
              <w:lastRenderedPageBreak/>
              <w:t>enhancing</w:t>
            </w:r>
            <w:r w:rsidR="00316DE0">
              <w:rPr>
                <w:b/>
                <w:bCs/>
                <w:i/>
                <w:iCs/>
                <w:sz w:val="20"/>
                <w:szCs w:val="20"/>
              </w:rPr>
              <w:t xml:space="preserve"> stron</w:t>
            </w:r>
            <w:r w:rsidR="00F45522">
              <w:rPr>
                <w:b/>
                <w:bCs/>
                <w:i/>
                <w:iCs/>
                <w:sz w:val="20"/>
                <w:szCs w:val="20"/>
              </w:rPr>
              <w:t>g leadership, management and coordination</w:t>
            </w:r>
            <w:r w:rsidRPr="00544D9B">
              <w:rPr>
                <w:b/>
                <w:bCs/>
                <w:i/>
                <w:iCs/>
                <w:sz w:val="20"/>
                <w:szCs w:val="20"/>
              </w:rPr>
              <w:t xml:space="preserve">, including use of data for </w:t>
            </w:r>
            <w:proofErr w:type="gramStart"/>
            <w:r w:rsidRPr="00544D9B">
              <w:rPr>
                <w:b/>
                <w:bCs/>
                <w:i/>
                <w:iCs/>
                <w:sz w:val="20"/>
                <w:szCs w:val="20"/>
              </w:rPr>
              <w:t>decision-making;</w:t>
            </w:r>
            <w:proofErr w:type="gramEnd"/>
          </w:p>
          <w:p w14:paraId="35EE3F38" w14:textId="2426627E" w:rsidR="00532C23" w:rsidRPr="00532C23" w:rsidRDefault="009912B7" w:rsidP="00CE1F57">
            <w:pPr>
              <w:pStyle w:val="ListParagraph"/>
              <w:numPr>
                <w:ilvl w:val="0"/>
                <w:numId w:val="5"/>
              </w:numPr>
              <w:spacing w:line="300" w:lineRule="exact"/>
              <w:ind w:left="741"/>
              <w:rPr>
                <w:b/>
                <w:i/>
                <w:sz w:val="20"/>
                <w:szCs w:val="20"/>
              </w:rPr>
            </w:pPr>
            <w:r>
              <w:rPr>
                <w:b/>
                <w:bCs/>
                <w:i/>
                <w:iCs/>
                <w:sz w:val="20"/>
                <w:szCs w:val="20"/>
              </w:rPr>
              <w:t>introduction and scale up of</w:t>
            </w:r>
            <w:r w:rsidRPr="00544D9B">
              <w:rPr>
                <w:b/>
                <w:bCs/>
                <w:i/>
                <w:iCs/>
                <w:sz w:val="20"/>
                <w:szCs w:val="20"/>
              </w:rPr>
              <w:t xml:space="preserve"> </w:t>
            </w:r>
            <w:proofErr w:type="spellStart"/>
            <w:proofErr w:type="gramStart"/>
            <w:r w:rsidR="00544D9B" w:rsidRPr="00544D9B">
              <w:rPr>
                <w:b/>
                <w:bCs/>
                <w:i/>
                <w:iCs/>
                <w:sz w:val="20"/>
                <w:szCs w:val="20"/>
              </w:rPr>
              <w:t>vaccine</w:t>
            </w:r>
            <w:r>
              <w:rPr>
                <w:b/>
                <w:bCs/>
                <w:i/>
                <w:iCs/>
                <w:sz w:val="20"/>
                <w:szCs w:val="20"/>
              </w:rPr>
              <w:t>s</w:t>
            </w:r>
            <w:r w:rsidR="00544D9B" w:rsidRPr="00544D9B">
              <w:rPr>
                <w:b/>
                <w:bCs/>
                <w:i/>
                <w:iCs/>
                <w:sz w:val="20"/>
                <w:szCs w:val="20"/>
              </w:rPr>
              <w:t>s</w:t>
            </w:r>
            <w:proofErr w:type="spellEnd"/>
            <w:r w:rsidR="001708D2">
              <w:rPr>
                <w:b/>
                <w:bCs/>
                <w:i/>
                <w:iCs/>
                <w:sz w:val="20"/>
                <w:szCs w:val="20"/>
              </w:rPr>
              <w:t>;</w:t>
            </w:r>
            <w:proofErr w:type="gramEnd"/>
          </w:p>
          <w:p w14:paraId="1DC79B3B" w14:textId="2E55360D" w:rsidR="0071439C" w:rsidRPr="00544D9B" w:rsidRDefault="00532C23" w:rsidP="00CE1F57">
            <w:pPr>
              <w:pStyle w:val="ListParagraph"/>
              <w:numPr>
                <w:ilvl w:val="0"/>
                <w:numId w:val="5"/>
              </w:numPr>
              <w:spacing w:line="300" w:lineRule="exact"/>
              <w:ind w:left="741"/>
              <w:rPr>
                <w:b/>
                <w:i/>
                <w:sz w:val="20"/>
                <w:szCs w:val="20"/>
              </w:rPr>
            </w:pPr>
            <w:r>
              <w:rPr>
                <w:b/>
                <w:bCs/>
                <w:i/>
                <w:iCs/>
                <w:sz w:val="20"/>
                <w:szCs w:val="20"/>
              </w:rPr>
              <w:t>programm</w:t>
            </w:r>
            <w:r w:rsidR="00D740FF">
              <w:rPr>
                <w:b/>
                <w:bCs/>
                <w:i/>
                <w:iCs/>
                <w:sz w:val="20"/>
                <w:szCs w:val="20"/>
              </w:rPr>
              <w:t>a</w:t>
            </w:r>
            <w:r w:rsidR="0034188F">
              <w:rPr>
                <w:b/>
                <w:bCs/>
                <w:i/>
                <w:iCs/>
                <w:sz w:val="20"/>
                <w:szCs w:val="20"/>
              </w:rPr>
              <w:t>tic sustainability</w:t>
            </w:r>
            <w:r w:rsidR="00544D9B" w:rsidRPr="00544D9B">
              <w:rPr>
                <w:b/>
                <w:bCs/>
                <w:i/>
                <w:iCs/>
                <w:sz w:val="20"/>
                <w:szCs w:val="20"/>
              </w:rPr>
              <w:t>.</w:t>
            </w:r>
          </w:p>
        </w:tc>
      </w:tr>
      <w:tr w:rsidR="0071439C" w:rsidRPr="006A272B" w14:paraId="0A3FAE65" w14:textId="77777777" w:rsidTr="0BA8BF99">
        <w:tc>
          <w:tcPr>
            <w:tcW w:w="9192" w:type="dxa"/>
            <w:tcBorders>
              <w:top w:val="single" w:sz="4" w:space="0" w:color="auto"/>
              <w:left w:val="single" w:sz="4" w:space="0" w:color="auto"/>
              <w:bottom w:val="single" w:sz="4" w:space="0" w:color="auto"/>
              <w:right w:val="single" w:sz="4" w:space="0" w:color="auto"/>
            </w:tcBorders>
          </w:tcPr>
          <w:p w14:paraId="33DA5EA1" w14:textId="77777777" w:rsidR="00582782" w:rsidRPr="00B30AE3" w:rsidRDefault="00582782" w:rsidP="00B30AE3">
            <w:pPr>
              <w:spacing w:line="300" w:lineRule="exact"/>
              <w:jc w:val="both"/>
              <w:rPr>
                <w:rFonts w:eastAsia="Times New Roman"/>
                <w:color w:val="92D050"/>
              </w:rPr>
            </w:pPr>
            <w:r w:rsidRPr="00B30AE3">
              <w:rPr>
                <w:rFonts w:eastAsia="Times New Roman"/>
                <w:color w:val="92D050"/>
              </w:rPr>
              <w:lastRenderedPageBreak/>
              <w:t xml:space="preserve">By the support of the HIS for the EPI and running of the operation rooms and functioning all health facilities including nonfunctioning and closed health facilities </w:t>
            </w:r>
          </w:p>
          <w:p w14:paraId="5B6D038E" w14:textId="77777777" w:rsidR="00582782" w:rsidRPr="00B30AE3" w:rsidRDefault="00582782" w:rsidP="00B30AE3">
            <w:pPr>
              <w:spacing w:line="300" w:lineRule="exact"/>
              <w:jc w:val="both"/>
              <w:rPr>
                <w:rFonts w:eastAsia="Times New Roman"/>
                <w:color w:val="92D050"/>
              </w:rPr>
            </w:pPr>
            <w:r w:rsidRPr="00B30AE3">
              <w:rPr>
                <w:rFonts w:eastAsia="Times New Roman"/>
                <w:color w:val="92D050"/>
              </w:rPr>
              <w:t>The HIS contributes to assisting the EPI program in:</w:t>
            </w:r>
          </w:p>
          <w:p w14:paraId="002E39DA" w14:textId="77777777" w:rsidR="00582782" w:rsidRPr="00B30AE3" w:rsidRDefault="00582782" w:rsidP="00B30AE3">
            <w:pPr>
              <w:pStyle w:val="ListParagraph"/>
              <w:numPr>
                <w:ilvl w:val="0"/>
                <w:numId w:val="8"/>
              </w:numPr>
              <w:spacing w:line="300" w:lineRule="exact"/>
              <w:ind w:hanging="105"/>
              <w:contextualSpacing w:val="0"/>
              <w:jc w:val="both"/>
              <w:rPr>
                <w:rFonts w:eastAsia="Times New Roman"/>
                <w:color w:val="92D050"/>
              </w:rPr>
            </w:pPr>
            <w:r w:rsidRPr="00B30AE3">
              <w:rPr>
                <w:rFonts w:eastAsia="Times New Roman"/>
                <w:color w:val="92D050"/>
              </w:rPr>
              <w:t xml:space="preserve">Determining the working, partially functioning and closed health facilities and thus following up on the problem and needs of the partially functioning and closed health facilities and activating them and this will increase the percentage of vaccinated children and reduce the zero dose. Also, follow up on the </w:t>
            </w:r>
            <w:proofErr w:type="spellStart"/>
            <w:r w:rsidRPr="00B30AE3">
              <w:rPr>
                <w:rFonts w:eastAsia="Times New Roman"/>
                <w:color w:val="92D050"/>
              </w:rPr>
              <w:t>underimmunized</w:t>
            </w:r>
            <w:proofErr w:type="spellEnd"/>
            <w:r w:rsidRPr="00B30AE3">
              <w:rPr>
                <w:rFonts w:eastAsia="Times New Roman"/>
                <w:color w:val="92D050"/>
              </w:rPr>
              <w:t xml:space="preserve"> children by name and reach them.</w:t>
            </w:r>
          </w:p>
          <w:p w14:paraId="086E1CD1" w14:textId="77777777" w:rsidR="00582782" w:rsidRPr="00B30AE3" w:rsidRDefault="00582782" w:rsidP="00B30AE3">
            <w:pPr>
              <w:pStyle w:val="ListParagraph"/>
              <w:numPr>
                <w:ilvl w:val="0"/>
                <w:numId w:val="8"/>
              </w:numPr>
              <w:spacing w:line="300" w:lineRule="exact"/>
              <w:ind w:hanging="105"/>
              <w:contextualSpacing w:val="0"/>
              <w:jc w:val="both"/>
              <w:rPr>
                <w:rFonts w:eastAsia="Times New Roman"/>
                <w:color w:val="92D050"/>
              </w:rPr>
            </w:pPr>
            <w:r w:rsidRPr="00B30AE3">
              <w:rPr>
                <w:rFonts w:eastAsia="Times New Roman"/>
                <w:color w:val="92D050"/>
              </w:rPr>
              <w:t>Identify any problems in the cold chain or any malfunctions</w:t>
            </w:r>
            <w:r w:rsidRPr="00B30AE3">
              <w:rPr>
                <w:rFonts w:eastAsia="Times New Roman" w:hint="cs"/>
                <w:color w:val="92D050"/>
                <w:rtl/>
                <w:lang w:bidi="ar-YE"/>
              </w:rPr>
              <w:t xml:space="preserve"> </w:t>
            </w:r>
            <w:r w:rsidRPr="00B30AE3">
              <w:rPr>
                <w:rFonts w:eastAsia="Times New Roman"/>
                <w:color w:val="92D050"/>
                <w:lang w:bidi="ar-YE"/>
              </w:rPr>
              <w:t>or damage, therefore, action to solve and maintain it quickly.</w:t>
            </w:r>
          </w:p>
          <w:p w14:paraId="03542F62" w14:textId="77777777" w:rsidR="00582782" w:rsidRPr="00B30AE3" w:rsidRDefault="00582782" w:rsidP="00B30AE3">
            <w:pPr>
              <w:pStyle w:val="ListParagraph"/>
              <w:numPr>
                <w:ilvl w:val="0"/>
                <w:numId w:val="8"/>
              </w:numPr>
              <w:spacing w:line="300" w:lineRule="exact"/>
              <w:ind w:hanging="105"/>
              <w:contextualSpacing w:val="0"/>
              <w:jc w:val="both"/>
              <w:rPr>
                <w:rFonts w:eastAsia="Times New Roman"/>
                <w:color w:val="92D050"/>
              </w:rPr>
            </w:pPr>
            <w:r w:rsidRPr="00B30AE3">
              <w:rPr>
                <w:rFonts w:eastAsia="Times New Roman"/>
                <w:color w:val="92D050"/>
              </w:rPr>
              <w:t>Follow up the progress of the supervision process from the middle and peripheral levels through their reports and their progress plans to ensure the quality and equity of work in health facilities and the availability of all services, which contributes to raising the confidence of the beneficiaries and communities and increasing the demand for service.</w:t>
            </w:r>
          </w:p>
          <w:p w14:paraId="4FAA7FF5" w14:textId="77777777" w:rsidR="00582782" w:rsidRPr="00B30AE3" w:rsidRDefault="00582782" w:rsidP="00B30AE3">
            <w:pPr>
              <w:pStyle w:val="ListParagraph"/>
              <w:numPr>
                <w:ilvl w:val="0"/>
                <w:numId w:val="8"/>
              </w:numPr>
              <w:spacing w:line="300" w:lineRule="exact"/>
              <w:ind w:hanging="105"/>
              <w:contextualSpacing w:val="0"/>
              <w:jc w:val="both"/>
              <w:rPr>
                <w:rFonts w:eastAsia="Times New Roman"/>
                <w:color w:val="92D050"/>
              </w:rPr>
            </w:pPr>
            <w:r w:rsidRPr="00B30AE3">
              <w:rPr>
                <w:rFonts w:eastAsia="Times New Roman"/>
                <w:color w:val="92D050"/>
              </w:rPr>
              <w:t>Determining the training needs of health workers to ensure the quality of their performance.</w:t>
            </w:r>
          </w:p>
          <w:p w14:paraId="0C49E76B" w14:textId="1E73F0E1" w:rsidR="0071439C" w:rsidRPr="00582782" w:rsidRDefault="00582782" w:rsidP="00B30AE3">
            <w:pPr>
              <w:pStyle w:val="ListParagraph"/>
              <w:numPr>
                <w:ilvl w:val="0"/>
                <w:numId w:val="8"/>
              </w:numPr>
              <w:spacing w:line="300" w:lineRule="exact"/>
              <w:ind w:hanging="105"/>
              <w:contextualSpacing w:val="0"/>
              <w:jc w:val="both"/>
              <w:rPr>
                <w:rFonts w:eastAsia="Times New Roman"/>
                <w:color w:val="0070C0"/>
              </w:rPr>
            </w:pPr>
            <w:r w:rsidRPr="00B30AE3">
              <w:rPr>
                <w:rFonts w:eastAsia="Times New Roman"/>
                <w:color w:val="92D050"/>
              </w:rPr>
              <w:t>Follow up the movement of vaccines at the facility level and targeted children.</w:t>
            </w:r>
          </w:p>
        </w:tc>
      </w:tr>
      <w:tr w:rsidR="002E0882" w14:paraId="733DCE72" w14:textId="77777777" w:rsidTr="0BA8BF99">
        <w:tc>
          <w:tcPr>
            <w:tcW w:w="9192" w:type="dxa"/>
            <w:tcBorders>
              <w:top w:val="single" w:sz="4" w:space="0" w:color="auto"/>
              <w:bottom w:val="single" w:sz="4" w:space="0" w:color="auto"/>
            </w:tcBorders>
            <w:shd w:val="clear" w:color="auto" w:fill="F2F2F2" w:themeFill="background1" w:themeFillShade="F2"/>
          </w:tcPr>
          <w:p w14:paraId="39970F96" w14:textId="5B7ADA76" w:rsidR="002E0882" w:rsidRPr="00CF3BC4" w:rsidRDefault="7998118C" w:rsidP="6D39E4EB">
            <w:pPr>
              <w:pStyle w:val="ListParagraph"/>
              <w:spacing w:line="300" w:lineRule="exact"/>
              <w:ind w:left="0"/>
              <w:rPr>
                <w:b/>
                <w:bCs/>
                <w:i/>
                <w:iCs/>
                <w:color w:val="000000" w:themeColor="text1"/>
                <w:sz w:val="20"/>
                <w:szCs w:val="20"/>
              </w:rPr>
            </w:pPr>
            <w:r w:rsidRPr="6D39E4EB">
              <w:rPr>
                <w:b/>
                <w:bCs/>
                <w:i/>
                <w:iCs/>
                <w:sz w:val="20"/>
                <w:szCs w:val="20"/>
              </w:rPr>
              <w:t xml:space="preserve">2.3 How will you use new vaccine introductions and campaigns planned during this period to further </w:t>
            </w:r>
            <w:r w:rsidR="7A00268C" w:rsidRPr="6D39E4EB">
              <w:rPr>
                <w:b/>
                <w:bCs/>
                <w:i/>
                <w:iCs/>
                <w:sz w:val="20"/>
                <w:szCs w:val="20"/>
              </w:rPr>
              <w:t>stre</w:t>
            </w:r>
            <w:r w:rsidR="4E4E1DC6" w:rsidRPr="6D39E4EB">
              <w:rPr>
                <w:b/>
                <w:bCs/>
                <w:i/>
                <w:iCs/>
                <w:sz w:val="20"/>
                <w:szCs w:val="20"/>
              </w:rPr>
              <w:t>ngthen the areas indicated under question 2.2?</w:t>
            </w:r>
            <w:r w:rsidR="7A00268C" w:rsidRPr="6D39E4EB">
              <w:rPr>
                <w:b/>
                <w:bCs/>
                <w:i/>
                <w:iCs/>
                <w:sz w:val="20"/>
                <w:szCs w:val="20"/>
              </w:rPr>
              <w:t xml:space="preserve"> </w:t>
            </w:r>
          </w:p>
        </w:tc>
      </w:tr>
      <w:tr w:rsidR="002E0882" w:rsidRPr="006A272B" w14:paraId="3B0C1B4D" w14:textId="77777777" w:rsidTr="0BA8BF99">
        <w:tc>
          <w:tcPr>
            <w:tcW w:w="9192" w:type="dxa"/>
            <w:tcBorders>
              <w:top w:val="single" w:sz="4" w:space="0" w:color="auto"/>
              <w:left w:val="single" w:sz="4" w:space="0" w:color="auto"/>
              <w:bottom w:val="single" w:sz="4" w:space="0" w:color="auto"/>
              <w:right w:val="single" w:sz="4" w:space="0" w:color="auto"/>
            </w:tcBorders>
          </w:tcPr>
          <w:p w14:paraId="7991D0E2" w14:textId="4D3DE3BA" w:rsidR="002E0882" w:rsidRDefault="007A27E7" w:rsidP="00684B23">
            <w:pPr>
              <w:spacing w:line="300" w:lineRule="exact"/>
              <w:jc w:val="both"/>
              <w:rPr>
                <w:color w:val="92D050"/>
                <w:lang w:val="en-GB"/>
              </w:rPr>
            </w:pPr>
            <w:r w:rsidRPr="007A27E7">
              <w:rPr>
                <w:color w:val="92D050"/>
                <w:lang w:val="en-GB"/>
              </w:rPr>
              <w:t xml:space="preserve">Over the past two decades, Yemen has implemented more than 40 national campaigns, and there are positive results for these campaigns, but for how long will Yemen continue to focus on campaigns that consume very high investments, which Yemen will not be able to meet if the support for Yemen is stopped, which will portend a very great misfortune, as the society has become unwilling and uninterested in these campaigns, unmotivated and not convinced by these campaigns that it does not see an end, on the other hand, and those who vaccinate their children in the campaigns have become lazy in taking their children to health facilities under the pretext of waiting for the upcoming campaigns, so these campaigns have become if continue constitutes a great burden on the Ministry of Health in light of the great need to provide health services that meet the needs of the citizen, the poor primary, secondary or tertiary health care services, and when conduct more campaigns, the greater the rejection of immunization by citizens, and thus leads to an increase in zero doses, </w:t>
            </w:r>
            <w:proofErr w:type="spellStart"/>
            <w:r w:rsidRPr="007A27E7">
              <w:rPr>
                <w:color w:val="92D050"/>
                <w:lang w:val="en-GB"/>
              </w:rPr>
              <w:t>underimmunized</w:t>
            </w:r>
            <w:proofErr w:type="spellEnd"/>
            <w:r w:rsidRPr="007A27E7">
              <w:rPr>
                <w:color w:val="92D050"/>
                <w:lang w:val="en-GB"/>
              </w:rPr>
              <w:t xml:space="preserve"> children and lost communities. In this context, the Ministry seeks to promote health work in health facilities to provide basic, secondary and tertiary health services within the framework of </w:t>
            </w:r>
            <w:r w:rsidR="00F75BEF">
              <w:rPr>
                <w:color w:val="92D050"/>
                <w:lang w:val="en-GB"/>
              </w:rPr>
              <w:t>UHC &amp; GHIs</w:t>
            </w:r>
            <w:r w:rsidRPr="007A27E7">
              <w:rPr>
                <w:color w:val="92D050"/>
                <w:lang w:val="en-GB"/>
              </w:rPr>
              <w:t xml:space="preserve">, and it tends to benefit from government investments and the investments of health development partners (including Gavi)in operating all health facilities by 100% and promoting their services to motivate citizens to access and use them Optimally (the current use of health facilities does not exceed 0.7 over a period of more than two decades) and take advantage of missed opportunities when citizens visit health facilities with their children, and develop solutions that ensure continuity and expansion in finding suitable alternatives and solutions acceptable to society in disadvantaged and remote areas and high-risk communities </w:t>
            </w:r>
            <w:r w:rsidRPr="007A27E7">
              <w:rPr>
                <w:color w:val="92D050"/>
                <w:lang w:val="en-GB"/>
              </w:rPr>
              <w:lastRenderedPageBreak/>
              <w:t xml:space="preserve">with the support and investments of health development partners, including the investment of the Global Vaccine Alliance (Gavi) with the aim of reaching health coverage through which all citizens receive health services, including immunization services, reducing zero cases, </w:t>
            </w:r>
            <w:proofErr w:type="spellStart"/>
            <w:r w:rsidRPr="007A27E7">
              <w:rPr>
                <w:color w:val="92D050"/>
                <w:lang w:val="en-GB"/>
              </w:rPr>
              <w:t>underimmunized</w:t>
            </w:r>
            <w:proofErr w:type="spellEnd"/>
            <w:r w:rsidRPr="007A27E7">
              <w:rPr>
                <w:color w:val="92D050"/>
                <w:lang w:val="en-GB"/>
              </w:rPr>
              <w:t xml:space="preserve"> children and lost communities. One of the priority areas of investment to support Gavi is the provision of health services in healthy facilities as supply side and the generation of the demand side of services in the community are critical to ensure zero dose, </w:t>
            </w:r>
            <w:proofErr w:type="spellStart"/>
            <w:r w:rsidRPr="007A27E7">
              <w:rPr>
                <w:color w:val="92D050"/>
                <w:lang w:val="en-GB"/>
              </w:rPr>
              <w:t>underimmunized</w:t>
            </w:r>
            <w:proofErr w:type="spellEnd"/>
            <w:r w:rsidRPr="007A27E7">
              <w:rPr>
                <w:color w:val="92D050"/>
                <w:lang w:val="en-GB"/>
              </w:rPr>
              <w:t xml:space="preserve"> children and lost communities, and the availability of continuous service provision will increase demand and thus positive impact on health coverage, including enhancing confidence in health services and those who provide them, appreciating the value of immunization, and trusting the safety and efficacy of vaccines. According to what was mentioned, the targeted country assistance (TCA) should </w:t>
            </w:r>
            <w:proofErr w:type="gramStart"/>
            <w:r w:rsidRPr="007A27E7">
              <w:rPr>
                <w:color w:val="92D050"/>
                <w:lang w:val="en-GB"/>
              </w:rPr>
              <w:t>take into account</w:t>
            </w:r>
            <w:proofErr w:type="gramEnd"/>
            <w:r w:rsidRPr="007A27E7">
              <w:rPr>
                <w:color w:val="92D050"/>
                <w:lang w:val="en-GB"/>
              </w:rPr>
              <w:t xml:space="preserve"> this approach of the Ministry of Health and support it technically and logistically.</w:t>
            </w:r>
          </w:p>
          <w:p w14:paraId="65B49FF4" w14:textId="77777777" w:rsidR="00B30AE3" w:rsidRPr="00B30AE3" w:rsidRDefault="00B30AE3" w:rsidP="00B30AE3">
            <w:pPr>
              <w:spacing w:line="300" w:lineRule="exact"/>
              <w:jc w:val="both"/>
              <w:rPr>
                <w:color w:val="92D050"/>
                <w:lang w:val="en-GB"/>
              </w:rPr>
            </w:pPr>
            <w:r w:rsidRPr="00B30AE3">
              <w:rPr>
                <w:color w:val="92D050"/>
                <w:lang w:val="en-GB"/>
              </w:rPr>
              <w:t>The functioning of all health facilities and conduction the campaigns in the health facilities well ensure the quality of the campaigns and programmatic sustainability of the EPI.</w:t>
            </w:r>
          </w:p>
          <w:p w14:paraId="2525ED44" w14:textId="6506EAA3" w:rsidR="00653F61" w:rsidRPr="00B30AE3" w:rsidRDefault="00B30AE3" w:rsidP="00B30AE3">
            <w:pPr>
              <w:spacing w:line="300" w:lineRule="exact"/>
              <w:jc w:val="both"/>
              <w:rPr>
                <w:color w:val="92D050"/>
                <w:lang w:val="en-GB"/>
              </w:rPr>
            </w:pPr>
            <w:r w:rsidRPr="00B30AE3">
              <w:rPr>
                <w:color w:val="92D050"/>
                <w:lang w:val="en-GB"/>
              </w:rPr>
              <w:t xml:space="preserve">Activating all health facilities and providing all services encourages beneficiaries and communities to access the facilities, especially since many people have become suspicious that the campaigns will reach them and start laziness to go to the facilities despite the health facilities are close to them so the number of zero dose and </w:t>
            </w:r>
            <w:proofErr w:type="spellStart"/>
            <w:r w:rsidRPr="00B30AE3">
              <w:rPr>
                <w:color w:val="92D050"/>
                <w:lang w:val="en-GB"/>
              </w:rPr>
              <w:t>underimmunized</w:t>
            </w:r>
            <w:proofErr w:type="spellEnd"/>
            <w:r w:rsidRPr="00B30AE3">
              <w:rPr>
                <w:color w:val="92D050"/>
                <w:lang w:val="en-GB"/>
              </w:rPr>
              <w:t xml:space="preserve"> children will be increase.</w:t>
            </w:r>
          </w:p>
        </w:tc>
      </w:tr>
      <w:tr w:rsidR="00D353AF" w14:paraId="124CC764" w14:textId="77777777" w:rsidTr="0BA8BF99">
        <w:tc>
          <w:tcPr>
            <w:tcW w:w="9192" w:type="dxa"/>
            <w:tcBorders>
              <w:top w:val="single" w:sz="4" w:space="0" w:color="auto"/>
              <w:bottom w:val="single" w:sz="4" w:space="0" w:color="auto"/>
            </w:tcBorders>
            <w:shd w:val="clear" w:color="auto" w:fill="F2F2F2" w:themeFill="background1" w:themeFillShade="F2"/>
          </w:tcPr>
          <w:p w14:paraId="374B434F" w14:textId="56886AD9" w:rsidR="00D353AF" w:rsidRDefault="00D353AF" w:rsidP="007B53D1">
            <w:pPr>
              <w:spacing w:line="300" w:lineRule="exact"/>
              <w:rPr>
                <w:b/>
                <w:i/>
                <w:iCs/>
                <w:color w:val="000000" w:themeColor="text1"/>
                <w:sz w:val="20"/>
                <w:szCs w:val="20"/>
                <w:lang w:val="en-GB"/>
              </w:rPr>
            </w:pPr>
            <w:r>
              <w:rPr>
                <w:b/>
                <w:i/>
                <w:iCs/>
                <w:color w:val="000000" w:themeColor="text1"/>
                <w:sz w:val="20"/>
                <w:szCs w:val="20"/>
                <w:lang w:val="en-GB"/>
              </w:rPr>
              <w:lastRenderedPageBreak/>
              <w:t xml:space="preserve">2.4 </w:t>
            </w:r>
            <w:r w:rsidRPr="00EC7215">
              <w:rPr>
                <w:b/>
                <w:i/>
                <w:iCs/>
                <w:color w:val="000000" w:themeColor="text1"/>
                <w:sz w:val="20"/>
                <w:szCs w:val="20"/>
                <w:lang w:val="en-GB"/>
              </w:rPr>
              <w:t>Describe how the T</w:t>
            </w:r>
            <w:r>
              <w:rPr>
                <w:b/>
                <w:i/>
                <w:iCs/>
                <w:color w:val="000000" w:themeColor="text1"/>
                <w:sz w:val="20"/>
                <w:szCs w:val="20"/>
                <w:lang w:val="en-GB"/>
              </w:rPr>
              <w:t>C</w:t>
            </w:r>
            <w:r w:rsidRPr="00EC7215">
              <w:rPr>
                <w:b/>
                <w:i/>
                <w:iCs/>
                <w:color w:val="000000" w:themeColor="text1"/>
                <w:sz w:val="20"/>
                <w:szCs w:val="20"/>
                <w:lang w:val="en-GB"/>
              </w:rPr>
              <w:t xml:space="preserve">A </w:t>
            </w:r>
            <w:r w:rsidR="00C21E0A">
              <w:rPr>
                <w:b/>
                <w:i/>
                <w:iCs/>
                <w:color w:val="000000" w:themeColor="text1"/>
                <w:sz w:val="20"/>
                <w:szCs w:val="20"/>
                <w:lang w:val="en-GB"/>
              </w:rPr>
              <w:t>support</w:t>
            </w:r>
            <w:r w:rsidRPr="00EC7215">
              <w:rPr>
                <w:b/>
                <w:i/>
                <w:iCs/>
                <w:color w:val="000000" w:themeColor="text1"/>
                <w:sz w:val="20"/>
                <w:szCs w:val="20"/>
                <w:lang w:val="en-GB"/>
              </w:rPr>
              <w:t xml:space="preserve"> will help re-establish routine immunisation services and any other COVID-19 related recovery activities. </w:t>
            </w:r>
          </w:p>
          <w:p w14:paraId="5D61F6FA" w14:textId="77777777" w:rsidR="00D353AF" w:rsidRPr="0041751A" w:rsidRDefault="00D353AF" w:rsidP="007B53D1">
            <w:pPr>
              <w:spacing w:line="300" w:lineRule="exact"/>
              <w:rPr>
                <w:b/>
                <w:bCs/>
                <w:i/>
                <w:iCs/>
                <w:color w:val="70AD47" w:themeColor="accent6"/>
                <w:sz w:val="20"/>
                <w:szCs w:val="20"/>
                <w:lang w:val="en-GB"/>
              </w:rPr>
            </w:pPr>
            <w:r w:rsidRPr="006C01EA">
              <w:rPr>
                <w:bCs/>
                <w:i/>
                <w:iCs/>
                <w:color w:val="000000" w:themeColor="text1"/>
                <w:sz w:val="20"/>
                <w:szCs w:val="20"/>
                <w:lang w:val="en-GB"/>
              </w:rPr>
              <w:t>P</w:t>
            </w:r>
            <w:r w:rsidRPr="006C01EA">
              <w:rPr>
                <w:bCs/>
                <w:i/>
                <w:iCs/>
                <w:sz w:val="20"/>
                <w:szCs w:val="20"/>
                <w:lang w:val="en-GB"/>
              </w:rPr>
              <w:t>lease indicate any COVID-19 related reallocation that may have occurred for previous TCA funds (if applicable); does this reallocation remain relevant for this proposal.</w:t>
            </w:r>
          </w:p>
        </w:tc>
      </w:tr>
      <w:tr w:rsidR="00D353AF" w14:paraId="14D7F47D" w14:textId="77777777" w:rsidTr="0BA8BF99">
        <w:tc>
          <w:tcPr>
            <w:tcW w:w="9192" w:type="dxa"/>
            <w:tcBorders>
              <w:top w:val="single" w:sz="4" w:space="0" w:color="auto"/>
              <w:left w:val="single" w:sz="4" w:space="0" w:color="auto"/>
              <w:bottom w:val="single" w:sz="4" w:space="0" w:color="auto"/>
              <w:right w:val="single" w:sz="4" w:space="0" w:color="auto"/>
            </w:tcBorders>
          </w:tcPr>
          <w:p w14:paraId="2689F064" w14:textId="5F5B32CF" w:rsidR="00D353AF" w:rsidRPr="00013D30" w:rsidRDefault="0C6313D4" w:rsidP="00013D30">
            <w:pPr>
              <w:spacing w:line="300" w:lineRule="exact"/>
              <w:jc w:val="both"/>
              <w:rPr>
                <w:color w:val="92D050"/>
                <w:lang w:val="en-GB"/>
              </w:rPr>
            </w:pPr>
            <w:r w:rsidRPr="6D39E4EB">
              <w:rPr>
                <w:color w:val="92D050"/>
                <w:lang w:val="en-GB"/>
              </w:rPr>
              <w:t>This section is linked to the response in section 2.3</w:t>
            </w:r>
          </w:p>
        </w:tc>
      </w:tr>
      <w:tr w:rsidR="00D353AF" w14:paraId="7CB90E66" w14:textId="77777777" w:rsidTr="0BA8BF99">
        <w:tc>
          <w:tcPr>
            <w:tcW w:w="9192" w:type="dxa"/>
            <w:tcBorders>
              <w:top w:val="single" w:sz="4" w:space="0" w:color="auto"/>
              <w:bottom w:val="single" w:sz="4" w:space="0" w:color="auto"/>
            </w:tcBorders>
            <w:shd w:val="clear" w:color="auto" w:fill="F2F2F2" w:themeFill="background1" w:themeFillShade="F2"/>
          </w:tcPr>
          <w:p w14:paraId="341DF7D2" w14:textId="20697518" w:rsidR="00D353AF" w:rsidRPr="00777960" w:rsidRDefault="00D353AF" w:rsidP="007B53D1">
            <w:pPr>
              <w:spacing w:line="300" w:lineRule="exact"/>
              <w:rPr>
                <w:bCs/>
                <w:i/>
                <w:iCs/>
                <w:sz w:val="20"/>
                <w:szCs w:val="20"/>
                <w:lang w:val="en-GB"/>
              </w:rPr>
            </w:pPr>
            <w:r>
              <w:rPr>
                <w:b/>
                <w:i/>
                <w:iCs/>
                <w:color w:val="000000" w:themeColor="text1"/>
                <w:sz w:val="20"/>
                <w:szCs w:val="20"/>
                <w:lang w:val="en-GB"/>
              </w:rPr>
              <w:t xml:space="preserve">2.5 </w:t>
            </w:r>
            <w:r w:rsidRPr="00777960">
              <w:rPr>
                <w:b/>
                <w:i/>
                <w:iCs/>
                <w:color w:val="000000" w:themeColor="text1"/>
                <w:sz w:val="20"/>
                <w:szCs w:val="20"/>
                <w:lang w:val="en-GB"/>
              </w:rPr>
              <w:t xml:space="preserve">Describe how the </w:t>
            </w:r>
            <w:r>
              <w:rPr>
                <w:b/>
                <w:i/>
                <w:iCs/>
                <w:color w:val="000000" w:themeColor="text1"/>
                <w:sz w:val="20"/>
                <w:szCs w:val="20"/>
                <w:lang w:val="en-GB"/>
              </w:rPr>
              <w:t>TCA</w:t>
            </w:r>
            <w:r w:rsidRPr="00777960">
              <w:rPr>
                <w:b/>
                <w:i/>
                <w:iCs/>
                <w:color w:val="000000" w:themeColor="text1"/>
                <w:sz w:val="20"/>
                <w:szCs w:val="20"/>
                <w:lang w:val="en-GB"/>
              </w:rPr>
              <w:t xml:space="preserve"> </w:t>
            </w:r>
            <w:r w:rsidR="00630A26">
              <w:rPr>
                <w:b/>
                <w:i/>
                <w:iCs/>
                <w:color w:val="000000" w:themeColor="text1"/>
                <w:sz w:val="20"/>
                <w:szCs w:val="20"/>
                <w:lang w:val="en-GB"/>
              </w:rPr>
              <w:t>support will</w:t>
            </w:r>
            <w:r w:rsidRPr="00777960">
              <w:rPr>
                <w:b/>
                <w:i/>
                <w:iCs/>
                <w:color w:val="000000" w:themeColor="text1"/>
                <w:sz w:val="20"/>
                <w:szCs w:val="20"/>
                <w:lang w:val="en-GB"/>
              </w:rPr>
              <w:t xml:space="preserve"> identif</w:t>
            </w:r>
            <w:r w:rsidR="00630A26">
              <w:rPr>
                <w:b/>
                <w:i/>
                <w:iCs/>
                <w:color w:val="000000" w:themeColor="text1"/>
                <w:sz w:val="20"/>
                <w:szCs w:val="20"/>
                <w:lang w:val="en-GB"/>
              </w:rPr>
              <w:t>y</w:t>
            </w:r>
            <w:r w:rsidRPr="00777960">
              <w:rPr>
                <w:b/>
                <w:i/>
                <w:iCs/>
                <w:color w:val="000000" w:themeColor="text1"/>
                <w:sz w:val="20"/>
                <w:szCs w:val="20"/>
                <w:lang w:val="en-GB"/>
              </w:rPr>
              <w:t xml:space="preserve"> and/or overcome already known gender-related </w:t>
            </w:r>
            <w:r>
              <w:rPr>
                <w:b/>
                <w:i/>
                <w:iCs/>
                <w:color w:val="000000" w:themeColor="text1"/>
                <w:sz w:val="20"/>
                <w:szCs w:val="20"/>
                <w:lang w:val="en-GB"/>
              </w:rPr>
              <w:t xml:space="preserve">or other </w:t>
            </w:r>
            <w:r w:rsidRPr="00777960">
              <w:rPr>
                <w:b/>
                <w:i/>
                <w:iCs/>
                <w:color w:val="000000" w:themeColor="text1"/>
                <w:sz w:val="20"/>
                <w:szCs w:val="20"/>
                <w:lang w:val="en-GB"/>
              </w:rPr>
              <w:t xml:space="preserve">barriers to immunisation activities. Please respond </w:t>
            </w:r>
            <w:r w:rsidR="00A733BF">
              <w:rPr>
                <w:b/>
                <w:i/>
                <w:iCs/>
                <w:color w:val="000000" w:themeColor="text1"/>
                <w:sz w:val="20"/>
                <w:szCs w:val="20"/>
                <w:lang w:val="en-GB"/>
              </w:rPr>
              <w:t xml:space="preserve">to </w:t>
            </w:r>
            <w:r w:rsidRPr="00777960">
              <w:rPr>
                <w:b/>
                <w:i/>
                <w:iCs/>
                <w:color w:val="000000" w:themeColor="text1"/>
                <w:sz w:val="20"/>
                <w:szCs w:val="20"/>
                <w:lang w:val="en-GB"/>
              </w:rPr>
              <w:t>how each partner can help address this.</w:t>
            </w:r>
          </w:p>
        </w:tc>
      </w:tr>
      <w:tr w:rsidR="00D353AF" w14:paraId="251D4101" w14:textId="77777777" w:rsidTr="0BA8BF99">
        <w:trPr>
          <w:trHeight w:val="103"/>
        </w:trPr>
        <w:tc>
          <w:tcPr>
            <w:tcW w:w="9192" w:type="dxa"/>
            <w:tcBorders>
              <w:top w:val="single" w:sz="4" w:space="0" w:color="auto"/>
              <w:left w:val="single" w:sz="4" w:space="0" w:color="auto"/>
              <w:bottom w:val="single" w:sz="4" w:space="0" w:color="auto"/>
              <w:right w:val="single" w:sz="4" w:space="0" w:color="auto"/>
            </w:tcBorders>
            <w:shd w:val="clear" w:color="auto" w:fill="auto"/>
          </w:tcPr>
          <w:p w14:paraId="626A5A76" w14:textId="64A6B564" w:rsidR="00D353AF" w:rsidRPr="00013D30" w:rsidRDefault="0C6313D4" w:rsidP="000066B5">
            <w:pPr>
              <w:spacing w:line="300" w:lineRule="exact"/>
              <w:jc w:val="both"/>
              <w:rPr>
                <w:color w:val="92D050"/>
                <w:lang w:val="en-GB"/>
              </w:rPr>
            </w:pPr>
            <w:r w:rsidRPr="6D39E4EB">
              <w:rPr>
                <w:color w:val="92D050"/>
                <w:lang w:val="en-GB"/>
              </w:rPr>
              <w:t>The policy of EPI program is to reach all targeted children, males and females</w:t>
            </w:r>
            <w:r w:rsidR="2DFEBE29" w:rsidRPr="6D39E4EB">
              <w:rPr>
                <w:color w:val="92D050"/>
                <w:lang w:val="en-GB"/>
              </w:rPr>
              <w:t xml:space="preserve">, </w:t>
            </w:r>
            <w:proofErr w:type="gramStart"/>
            <w:r w:rsidRPr="6D39E4EB">
              <w:rPr>
                <w:color w:val="92D050"/>
                <w:lang w:val="en-GB"/>
              </w:rPr>
              <w:t>By</w:t>
            </w:r>
            <w:proofErr w:type="gramEnd"/>
            <w:r w:rsidRPr="6D39E4EB">
              <w:rPr>
                <w:color w:val="92D050"/>
                <w:lang w:val="en-GB"/>
              </w:rPr>
              <w:t xml:space="preserve"> functioning all health facilities and running of the operation rooms of MOH and EPI and functioning of the HIS all children regardless of the gender can received the vaccines without any gender related barriers</w:t>
            </w:r>
            <w:r w:rsidR="2DFEBE29" w:rsidRPr="6D39E4EB">
              <w:rPr>
                <w:color w:val="92D050"/>
                <w:lang w:val="en-GB"/>
              </w:rPr>
              <w:t xml:space="preserve">, </w:t>
            </w:r>
            <w:r w:rsidRPr="6D39E4EB">
              <w:rPr>
                <w:color w:val="92D050"/>
                <w:lang w:val="en-GB"/>
              </w:rPr>
              <w:t>Parents' awareness and convince them of the importance of immunization will make them keen to vaccinate their children, males and females.</w:t>
            </w:r>
          </w:p>
        </w:tc>
      </w:tr>
      <w:tr w:rsidR="00D353AF" w14:paraId="2605CFC3" w14:textId="77777777" w:rsidTr="0BA8BF99">
        <w:tc>
          <w:tcPr>
            <w:tcW w:w="9192" w:type="dxa"/>
            <w:tcBorders>
              <w:top w:val="single" w:sz="4" w:space="0" w:color="auto"/>
              <w:bottom w:val="single" w:sz="4" w:space="0" w:color="auto"/>
            </w:tcBorders>
            <w:shd w:val="clear" w:color="auto" w:fill="F2F2F2" w:themeFill="background1" w:themeFillShade="F2"/>
          </w:tcPr>
          <w:p w14:paraId="71D225EC" w14:textId="23CD8FD6" w:rsidR="00D353AF" w:rsidRPr="008C7464" w:rsidRDefault="00D353AF" w:rsidP="007B53D1">
            <w:pPr>
              <w:spacing w:line="300" w:lineRule="exact"/>
              <w:rPr>
                <w:b/>
                <w:bCs/>
                <w:color w:val="92D050"/>
                <w:lang w:val="en-GB"/>
              </w:rPr>
            </w:pPr>
            <w:r>
              <w:rPr>
                <w:b/>
                <w:bCs/>
                <w:i/>
                <w:iCs/>
                <w:sz w:val="20"/>
                <w:szCs w:val="20"/>
              </w:rPr>
              <w:t xml:space="preserve">2.6 </w:t>
            </w:r>
            <w:r w:rsidRPr="00CF3BC4">
              <w:rPr>
                <w:b/>
                <w:bCs/>
                <w:i/>
                <w:iCs/>
                <w:sz w:val="20"/>
                <w:szCs w:val="20"/>
              </w:rPr>
              <w:t xml:space="preserve">Describe </w:t>
            </w:r>
            <w:r>
              <w:rPr>
                <w:b/>
                <w:bCs/>
                <w:i/>
                <w:iCs/>
                <w:sz w:val="20"/>
                <w:szCs w:val="20"/>
              </w:rPr>
              <w:t xml:space="preserve">how </w:t>
            </w:r>
            <w:r w:rsidRPr="00CF3BC4">
              <w:rPr>
                <w:b/>
                <w:bCs/>
                <w:i/>
                <w:iCs/>
                <w:sz w:val="20"/>
                <w:szCs w:val="20"/>
              </w:rPr>
              <w:t xml:space="preserve">you </w:t>
            </w:r>
            <w:proofErr w:type="spellStart"/>
            <w:r w:rsidRPr="00CF3BC4">
              <w:rPr>
                <w:b/>
                <w:bCs/>
                <w:i/>
                <w:iCs/>
                <w:sz w:val="20"/>
                <w:szCs w:val="20"/>
              </w:rPr>
              <w:t>prioritise</w:t>
            </w:r>
            <w:r>
              <w:rPr>
                <w:b/>
                <w:bCs/>
                <w:i/>
                <w:iCs/>
                <w:sz w:val="20"/>
                <w:szCs w:val="20"/>
              </w:rPr>
              <w:t>d</w:t>
            </w:r>
            <w:proofErr w:type="spellEnd"/>
            <w:r w:rsidRPr="00CF3BC4">
              <w:rPr>
                <w:b/>
                <w:bCs/>
                <w:i/>
                <w:iCs/>
                <w:sz w:val="20"/>
                <w:szCs w:val="20"/>
              </w:rPr>
              <w:t xml:space="preserve"> the interventions to be supported by Gavi</w:t>
            </w:r>
            <w:r w:rsidR="008839F8">
              <w:rPr>
                <w:b/>
                <w:bCs/>
                <w:i/>
                <w:iCs/>
                <w:sz w:val="20"/>
                <w:szCs w:val="20"/>
              </w:rPr>
              <w:t xml:space="preserve"> under requested TCA support</w:t>
            </w:r>
            <w:r>
              <w:rPr>
                <w:b/>
                <w:bCs/>
                <w:i/>
                <w:iCs/>
                <w:sz w:val="20"/>
                <w:szCs w:val="20"/>
              </w:rPr>
              <w:t>.</w:t>
            </w:r>
          </w:p>
        </w:tc>
      </w:tr>
      <w:tr w:rsidR="00D353AF" w14:paraId="4C4783D9" w14:textId="77777777" w:rsidTr="0BA8BF99">
        <w:tc>
          <w:tcPr>
            <w:tcW w:w="9192" w:type="dxa"/>
            <w:tcBorders>
              <w:top w:val="single" w:sz="4" w:space="0" w:color="auto"/>
              <w:left w:val="single" w:sz="4" w:space="0" w:color="auto"/>
              <w:bottom w:val="single" w:sz="4" w:space="0" w:color="auto"/>
              <w:right w:val="single" w:sz="4" w:space="0" w:color="auto"/>
            </w:tcBorders>
          </w:tcPr>
          <w:p w14:paraId="6FE3B07B" w14:textId="77777777" w:rsidR="0045037A" w:rsidRPr="00684B23" w:rsidRDefault="70EBCE18" w:rsidP="00684B23">
            <w:pPr>
              <w:spacing w:line="300" w:lineRule="exact"/>
              <w:jc w:val="both"/>
              <w:rPr>
                <w:b/>
                <w:bCs/>
                <w:color w:val="92D050"/>
                <w:lang w:val="en-GB"/>
              </w:rPr>
            </w:pPr>
            <w:r w:rsidRPr="6D39E4EB">
              <w:rPr>
                <w:b/>
                <w:bCs/>
                <w:color w:val="92D050"/>
                <w:lang w:val="en-GB"/>
              </w:rPr>
              <w:t>Among the priority areas of investment for interventions in support of Gavi in the framework of TCA support are the following:</w:t>
            </w:r>
          </w:p>
          <w:p w14:paraId="0CF6554C" w14:textId="77777777" w:rsidR="0045037A" w:rsidRPr="0045037A" w:rsidRDefault="0045037A" w:rsidP="00684B23">
            <w:pPr>
              <w:spacing w:line="300" w:lineRule="exact"/>
              <w:jc w:val="both"/>
              <w:rPr>
                <w:color w:val="92D050"/>
                <w:lang w:val="en-GB"/>
              </w:rPr>
            </w:pPr>
            <w:r w:rsidRPr="0045037A">
              <w:rPr>
                <w:color w:val="92D050"/>
                <w:lang w:val="en-GB"/>
              </w:rPr>
              <w:t xml:space="preserve">1) Activating the central operations room and immunization operations at the central and governorate </w:t>
            </w:r>
            <w:proofErr w:type="gramStart"/>
            <w:r w:rsidRPr="0045037A">
              <w:rPr>
                <w:color w:val="92D050"/>
                <w:lang w:val="en-GB"/>
              </w:rPr>
              <w:t>levels;</w:t>
            </w:r>
            <w:proofErr w:type="gramEnd"/>
          </w:p>
          <w:p w14:paraId="61330CC3" w14:textId="77777777" w:rsidR="0045037A" w:rsidRPr="0045037A" w:rsidRDefault="0045037A" w:rsidP="00684B23">
            <w:pPr>
              <w:spacing w:line="300" w:lineRule="exact"/>
              <w:jc w:val="both"/>
              <w:rPr>
                <w:color w:val="92D050"/>
                <w:lang w:val="en-GB"/>
              </w:rPr>
            </w:pPr>
            <w:r w:rsidRPr="0045037A">
              <w:rPr>
                <w:color w:val="92D050"/>
                <w:lang w:val="en-GB"/>
              </w:rPr>
              <w:t xml:space="preserve">2) Strengthening the HIS for the MOH and EPI </w:t>
            </w:r>
            <w:proofErr w:type="gramStart"/>
            <w:r w:rsidRPr="0045037A">
              <w:rPr>
                <w:color w:val="92D050"/>
                <w:lang w:val="en-GB"/>
              </w:rPr>
              <w:t>program;</w:t>
            </w:r>
            <w:proofErr w:type="gramEnd"/>
          </w:p>
          <w:p w14:paraId="7E7D91F7" w14:textId="2D4BD4A9" w:rsidR="0045037A" w:rsidRPr="0045037A" w:rsidRDefault="0045037A" w:rsidP="00684B23">
            <w:pPr>
              <w:spacing w:line="300" w:lineRule="exact"/>
              <w:jc w:val="both"/>
              <w:rPr>
                <w:color w:val="92D050"/>
                <w:lang w:val="en-GB"/>
              </w:rPr>
            </w:pPr>
            <w:r w:rsidRPr="0045037A">
              <w:rPr>
                <w:color w:val="92D050"/>
                <w:lang w:val="en-GB"/>
              </w:rPr>
              <w:t xml:space="preserve">3) Supporting the establishment of the National Research </w:t>
            </w:r>
            <w:proofErr w:type="spellStart"/>
            <w:r w:rsidR="009377A9">
              <w:rPr>
                <w:color w:val="92D050"/>
                <w:lang w:val="en-GB"/>
              </w:rPr>
              <w:t>center</w:t>
            </w:r>
            <w:proofErr w:type="spellEnd"/>
            <w:r w:rsidRPr="0045037A">
              <w:rPr>
                <w:color w:val="92D050"/>
                <w:lang w:val="en-GB"/>
              </w:rPr>
              <w:t xml:space="preserve"> for Immunization and </w:t>
            </w:r>
            <w:proofErr w:type="gramStart"/>
            <w:r w:rsidRPr="0045037A">
              <w:rPr>
                <w:color w:val="92D050"/>
                <w:lang w:val="en-GB"/>
              </w:rPr>
              <w:t>Vaccine</w:t>
            </w:r>
            <w:r w:rsidR="00B2429B">
              <w:rPr>
                <w:color w:val="92D050"/>
                <w:lang w:val="en-GB"/>
              </w:rPr>
              <w:t>s</w:t>
            </w:r>
            <w:r w:rsidRPr="0045037A">
              <w:rPr>
                <w:color w:val="92D050"/>
                <w:lang w:val="en-GB"/>
              </w:rPr>
              <w:t>;</w:t>
            </w:r>
            <w:proofErr w:type="gramEnd"/>
          </w:p>
          <w:p w14:paraId="3255BDF9" w14:textId="77777777" w:rsidR="0045037A" w:rsidRPr="0045037A" w:rsidRDefault="0045037A" w:rsidP="00684B23">
            <w:pPr>
              <w:spacing w:line="300" w:lineRule="exact"/>
              <w:jc w:val="both"/>
              <w:rPr>
                <w:color w:val="92D050"/>
                <w:lang w:val="en-GB"/>
              </w:rPr>
            </w:pPr>
            <w:r w:rsidRPr="0045037A">
              <w:rPr>
                <w:color w:val="92D050"/>
                <w:lang w:val="en-GB"/>
              </w:rPr>
              <w:t xml:space="preserve">4) Awareness and education of health and nutrition, strengthening immunity and building confidence in health services, including the promotion of facility-based health </w:t>
            </w:r>
            <w:proofErr w:type="gramStart"/>
            <w:r w:rsidRPr="0045037A">
              <w:rPr>
                <w:color w:val="92D050"/>
                <w:lang w:val="en-GB"/>
              </w:rPr>
              <w:t>services;</w:t>
            </w:r>
            <w:proofErr w:type="gramEnd"/>
            <w:r w:rsidRPr="0045037A">
              <w:rPr>
                <w:color w:val="92D050"/>
                <w:lang w:val="en-GB"/>
              </w:rPr>
              <w:t xml:space="preserve"> </w:t>
            </w:r>
          </w:p>
          <w:p w14:paraId="1E65BC12" w14:textId="77777777" w:rsidR="0045037A" w:rsidRPr="0045037A" w:rsidRDefault="0045037A" w:rsidP="00684B23">
            <w:pPr>
              <w:spacing w:line="300" w:lineRule="exact"/>
              <w:jc w:val="both"/>
              <w:rPr>
                <w:color w:val="92D050"/>
                <w:lang w:val="en-GB"/>
              </w:rPr>
            </w:pPr>
            <w:r w:rsidRPr="0045037A">
              <w:rPr>
                <w:color w:val="92D050"/>
                <w:lang w:val="en-GB"/>
              </w:rPr>
              <w:lastRenderedPageBreak/>
              <w:t xml:space="preserve">5) Appointing national experts and competencies at the level of hubs or governorates in public health and </w:t>
            </w:r>
            <w:proofErr w:type="gramStart"/>
            <w:r w:rsidRPr="0045037A">
              <w:rPr>
                <w:color w:val="92D050"/>
                <w:lang w:val="en-GB"/>
              </w:rPr>
              <w:t>immunization;</w:t>
            </w:r>
            <w:proofErr w:type="gramEnd"/>
          </w:p>
          <w:p w14:paraId="48003D96" w14:textId="3FECC45F" w:rsidR="00D353AF" w:rsidRDefault="0045037A" w:rsidP="00684B23">
            <w:pPr>
              <w:spacing w:line="300" w:lineRule="exact"/>
              <w:jc w:val="both"/>
              <w:rPr>
                <w:color w:val="92D050"/>
                <w:lang w:val="en-GB"/>
              </w:rPr>
            </w:pPr>
            <w:r w:rsidRPr="0045037A">
              <w:rPr>
                <w:color w:val="92D050"/>
                <w:lang w:val="en-GB"/>
              </w:rPr>
              <w:t>6) Supporting the provision and functioning of health services in health facilities as supply side and generating the demand side of services in the community.</w:t>
            </w:r>
          </w:p>
        </w:tc>
      </w:tr>
    </w:tbl>
    <w:p w14:paraId="4DAF51E8" w14:textId="0B86255A" w:rsidR="007172E8" w:rsidRDefault="007172E8"/>
    <w:p w14:paraId="058C1B7B" w14:textId="4CE56EFB" w:rsidR="007172E8" w:rsidRPr="00264FC1" w:rsidRDefault="007172E8" w:rsidP="00CE1F57">
      <w:pPr>
        <w:pStyle w:val="ListParagraph"/>
        <w:numPr>
          <w:ilvl w:val="0"/>
          <w:numId w:val="4"/>
        </w:numPr>
        <w:spacing w:line="300" w:lineRule="exact"/>
        <w:ind w:left="426"/>
        <w:rPr>
          <w:b/>
          <w:bCs/>
          <w:color w:val="70AD47" w:themeColor="accent6"/>
          <w:sz w:val="26"/>
          <w:szCs w:val="26"/>
          <w:lang w:val="en-GB"/>
        </w:rPr>
      </w:pPr>
      <w:r w:rsidRPr="00264FC1">
        <w:rPr>
          <w:b/>
          <w:bCs/>
          <w:color w:val="70AD47" w:themeColor="accent6"/>
          <w:sz w:val="26"/>
          <w:szCs w:val="26"/>
          <w:lang w:val="en-GB"/>
        </w:rPr>
        <w:t>Partner di</w:t>
      </w:r>
      <w:r w:rsidR="00067D86" w:rsidRPr="00264FC1">
        <w:rPr>
          <w:b/>
          <w:bCs/>
          <w:color w:val="70AD47" w:themeColor="accent6"/>
          <w:sz w:val="26"/>
          <w:szCs w:val="26"/>
          <w:lang w:val="en-GB"/>
        </w:rPr>
        <w:t>versification</w:t>
      </w:r>
      <w:r w:rsidR="0033192A">
        <w:rPr>
          <w:b/>
          <w:bCs/>
          <w:color w:val="70AD47" w:themeColor="accent6"/>
          <w:sz w:val="26"/>
          <w:szCs w:val="26"/>
          <w:lang w:val="en-GB"/>
        </w:rPr>
        <w:t xml:space="preserve"> (0.5 page)</w:t>
      </w:r>
    </w:p>
    <w:tbl>
      <w:tblPr>
        <w:tblStyle w:val="TableGrid"/>
        <w:tblW w:w="91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0"/>
        <w:gridCol w:w="22"/>
      </w:tblGrid>
      <w:tr w:rsidR="00E80A44" w14:paraId="3D086D68" w14:textId="77777777" w:rsidTr="6D39E4EB">
        <w:trPr>
          <w:gridAfter w:val="1"/>
          <w:wAfter w:w="22" w:type="dxa"/>
          <w:trHeight w:val="846"/>
        </w:trPr>
        <w:tc>
          <w:tcPr>
            <w:tcW w:w="9170" w:type="dxa"/>
            <w:shd w:val="clear" w:color="auto" w:fill="F2F2F2" w:themeFill="background1" w:themeFillShade="F2"/>
          </w:tcPr>
          <w:p w14:paraId="642D6855" w14:textId="06F505B3" w:rsidR="00E80A44" w:rsidRDefault="006D3657" w:rsidP="00E80A44">
            <w:pPr>
              <w:spacing w:line="300" w:lineRule="exact"/>
              <w:rPr>
                <w:color w:val="92D050"/>
                <w:lang w:val="en-GB"/>
              </w:rPr>
            </w:pPr>
            <w:r w:rsidRPr="579F3735">
              <w:rPr>
                <w:b/>
                <w:bCs/>
                <w:i/>
                <w:iCs/>
                <w:color w:val="000000" w:themeColor="text1"/>
                <w:sz w:val="20"/>
                <w:szCs w:val="20"/>
                <w:lang w:val="en-GB"/>
              </w:rPr>
              <w:t>3.1</w:t>
            </w:r>
            <w:r w:rsidR="00E80A44" w:rsidRPr="579F3735">
              <w:rPr>
                <w:b/>
                <w:bCs/>
                <w:i/>
                <w:iCs/>
                <w:color w:val="000000" w:themeColor="text1"/>
                <w:sz w:val="20"/>
                <w:szCs w:val="20"/>
                <w:lang w:val="en-GB"/>
              </w:rPr>
              <w:t xml:space="preserve"> Describe which partners you have already </w:t>
            </w:r>
            <w:r w:rsidR="005E728F" w:rsidRPr="579F3735">
              <w:rPr>
                <w:b/>
                <w:bCs/>
                <w:i/>
                <w:iCs/>
                <w:color w:val="000000" w:themeColor="text1"/>
                <w:sz w:val="20"/>
                <w:szCs w:val="20"/>
                <w:lang w:val="en-GB"/>
              </w:rPr>
              <w:t>mapped</w:t>
            </w:r>
            <w:r w:rsidR="00E80A44" w:rsidRPr="579F3735">
              <w:rPr>
                <w:b/>
                <w:bCs/>
                <w:i/>
                <w:iCs/>
                <w:color w:val="000000" w:themeColor="text1"/>
                <w:sz w:val="20"/>
                <w:szCs w:val="20"/>
                <w:lang w:val="en-GB"/>
              </w:rPr>
              <w:t xml:space="preserve">, including Alliance and Expanded partners </w:t>
            </w:r>
            <w:r w:rsidR="00FD6F4C" w:rsidRPr="579F3735">
              <w:rPr>
                <w:b/>
                <w:bCs/>
                <w:i/>
                <w:iCs/>
                <w:color w:val="000000" w:themeColor="text1"/>
                <w:sz w:val="20"/>
                <w:szCs w:val="20"/>
                <w:lang w:val="en-GB"/>
              </w:rPr>
              <w:t xml:space="preserve">(including </w:t>
            </w:r>
            <w:r w:rsidR="009A2D50" w:rsidRPr="579F3735">
              <w:rPr>
                <w:b/>
                <w:bCs/>
                <w:i/>
                <w:iCs/>
                <w:color w:val="000000" w:themeColor="text1"/>
                <w:sz w:val="20"/>
                <w:szCs w:val="20"/>
                <w:lang w:val="en-GB"/>
              </w:rPr>
              <w:t>Global Partners,</w:t>
            </w:r>
            <w:r w:rsidR="00FD6F4C" w:rsidRPr="579F3735">
              <w:rPr>
                <w:b/>
                <w:bCs/>
                <w:i/>
                <w:iCs/>
                <w:color w:val="000000" w:themeColor="text1"/>
                <w:sz w:val="20"/>
                <w:szCs w:val="20"/>
                <w:lang w:val="en-GB"/>
              </w:rPr>
              <w:t xml:space="preserve"> </w:t>
            </w:r>
            <w:r w:rsidR="00E80A44" w:rsidRPr="579F3735">
              <w:rPr>
                <w:b/>
                <w:bCs/>
                <w:i/>
                <w:iCs/>
                <w:color w:val="000000" w:themeColor="text1"/>
                <w:sz w:val="20"/>
                <w:szCs w:val="20"/>
                <w:lang w:val="en-GB"/>
              </w:rPr>
              <w:t>Local Partners</w:t>
            </w:r>
            <w:r w:rsidR="00FD6F4C" w:rsidRPr="579F3735">
              <w:rPr>
                <w:b/>
                <w:bCs/>
                <w:i/>
                <w:iCs/>
                <w:color w:val="000000" w:themeColor="text1"/>
                <w:sz w:val="20"/>
                <w:szCs w:val="20"/>
                <w:lang w:val="en-GB"/>
              </w:rPr>
              <w:t xml:space="preserve"> and</w:t>
            </w:r>
            <w:r w:rsidR="00E80A44" w:rsidRPr="579F3735">
              <w:rPr>
                <w:b/>
                <w:bCs/>
                <w:i/>
                <w:iCs/>
                <w:color w:val="000000" w:themeColor="text1"/>
                <w:sz w:val="20"/>
                <w:szCs w:val="20"/>
                <w:lang w:val="en-GB"/>
              </w:rPr>
              <w:t xml:space="preserve"> CSOs</w:t>
            </w:r>
            <w:r w:rsidR="00FD6F4C" w:rsidRPr="579F3735">
              <w:rPr>
                <w:b/>
                <w:bCs/>
                <w:i/>
                <w:iCs/>
                <w:color w:val="000000" w:themeColor="text1"/>
                <w:sz w:val="20"/>
                <w:szCs w:val="20"/>
                <w:lang w:val="en-GB"/>
              </w:rPr>
              <w:t>)</w:t>
            </w:r>
            <w:r w:rsidR="00E80A44" w:rsidRPr="579F3735">
              <w:rPr>
                <w:b/>
                <w:bCs/>
                <w:i/>
                <w:iCs/>
                <w:color w:val="000000" w:themeColor="text1"/>
                <w:sz w:val="20"/>
                <w:szCs w:val="20"/>
                <w:lang w:val="en-GB"/>
              </w:rPr>
              <w:t xml:space="preserve"> to support the activit</w:t>
            </w:r>
            <w:r w:rsidR="00EB769C" w:rsidRPr="579F3735">
              <w:rPr>
                <w:b/>
                <w:bCs/>
                <w:i/>
                <w:iCs/>
                <w:color w:val="000000" w:themeColor="text1"/>
                <w:sz w:val="20"/>
                <w:szCs w:val="20"/>
                <w:lang w:val="en-GB"/>
              </w:rPr>
              <w:t>ies</w:t>
            </w:r>
            <w:r w:rsidR="00E80A44" w:rsidRPr="579F3735">
              <w:rPr>
                <w:b/>
                <w:bCs/>
                <w:i/>
                <w:iCs/>
                <w:color w:val="000000" w:themeColor="text1"/>
                <w:sz w:val="20"/>
                <w:szCs w:val="20"/>
                <w:lang w:val="en-GB"/>
              </w:rPr>
              <w:t xml:space="preserve"> implementation?</w:t>
            </w:r>
            <w:r w:rsidR="005D0F9E" w:rsidRPr="579F3735">
              <w:rPr>
                <w:b/>
                <w:bCs/>
                <w:i/>
                <w:iCs/>
                <w:sz w:val="20"/>
                <w:szCs w:val="20"/>
                <w:lang w:val="en-GB"/>
              </w:rPr>
              <w:t xml:space="preserve"> (Refer to the</w:t>
            </w:r>
            <w:r w:rsidR="007F2F8B" w:rsidRPr="579F3735">
              <w:rPr>
                <w:b/>
                <w:bCs/>
                <w:i/>
                <w:iCs/>
                <w:sz w:val="20"/>
                <w:szCs w:val="20"/>
                <w:lang w:val="en-GB"/>
              </w:rPr>
              <w:t xml:space="preserve"> </w:t>
            </w:r>
            <w:hyperlink r:id="rId14">
              <w:r w:rsidR="007F2F8B" w:rsidRPr="579F3735">
                <w:rPr>
                  <w:rStyle w:val="Hyperlink"/>
                  <w:b/>
                  <w:bCs/>
                  <w:i/>
                  <w:iCs/>
                  <w:sz w:val="20"/>
                  <w:szCs w:val="20"/>
                  <w:lang w:val="en-GB"/>
                </w:rPr>
                <w:t>PEF Targeted Country Assistance (TCA) Guidance for 2022-2025 Multi-Year Planning</w:t>
              </w:r>
            </w:hyperlink>
            <w:r w:rsidR="005D0F9E" w:rsidRPr="579F3735">
              <w:rPr>
                <w:b/>
                <w:bCs/>
                <w:i/>
                <w:iCs/>
                <w:sz w:val="20"/>
                <w:szCs w:val="20"/>
                <w:lang w:val="en-GB"/>
              </w:rPr>
              <w:t xml:space="preserve"> for the type of institutions considered global versus local partners and CSOs.)</w:t>
            </w:r>
          </w:p>
        </w:tc>
      </w:tr>
      <w:tr w:rsidR="00520598" w14:paraId="62BDF2A5" w14:textId="77777777" w:rsidTr="6D39E4EB">
        <w:tc>
          <w:tcPr>
            <w:tcW w:w="9170" w:type="dxa"/>
            <w:gridSpan w:val="2"/>
            <w:tcBorders>
              <w:top w:val="single" w:sz="4" w:space="0" w:color="auto"/>
              <w:left w:val="single" w:sz="4" w:space="0" w:color="auto"/>
              <w:bottom w:val="single" w:sz="4" w:space="0" w:color="auto"/>
              <w:right w:val="single" w:sz="4" w:space="0" w:color="auto"/>
            </w:tcBorders>
          </w:tcPr>
          <w:p w14:paraId="02729DF2" w14:textId="77777777" w:rsidR="00520598" w:rsidRDefault="000964BA" w:rsidP="00684B23">
            <w:pPr>
              <w:spacing w:line="300" w:lineRule="exact"/>
              <w:jc w:val="both"/>
              <w:rPr>
                <w:color w:val="92D050"/>
                <w:lang w:val="en-GB"/>
              </w:rPr>
            </w:pPr>
            <w:r w:rsidRPr="000A2668">
              <w:rPr>
                <w:color w:val="92D050"/>
                <w:lang w:val="en-GB"/>
              </w:rPr>
              <w:t>Unfortunately, the partners were identified by Gavi and core partners for technical assistance (WHO, UNICEF, CDC, CDC and the World Bank) without returning to the Ministry of Health and before the needs were identified by the Ministry of Health, and through the identification of needs by the Ministry of Health, the need for local partners and global extended partners and other implementers of technical assistance to support the implementation of activities become insignificant, as the Ministry is satisfied with the presence of the core partners of technical assistance (WHO, UNICEF, CDC, CDC and the World Bank) as partners working to provide technical assistance in partnership with the Ministry of Health as main implementer.</w:t>
            </w:r>
          </w:p>
          <w:p w14:paraId="3A5299EB" w14:textId="1844EED7" w:rsidR="00BD2A81" w:rsidRPr="00BD2A81" w:rsidRDefault="00BD2A81" w:rsidP="00BD2A81">
            <w:pPr>
              <w:spacing w:line="300" w:lineRule="exact"/>
              <w:rPr>
                <w:color w:val="92D050"/>
                <w:lang w:val="en-GB"/>
              </w:rPr>
            </w:pPr>
            <w:r w:rsidRPr="00BD2A81">
              <w:rPr>
                <w:color w:val="92D050"/>
                <w:lang w:val="en-GB"/>
              </w:rPr>
              <w:t>From the side of the Ministry of Health, core partners achieve sufficiency and effectiveness as potential partners in all identified priority areas of EPI.</w:t>
            </w:r>
          </w:p>
          <w:p w14:paraId="18AA925F" w14:textId="2D307481" w:rsidR="00BD2A81" w:rsidRDefault="00BD2A81" w:rsidP="00BD2A81">
            <w:pPr>
              <w:spacing w:line="300" w:lineRule="exact"/>
              <w:jc w:val="both"/>
              <w:rPr>
                <w:color w:val="92D050"/>
                <w:lang w:val="en-GB"/>
              </w:rPr>
            </w:pPr>
            <w:r w:rsidRPr="00BD2A81">
              <w:rPr>
                <w:color w:val="92D050"/>
                <w:lang w:val="en-GB"/>
              </w:rPr>
              <w:t xml:space="preserve">From the side of the communities, Citizens’ thinking and distrust and lack of confidence of organizations and all that organizations provide and increase their presence in society must be </w:t>
            </w:r>
            <w:proofErr w:type="gramStart"/>
            <w:r w:rsidRPr="00BD2A81">
              <w:rPr>
                <w:color w:val="92D050"/>
                <w:lang w:val="en-GB"/>
              </w:rPr>
              <w:t>taken into account</w:t>
            </w:r>
            <w:proofErr w:type="gramEnd"/>
            <w:r w:rsidRPr="00BD2A81">
              <w:rPr>
                <w:color w:val="92D050"/>
                <w:lang w:val="en-GB"/>
              </w:rPr>
              <w:t xml:space="preserve"> and the negative sequences of more presence of organizations.</w:t>
            </w:r>
          </w:p>
        </w:tc>
      </w:tr>
      <w:tr w:rsidR="00520598" w14:paraId="72481A8B" w14:textId="77777777" w:rsidTr="6D39E4EB">
        <w:trPr>
          <w:trHeight w:val="845"/>
        </w:trPr>
        <w:tc>
          <w:tcPr>
            <w:tcW w:w="9170" w:type="dxa"/>
            <w:gridSpan w:val="2"/>
            <w:shd w:val="clear" w:color="auto" w:fill="F2F2F2" w:themeFill="background1" w:themeFillShade="F2"/>
          </w:tcPr>
          <w:p w14:paraId="29991F07" w14:textId="4D4DBC19" w:rsidR="00520598" w:rsidRPr="00520598" w:rsidRDefault="00520598" w:rsidP="579F3735">
            <w:pPr>
              <w:spacing w:line="300" w:lineRule="exact"/>
              <w:rPr>
                <w:b/>
                <w:bCs/>
                <w:i/>
                <w:iCs/>
                <w:color w:val="000000" w:themeColor="text1"/>
                <w:sz w:val="20"/>
                <w:szCs w:val="20"/>
                <w:lang w:val="en-GB"/>
              </w:rPr>
            </w:pPr>
            <w:r w:rsidRPr="579F3735">
              <w:rPr>
                <w:b/>
                <w:bCs/>
                <w:i/>
                <w:iCs/>
                <w:sz w:val="20"/>
                <w:szCs w:val="20"/>
                <w:lang w:val="en-GB"/>
              </w:rPr>
              <w:t>3.2 Please indicate how exactly you plan to collaborate with Local Partners</w:t>
            </w:r>
            <w:r w:rsidR="0008622F" w:rsidRPr="579F3735">
              <w:rPr>
                <w:b/>
                <w:bCs/>
                <w:i/>
                <w:iCs/>
                <w:sz w:val="20"/>
                <w:szCs w:val="20"/>
                <w:lang w:val="en-GB"/>
              </w:rPr>
              <w:t>.</w:t>
            </w:r>
          </w:p>
        </w:tc>
      </w:tr>
      <w:tr w:rsidR="00E80A44" w14:paraId="5B4D7083" w14:textId="77777777" w:rsidTr="6D39E4EB">
        <w:trPr>
          <w:gridAfter w:val="1"/>
          <w:wAfter w:w="22" w:type="dxa"/>
        </w:trPr>
        <w:tc>
          <w:tcPr>
            <w:tcW w:w="9170" w:type="dxa"/>
            <w:tcBorders>
              <w:top w:val="single" w:sz="4" w:space="0" w:color="auto"/>
              <w:left w:val="single" w:sz="4" w:space="0" w:color="auto"/>
              <w:bottom w:val="single" w:sz="4" w:space="0" w:color="auto"/>
              <w:right w:val="single" w:sz="4" w:space="0" w:color="auto"/>
            </w:tcBorders>
          </w:tcPr>
          <w:p w14:paraId="6420D9B9" w14:textId="0CE79474" w:rsidR="00E80A44" w:rsidRDefault="383862F3" w:rsidP="00684B23">
            <w:pPr>
              <w:spacing w:line="300" w:lineRule="exact"/>
              <w:jc w:val="both"/>
              <w:rPr>
                <w:color w:val="92D050"/>
                <w:lang w:val="en-GB"/>
              </w:rPr>
            </w:pPr>
            <w:r w:rsidRPr="6D39E4EB">
              <w:rPr>
                <w:color w:val="92D050"/>
                <w:lang w:val="en-GB"/>
              </w:rPr>
              <w:t xml:space="preserve">By reviewing the typical activities that can be supported by local partners and according to the Gavi Guidelines https://www.gavi.org/news/document-library/support/tca-guidelines, the Ministry of Health, if supported, in implementing the mentioned priority interventions in paragraph (2.6) of this narrative especially in its current status will be able to implement the proposed activities for local partners including (calling for the establishment of accountability frameworks at the local level to reach marginalized and remote communities, collection and use of subnational/community data to increase access to immunization services, identification of Zero-Dose Children, Lost Communities and </w:t>
            </w:r>
            <w:proofErr w:type="spellStart"/>
            <w:r w:rsidRPr="6D39E4EB">
              <w:rPr>
                <w:color w:val="92D050"/>
                <w:lang w:val="en-GB"/>
              </w:rPr>
              <w:t>underimmunized</w:t>
            </w:r>
            <w:proofErr w:type="spellEnd"/>
            <w:r w:rsidRPr="6D39E4EB">
              <w:rPr>
                <w:color w:val="92D050"/>
                <w:lang w:val="en-GB"/>
              </w:rPr>
              <w:t xml:space="preserve"> Children, facilitating access to areas previously inaccessible due to social, physical and/or operational barriers with the aim of ensuring vaccines and services are provided or communications adapted to reach communities, including languages ​​and cultures). In this context and in the event of supporting the above-mentioned priorities, the capacity of the Ministry of Health is much greater in strengthening immunization services at all levels, and the ability of the Ministry to reach all health facilities and communities is much easier than what organizations can reach, emphasizing that providing immunization services is exclusive to the National EPI in the Ministry of Health and its facilities at the national level, and no partner, no matter what, can work outside this approach. The intervention of organizations in providing immunization </w:t>
            </w:r>
            <w:r w:rsidRPr="6D39E4EB">
              <w:rPr>
                <w:color w:val="92D050"/>
                <w:lang w:val="en-GB"/>
              </w:rPr>
              <w:lastRenderedPageBreak/>
              <w:t>services on behalf of the ministry will have negative consequences on immunization coverage more than the current situation.</w:t>
            </w:r>
          </w:p>
        </w:tc>
      </w:tr>
      <w:tr w:rsidR="38F5364C" w14:paraId="5D1DCA18" w14:textId="77777777" w:rsidTr="6D39E4EB">
        <w:tc>
          <w:tcPr>
            <w:tcW w:w="9192" w:type="dxa"/>
            <w:gridSpan w:val="2"/>
            <w:tcBorders>
              <w:top w:val="single" w:sz="4" w:space="0" w:color="FFFFFF" w:themeColor="background1"/>
              <w:left w:val="none" w:sz="4" w:space="0" w:color="FFFFFF" w:themeColor="background1"/>
              <w:bottom w:val="single" w:sz="4" w:space="0" w:color="auto"/>
              <w:right w:val="none" w:sz="4" w:space="0" w:color="FFFFFF" w:themeColor="background1"/>
            </w:tcBorders>
            <w:shd w:val="clear" w:color="auto" w:fill="F2F2F2" w:themeFill="background1" w:themeFillShade="F2"/>
          </w:tcPr>
          <w:p w14:paraId="59D43D0B" w14:textId="2AE6E4DA" w:rsidR="2F92698C" w:rsidRDefault="3D5C2947" w:rsidP="704B32F1">
            <w:pPr>
              <w:spacing w:line="300" w:lineRule="exact"/>
              <w:rPr>
                <w:b/>
                <w:bCs/>
                <w:i/>
                <w:iCs/>
                <w:color w:val="000000" w:themeColor="text1"/>
                <w:sz w:val="20"/>
                <w:szCs w:val="20"/>
              </w:rPr>
            </w:pPr>
            <w:r w:rsidRPr="704B32F1">
              <w:rPr>
                <w:b/>
                <w:bCs/>
                <w:i/>
                <w:iCs/>
                <w:color w:val="000000" w:themeColor="text1"/>
                <w:sz w:val="20"/>
                <w:szCs w:val="20"/>
              </w:rPr>
              <w:lastRenderedPageBreak/>
              <w:t>3.</w:t>
            </w:r>
            <w:r w:rsidR="00520598">
              <w:rPr>
                <w:b/>
                <w:bCs/>
                <w:i/>
                <w:iCs/>
                <w:color w:val="000000" w:themeColor="text1"/>
                <w:sz w:val="20"/>
                <w:szCs w:val="20"/>
              </w:rPr>
              <w:t>3</w:t>
            </w:r>
            <w:r w:rsidRPr="704B32F1">
              <w:rPr>
                <w:b/>
                <w:bCs/>
                <w:i/>
                <w:iCs/>
                <w:color w:val="000000" w:themeColor="text1"/>
                <w:sz w:val="20"/>
                <w:szCs w:val="20"/>
              </w:rPr>
              <w:t xml:space="preserve"> </w:t>
            </w:r>
            <w:r w:rsidR="64431148" w:rsidRPr="704B32F1">
              <w:rPr>
                <w:b/>
                <w:bCs/>
                <w:i/>
                <w:iCs/>
                <w:color w:val="000000" w:themeColor="text1"/>
                <w:sz w:val="20"/>
                <w:szCs w:val="20"/>
              </w:rPr>
              <w:t xml:space="preserve">Please note the allocation of TCA to </w:t>
            </w:r>
            <w:r w:rsidR="009F19F8">
              <w:rPr>
                <w:b/>
                <w:bCs/>
                <w:i/>
                <w:iCs/>
                <w:color w:val="000000" w:themeColor="text1"/>
                <w:sz w:val="20"/>
                <w:szCs w:val="20"/>
              </w:rPr>
              <w:t>Local Partners</w:t>
            </w:r>
            <w:r w:rsidR="00B664EF">
              <w:rPr>
                <w:b/>
                <w:bCs/>
                <w:i/>
                <w:iCs/>
                <w:color w:val="000000" w:themeColor="text1"/>
                <w:sz w:val="20"/>
                <w:szCs w:val="20"/>
              </w:rPr>
              <w:t xml:space="preserve"> (only)</w:t>
            </w:r>
            <w:r w:rsidR="64431148" w:rsidRPr="704B32F1">
              <w:rPr>
                <w:b/>
                <w:bCs/>
                <w:i/>
                <w:iCs/>
                <w:color w:val="000000" w:themeColor="text1"/>
                <w:sz w:val="20"/>
                <w:szCs w:val="20"/>
              </w:rPr>
              <w:t xml:space="preserve"> and describe the approach you will use to comply with the </w:t>
            </w:r>
            <w:r w:rsidR="004E2955">
              <w:rPr>
                <w:b/>
                <w:bCs/>
                <w:i/>
                <w:iCs/>
                <w:color w:val="000000" w:themeColor="text1"/>
                <w:sz w:val="20"/>
                <w:szCs w:val="20"/>
              </w:rPr>
              <w:t>recommendation</w:t>
            </w:r>
            <w:r w:rsidR="64431148" w:rsidRPr="704B32F1">
              <w:rPr>
                <w:b/>
                <w:bCs/>
                <w:i/>
                <w:iCs/>
                <w:color w:val="000000" w:themeColor="text1"/>
                <w:sz w:val="20"/>
                <w:szCs w:val="20"/>
              </w:rPr>
              <w:t xml:space="preserve"> of allocating </w:t>
            </w:r>
            <w:r w:rsidR="004E2955">
              <w:rPr>
                <w:b/>
                <w:bCs/>
                <w:i/>
                <w:iCs/>
                <w:color w:val="000000" w:themeColor="text1"/>
                <w:sz w:val="20"/>
                <w:szCs w:val="20"/>
              </w:rPr>
              <w:t>30</w:t>
            </w:r>
            <w:r w:rsidR="64431148" w:rsidRPr="704B32F1">
              <w:rPr>
                <w:b/>
                <w:bCs/>
                <w:i/>
                <w:iCs/>
                <w:color w:val="000000" w:themeColor="text1"/>
                <w:sz w:val="20"/>
                <w:szCs w:val="20"/>
              </w:rPr>
              <w:t xml:space="preserve">% of TCA </w:t>
            </w:r>
            <w:r w:rsidR="004E2955">
              <w:rPr>
                <w:b/>
                <w:bCs/>
                <w:i/>
                <w:iCs/>
                <w:color w:val="000000" w:themeColor="text1"/>
                <w:sz w:val="20"/>
                <w:szCs w:val="20"/>
              </w:rPr>
              <w:t>to Local Partners</w:t>
            </w:r>
            <w:r w:rsidR="00D603BC">
              <w:rPr>
                <w:b/>
                <w:bCs/>
                <w:i/>
                <w:iCs/>
                <w:color w:val="000000" w:themeColor="text1"/>
                <w:sz w:val="20"/>
                <w:szCs w:val="20"/>
              </w:rPr>
              <w:t xml:space="preserve"> over the course of 2022-25</w:t>
            </w:r>
            <w:r w:rsidR="00704813">
              <w:rPr>
                <w:b/>
                <w:bCs/>
                <w:i/>
                <w:iCs/>
                <w:color w:val="000000" w:themeColor="text1"/>
                <w:sz w:val="20"/>
                <w:szCs w:val="20"/>
              </w:rPr>
              <w:t>.</w:t>
            </w:r>
            <w:r w:rsidR="00025BBE">
              <w:rPr>
                <w:b/>
                <w:bCs/>
                <w:i/>
                <w:iCs/>
                <w:color w:val="000000" w:themeColor="text1"/>
                <w:sz w:val="20"/>
                <w:szCs w:val="20"/>
              </w:rPr>
              <w:t xml:space="preserve"> </w:t>
            </w:r>
            <w:r w:rsidR="00025BBE" w:rsidRPr="002C42E8">
              <w:rPr>
                <w:i/>
                <w:sz w:val="20"/>
                <w:szCs w:val="20"/>
                <w:lang w:val="en-GB"/>
              </w:rPr>
              <w:t>Please refer to section 2.3 (3. Partner Mapping) of the PEF TCA Planning Guidelines for more information.</w:t>
            </w:r>
          </w:p>
        </w:tc>
      </w:tr>
      <w:tr w:rsidR="38F5364C" w14:paraId="094E7639" w14:textId="77777777" w:rsidTr="6D39E4EB">
        <w:tc>
          <w:tcPr>
            <w:tcW w:w="9192" w:type="dxa"/>
            <w:gridSpan w:val="2"/>
            <w:tcBorders>
              <w:top w:val="single" w:sz="4" w:space="0" w:color="auto"/>
              <w:left w:val="single" w:sz="4" w:space="0" w:color="auto"/>
              <w:bottom w:val="single" w:sz="4" w:space="0" w:color="auto"/>
              <w:right w:val="single" w:sz="4" w:space="0" w:color="auto"/>
            </w:tcBorders>
          </w:tcPr>
          <w:p w14:paraId="64958F87" w14:textId="246A33AD" w:rsidR="38F5364C" w:rsidRPr="00BD2A81" w:rsidRDefault="0908A70D" w:rsidP="00BD2A81">
            <w:pPr>
              <w:spacing w:line="300" w:lineRule="exact"/>
              <w:jc w:val="both"/>
              <w:rPr>
                <w:color w:val="92D050"/>
                <w:lang w:val="en-GB"/>
              </w:rPr>
            </w:pPr>
            <w:r w:rsidRPr="6D39E4EB">
              <w:rPr>
                <w:color w:val="92D050"/>
                <w:lang w:val="en-GB"/>
              </w:rPr>
              <w:t>The Ministry of Health does not think of other partners, since we have main partners (WHO &amp; UNICEF), and therefore the allocation of funds is through these two organizations and in partnership and cooperation between them and the MOH</w:t>
            </w:r>
          </w:p>
        </w:tc>
      </w:tr>
      <w:tr w:rsidR="009F19F8" w14:paraId="3821C077" w14:textId="77777777" w:rsidTr="6D39E4EB">
        <w:tc>
          <w:tcPr>
            <w:tcW w:w="9192" w:type="dxa"/>
            <w:gridSpan w:val="2"/>
            <w:tcBorders>
              <w:top w:val="single" w:sz="4" w:space="0" w:color="FFFFFF" w:themeColor="background1"/>
              <w:left w:val="none" w:sz="4" w:space="0" w:color="FFFFFF" w:themeColor="background1"/>
              <w:bottom w:val="single" w:sz="4" w:space="0" w:color="auto"/>
              <w:right w:val="none" w:sz="4" w:space="0" w:color="FFFFFF" w:themeColor="background1"/>
            </w:tcBorders>
            <w:shd w:val="clear" w:color="auto" w:fill="F2F2F2" w:themeFill="background1" w:themeFillShade="F2"/>
          </w:tcPr>
          <w:p w14:paraId="7F609ADB" w14:textId="799CFD5C" w:rsidR="009F19F8" w:rsidRDefault="009F19F8" w:rsidP="00752CEA">
            <w:pPr>
              <w:spacing w:line="300" w:lineRule="exact"/>
              <w:rPr>
                <w:b/>
                <w:bCs/>
                <w:i/>
                <w:iCs/>
                <w:color w:val="000000" w:themeColor="text1"/>
                <w:sz w:val="20"/>
                <w:szCs w:val="20"/>
              </w:rPr>
            </w:pPr>
            <w:r w:rsidRPr="704B32F1">
              <w:rPr>
                <w:b/>
                <w:bCs/>
                <w:i/>
                <w:iCs/>
                <w:color w:val="000000" w:themeColor="text1"/>
                <w:sz w:val="20"/>
                <w:szCs w:val="20"/>
              </w:rPr>
              <w:t>3.</w:t>
            </w:r>
            <w:r w:rsidR="00520598">
              <w:rPr>
                <w:b/>
                <w:bCs/>
                <w:i/>
                <w:iCs/>
                <w:color w:val="000000" w:themeColor="text1"/>
                <w:sz w:val="20"/>
                <w:szCs w:val="20"/>
              </w:rPr>
              <w:t>4</w:t>
            </w:r>
            <w:r w:rsidRPr="704B32F1">
              <w:rPr>
                <w:b/>
                <w:bCs/>
                <w:i/>
                <w:iCs/>
                <w:color w:val="000000" w:themeColor="text1"/>
                <w:sz w:val="20"/>
                <w:szCs w:val="20"/>
              </w:rPr>
              <w:t xml:space="preserve"> Please note the allocation of TCA to CSOs</w:t>
            </w:r>
            <w:r w:rsidR="008F50F8">
              <w:rPr>
                <w:b/>
                <w:bCs/>
                <w:i/>
                <w:iCs/>
                <w:color w:val="000000" w:themeColor="text1"/>
                <w:sz w:val="20"/>
                <w:szCs w:val="20"/>
              </w:rPr>
              <w:t xml:space="preserve"> only</w:t>
            </w:r>
            <w:r w:rsidRPr="704B32F1">
              <w:rPr>
                <w:b/>
                <w:bCs/>
                <w:i/>
                <w:iCs/>
                <w:color w:val="000000" w:themeColor="text1"/>
                <w:sz w:val="20"/>
                <w:szCs w:val="20"/>
              </w:rPr>
              <w:t xml:space="preserve"> (either Global or Local Expanded Partners) and describe the approach you will use to comply with the requirement of allocating 10% of combined TCA, EAF and HSS ceilings for CSO implementation (</w:t>
            </w:r>
            <w:proofErr w:type="gramStart"/>
            <w:r w:rsidRPr="704B32F1">
              <w:rPr>
                <w:b/>
                <w:bCs/>
                <w:i/>
                <w:iCs/>
                <w:color w:val="000000" w:themeColor="text1"/>
                <w:sz w:val="20"/>
                <w:szCs w:val="20"/>
              </w:rPr>
              <w:t>e.g</w:t>
            </w:r>
            <w:r w:rsidR="00A733BF">
              <w:rPr>
                <w:b/>
                <w:bCs/>
                <w:i/>
                <w:iCs/>
                <w:color w:val="000000" w:themeColor="text1"/>
                <w:sz w:val="20"/>
                <w:szCs w:val="20"/>
              </w:rPr>
              <w:t>.</w:t>
            </w:r>
            <w:proofErr w:type="gramEnd"/>
            <w:r w:rsidRPr="704B32F1">
              <w:rPr>
                <w:b/>
                <w:bCs/>
                <w:i/>
                <w:iCs/>
                <w:color w:val="000000" w:themeColor="text1"/>
                <w:sz w:val="20"/>
                <w:szCs w:val="20"/>
              </w:rPr>
              <w:t xml:space="preserve"> if less than 10% of TCA funding is allocated to CSOs, please indicate how this will be compensated through </w:t>
            </w:r>
            <w:r w:rsidR="00A733BF">
              <w:rPr>
                <w:b/>
                <w:bCs/>
                <w:i/>
                <w:iCs/>
                <w:color w:val="000000" w:themeColor="text1"/>
                <w:sz w:val="20"/>
                <w:szCs w:val="20"/>
              </w:rPr>
              <w:t xml:space="preserve">the </w:t>
            </w:r>
            <w:r w:rsidRPr="704B32F1">
              <w:rPr>
                <w:b/>
                <w:bCs/>
                <w:i/>
                <w:iCs/>
                <w:color w:val="000000" w:themeColor="text1"/>
                <w:sz w:val="20"/>
                <w:szCs w:val="20"/>
              </w:rPr>
              <w:t>allocation of HSS and EAF funding to CSOs).</w:t>
            </w:r>
            <w:r w:rsidR="00025BBE">
              <w:rPr>
                <w:b/>
                <w:bCs/>
                <w:i/>
                <w:iCs/>
                <w:color w:val="000000" w:themeColor="text1"/>
                <w:sz w:val="20"/>
                <w:szCs w:val="20"/>
              </w:rPr>
              <w:t xml:space="preserve"> </w:t>
            </w:r>
            <w:r w:rsidR="00025BBE" w:rsidRPr="002C42E8">
              <w:rPr>
                <w:i/>
                <w:sz w:val="20"/>
                <w:szCs w:val="20"/>
                <w:lang w:val="en-GB"/>
              </w:rPr>
              <w:t>Please refer to section 2.3 (3. Partner Mapping) of the PEF TCA Planning Guidelines for more information.</w:t>
            </w:r>
          </w:p>
        </w:tc>
      </w:tr>
      <w:tr w:rsidR="009F19F8" w14:paraId="3F43E4A9" w14:textId="77777777" w:rsidTr="6D39E4EB">
        <w:tc>
          <w:tcPr>
            <w:tcW w:w="9192" w:type="dxa"/>
            <w:gridSpan w:val="2"/>
            <w:tcBorders>
              <w:top w:val="single" w:sz="4" w:space="0" w:color="auto"/>
              <w:left w:val="single" w:sz="4" w:space="0" w:color="auto"/>
              <w:bottom w:val="single" w:sz="4" w:space="0" w:color="auto"/>
              <w:right w:val="single" w:sz="4" w:space="0" w:color="auto"/>
            </w:tcBorders>
          </w:tcPr>
          <w:p w14:paraId="01E16748" w14:textId="6BBF437E" w:rsidR="009F19F8" w:rsidRDefault="0092123A" w:rsidP="00752CEA">
            <w:pPr>
              <w:spacing w:line="300" w:lineRule="exact"/>
              <w:rPr>
                <w:lang w:val="en-GB"/>
              </w:rPr>
            </w:pPr>
            <w:r>
              <w:rPr>
                <w:color w:val="92D050"/>
                <w:lang w:val="en-GB"/>
              </w:rPr>
              <w:t xml:space="preserve">This section is </w:t>
            </w:r>
            <w:proofErr w:type="spellStart"/>
            <w:r w:rsidRPr="00013D30">
              <w:rPr>
                <w:color w:val="92D050"/>
                <w:lang w:val="en-GB"/>
              </w:rPr>
              <w:t>is</w:t>
            </w:r>
            <w:proofErr w:type="spellEnd"/>
            <w:r w:rsidRPr="00013D30">
              <w:rPr>
                <w:color w:val="92D050"/>
                <w:lang w:val="en-GB"/>
              </w:rPr>
              <w:t xml:space="preserve"> linked to the response in section </w:t>
            </w:r>
            <w:r>
              <w:rPr>
                <w:color w:val="92D050"/>
                <w:lang w:val="en-GB"/>
              </w:rPr>
              <w:t>3.3</w:t>
            </w:r>
          </w:p>
        </w:tc>
      </w:tr>
    </w:tbl>
    <w:p w14:paraId="0FF1AB89" w14:textId="77777777" w:rsidR="00372D1F" w:rsidRPr="009F19F8" w:rsidRDefault="00372D1F" w:rsidP="00372D1F">
      <w:pPr>
        <w:pStyle w:val="ListParagraph"/>
        <w:spacing w:line="300" w:lineRule="exact"/>
        <w:ind w:left="0"/>
        <w:jc w:val="right"/>
        <w:rPr>
          <w:b/>
          <w:color w:val="70AD47" w:themeColor="accent6"/>
          <w:sz w:val="26"/>
          <w:szCs w:val="26"/>
        </w:rPr>
      </w:pPr>
    </w:p>
    <w:p w14:paraId="79848434" w14:textId="5CA61DE4" w:rsidR="009F0292" w:rsidRPr="0033192A" w:rsidRDefault="009F0292" w:rsidP="00CE1F57">
      <w:pPr>
        <w:pStyle w:val="ListParagraph"/>
        <w:numPr>
          <w:ilvl w:val="0"/>
          <w:numId w:val="4"/>
        </w:numPr>
        <w:spacing w:line="300" w:lineRule="exact"/>
        <w:rPr>
          <w:b/>
          <w:color w:val="84C650"/>
          <w:sz w:val="26"/>
          <w:szCs w:val="26"/>
          <w:lang w:val="en-GB"/>
        </w:rPr>
      </w:pPr>
      <w:r w:rsidRPr="0033192A">
        <w:rPr>
          <w:b/>
          <w:color w:val="70AD47" w:themeColor="accent6"/>
          <w:sz w:val="26"/>
          <w:szCs w:val="26"/>
          <w:lang w:val="en-GB"/>
        </w:rPr>
        <w:t>Lessons learnt from past TA experience (0.5 page)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2"/>
      </w:tblGrid>
      <w:tr w:rsidR="009F0292" w14:paraId="3F8B0CB5" w14:textId="77777777" w:rsidTr="00DD391A">
        <w:tc>
          <w:tcPr>
            <w:tcW w:w="9192" w:type="dxa"/>
            <w:tcBorders>
              <w:bottom w:val="single" w:sz="4" w:space="0" w:color="auto"/>
            </w:tcBorders>
            <w:shd w:val="clear" w:color="auto" w:fill="F2F2F2" w:themeFill="background1" w:themeFillShade="F2"/>
          </w:tcPr>
          <w:p w14:paraId="6BD0AD08" w14:textId="376F045C" w:rsidR="009F0292" w:rsidRPr="00B614D7" w:rsidRDefault="0033192A" w:rsidP="00871FCF">
            <w:pPr>
              <w:spacing w:line="300" w:lineRule="exact"/>
              <w:rPr>
                <w:b/>
                <w:bCs/>
                <w:color w:val="92D050"/>
                <w:lang w:val="en-GB"/>
              </w:rPr>
            </w:pPr>
            <w:r>
              <w:rPr>
                <w:b/>
                <w:bCs/>
                <w:i/>
                <w:iCs/>
                <w:color w:val="000000" w:themeColor="text1"/>
                <w:sz w:val="20"/>
                <w:szCs w:val="20"/>
                <w:lang w:val="en-GB"/>
              </w:rPr>
              <w:t>4.</w:t>
            </w:r>
            <w:r w:rsidR="009F0292">
              <w:rPr>
                <w:b/>
                <w:bCs/>
                <w:i/>
                <w:iCs/>
                <w:color w:val="000000" w:themeColor="text1"/>
                <w:sz w:val="20"/>
                <w:szCs w:val="20"/>
                <w:lang w:val="en-GB"/>
              </w:rPr>
              <w:t xml:space="preserve">1 </w:t>
            </w:r>
            <w:r w:rsidR="009F0292" w:rsidRPr="00B614D7">
              <w:rPr>
                <w:b/>
                <w:bCs/>
                <w:i/>
                <w:iCs/>
                <w:color w:val="000000" w:themeColor="text1"/>
                <w:sz w:val="20"/>
                <w:szCs w:val="20"/>
                <w:lang w:val="en-GB"/>
              </w:rPr>
              <w:t xml:space="preserve">Please explain how the </w:t>
            </w:r>
            <w:r w:rsidR="009F0292">
              <w:rPr>
                <w:b/>
                <w:bCs/>
                <w:i/>
                <w:iCs/>
                <w:color w:val="000000" w:themeColor="text1"/>
                <w:sz w:val="20"/>
                <w:szCs w:val="20"/>
                <w:lang w:val="en-GB"/>
              </w:rPr>
              <w:t>TCA</w:t>
            </w:r>
            <w:r w:rsidR="009F0292" w:rsidRPr="00B614D7">
              <w:rPr>
                <w:b/>
                <w:bCs/>
                <w:i/>
                <w:iCs/>
                <w:color w:val="000000" w:themeColor="text1"/>
                <w:sz w:val="20"/>
                <w:szCs w:val="20"/>
                <w:lang w:val="en-GB"/>
              </w:rPr>
              <w:t xml:space="preserve"> plan will build on previous performance, lessons learned, and best practices of TCA activities from your previous </w:t>
            </w:r>
            <w:r w:rsidR="009F0292">
              <w:rPr>
                <w:b/>
                <w:bCs/>
                <w:i/>
                <w:iCs/>
                <w:color w:val="000000" w:themeColor="text1"/>
                <w:sz w:val="20"/>
                <w:szCs w:val="20"/>
                <w:lang w:val="en-GB"/>
              </w:rPr>
              <w:t>T</w:t>
            </w:r>
            <w:r w:rsidR="009F0292" w:rsidRPr="00B614D7">
              <w:rPr>
                <w:b/>
                <w:bCs/>
                <w:i/>
                <w:iCs/>
                <w:color w:val="000000" w:themeColor="text1"/>
                <w:sz w:val="20"/>
                <w:szCs w:val="20"/>
                <w:lang w:val="en-GB"/>
              </w:rPr>
              <w:t>CA plan</w:t>
            </w:r>
            <w:r w:rsidR="0048676E">
              <w:rPr>
                <w:b/>
                <w:bCs/>
                <w:i/>
                <w:iCs/>
                <w:color w:val="000000" w:themeColor="text1"/>
                <w:sz w:val="20"/>
                <w:szCs w:val="20"/>
                <w:lang w:val="en-GB"/>
              </w:rPr>
              <w:t>, including</w:t>
            </w:r>
            <w:r w:rsidR="009D07BA">
              <w:rPr>
                <w:b/>
                <w:bCs/>
                <w:i/>
                <w:iCs/>
                <w:color w:val="000000" w:themeColor="text1"/>
                <w:sz w:val="20"/>
                <w:szCs w:val="20"/>
                <w:lang w:val="en-GB"/>
              </w:rPr>
              <w:t xml:space="preserve"> </w:t>
            </w:r>
            <w:r w:rsidR="006E0314">
              <w:rPr>
                <w:b/>
                <w:bCs/>
                <w:i/>
                <w:iCs/>
                <w:color w:val="000000" w:themeColor="text1"/>
                <w:sz w:val="20"/>
                <w:szCs w:val="20"/>
                <w:lang w:val="en-GB"/>
              </w:rPr>
              <w:t xml:space="preserve">contributions to the national programme and </w:t>
            </w:r>
            <w:r w:rsidR="00C9453B">
              <w:rPr>
                <w:b/>
                <w:bCs/>
                <w:i/>
                <w:iCs/>
                <w:color w:val="000000" w:themeColor="text1"/>
                <w:sz w:val="20"/>
                <w:szCs w:val="20"/>
                <w:lang w:val="en-GB"/>
              </w:rPr>
              <w:t xml:space="preserve">knowledge/skill </w:t>
            </w:r>
            <w:r w:rsidR="009C20B6">
              <w:rPr>
                <w:b/>
                <w:bCs/>
                <w:i/>
                <w:iCs/>
                <w:color w:val="000000" w:themeColor="text1"/>
                <w:sz w:val="20"/>
                <w:szCs w:val="20"/>
                <w:lang w:val="en-GB"/>
              </w:rPr>
              <w:t>building,</w:t>
            </w:r>
            <w:r w:rsidR="00652E87">
              <w:rPr>
                <w:b/>
                <w:bCs/>
                <w:i/>
                <w:iCs/>
                <w:color w:val="000000" w:themeColor="text1"/>
                <w:sz w:val="20"/>
                <w:szCs w:val="20"/>
                <w:lang w:val="en-GB"/>
              </w:rPr>
              <w:t xml:space="preserve"> and how this has been </w:t>
            </w:r>
            <w:proofErr w:type="gramStart"/>
            <w:r w:rsidR="00652E87">
              <w:rPr>
                <w:b/>
                <w:bCs/>
                <w:i/>
                <w:iCs/>
                <w:color w:val="000000" w:themeColor="text1"/>
                <w:sz w:val="20"/>
                <w:szCs w:val="20"/>
                <w:lang w:val="en-GB"/>
              </w:rPr>
              <w:t>taken into account</w:t>
            </w:r>
            <w:proofErr w:type="gramEnd"/>
            <w:r w:rsidR="00652E87">
              <w:rPr>
                <w:b/>
                <w:bCs/>
                <w:i/>
                <w:iCs/>
                <w:color w:val="000000" w:themeColor="text1"/>
                <w:sz w:val="20"/>
                <w:szCs w:val="20"/>
                <w:lang w:val="en-GB"/>
              </w:rPr>
              <w:t xml:space="preserve"> in </w:t>
            </w:r>
            <w:r w:rsidR="00FA04B1">
              <w:rPr>
                <w:b/>
                <w:bCs/>
                <w:i/>
                <w:iCs/>
                <w:color w:val="000000" w:themeColor="text1"/>
                <w:sz w:val="20"/>
                <w:szCs w:val="20"/>
                <w:lang w:val="en-GB"/>
              </w:rPr>
              <w:t>this TCA planning and prioritisation</w:t>
            </w:r>
            <w:r w:rsidR="009F0292" w:rsidRPr="00B614D7">
              <w:rPr>
                <w:b/>
                <w:bCs/>
                <w:i/>
                <w:iCs/>
                <w:color w:val="000000" w:themeColor="text1"/>
                <w:sz w:val="20"/>
                <w:szCs w:val="20"/>
                <w:lang w:val="en-GB"/>
              </w:rPr>
              <w:t xml:space="preserve">. </w:t>
            </w:r>
            <w:r w:rsidR="009F0292" w:rsidRPr="00B614D7">
              <w:rPr>
                <w:b/>
                <w:bCs/>
                <w:i/>
                <w:iCs/>
                <w:sz w:val="20"/>
                <w:szCs w:val="20"/>
              </w:rPr>
              <w:t xml:space="preserve"> </w:t>
            </w:r>
          </w:p>
        </w:tc>
      </w:tr>
      <w:tr w:rsidR="009F0292" w14:paraId="690BE9DA" w14:textId="77777777" w:rsidTr="00DD391A">
        <w:tc>
          <w:tcPr>
            <w:tcW w:w="9192" w:type="dxa"/>
            <w:tcBorders>
              <w:top w:val="single" w:sz="4" w:space="0" w:color="auto"/>
              <w:left w:val="single" w:sz="4" w:space="0" w:color="auto"/>
              <w:bottom w:val="single" w:sz="4" w:space="0" w:color="auto"/>
              <w:right w:val="single" w:sz="4" w:space="0" w:color="auto"/>
            </w:tcBorders>
          </w:tcPr>
          <w:p w14:paraId="54735EE2" w14:textId="54BB0C7B" w:rsidR="009F0292" w:rsidRDefault="000964BA" w:rsidP="00684B23">
            <w:pPr>
              <w:spacing w:line="300" w:lineRule="exact"/>
              <w:jc w:val="both"/>
              <w:rPr>
                <w:color w:val="92D050"/>
                <w:lang w:val="en-GB"/>
              </w:rPr>
            </w:pPr>
            <w:r w:rsidRPr="000A2668">
              <w:rPr>
                <w:color w:val="92D050"/>
                <w:lang w:val="en-GB"/>
              </w:rPr>
              <w:t xml:space="preserve">During the previous years, and despite the reservations of the Ministry of Health on the feasibility of targeted country assistance (TCA), there are no lessons learned in this regard, as this support is managed by the core partners away from the Ministry of health, as if the support is for the partners and the Ministry and the Expanded National Immunization Program have nothing to do with that, and therefore there is no any performance, lessons or practices that can be benefited from, and it should be noted that the technical support by the core partners is in most cases limited to working within the organizations away from the EPI and the field, and it was aimed for the international and local experts employed by the organizations to provide technical assistance to the national EPI at the MOH and EPI </w:t>
            </w:r>
            <w:proofErr w:type="spellStart"/>
            <w:r w:rsidRPr="000A2668">
              <w:rPr>
                <w:color w:val="92D050"/>
                <w:lang w:val="en-GB"/>
              </w:rPr>
              <w:t>programm</w:t>
            </w:r>
            <w:proofErr w:type="spellEnd"/>
            <w:r w:rsidRPr="000A2668">
              <w:rPr>
                <w:color w:val="92D050"/>
                <w:lang w:val="en-GB"/>
              </w:rPr>
              <w:t xml:space="preserve"> and field visits to identify health needs, even for specific days per week, but this is not done, and there are experts who come and go without any benefit that the Ministry and EPI </w:t>
            </w:r>
            <w:proofErr w:type="spellStart"/>
            <w:r w:rsidRPr="000A2668">
              <w:rPr>
                <w:color w:val="92D050"/>
                <w:lang w:val="en-GB"/>
              </w:rPr>
              <w:t>programm</w:t>
            </w:r>
            <w:proofErr w:type="spellEnd"/>
            <w:r w:rsidRPr="000A2668">
              <w:rPr>
                <w:color w:val="92D050"/>
                <w:lang w:val="en-GB"/>
              </w:rPr>
              <w:t xml:space="preserve"> obtain from these experts, but they gain experience in Yemen and from the current situation of Yemen and leave the country.</w:t>
            </w:r>
          </w:p>
        </w:tc>
      </w:tr>
    </w:tbl>
    <w:p w14:paraId="4B96F6BD" w14:textId="77777777" w:rsidR="009F0292" w:rsidRDefault="009F0292" w:rsidP="00372D1F">
      <w:pPr>
        <w:pStyle w:val="ListParagraph"/>
        <w:spacing w:line="300" w:lineRule="exact"/>
        <w:ind w:left="0"/>
        <w:jc w:val="right"/>
        <w:rPr>
          <w:b/>
          <w:color w:val="70AD47" w:themeColor="accent6"/>
          <w:sz w:val="26"/>
          <w:szCs w:val="26"/>
          <w:lang w:val="en-GB"/>
        </w:rPr>
      </w:pPr>
    </w:p>
    <w:p w14:paraId="11BFC6A9" w14:textId="753345FA" w:rsidR="00610D71" w:rsidRPr="00A957C9" w:rsidRDefault="003F0221" w:rsidP="00CE1F57">
      <w:pPr>
        <w:pStyle w:val="ListParagraph"/>
        <w:numPr>
          <w:ilvl w:val="0"/>
          <w:numId w:val="4"/>
        </w:numPr>
        <w:spacing w:line="300" w:lineRule="exact"/>
        <w:rPr>
          <w:b/>
          <w:bCs/>
          <w:color w:val="84C650"/>
          <w:sz w:val="26"/>
          <w:szCs w:val="26"/>
          <w:lang w:val="en-GB"/>
        </w:rPr>
      </w:pPr>
      <w:r w:rsidRPr="08473C56">
        <w:rPr>
          <w:b/>
          <w:bCs/>
          <w:color w:val="70AD47" w:themeColor="accent6"/>
          <w:sz w:val="26"/>
          <w:szCs w:val="26"/>
          <w:lang w:val="en-GB"/>
        </w:rPr>
        <w:t>Align</w:t>
      </w:r>
      <w:r w:rsidR="000A3F37" w:rsidRPr="08473C56">
        <w:rPr>
          <w:b/>
          <w:bCs/>
          <w:color w:val="70AD47" w:themeColor="accent6"/>
          <w:sz w:val="26"/>
          <w:szCs w:val="26"/>
          <w:lang w:val="en-GB"/>
        </w:rPr>
        <w:t xml:space="preserve">ment of </w:t>
      </w:r>
      <w:r w:rsidR="000A6AC3" w:rsidRPr="08473C56">
        <w:rPr>
          <w:b/>
          <w:bCs/>
          <w:color w:val="70AD47" w:themeColor="accent6"/>
          <w:sz w:val="26"/>
          <w:szCs w:val="26"/>
          <w:lang w:val="en-GB"/>
        </w:rPr>
        <w:t>the</w:t>
      </w:r>
      <w:r w:rsidR="000A3F37" w:rsidRPr="08473C56">
        <w:rPr>
          <w:b/>
          <w:bCs/>
          <w:color w:val="70AD47" w:themeColor="accent6"/>
          <w:sz w:val="26"/>
          <w:szCs w:val="26"/>
          <w:lang w:val="en-GB"/>
        </w:rPr>
        <w:t xml:space="preserve"> One T</w:t>
      </w:r>
      <w:r w:rsidR="002510AA" w:rsidRPr="08473C56">
        <w:rPr>
          <w:b/>
          <w:bCs/>
          <w:color w:val="70AD47" w:themeColor="accent6"/>
          <w:sz w:val="26"/>
          <w:szCs w:val="26"/>
          <w:lang w:val="en-GB"/>
        </w:rPr>
        <w:t>C</w:t>
      </w:r>
      <w:r w:rsidR="000A3F37" w:rsidRPr="08473C56">
        <w:rPr>
          <w:b/>
          <w:bCs/>
          <w:color w:val="70AD47" w:themeColor="accent6"/>
          <w:sz w:val="26"/>
          <w:szCs w:val="26"/>
          <w:lang w:val="en-GB"/>
        </w:rPr>
        <w:t xml:space="preserve">A plan with </w:t>
      </w:r>
      <w:r w:rsidR="00106608" w:rsidRPr="08473C56">
        <w:rPr>
          <w:b/>
          <w:bCs/>
          <w:color w:val="70AD47" w:themeColor="accent6"/>
          <w:sz w:val="26"/>
          <w:szCs w:val="26"/>
          <w:lang w:val="en-GB"/>
        </w:rPr>
        <w:t xml:space="preserve">future </w:t>
      </w:r>
      <w:r w:rsidR="00600378">
        <w:rPr>
          <w:b/>
          <w:bCs/>
          <w:color w:val="70AD47" w:themeColor="accent6"/>
          <w:sz w:val="26"/>
          <w:szCs w:val="26"/>
          <w:lang w:val="en-GB"/>
        </w:rPr>
        <w:t xml:space="preserve">Gavi </w:t>
      </w:r>
      <w:r w:rsidR="00106608" w:rsidRPr="08473C56">
        <w:rPr>
          <w:b/>
          <w:bCs/>
          <w:color w:val="70AD47" w:themeColor="accent6"/>
          <w:sz w:val="26"/>
          <w:szCs w:val="26"/>
          <w:lang w:val="en-GB"/>
        </w:rPr>
        <w:t>planned investments</w:t>
      </w:r>
      <w:r w:rsidR="005747F6" w:rsidRPr="08473C56">
        <w:rPr>
          <w:b/>
          <w:bCs/>
          <w:color w:val="70AD47" w:themeColor="accent6"/>
          <w:sz w:val="26"/>
          <w:szCs w:val="26"/>
          <w:lang w:val="en-GB"/>
        </w:rPr>
        <w:t xml:space="preserve"> (0.5 page)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2"/>
      </w:tblGrid>
      <w:tr w:rsidR="00A957C9" w14:paraId="3F6BA8B3" w14:textId="77777777" w:rsidTr="005F26FC">
        <w:tc>
          <w:tcPr>
            <w:tcW w:w="9192" w:type="dxa"/>
            <w:tcBorders>
              <w:bottom w:val="single" w:sz="4" w:space="0" w:color="auto"/>
            </w:tcBorders>
            <w:shd w:val="clear" w:color="auto" w:fill="F2F2F2" w:themeFill="background1" w:themeFillShade="F2"/>
          </w:tcPr>
          <w:p w14:paraId="518A3DA4" w14:textId="2C18AF85" w:rsidR="00A957C9" w:rsidRPr="00CF3BC4" w:rsidRDefault="007476F9" w:rsidP="00FC4A11">
            <w:pPr>
              <w:pStyle w:val="ListParagraph"/>
              <w:spacing w:line="300" w:lineRule="exact"/>
              <w:ind w:left="0"/>
              <w:rPr>
                <w:b/>
                <w:bCs/>
                <w:i/>
                <w:iCs/>
                <w:color w:val="84C650"/>
                <w:sz w:val="26"/>
                <w:szCs w:val="26"/>
                <w:lang w:val="en-GB"/>
              </w:rPr>
            </w:pPr>
            <w:r>
              <w:rPr>
                <w:b/>
                <w:bCs/>
                <w:i/>
                <w:iCs/>
                <w:sz w:val="20"/>
                <w:szCs w:val="20"/>
              </w:rPr>
              <w:t>5</w:t>
            </w:r>
            <w:r w:rsidR="00B80406">
              <w:rPr>
                <w:b/>
                <w:bCs/>
                <w:i/>
                <w:iCs/>
                <w:sz w:val="20"/>
                <w:szCs w:val="20"/>
              </w:rPr>
              <w:t xml:space="preserve">.1 </w:t>
            </w:r>
            <w:r w:rsidR="00A957C9" w:rsidRPr="00CF3BC4">
              <w:rPr>
                <w:b/>
                <w:bCs/>
                <w:i/>
                <w:iCs/>
                <w:sz w:val="20"/>
                <w:szCs w:val="20"/>
              </w:rPr>
              <w:t xml:space="preserve">Please list all planned upcoming Gavi investments (e.g.  </w:t>
            </w:r>
            <w:r w:rsidR="00016A9B">
              <w:rPr>
                <w:b/>
                <w:bCs/>
                <w:i/>
                <w:iCs/>
                <w:sz w:val="20"/>
                <w:szCs w:val="20"/>
              </w:rPr>
              <w:t>new vaccine support</w:t>
            </w:r>
            <w:r w:rsidR="00A957C9" w:rsidRPr="00CF3BC4">
              <w:rPr>
                <w:b/>
                <w:bCs/>
                <w:i/>
                <w:iCs/>
                <w:sz w:val="20"/>
                <w:szCs w:val="20"/>
              </w:rPr>
              <w:t xml:space="preserve">, CCEOP) that would require TA support within the planned period, including Full Portfolio Planning process and describe how the </w:t>
            </w:r>
            <w:r w:rsidR="00372D1F">
              <w:rPr>
                <w:b/>
                <w:bCs/>
                <w:i/>
                <w:iCs/>
                <w:sz w:val="20"/>
                <w:szCs w:val="20"/>
              </w:rPr>
              <w:t>TCA</w:t>
            </w:r>
            <w:r w:rsidR="00A957C9" w:rsidRPr="00CF3BC4">
              <w:rPr>
                <w:b/>
                <w:bCs/>
                <w:i/>
                <w:iCs/>
                <w:sz w:val="20"/>
                <w:szCs w:val="20"/>
              </w:rPr>
              <w:t xml:space="preserve"> plan will be aligned with the ongoing and/or planned investments made by Gavi</w:t>
            </w:r>
            <w:r w:rsidR="005F6AD5">
              <w:rPr>
                <w:b/>
                <w:bCs/>
                <w:i/>
                <w:iCs/>
                <w:sz w:val="20"/>
                <w:szCs w:val="20"/>
              </w:rPr>
              <w:t>.</w:t>
            </w:r>
          </w:p>
        </w:tc>
      </w:tr>
      <w:tr w:rsidR="00A957C9" w:rsidRPr="006A272B" w14:paraId="7B4C9334" w14:textId="77777777" w:rsidTr="005F26FC">
        <w:trPr>
          <w:trHeight w:val="50"/>
        </w:trPr>
        <w:tc>
          <w:tcPr>
            <w:tcW w:w="9192" w:type="dxa"/>
            <w:tcBorders>
              <w:top w:val="single" w:sz="4" w:space="0" w:color="auto"/>
              <w:left w:val="single" w:sz="4" w:space="0" w:color="auto"/>
              <w:bottom w:val="single" w:sz="4" w:space="0" w:color="auto"/>
              <w:right w:val="single" w:sz="4" w:space="0" w:color="auto"/>
            </w:tcBorders>
          </w:tcPr>
          <w:p w14:paraId="04276BEC" w14:textId="77777777" w:rsidR="00A957C9" w:rsidRDefault="00DB449E" w:rsidP="00684B23">
            <w:pPr>
              <w:spacing w:line="300" w:lineRule="exact"/>
              <w:jc w:val="both"/>
              <w:rPr>
                <w:color w:val="92D050"/>
                <w:lang w:val="en-GB"/>
              </w:rPr>
            </w:pPr>
            <w:r w:rsidRPr="000A2668">
              <w:rPr>
                <w:color w:val="92D050"/>
                <w:lang w:val="en-GB"/>
              </w:rPr>
              <w:lastRenderedPageBreak/>
              <w:t>GAVI’s investments in the health sector for more than 20 years are considered articulate and feasible through the Health System Strengthening Program (HSS) through investments that have gained continuity and sustainability and touched the needs in the uninterrupted provision of vaccines, support for new vaccines, the cold chain, detailed micro-planning processes, alignment of national needs and the general resilience of Gavi, the one for Yemen, which is one of the best past, current and future investments. The priorities of the needs of the Ministry of Health and the national EPI program in this document are very important to benefit from the upcoming and planned investments of Gavi, and we at the Ministry of Health are recognize the eight investments identified by Gavi are in line with the directions and priorities of the Ministry of Health, and through Gavi's investments, we seek in the Ministry of Health to operate all health facilities to provide a package of primary health care services, including immunization at a rate of 100%, and this is in line with current and future support, although it is insufficient in providing sufficient cold chain to reach cold chain coverage that works with Solar energy in all health facilities at a rate of 100%, in addition to supporting the information system, surveillance and health education, as well as the supply chain and providing incentives for those in charge of immunization services at all central levels, governorates and directorates, so the Ministry stresses the need to build on Gavi’s past, current and future investments and benefit from targeted country assistance (TCA) in the institutional work of the Ministry of Health and not to distract efforts and investment through other partners who implement instead of the Ministry of Health, thus demolishing the successes achieved with the support provided by Gavi for a period exceeding 20 years.</w:t>
            </w:r>
          </w:p>
          <w:p w14:paraId="2033B8FD" w14:textId="28F78857" w:rsidR="003B5757" w:rsidRPr="006A272B" w:rsidRDefault="003B5757" w:rsidP="00684B23">
            <w:pPr>
              <w:spacing w:line="300" w:lineRule="exact"/>
              <w:jc w:val="both"/>
              <w:rPr>
                <w:lang w:val="en-GB"/>
              </w:rPr>
            </w:pPr>
            <w:r w:rsidRPr="003B5757">
              <w:rPr>
                <w:color w:val="92D050"/>
                <w:lang w:val="en-GB"/>
              </w:rPr>
              <w:t>Regarding CCEOP, the implementation of the project started at a fast and strong step and achieved a higher completion rate than expected. During the period from August 2021 until now, 81% of the solar energy refrigerators specified in the project were supplied, but the needs for the cold chain specified in the project does not cover the gap that is still large and expanding simultaneously with the expansion of the opening of new facilities and the activation of the closed... and we have to think quickly about planning a new project because of its importance in ensuring that vaccines are preserved in high quality and not exposed to damage, and this plays a prominent role in the citizen's confidence in EPI services.</w:t>
            </w:r>
          </w:p>
        </w:tc>
      </w:tr>
    </w:tbl>
    <w:p w14:paraId="658606AB" w14:textId="77777777" w:rsidR="0090123D" w:rsidRDefault="0090123D" w:rsidP="00FC4A11">
      <w:pPr>
        <w:spacing w:line="300" w:lineRule="exact"/>
        <w:rPr>
          <w:b/>
          <w:color w:val="70AD47" w:themeColor="accent6"/>
          <w:sz w:val="26"/>
          <w:szCs w:val="26"/>
          <w:lang w:val="en-GB"/>
        </w:rPr>
      </w:pPr>
    </w:p>
    <w:p w14:paraId="1A7FCC98" w14:textId="47F91448" w:rsidR="00603CB9" w:rsidRPr="0090123D" w:rsidRDefault="00672E21" w:rsidP="00CE1F57">
      <w:pPr>
        <w:pStyle w:val="ListParagraph"/>
        <w:numPr>
          <w:ilvl w:val="0"/>
          <w:numId w:val="4"/>
        </w:numPr>
        <w:spacing w:line="300" w:lineRule="exact"/>
        <w:ind w:left="426"/>
        <w:rPr>
          <w:lang w:val="en-GB"/>
        </w:rPr>
      </w:pPr>
      <w:r>
        <w:rPr>
          <w:b/>
          <w:bCs/>
          <w:color w:val="70AD47" w:themeColor="accent6"/>
          <w:sz w:val="26"/>
          <w:szCs w:val="26"/>
          <w:lang w:val="en-GB"/>
        </w:rPr>
        <w:t>TCA Monitoring</w:t>
      </w:r>
      <w:r w:rsidR="00D14702" w:rsidRPr="08473C56">
        <w:rPr>
          <w:b/>
          <w:bCs/>
          <w:color w:val="70AD47" w:themeColor="accent6"/>
          <w:sz w:val="26"/>
          <w:szCs w:val="26"/>
          <w:lang w:val="en-GB"/>
        </w:rPr>
        <w:t xml:space="preserve"> (</w:t>
      </w:r>
      <w:r w:rsidR="0023395F">
        <w:rPr>
          <w:b/>
          <w:bCs/>
          <w:color w:val="70AD47" w:themeColor="accent6"/>
          <w:sz w:val="26"/>
          <w:szCs w:val="26"/>
          <w:lang w:val="en-GB"/>
        </w:rPr>
        <w:t>1</w:t>
      </w:r>
      <w:r w:rsidR="00D14702" w:rsidRPr="08473C56">
        <w:rPr>
          <w:b/>
          <w:bCs/>
          <w:color w:val="70AD47" w:themeColor="accent6"/>
          <w:sz w:val="26"/>
          <w:szCs w:val="26"/>
          <w:lang w:val="en-GB"/>
        </w:rPr>
        <w:t xml:space="preserve"> page)</w:t>
      </w:r>
    </w:p>
    <w:p w14:paraId="603C9386" w14:textId="77777777" w:rsidR="00AB4B2D" w:rsidRPr="00A26F75" w:rsidRDefault="00AB4B2D" w:rsidP="00FC4A11">
      <w:pPr>
        <w:pStyle w:val="ListParagraph"/>
        <w:spacing w:line="300" w:lineRule="exact"/>
        <w:ind w:left="0"/>
        <w:rPr>
          <w:lang w:val="en-GB"/>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A957C9" w:rsidRPr="00A957C9" w14:paraId="4BFA7B74" w14:textId="77777777" w:rsidTr="007612C6">
        <w:tc>
          <w:tcPr>
            <w:tcW w:w="9214" w:type="dxa"/>
            <w:tcBorders>
              <w:bottom w:val="single" w:sz="4" w:space="0" w:color="auto"/>
            </w:tcBorders>
            <w:shd w:val="clear" w:color="auto" w:fill="F2F2F2" w:themeFill="background1" w:themeFillShade="F2"/>
          </w:tcPr>
          <w:p w14:paraId="4522328F" w14:textId="19D81915" w:rsidR="00AB4B2D" w:rsidRPr="00A957C9" w:rsidRDefault="0023395F" w:rsidP="00FC4A11">
            <w:pPr>
              <w:pStyle w:val="ListParagraph"/>
              <w:spacing w:line="300" w:lineRule="exact"/>
              <w:ind w:left="0"/>
              <w:rPr>
                <w:b/>
                <w:sz w:val="26"/>
                <w:szCs w:val="26"/>
              </w:rPr>
            </w:pPr>
            <w:r>
              <w:rPr>
                <w:b/>
                <w:bCs/>
                <w:i/>
                <w:iCs/>
                <w:sz w:val="20"/>
                <w:szCs w:val="20"/>
              </w:rPr>
              <w:t>6</w:t>
            </w:r>
            <w:r w:rsidR="005876B5">
              <w:rPr>
                <w:b/>
                <w:bCs/>
                <w:i/>
                <w:iCs/>
                <w:sz w:val="20"/>
                <w:szCs w:val="20"/>
              </w:rPr>
              <w:t xml:space="preserve">.1 </w:t>
            </w:r>
            <w:r w:rsidR="00C47384" w:rsidRPr="00A957C9">
              <w:rPr>
                <w:b/>
                <w:bCs/>
                <w:i/>
                <w:iCs/>
                <w:sz w:val="20"/>
                <w:szCs w:val="20"/>
              </w:rPr>
              <w:t xml:space="preserve">Please provide an outline of the </w:t>
            </w:r>
            <w:proofErr w:type="gramStart"/>
            <w:r w:rsidR="00C47384" w:rsidRPr="00A957C9">
              <w:rPr>
                <w:b/>
                <w:bCs/>
                <w:i/>
                <w:iCs/>
                <w:sz w:val="20"/>
                <w:szCs w:val="20"/>
              </w:rPr>
              <w:t>TCA</w:t>
            </w:r>
            <w:r w:rsidR="0023057A">
              <w:rPr>
                <w:b/>
                <w:bCs/>
                <w:i/>
                <w:iCs/>
                <w:sz w:val="20"/>
                <w:szCs w:val="20"/>
              </w:rPr>
              <w:t xml:space="preserve">  in</w:t>
            </w:r>
            <w:proofErr w:type="gramEnd"/>
            <w:r w:rsidR="0023057A">
              <w:rPr>
                <w:b/>
                <w:bCs/>
                <w:i/>
                <w:iCs/>
                <w:sz w:val="20"/>
                <w:szCs w:val="20"/>
              </w:rPr>
              <w:t>-country</w:t>
            </w:r>
            <w:r w:rsidR="00C47384" w:rsidRPr="00A957C9">
              <w:rPr>
                <w:b/>
                <w:bCs/>
                <w:i/>
                <w:iCs/>
                <w:sz w:val="20"/>
                <w:szCs w:val="20"/>
              </w:rPr>
              <w:t xml:space="preserve"> </w:t>
            </w:r>
            <w:r w:rsidR="00D57494">
              <w:rPr>
                <w:b/>
                <w:bCs/>
                <w:i/>
                <w:iCs/>
                <w:sz w:val="20"/>
                <w:szCs w:val="20"/>
              </w:rPr>
              <w:t xml:space="preserve">mechanism </w:t>
            </w:r>
            <w:r w:rsidR="00C47384" w:rsidRPr="00A957C9">
              <w:rPr>
                <w:b/>
                <w:bCs/>
                <w:i/>
                <w:iCs/>
                <w:sz w:val="20"/>
                <w:szCs w:val="20"/>
              </w:rPr>
              <w:t xml:space="preserve">to jointly monitor and track implementation progress and generation of results of the </w:t>
            </w:r>
            <w:r w:rsidR="00372D1F">
              <w:rPr>
                <w:b/>
                <w:bCs/>
                <w:i/>
                <w:iCs/>
                <w:sz w:val="20"/>
                <w:szCs w:val="20"/>
              </w:rPr>
              <w:t>TCA</w:t>
            </w:r>
            <w:r w:rsidR="00C47384" w:rsidRPr="00A957C9">
              <w:rPr>
                <w:b/>
                <w:bCs/>
                <w:i/>
                <w:iCs/>
                <w:sz w:val="20"/>
                <w:szCs w:val="20"/>
              </w:rPr>
              <w:t xml:space="preserve"> plan as a whole</w:t>
            </w:r>
            <w:r w:rsidR="00564856">
              <w:rPr>
                <w:b/>
                <w:bCs/>
                <w:i/>
                <w:iCs/>
                <w:sz w:val="20"/>
                <w:szCs w:val="20"/>
              </w:rPr>
              <w:t xml:space="preserve">. </w:t>
            </w:r>
            <w:r w:rsidR="00564856" w:rsidRPr="00A957C9">
              <w:rPr>
                <w:b/>
                <w:bCs/>
                <w:i/>
                <w:iCs/>
                <w:sz w:val="20"/>
                <w:szCs w:val="20"/>
              </w:rPr>
              <w:t>How will that information be used to adjust and improve programme implementation?</w:t>
            </w:r>
            <w:r w:rsidR="00DD391A" w:rsidRPr="00A957C9">
              <w:rPr>
                <w:b/>
                <w:bCs/>
                <w:i/>
                <w:iCs/>
                <w:sz w:val="20"/>
                <w:szCs w:val="20"/>
              </w:rPr>
              <w:t xml:space="preserve"> How frequently are data reviewed and used and who will be responsible to ensure that review and learning occurs?</w:t>
            </w:r>
          </w:p>
        </w:tc>
      </w:tr>
      <w:tr w:rsidR="00A957C9" w:rsidRPr="006A272B" w14:paraId="4CAB625F" w14:textId="77777777" w:rsidTr="007612C6">
        <w:tc>
          <w:tcPr>
            <w:tcW w:w="9214" w:type="dxa"/>
            <w:tcBorders>
              <w:top w:val="single" w:sz="4" w:space="0" w:color="auto"/>
              <w:left w:val="single" w:sz="4" w:space="0" w:color="auto"/>
              <w:bottom w:val="single" w:sz="4" w:space="0" w:color="auto"/>
              <w:right w:val="single" w:sz="4" w:space="0" w:color="auto"/>
            </w:tcBorders>
          </w:tcPr>
          <w:p w14:paraId="635EF35F" w14:textId="4D945BD0" w:rsidR="00AB4B2D" w:rsidRPr="007A35E9" w:rsidRDefault="007A35E9" w:rsidP="00684B23">
            <w:pPr>
              <w:spacing w:line="300" w:lineRule="exact"/>
              <w:jc w:val="both"/>
              <w:rPr>
                <w:color w:val="92D050"/>
                <w:lang w:val="en-GB"/>
              </w:rPr>
            </w:pPr>
            <w:r w:rsidRPr="007A35E9">
              <w:rPr>
                <w:color w:val="92D050"/>
                <w:lang w:val="en-GB"/>
              </w:rPr>
              <w:t xml:space="preserve">Monitoring is the method that judges the progress made and compares that to the goals set in advance and the extent of improvement and performance in the desired indicators. It includes continuous monitoring supported by technical and financial reports and knowledge of progress made and aspects of successes and failures. The monitoring process should include the different levels and according to the reference evidence related to the approved interventions and activities in particular (input and output indicators) and the core indicators in general (core indicators and impact indicators), in line with the short-term and long-term </w:t>
            </w:r>
            <w:r w:rsidRPr="007A35E9">
              <w:rPr>
                <w:color w:val="92D050"/>
                <w:lang w:val="en-GB"/>
              </w:rPr>
              <w:lastRenderedPageBreak/>
              <w:t xml:space="preserve">program indicators and according to the areas of investments by the Ministry of Health and Gavi, the reports must be specific to the period by the Ministry of Health and by the auxiliary partners. Reports are not limited to the technical aspect only, but also provide financial reports and progress reports, including the efficacy and effectiveness of the supported investments. One of the important mechanisms in oversight is the joint aspects of supervision, according to the type of intervention and investment, and that the supervision is joint by the ministry and the authorities authorized to control, and that periodic meetings and exceptional meetings are important in improving work and correcting deficiencies quickly and in a timely manner. In accordance with the Gavi Guidelines for TCA, the EPI team regularly invites partners (ideally every three months) to monitor and assess </w:t>
            </w:r>
            <w:proofErr w:type="gramStart"/>
            <w:r w:rsidRPr="007A35E9">
              <w:rPr>
                <w:color w:val="92D050"/>
                <w:lang w:val="en-GB"/>
              </w:rPr>
              <w:t>progress, and</w:t>
            </w:r>
            <w:proofErr w:type="gramEnd"/>
            <w:r w:rsidRPr="007A35E9">
              <w:rPr>
                <w:color w:val="92D050"/>
                <w:lang w:val="en-GB"/>
              </w:rPr>
              <w:t xml:space="preserve"> calls for any routine or emergency meetings as needed. It is necessary to have a monitoring framework and monitoring tools that are approved by the Ministry of Health and Gavi defines the mechanisms of monitoring and the performance of partners. From a general perspective, it should include oversight of all health building blocks of the health sector, as well as priority areas of investment supported by Gavi, with an emphasis on national specificities. Key findings from the Ministry and partner reports will also form part of the discussions during review meetings and will identify lessons learned, appropriate modifications, and future and next steps, including judging the feasibility of interventions or not, and deciding whether the business partner continues or the agreement is discontinued, dispensed with, or replaced, It should also be noted that the organizations have relied in the past years on oversight and evaluation reports on audit firms, most of which lack sufficient experience and knowledge of the tasks and technical work related to the nature of the work of the Ministry of Health and its interventions related to the implementation of activities, including the technical and financial aspects, the requirements of practical reality and the exceptional circumstances of Yemen’s situation in particular. </w:t>
            </w:r>
            <w:proofErr w:type="gramStart"/>
            <w:r w:rsidRPr="007A35E9">
              <w:rPr>
                <w:color w:val="92D050"/>
                <w:lang w:val="en-GB"/>
              </w:rPr>
              <w:t>In light of</w:t>
            </w:r>
            <w:proofErr w:type="gramEnd"/>
            <w:r w:rsidRPr="007A35E9">
              <w:rPr>
                <w:color w:val="92D050"/>
                <w:lang w:val="en-GB"/>
              </w:rPr>
              <w:t xml:space="preserve"> the war and the siege, and what requires harmonization between the conditions of organizations and control companies in line with the national and approved laws, which the Ministry cannot neutralize or not comply with unless it will be brought to account by the regulatory authorities.</w:t>
            </w:r>
          </w:p>
        </w:tc>
      </w:tr>
    </w:tbl>
    <w:p w14:paraId="146AE6CC" w14:textId="77777777" w:rsidR="007612C6" w:rsidRDefault="007612C6" w:rsidP="00FC4A11">
      <w:pPr>
        <w:spacing w:line="300" w:lineRule="exact"/>
        <w:rPr>
          <w:lang w:val="en-GB"/>
        </w:rPr>
      </w:pPr>
    </w:p>
    <w:sectPr w:rsidR="007612C6" w:rsidSect="007612C6">
      <w:headerReference w:type="even" r:id="rId15"/>
      <w:headerReference w:type="default" r:id="rId16"/>
      <w:footerReference w:type="even" r:id="rId17"/>
      <w:footerReference w:type="default" r:id="rId18"/>
      <w:headerReference w:type="first" r:id="rId19"/>
      <w:footerReference w:type="first" r:id="rId20"/>
      <w:pgSz w:w="12240" w:h="15840"/>
      <w:pgMar w:top="1440" w:right="1608"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39464" w14:textId="77777777" w:rsidR="001B4E05" w:rsidRDefault="001B4E05" w:rsidP="00431CA9">
      <w:pPr>
        <w:spacing w:line="240" w:lineRule="auto"/>
      </w:pPr>
      <w:r>
        <w:separator/>
      </w:r>
    </w:p>
  </w:endnote>
  <w:endnote w:type="continuationSeparator" w:id="0">
    <w:p w14:paraId="47B33FCF" w14:textId="77777777" w:rsidR="001B4E05" w:rsidRDefault="001B4E05" w:rsidP="00431CA9">
      <w:pPr>
        <w:spacing w:line="240" w:lineRule="auto"/>
      </w:pPr>
      <w:r>
        <w:continuationSeparator/>
      </w:r>
    </w:p>
  </w:endnote>
  <w:endnote w:type="continuationNotice" w:id="1">
    <w:p w14:paraId="1F3DEC79" w14:textId="77777777" w:rsidR="001B4E05" w:rsidRDefault="001B4E0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E2471" w14:textId="77777777" w:rsidR="00AB7F9F" w:rsidRDefault="00AB7F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769279477"/>
      <w:docPartObj>
        <w:docPartGallery w:val="Page Numbers (Bottom of Page)"/>
        <w:docPartUnique/>
      </w:docPartObj>
    </w:sdtPr>
    <w:sdtEndPr>
      <w:rPr>
        <w:noProof/>
      </w:rPr>
    </w:sdtEndPr>
    <w:sdtContent>
      <w:p w14:paraId="25F050AA" w14:textId="59C85FE8" w:rsidR="008A79C9" w:rsidRDefault="00356CDE">
        <w:pPr>
          <w:pStyle w:val="Footer"/>
        </w:pPr>
        <w:r w:rsidRPr="00DA777C">
          <w:rPr>
            <w:sz w:val="20"/>
            <w:szCs w:val="20"/>
          </w:rPr>
          <w:fldChar w:fldCharType="begin"/>
        </w:r>
        <w:r w:rsidRPr="00DA777C">
          <w:rPr>
            <w:sz w:val="20"/>
            <w:szCs w:val="20"/>
          </w:rPr>
          <w:instrText xml:space="preserve"> PAGE   \* MERGEFORMAT </w:instrText>
        </w:r>
        <w:r w:rsidRPr="00DA777C">
          <w:rPr>
            <w:sz w:val="20"/>
            <w:szCs w:val="20"/>
          </w:rPr>
          <w:fldChar w:fldCharType="separate"/>
        </w:r>
        <w:r w:rsidRPr="00DA777C">
          <w:rPr>
            <w:noProof/>
            <w:sz w:val="20"/>
            <w:szCs w:val="20"/>
          </w:rPr>
          <w:t>2</w:t>
        </w:r>
        <w:r w:rsidRPr="00DA777C">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AD567" w14:textId="77777777" w:rsidR="00AB7F9F" w:rsidRDefault="00AB7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06E4F" w14:textId="77777777" w:rsidR="001B4E05" w:rsidRDefault="001B4E05" w:rsidP="00431CA9">
      <w:pPr>
        <w:spacing w:line="240" w:lineRule="auto"/>
      </w:pPr>
      <w:r>
        <w:separator/>
      </w:r>
    </w:p>
  </w:footnote>
  <w:footnote w:type="continuationSeparator" w:id="0">
    <w:p w14:paraId="1198D30A" w14:textId="77777777" w:rsidR="001B4E05" w:rsidRDefault="001B4E05" w:rsidP="00431CA9">
      <w:pPr>
        <w:spacing w:line="240" w:lineRule="auto"/>
      </w:pPr>
      <w:r>
        <w:continuationSeparator/>
      </w:r>
    </w:p>
  </w:footnote>
  <w:footnote w:type="continuationNotice" w:id="1">
    <w:p w14:paraId="1B232645" w14:textId="77777777" w:rsidR="001B4E05" w:rsidRDefault="001B4E0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08DC" w14:textId="77777777" w:rsidR="00AB7F9F" w:rsidRDefault="00AB7F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57D54" w14:textId="6021F0DD" w:rsidR="00431CA9" w:rsidRDefault="003A0D3A">
    <w:pPr>
      <w:pStyle w:val="Header"/>
    </w:pPr>
    <w:r w:rsidRPr="00892432">
      <w:rPr>
        <w:noProof/>
      </w:rPr>
      <mc:AlternateContent>
        <mc:Choice Requires="wps">
          <w:drawing>
            <wp:anchor distT="0" distB="0" distL="114300" distR="114300" simplePos="0" relativeHeight="251658243" behindDoc="0" locked="0" layoutInCell="1" allowOverlap="1" wp14:anchorId="5C072E57" wp14:editId="6081769F">
              <wp:simplePos x="0" y="0"/>
              <wp:positionH relativeFrom="page">
                <wp:posOffset>1466215</wp:posOffset>
              </wp:positionH>
              <wp:positionV relativeFrom="topMargin">
                <wp:posOffset>52070</wp:posOffset>
              </wp:positionV>
              <wp:extent cx="6319482" cy="794385"/>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9482" cy="794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70C0"/>
                            </a:solidFill>
                            <a:miter lim="800000"/>
                            <a:headEnd/>
                            <a:tailEnd/>
                          </a14:hiddenLine>
                        </a:ext>
                      </a:extLst>
                    </wps:spPr>
                    <wps:txbx>
                      <w:txbxContent>
                        <w:p w14:paraId="70F2D3FD" w14:textId="30B324B9" w:rsidR="00BD1FEE" w:rsidRDefault="004C6B53" w:rsidP="00055BF9">
                          <w:pPr>
                            <w:rPr>
                              <w:b/>
                              <w:bCs/>
                              <w:color w:val="0070C0"/>
                              <w:sz w:val="24"/>
                              <w:szCs w:val="24"/>
                              <w:lang w:val="en-US"/>
                            </w:rPr>
                          </w:pPr>
                          <w:r>
                            <w:rPr>
                              <w:b/>
                              <w:bCs/>
                              <w:color w:val="0070C0"/>
                              <w:sz w:val="24"/>
                              <w:szCs w:val="24"/>
                              <w:lang w:val="en-US"/>
                            </w:rPr>
                            <w:t xml:space="preserve">PEF </w:t>
                          </w:r>
                          <w:r w:rsidR="0019737F">
                            <w:rPr>
                              <w:b/>
                              <w:bCs/>
                              <w:color w:val="0070C0"/>
                              <w:sz w:val="24"/>
                              <w:szCs w:val="24"/>
                              <w:lang w:val="en-US"/>
                            </w:rPr>
                            <w:t>Target</w:t>
                          </w:r>
                          <w:r w:rsidR="009F7930">
                            <w:rPr>
                              <w:b/>
                              <w:bCs/>
                              <w:color w:val="0070C0"/>
                              <w:sz w:val="24"/>
                              <w:szCs w:val="24"/>
                              <w:lang w:val="en-US"/>
                            </w:rPr>
                            <w:t>ed</w:t>
                          </w:r>
                          <w:r w:rsidR="0019737F">
                            <w:rPr>
                              <w:b/>
                              <w:bCs/>
                              <w:color w:val="0070C0"/>
                              <w:sz w:val="24"/>
                              <w:szCs w:val="24"/>
                              <w:lang w:val="en-US"/>
                            </w:rPr>
                            <w:t xml:space="preserve"> Country Assistance Narrative</w:t>
                          </w:r>
                          <w:r w:rsidR="00EA4DE2">
                            <w:rPr>
                              <w:b/>
                              <w:bCs/>
                              <w:color w:val="0070C0"/>
                              <w:sz w:val="24"/>
                              <w:szCs w:val="24"/>
                              <w:lang w:val="en-US"/>
                            </w:rPr>
                            <w:t xml:space="preserve"> </w:t>
                          </w:r>
                          <w:r w:rsidR="00BD1FEE">
                            <w:rPr>
                              <w:b/>
                              <w:bCs/>
                              <w:color w:val="0070C0"/>
                              <w:sz w:val="24"/>
                              <w:szCs w:val="24"/>
                              <w:lang w:val="en-US"/>
                            </w:rPr>
                            <w:t xml:space="preserve"> </w:t>
                          </w:r>
                        </w:p>
                        <w:p w14:paraId="4599C1BA" w14:textId="1E37035E" w:rsidR="00892432" w:rsidRPr="00C4436D" w:rsidRDefault="00F43296" w:rsidP="00055BF9">
                          <w:pPr>
                            <w:rPr>
                              <w:color w:val="0070C0"/>
                            </w:rPr>
                          </w:pPr>
                          <w:r>
                            <w:rPr>
                              <w:color w:val="0070C0"/>
                            </w:rPr>
                            <w:t>April</w:t>
                          </w:r>
                          <w:r w:rsidR="00BD1FEE" w:rsidRPr="00BD1FEE">
                            <w:rPr>
                              <w:color w:val="0070C0"/>
                            </w:rPr>
                            <w:t xml:space="preserve"> </w:t>
                          </w:r>
                          <w:r w:rsidR="00DC7614" w:rsidRPr="00C4436D">
                            <w:rPr>
                              <w:color w:val="0070C0"/>
                            </w:rPr>
                            <w:t>2022</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dec="http://schemas.microsoft.com/office/drawing/2017/decorative" xmlns:a14="http://schemas.microsoft.com/office/drawing/2010/main" xmlns:a="http://schemas.openxmlformats.org/drawingml/2006/main">
          <w:pict>
            <v:shapetype id="_x0000_t202" coordsize="21600,21600" o:spt="202" path="m,l,21600r21600,l21600,xe" w14:anchorId="5C072E57">
              <v:stroke joinstyle="miter"/>
              <v:path gradientshapeok="t" o:connecttype="rect"/>
            </v:shapetype>
            <v:shape id="Text Box 2" style="position:absolute;margin-left:115.45pt;margin-top:4.1pt;width:497.6pt;height:62.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middle" o:spid="_x0000_s1026" filled="f" stroked="f" strokecolor="#0070c0"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">
              <v:textbox>
                <w:txbxContent>
                  <w:p w:rsidR="00BD1FEE" w:rsidP="00055BF9" w:rsidRDefault="004C6B53" w14:paraId="70F2D3FD" w14:textId="30B324B9">
                    <w:pPr>
                      <w:rPr>
                        <w:b/>
                        <w:bCs/>
                        <w:color w:val="0070C0"/>
                        <w:sz w:val="24"/>
                        <w:szCs w:val="24"/>
                        <w:lang w:val="en-US"/>
                      </w:rPr>
                    </w:pPr>
                    <w:r>
                      <w:rPr>
                        <w:b/>
                        <w:bCs/>
                        <w:color w:val="0070C0"/>
                        <w:sz w:val="24"/>
                        <w:szCs w:val="24"/>
                        <w:lang w:val="en-US"/>
                      </w:rPr>
                      <w:t xml:space="preserve">PEF </w:t>
                    </w:r>
                    <w:r w:rsidR="0019737F">
                      <w:rPr>
                        <w:b/>
                        <w:bCs/>
                        <w:color w:val="0070C0"/>
                        <w:sz w:val="24"/>
                        <w:szCs w:val="24"/>
                        <w:lang w:val="en-US"/>
                      </w:rPr>
                      <w:t>Target</w:t>
                    </w:r>
                    <w:r w:rsidR="009F7930">
                      <w:rPr>
                        <w:b/>
                        <w:bCs/>
                        <w:color w:val="0070C0"/>
                        <w:sz w:val="24"/>
                        <w:szCs w:val="24"/>
                        <w:lang w:val="en-US"/>
                      </w:rPr>
                      <w:t>ed</w:t>
                    </w:r>
                    <w:r w:rsidR="0019737F">
                      <w:rPr>
                        <w:b/>
                        <w:bCs/>
                        <w:color w:val="0070C0"/>
                        <w:sz w:val="24"/>
                        <w:szCs w:val="24"/>
                        <w:lang w:val="en-US"/>
                      </w:rPr>
                      <w:t xml:space="preserve"> Country Assistance Narrative</w:t>
                    </w:r>
                    <w:r w:rsidR="00EA4DE2">
                      <w:rPr>
                        <w:b/>
                        <w:bCs/>
                        <w:color w:val="0070C0"/>
                        <w:sz w:val="24"/>
                        <w:szCs w:val="24"/>
                        <w:lang w:val="en-US"/>
                      </w:rPr>
                      <w:t xml:space="preserve"> </w:t>
                    </w:r>
                    <w:r w:rsidR="00BD1FEE">
                      <w:rPr>
                        <w:b/>
                        <w:bCs/>
                        <w:color w:val="0070C0"/>
                        <w:sz w:val="24"/>
                        <w:szCs w:val="24"/>
                        <w:lang w:val="en-US"/>
                      </w:rPr>
                      <w:t xml:space="preserve"> </w:t>
                    </w:r>
                  </w:p>
                  <w:p w:rsidRPr="00C4436D" w:rsidR="00892432" w:rsidP="00055BF9" w:rsidRDefault="00F43296" w14:paraId="4599C1BA" w14:textId="1E37035E">
                    <w:pPr>
                      <w:rPr>
                        <w:color w:val="0070C0"/>
                      </w:rPr>
                    </w:pPr>
                    <w:r>
                      <w:rPr>
                        <w:color w:val="0070C0"/>
                      </w:rPr>
                      <w:t>April</w:t>
                    </w:r>
                    <w:r w:rsidRPr="00BD1FEE" w:rsidR="00BD1FEE">
                      <w:rPr>
                        <w:color w:val="0070C0"/>
                      </w:rPr>
                      <w:t xml:space="preserve"> </w:t>
                    </w:r>
                    <w:r w:rsidRPr="00C4436D" w:rsidR="00DC7614">
                      <w:rPr>
                        <w:color w:val="0070C0"/>
                      </w:rPr>
                      <w:t>2022</w:t>
                    </w:r>
                  </w:p>
                </w:txbxContent>
              </v:textbox>
              <w10:wrap anchorx="page" anchory="margin"/>
            </v:shape>
          </w:pict>
        </mc:Fallback>
      </mc:AlternateContent>
    </w:r>
    <w:r w:rsidR="00BD4EFD" w:rsidRPr="00892432">
      <w:rPr>
        <w:noProof/>
      </w:rPr>
      <mc:AlternateContent>
        <mc:Choice Requires="wps">
          <w:drawing>
            <wp:anchor distT="0" distB="0" distL="114299" distR="114299" simplePos="0" relativeHeight="251658242" behindDoc="0" locked="0" layoutInCell="1" allowOverlap="1" wp14:anchorId="604E1568" wp14:editId="341C3210">
              <wp:simplePos x="0" y="0"/>
              <wp:positionH relativeFrom="column">
                <wp:posOffset>551180</wp:posOffset>
              </wp:positionH>
              <wp:positionV relativeFrom="page">
                <wp:posOffset>197485</wp:posOffset>
              </wp:positionV>
              <wp:extent cx="0" cy="439420"/>
              <wp:effectExtent l="0" t="0" r="38100" b="3683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39420"/>
                      </a:xfrm>
                      <a:prstGeom prst="line">
                        <a:avLst/>
                      </a:prstGeom>
                      <a:ln w="9525"/>
                    </wps:spPr>
                    <wps:style>
                      <a:lnRef idx="3">
                        <a:schemeClr val="accent5"/>
                      </a:lnRef>
                      <a:fillRef idx="0">
                        <a:schemeClr val="accent5"/>
                      </a:fillRef>
                      <a:effectRef idx="2">
                        <a:schemeClr val="accent5"/>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dec="http://schemas.microsoft.com/office/drawing/2017/decorative" xmlns:a14="http://schemas.microsoft.com/office/drawing/2010/main" xmlns:a="http://schemas.openxmlformats.org/drawingml/2006/main">
          <w:pict>
            <v:line id="Straight Connector 14" style="position:absolute;z-index:25165824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page;mso-width-percent:0;mso-height-percent:0;mso-width-relative:page;mso-height-relative:page" o:spid="_x0000_s1026" strokecolor="#5b9bd5 [3208]" from="43.4pt,15.55pt" to="43.4pt,50.15pt" w14:anchorId="15AA3D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">
              <v:stroke joinstyle="miter"/>
              <o:lock v:ext="edit" shapetype="f"/>
              <w10:wrap anchory="page"/>
            </v:line>
          </w:pict>
        </mc:Fallback>
      </mc:AlternateContent>
    </w:r>
    <w:r w:rsidR="004D1017" w:rsidRPr="00892432">
      <w:rPr>
        <w:noProof/>
      </w:rPr>
      <mc:AlternateContent>
        <mc:Choice Requires="wps">
          <w:drawing>
            <wp:anchor distT="0" distB="0" distL="114300" distR="114300" simplePos="0" relativeHeight="251658240" behindDoc="1" locked="0" layoutInCell="1" allowOverlap="1" wp14:anchorId="3333C187" wp14:editId="76107EC5">
              <wp:simplePos x="0" y="0"/>
              <wp:positionH relativeFrom="page">
                <wp:align>right</wp:align>
              </wp:positionH>
              <wp:positionV relativeFrom="page">
                <wp:posOffset>-259161</wp:posOffset>
              </wp:positionV>
              <wp:extent cx="7771765" cy="1119773"/>
              <wp:effectExtent l="0" t="0" r="635" b="444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1765" cy="1119773"/>
                      </a:xfrm>
                      <a:prstGeom prst="rect">
                        <a:avLst/>
                      </a:prstGeom>
                      <a:solidFill>
                        <a:srgbClr val="F2F2F1"/>
                      </a:solidFill>
                      <a:ln w="6350" cap="flat" cmpd="sng" algn="ctr">
                        <a:noFill/>
                        <a:prstDash val="solid"/>
                        <a:miter lim="800000"/>
                      </a:ln>
                      <a:effectLst/>
                    </wps:spPr>
                    <wps:txbx>
                      <w:txbxContent>
                        <w:p w14:paraId="3DB0E3A5" w14:textId="77777777" w:rsidR="00892432" w:rsidRDefault="00892432" w:rsidP="0089243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dec="http://schemas.microsoft.com/office/drawing/2017/decorative" xmlns:a14="http://schemas.microsoft.com/office/drawing/2010/main" xmlns:a="http://schemas.openxmlformats.org/drawingml/2006/main">
          <w:pict>
            <v:rect id="Rectangle 8" style="position:absolute;margin-left:560.75pt;margin-top:-20.4pt;width:611.95pt;height:88.1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spid="_x0000_s1027" fillcolor="#f2f2f1" stroked="f" strokeweight=".5pt" w14:anchorId="3333C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">
              <v:textbox>
                <w:txbxContent>
                  <w:p w:rsidR="00892432" w:rsidP="00892432" w:rsidRDefault="00892432" w14:paraId="3DB0E3A5" w14:textId="77777777">
                    <w:pPr>
                      <w:jc w:val="center"/>
                    </w:pPr>
                  </w:p>
                </w:txbxContent>
              </v:textbox>
              <w10:wrap anchorx="page" anchory="page"/>
            </v:rect>
          </w:pict>
        </mc:Fallback>
      </mc:AlternateContent>
    </w:r>
    <w:r w:rsidR="001B6E82" w:rsidRPr="00892432">
      <w:rPr>
        <w:noProof/>
      </w:rPr>
      <w:drawing>
        <wp:anchor distT="0" distB="0" distL="114300" distR="114300" simplePos="0" relativeHeight="251658241" behindDoc="1" locked="0" layoutInCell="1" allowOverlap="1" wp14:anchorId="2E2C20EE" wp14:editId="2A5E81A6">
          <wp:simplePos x="0" y="0"/>
          <wp:positionH relativeFrom="margin">
            <wp:posOffset>-687687</wp:posOffset>
          </wp:positionH>
          <wp:positionV relativeFrom="page">
            <wp:posOffset>191153</wp:posOffset>
          </wp:positionV>
          <wp:extent cx="1186180" cy="439420"/>
          <wp:effectExtent l="0" t="0" r="0" b="5080"/>
          <wp:wrapTight wrapText="bothSides">
            <wp:wrapPolygon edited="0">
              <wp:start x="15495" y="0"/>
              <wp:lineTo x="2313" y="3121"/>
              <wp:lineTo x="0" y="4370"/>
              <wp:lineTo x="0" y="9988"/>
              <wp:lineTo x="925" y="19977"/>
              <wp:lineTo x="925" y="21225"/>
              <wp:lineTo x="18501" y="21225"/>
              <wp:lineTo x="19889" y="19977"/>
              <wp:lineTo x="21276" y="13110"/>
              <wp:lineTo x="21276" y="7491"/>
              <wp:lineTo x="20120" y="1873"/>
              <wp:lineTo x="18964" y="0"/>
              <wp:lineTo x="15495"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10297" t="21860" r="10744" b="21696"/>
                  <a:stretch/>
                </pic:blipFill>
                <pic:spPr bwMode="auto">
                  <a:xfrm>
                    <a:off x="0" y="0"/>
                    <a:ext cx="1186180" cy="4394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63856" w14:textId="77777777" w:rsidR="00AB7F9F" w:rsidRDefault="00AB7F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961E3"/>
    <w:multiLevelType w:val="hybridMultilevel"/>
    <w:tmpl w:val="B4A22D3E"/>
    <w:lvl w:ilvl="0" w:tplc="9B56DF6A">
      <w:start w:val="1"/>
      <w:numFmt w:val="bullet"/>
      <w:lvlText w:val="-"/>
      <w:lvlJc w:val="left"/>
      <w:pPr>
        <w:ind w:left="360" w:hanging="360"/>
      </w:pPr>
      <w:rPr>
        <w:rFonts w:ascii="Arial" w:eastAsiaTheme="minorHAnsi" w:hAnsi="Arial" w:cs="Arial" w:hint="default"/>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0ED667EE"/>
    <w:multiLevelType w:val="hybridMultilevel"/>
    <w:tmpl w:val="A0F206D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52D31B0"/>
    <w:multiLevelType w:val="multilevel"/>
    <w:tmpl w:val="0DE68E2A"/>
    <w:styleLink w:val="CurrentList3"/>
    <w:lvl w:ilvl="0">
      <w:start w:val="1"/>
      <w:numFmt w:val="none"/>
      <w:lvlText w:val="3."/>
      <w:lvlJc w:val="left"/>
      <w:pPr>
        <w:ind w:left="360" w:hanging="360"/>
      </w:pPr>
      <w:rPr>
        <w:rFonts w:hint="default"/>
      </w:rPr>
    </w:lvl>
    <w:lvl w:ilvl="1">
      <w:start w:val="1"/>
      <w:numFmt w:val="none"/>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7951A4C"/>
    <w:multiLevelType w:val="hybridMultilevel"/>
    <w:tmpl w:val="887219F4"/>
    <w:lvl w:ilvl="0" w:tplc="28D0043A">
      <w:start w:val="6"/>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284B8D"/>
    <w:multiLevelType w:val="multilevel"/>
    <w:tmpl w:val="899CCA90"/>
    <w:styleLink w:val="CurrentList2"/>
    <w:lvl w:ilvl="0">
      <w:start w:val="1"/>
      <w:numFmt w:val="decimal"/>
      <w:lvlText w:val="%1."/>
      <w:lvlJc w:val="left"/>
      <w:pPr>
        <w:ind w:left="360" w:hanging="360"/>
      </w:pPr>
      <w:rPr>
        <w:rFonts w:hint="default"/>
      </w:rPr>
    </w:lvl>
    <w:lvl w:ilvl="1">
      <w:start w:val="1"/>
      <w:numFmt w:val="none"/>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C792C0F"/>
    <w:multiLevelType w:val="multilevel"/>
    <w:tmpl w:val="295ABEB2"/>
    <w:lvl w:ilvl="0">
      <w:start w:val="1"/>
      <w:numFmt w:val="decimal"/>
      <w:lvlText w:val="%1."/>
      <w:lvlJc w:val="left"/>
      <w:pPr>
        <w:ind w:left="502" w:hanging="360"/>
      </w:pPr>
      <w:rPr>
        <w:rFonts w:hint="default"/>
        <w:b/>
        <w:bCs/>
        <w:color w:val="70AD47" w:themeColor="accent6"/>
        <w:sz w:val="24"/>
        <w:szCs w:val="24"/>
      </w:rPr>
    </w:lvl>
    <w:lvl w:ilvl="1">
      <w:start w:val="2"/>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6" w15:restartNumberingAfterBreak="0">
    <w:nsid w:val="45947172"/>
    <w:multiLevelType w:val="hybridMultilevel"/>
    <w:tmpl w:val="F014E662"/>
    <w:lvl w:ilvl="0" w:tplc="04090001">
      <w:start w:val="1"/>
      <w:numFmt w:val="bullet"/>
      <w:lvlText w:val=""/>
      <w:lvlJc w:val="left"/>
      <w:pPr>
        <w:ind w:left="4897" w:hanging="360"/>
      </w:pPr>
      <w:rPr>
        <w:rFonts w:ascii="Symbol" w:hAnsi="Symbol"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7" w15:restartNumberingAfterBreak="0">
    <w:nsid w:val="777B77A0"/>
    <w:multiLevelType w:val="multilevel"/>
    <w:tmpl w:val="0809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96912031">
    <w:abstractNumId w:val="7"/>
  </w:num>
  <w:num w:numId="2" w16cid:durableId="1596598397">
    <w:abstractNumId w:val="4"/>
  </w:num>
  <w:num w:numId="3" w16cid:durableId="954361024">
    <w:abstractNumId w:val="2"/>
  </w:num>
  <w:num w:numId="4" w16cid:durableId="1306928771">
    <w:abstractNumId w:val="5"/>
  </w:num>
  <w:num w:numId="5" w16cid:durableId="809901227">
    <w:abstractNumId w:val="6"/>
  </w:num>
  <w:num w:numId="6" w16cid:durableId="1337267374">
    <w:abstractNumId w:val="3"/>
  </w:num>
  <w:num w:numId="7" w16cid:durableId="1877237502">
    <w:abstractNumId w:val="1"/>
  </w:num>
  <w:num w:numId="8" w16cid:durableId="310868491">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oNotDisplayPageBoundaries/>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A0szAwNQGSlqamlko6SsGpxcWZ+XkgBYaWtQC5HfxoLQAAAA=="/>
  </w:docVars>
  <w:rsids>
    <w:rsidRoot w:val="00BD4BCE"/>
    <w:rsid w:val="0000278E"/>
    <w:rsid w:val="00002CAE"/>
    <w:rsid w:val="00002D07"/>
    <w:rsid w:val="00003862"/>
    <w:rsid w:val="0000542A"/>
    <w:rsid w:val="0000599F"/>
    <w:rsid w:val="00005F0A"/>
    <w:rsid w:val="000066B5"/>
    <w:rsid w:val="0000717A"/>
    <w:rsid w:val="00007EAE"/>
    <w:rsid w:val="0001063F"/>
    <w:rsid w:val="00011B02"/>
    <w:rsid w:val="00011B86"/>
    <w:rsid w:val="0001244B"/>
    <w:rsid w:val="00012FFC"/>
    <w:rsid w:val="00013D30"/>
    <w:rsid w:val="00014AFF"/>
    <w:rsid w:val="00014F67"/>
    <w:rsid w:val="00015D31"/>
    <w:rsid w:val="00016A9B"/>
    <w:rsid w:val="00016C3F"/>
    <w:rsid w:val="00017FBF"/>
    <w:rsid w:val="00020272"/>
    <w:rsid w:val="00023D98"/>
    <w:rsid w:val="00024F57"/>
    <w:rsid w:val="000251A6"/>
    <w:rsid w:val="00025589"/>
    <w:rsid w:val="00025BBE"/>
    <w:rsid w:val="00025C70"/>
    <w:rsid w:val="00027322"/>
    <w:rsid w:val="00027D74"/>
    <w:rsid w:val="000301CD"/>
    <w:rsid w:val="00030751"/>
    <w:rsid w:val="000313E1"/>
    <w:rsid w:val="00031A36"/>
    <w:rsid w:val="0003251B"/>
    <w:rsid w:val="00034931"/>
    <w:rsid w:val="000357F6"/>
    <w:rsid w:val="000369C9"/>
    <w:rsid w:val="00037694"/>
    <w:rsid w:val="000378BB"/>
    <w:rsid w:val="000400A6"/>
    <w:rsid w:val="00040A2E"/>
    <w:rsid w:val="00041E9B"/>
    <w:rsid w:val="00042592"/>
    <w:rsid w:val="0004304D"/>
    <w:rsid w:val="000439C4"/>
    <w:rsid w:val="00043A07"/>
    <w:rsid w:val="00043E98"/>
    <w:rsid w:val="00044437"/>
    <w:rsid w:val="000449D1"/>
    <w:rsid w:val="000449DE"/>
    <w:rsid w:val="00051114"/>
    <w:rsid w:val="000511DA"/>
    <w:rsid w:val="0005232A"/>
    <w:rsid w:val="00052358"/>
    <w:rsid w:val="000529E3"/>
    <w:rsid w:val="000538E2"/>
    <w:rsid w:val="00053C8E"/>
    <w:rsid w:val="00054939"/>
    <w:rsid w:val="00054E05"/>
    <w:rsid w:val="00055A30"/>
    <w:rsid w:val="00055BF9"/>
    <w:rsid w:val="00056DDF"/>
    <w:rsid w:val="00060071"/>
    <w:rsid w:val="00060794"/>
    <w:rsid w:val="00061950"/>
    <w:rsid w:val="0006207D"/>
    <w:rsid w:val="000629D3"/>
    <w:rsid w:val="00063358"/>
    <w:rsid w:val="000660A3"/>
    <w:rsid w:val="0006633A"/>
    <w:rsid w:val="0006639D"/>
    <w:rsid w:val="000663B9"/>
    <w:rsid w:val="00066A17"/>
    <w:rsid w:val="00066E42"/>
    <w:rsid w:val="00067D86"/>
    <w:rsid w:val="00071836"/>
    <w:rsid w:val="00071E35"/>
    <w:rsid w:val="000728A2"/>
    <w:rsid w:val="000728B2"/>
    <w:rsid w:val="00072D93"/>
    <w:rsid w:val="000731C0"/>
    <w:rsid w:val="000759BE"/>
    <w:rsid w:val="00076373"/>
    <w:rsid w:val="000779B1"/>
    <w:rsid w:val="00077FE0"/>
    <w:rsid w:val="0008165C"/>
    <w:rsid w:val="0008192A"/>
    <w:rsid w:val="000820EE"/>
    <w:rsid w:val="000840D7"/>
    <w:rsid w:val="0008474E"/>
    <w:rsid w:val="00085506"/>
    <w:rsid w:val="00085C9D"/>
    <w:rsid w:val="0008622F"/>
    <w:rsid w:val="0008793A"/>
    <w:rsid w:val="00090755"/>
    <w:rsid w:val="00091225"/>
    <w:rsid w:val="000915AC"/>
    <w:rsid w:val="0009314C"/>
    <w:rsid w:val="00094439"/>
    <w:rsid w:val="000964BA"/>
    <w:rsid w:val="00097AEB"/>
    <w:rsid w:val="000A22D4"/>
    <w:rsid w:val="000A2668"/>
    <w:rsid w:val="000A2FAE"/>
    <w:rsid w:val="000A3F37"/>
    <w:rsid w:val="000A4B39"/>
    <w:rsid w:val="000A5C09"/>
    <w:rsid w:val="000A6141"/>
    <w:rsid w:val="000A6514"/>
    <w:rsid w:val="000A6AC3"/>
    <w:rsid w:val="000A7C47"/>
    <w:rsid w:val="000B0314"/>
    <w:rsid w:val="000B1003"/>
    <w:rsid w:val="000B136D"/>
    <w:rsid w:val="000B179D"/>
    <w:rsid w:val="000B4252"/>
    <w:rsid w:val="000B519F"/>
    <w:rsid w:val="000B57CE"/>
    <w:rsid w:val="000B6F36"/>
    <w:rsid w:val="000B7057"/>
    <w:rsid w:val="000B752A"/>
    <w:rsid w:val="000B7B44"/>
    <w:rsid w:val="000C00DA"/>
    <w:rsid w:val="000C1057"/>
    <w:rsid w:val="000C118A"/>
    <w:rsid w:val="000C25DD"/>
    <w:rsid w:val="000C25E7"/>
    <w:rsid w:val="000C5A6A"/>
    <w:rsid w:val="000C7FB1"/>
    <w:rsid w:val="000D0267"/>
    <w:rsid w:val="000D048D"/>
    <w:rsid w:val="000D3849"/>
    <w:rsid w:val="000D4A27"/>
    <w:rsid w:val="000D4C95"/>
    <w:rsid w:val="000D5DEA"/>
    <w:rsid w:val="000D5E7B"/>
    <w:rsid w:val="000D6EF5"/>
    <w:rsid w:val="000D7667"/>
    <w:rsid w:val="000E08AF"/>
    <w:rsid w:val="000E092B"/>
    <w:rsid w:val="000E0FA6"/>
    <w:rsid w:val="000E16B2"/>
    <w:rsid w:val="000E28EF"/>
    <w:rsid w:val="000E2A0C"/>
    <w:rsid w:val="000E387E"/>
    <w:rsid w:val="000E45DD"/>
    <w:rsid w:val="000E5047"/>
    <w:rsid w:val="000E6346"/>
    <w:rsid w:val="000E68BF"/>
    <w:rsid w:val="000E69CF"/>
    <w:rsid w:val="000E6BC0"/>
    <w:rsid w:val="000F1AA4"/>
    <w:rsid w:val="000F309B"/>
    <w:rsid w:val="000F34D2"/>
    <w:rsid w:val="000F494D"/>
    <w:rsid w:val="000F4B25"/>
    <w:rsid w:val="000F51E0"/>
    <w:rsid w:val="000F62B5"/>
    <w:rsid w:val="000F7405"/>
    <w:rsid w:val="000F74FF"/>
    <w:rsid w:val="000F7CEA"/>
    <w:rsid w:val="0010039E"/>
    <w:rsid w:val="00100A48"/>
    <w:rsid w:val="00102D7C"/>
    <w:rsid w:val="00104322"/>
    <w:rsid w:val="001052BA"/>
    <w:rsid w:val="0010613E"/>
    <w:rsid w:val="00106608"/>
    <w:rsid w:val="00106CE4"/>
    <w:rsid w:val="001072A0"/>
    <w:rsid w:val="00107D9F"/>
    <w:rsid w:val="00112041"/>
    <w:rsid w:val="00112228"/>
    <w:rsid w:val="00112852"/>
    <w:rsid w:val="0011324C"/>
    <w:rsid w:val="0011340A"/>
    <w:rsid w:val="001135FC"/>
    <w:rsid w:val="001151FB"/>
    <w:rsid w:val="00115DB0"/>
    <w:rsid w:val="00116509"/>
    <w:rsid w:val="00120084"/>
    <w:rsid w:val="00120220"/>
    <w:rsid w:val="00120AAE"/>
    <w:rsid w:val="0012137C"/>
    <w:rsid w:val="0012478F"/>
    <w:rsid w:val="00124B80"/>
    <w:rsid w:val="00125F79"/>
    <w:rsid w:val="00131FD5"/>
    <w:rsid w:val="00133193"/>
    <w:rsid w:val="001360DB"/>
    <w:rsid w:val="00136630"/>
    <w:rsid w:val="001409AB"/>
    <w:rsid w:val="00140BF0"/>
    <w:rsid w:val="001416C5"/>
    <w:rsid w:val="00141ECA"/>
    <w:rsid w:val="00142231"/>
    <w:rsid w:val="0014327F"/>
    <w:rsid w:val="00143CCE"/>
    <w:rsid w:val="0014527F"/>
    <w:rsid w:val="00146789"/>
    <w:rsid w:val="001472C1"/>
    <w:rsid w:val="001477C4"/>
    <w:rsid w:val="00147F9B"/>
    <w:rsid w:val="00150D82"/>
    <w:rsid w:val="0015170E"/>
    <w:rsid w:val="00151B12"/>
    <w:rsid w:val="001543AD"/>
    <w:rsid w:val="00155110"/>
    <w:rsid w:val="00160C34"/>
    <w:rsid w:val="00161593"/>
    <w:rsid w:val="00162C55"/>
    <w:rsid w:val="00162F02"/>
    <w:rsid w:val="001634CF"/>
    <w:rsid w:val="00163B04"/>
    <w:rsid w:val="00163F8E"/>
    <w:rsid w:val="0016435C"/>
    <w:rsid w:val="001651AF"/>
    <w:rsid w:val="001665A3"/>
    <w:rsid w:val="00166D25"/>
    <w:rsid w:val="001708D2"/>
    <w:rsid w:val="001711B8"/>
    <w:rsid w:val="0017125B"/>
    <w:rsid w:val="00171C81"/>
    <w:rsid w:val="00171FC5"/>
    <w:rsid w:val="0017292E"/>
    <w:rsid w:val="00173991"/>
    <w:rsid w:val="00174D23"/>
    <w:rsid w:val="00175B5E"/>
    <w:rsid w:val="00180F6B"/>
    <w:rsid w:val="00181B12"/>
    <w:rsid w:val="001821EA"/>
    <w:rsid w:val="001822DB"/>
    <w:rsid w:val="00182F5F"/>
    <w:rsid w:val="00183082"/>
    <w:rsid w:val="00183CE0"/>
    <w:rsid w:val="00184FFA"/>
    <w:rsid w:val="00185093"/>
    <w:rsid w:val="001850E7"/>
    <w:rsid w:val="00185112"/>
    <w:rsid w:val="00185924"/>
    <w:rsid w:val="00186FF8"/>
    <w:rsid w:val="001903BE"/>
    <w:rsid w:val="0019040A"/>
    <w:rsid w:val="00190C9A"/>
    <w:rsid w:val="00190D29"/>
    <w:rsid w:val="00191568"/>
    <w:rsid w:val="00191597"/>
    <w:rsid w:val="001919B1"/>
    <w:rsid w:val="001921A9"/>
    <w:rsid w:val="001925CC"/>
    <w:rsid w:val="00192FE8"/>
    <w:rsid w:val="001930A7"/>
    <w:rsid w:val="00193633"/>
    <w:rsid w:val="00194067"/>
    <w:rsid w:val="00194786"/>
    <w:rsid w:val="0019681F"/>
    <w:rsid w:val="0019737F"/>
    <w:rsid w:val="00197BA9"/>
    <w:rsid w:val="001A0C44"/>
    <w:rsid w:val="001A1634"/>
    <w:rsid w:val="001A2B4F"/>
    <w:rsid w:val="001A2BBC"/>
    <w:rsid w:val="001A2C5C"/>
    <w:rsid w:val="001A378C"/>
    <w:rsid w:val="001A4060"/>
    <w:rsid w:val="001A42A3"/>
    <w:rsid w:val="001A6804"/>
    <w:rsid w:val="001A69D7"/>
    <w:rsid w:val="001A701E"/>
    <w:rsid w:val="001A77C1"/>
    <w:rsid w:val="001B0284"/>
    <w:rsid w:val="001B032E"/>
    <w:rsid w:val="001B0487"/>
    <w:rsid w:val="001B0F6A"/>
    <w:rsid w:val="001B12D7"/>
    <w:rsid w:val="001B197D"/>
    <w:rsid w:val="001B19F2"/>
    <w:rsid w:val="001B2DC5"/>
    <w:rsid w:val="001B31AC"/>
    <w:rsid w:val="001B4E05"/>
    <w:rsid w:val="001B6E82"/>
    <w:rsid w:val="001B7196"/>
    <w:rsid w:val="001B790D"/>
    <w:rsid w:val="001C1877"/>
    <w:rsid w:val="001C1D82"/>
    <w:rsid w:val="001C2586"/>
    <w:rsid w:val="001C259F"/>
    <w:rsid w:val="001C2745"/>
    <w:rsid w:val="001C3904"/>
    <w:rsid w:val="001C3A94"/>
    <w:rsid w:val="001C3D34"/>
    <w:rsid w:val="001C3EC1"/>
    <w:rsid w:val="001C406E"/>
    <w:rsid w:val="001C467D"/>
    <w:rsid w:val="001C4DB8"/>
    <w:rsid w:val="001C77D7"/>
    <w:rsid w:val="001D1572"/>
    <w:rsid w:val="001D18B0"/>
    <w:rsid w:val="001D3CC6"/>
    <w:rsid w:val="001D4CBA"/>
    <w:rsid w:val="001D540C"/>
    <w:rsid w:val="001D591E"/>
    <w:rsid w:val="001D5ACA"/>
    <w:rsid w:val="001D5C6A"/>
    <w:rsid w:val="001D6E9E"/>
    <w:rsid w:val="001E1AB1"/>
    <w:rsid w:val="001E1B7F"/>
    <w:rsid w:val="001E1C11"/>
    <w:rsid w:val="001E1E64"/>
    <w:rsid w:val="001E3FED"/>
    <w:rsid w:val="001E6363"/>
    <w:rsid w:val="001E7090"/>
    <w:rsid w:val="001E7F8D"/>
    <w:rsid w:val="001F1286"/>
    <w:rsid w:val="001F3298"/>
    <w:rsid w:val="001F56B2"/>
    <w:rsid w:val="001F5945"/>
    <w:rsid w:val="001F7004"/>
    <w:rsid w:val="001F7E34"/>
    <w:rsid w:val="0020034E"/>
    <w:rsid w:val="00203B04"/>
    <w:rsid w:val="00204900"/>
    <w:rsid w:val="00206145"/>
    <w:rsid w:val="00206C09"/>
    <w:rsid w:val="002074A9"/>
    <w:rsid w:val="00207BBE"/>
    <w:rsid w:val="002101DE"/>
    <w:rsid w:val="002117C8"/>
    <w:rsid w:val="00212F37"/>
    <w:rsid w:val="00213F13"/>
    <w:rsid w:val="00214406"/>
    <w:rsid w:val="00214B69"/>
    <w:rsid w:val="00214CAA"/>
    <w:rsid w:val="002157CF"/>
    <w:rsid w:val="0021646F"/>
    <w:rsid w:val="00217C23"/>
    <w:rsid w:val="002205D1"/>
    <w:rsid w:val="002214F0"/>
    <w:rsid w:val="0022163D"/>
    <w:rsid w:val="00222FD0"/>
    <w:rsid w:val="00224526"/>
    <w:rsid w:val="0022530F"/>
    <w:rsid w:val="00225EDA"/>
    <w:rsid w:val="002274E0"/>
    <w:rsid w:val="002279A5"/>
    <w:rsid w:val="00227BBB"/>
    <w:rsid w:val="0023057A"/>
    <w:rsid w:val="0023071D"/>
    <w:rsid w:val="00232758"/>
    <w:rsid w:val="0023299A"/>
    <w:rsid w:val="0023395F"/>
    <w:rsid w:val="00235256"/>
    <w:rsid w:val="00235947"/>
    <w:rsid w:val="0023766B"/>
    <w:rsid w:val="002430BB"/>
    <w:rsid w:val="00244787"/>
    <w:rsid w:val="00245CBD"/>
    <w:rsid w:val="00245E87"/>
    <w:rsid w:val="00246A98"/>
    <w:rsid w:val="002510AA"/>
    <w:rsid w:val="002518B4"/>
    <w:rsid w:val="00253B51"/>
    <w:rsid w:val="00254FF2"/>
    <w:rsid w:val="00255484"/>
    <w:rsid w:val="00255A57"/>
    <w:rsid w:val="002571F1"/>
    <w:rsid w:val="00257A1B"/>
    <w:rsid w:val="00260780"/>
    <w:rsid w:val="00261C06"/>
    <w:rsid w:val="00261E2E"/>
    <w:rsid w:val="00262241"/>
    <w:rsid w:val="00262983"/>
    <w:rsid w:val="00263283"/>
    <w:rsid w:val="00263335"/>
    <w:rsid w:val="002639F3"/>
    <w:rsid w:val="00263D91"/>
    <w:rsid w:val="00264286"/>
    <w:rsid w:val="00264C96"/>
    <w:rsid w:val="00264FC1"/>
    <w:rsid w:val="002659D4"/>
    <w:rsid w:val="00267ABF"/>
    <w:rsid w:val="00267D2E"/>
    <w:rsid w:val="002703E1"/>
    <w:rsid w:val="00270AE6"/>
    <w:rsid w:val="00270FC9"/>
    <w:rsid w:val="002733FB"/>
    <w:rsid w:val="00273B72"/>
    <w:rsid w:val="00274298"/>
    <w:rsid w:val="00274F89"/>
    <w:rsid w:val="0027606E"/>
    <w:rsid w:val="002768B0"/>
    <w:rsid w:val="00276FD7"/>
    <w:rsid w:val="0028001A"/>
    <w:rsid w:val="00280B5B"/>
    <w:rsid w:val="00282C24"/>
    <w:rsid w:val="00282E76"/>
    <w:rsid w:val="002840C8"/>
    <w:rsid w:val="00284412"/>
    <w:rsid w:val="00284A22"/>
    <w:rsid w:val="002857C1"/>
    <w:rsid w:val="002859B6"/>
    <w:rsid w:val="00285A19"/>
    <w:rsid w:val="00285B59"/>
    <w:rsid w:val="00285B73"/>
    <w:rsid w:val="002901E0"/>
    <w:rsid w:val="00291921"/>
    <w:rsid w:val="00291E7D"/>
    <w:rsid w:val="00292233"/>
    <w:rsid w:val="00293BA5"/>
    <w:rsid w:val="00294171"/>
    <w:rsid w:val="00294306"/>
    <w:rsid w:val="00294C50"/>
    <w:rsid w:val="00295DB3"/>
    <w:rsid w:val="00296E78"/>
    <w:rsid w:val="002971D9"/>
    <w:rsid w:val="00297346"/>
    <w:rsid w:val="002977CA"/>
    <w:rsid w:val="00297D0F"/>
    <w:rsid w:val="002A0F02"/>
    <w:rsid w:val="002A2C17"/>
    <w:rsid w:val="002A44A9"/>
    <w:rsid w:val="002A46AE"/>
    <w:rsid w:val="002A4F84"/>
    <w:rsid w:val="002A5B13"/>
    <w:rsid w:val="002A5CBE"/>
    <w:rsid w:val="002A5CE7"/>
    <w:rsid w:val="002A791F"/>
    <w:rsid w:val="002B0630"/>
    <w:rsid w:val="002B0C61"/>
    <w:rsid w:val="002B1AC5"/>
    <w:rsid w:val="002B1B80"/>
    <w:rsid w:val="002B3ECA"/>
    <w:rsid w:val="002B6243"/>
    <w:rsid w:val="002B63B0"/>
    <w:rsid w:val="002B6D64"/>
    <w:rsid w:val="002B6DCF"/>
    <w:rsid w:val="002C00AC"/>
    <w:rsid w:val="002C0185"/>
    <w:rsid w:val="002C0581"/>
    <w:rsid w:val="002C0F5F"/>
    <w:rsid w:val="002C1CAC"/>
    <w:rsid w:val="002C2EF7"/>
    <w:rsid w:val="002C3C49"/>
    <w:rsid w:val="002C42E8"/>
    <w:rsid w:val="002C6172"/>
    <w:rsid w:val="002C6AD3"/>
    <w:rsid w:val="002C6F61"/>
    <w:rsid w:val="002C728E"/>
    <w:rsid w:val="002C73F5"/>
    <w:rsid w:val="002D1487"/>
    <w:rsid w:val="002D31D5"/>
    <w:rsid w:val="002D5862"/>
    <w:rsid w:val="002D6BED"/>
    <w:rsid w:val="002D7B91"/>
    <w:rsid w:val="002E03AD"/>
    <w:rsid w:val="002E0882"/>
    <w:rsid w:val="002E0983"/>
    <w:rsid w:val="002E0A55"/>
    <w:rsid w:val="002E3451"/>
    <w:rsid w:val="002E38C1"/>
    <w:rsid w:val="002E49B1"/>
    <w:rsid w:val="002E5FF8"/>
    <w:rsid w:val="002E652B"/>
    <w:rsid w:val="002E71FA"/>
    <w:rsid w:val="002F5CD9"/>
    <w:rsid w:val="002F61AD"/>
    <w:rsid w:val="002F62C0"/>
    <w:rsid w:val="002F736A"/>
    <w:rsid w:val="002F7947"/>
    <w:rsid w:val="002F799C"/>
    <w:rsid w:val="00301307"/>
    <w:rsid w:val="0030149C"/>
    <w:rsid w:val="003036DC"/>
    <w:rsid w:val="003043B2"/>
    <w:rsid w:val="00304ACD"/>
    <w:rsid w:val="003060DE"/>
    <w:rsid w:val="00306D02"/>
    <w:rsid w:val="00306F64"/>
    <w:rsid w:val="00306F8D"/>
    <w:rsid w:val="00307D24"/>
    <w:rsid w:val="0031007B"/>
    <w:rsid w:val="0031009F"/>
    <w:rsid w:val="0031153A"/>
    <w:rsid w:val="00311DEC"/>
    <w:rsid w:val="003124F7"/>
    <w:rsid w:val="00314A20"/>
    <w:rsid w:val="00314F6D"/>
    <w:rsid w:val="00315E25"/>
    <w:rsid w:val="003161B5"/>
    <w:rsid w:val="00316220"/>
    <w:rsid w:val="00316DE0"/>
    <w:rsid w:val="00317A88"/>
    <w:rsid w:val="00317ECE"/>
    <w:rsid w:val="0032033D"/>
    <w:rsid w:val="00320689"/>
    <w:rsid w:val="00321652"/>
    <w:rsid w:val="00322A79"/>
    <w:rsid w:val="00322FAC"/>
    <w:rsid w:val="003239B9"/>
    <w:rsid w:val="0032454D"/>
    <w:rsid w:val="00325B21"/>
    <w:rsid w:val="003268D0"/>
    <w:rsid w:val="00330401"/>
    <w:rsid w:val="0033136F"/>
    <w:rsid w:val="00331590"/>
    <w:rsid w:val="0033192A"/>
    <w:rsid w:val="003325BE"/>
    <w:rsid w:val="0033266B"/>
    <w:rsid w:val="00332ACA"/>
    <w:rsid w:val="00332E3F"/>
    <w:rsid w:val="003333A3"/>
    <w:rsid w:val="00334629"/>
    <w:rsid w:val="00334887"/>
    <w:rsid w:val="00334BDE"/>
    <w:rsid w:val="00336291"/>
    <w:rsid w:val="0034188F"/>
    <w:rsid w:val="003427FA"/>
    <w:rsid w:val="00342EB5"/>
    <w:rsid w:val="00343A42"/>
    <w:rsid w:val="003449D6"/>
    <w:rsid w:val="00344FEB"/>
    <w:rsid w:val="003452F4"/>
    <w:rsid w:val="003454A5"/>
    <w:rsid w:val="00346234"/>
    <w:rsid w:val="00346802"/>
    <w:rsid w:val="0034776E"/>
    <w:rsid w:val="003503D1"/>
    <w:rsid w:val="00352AE9"/>
    <w:rsid w:val="00352FA5"/>
    <w:rsid w:val="003536EC"/>
    <w:rsid w:val="00353728"/>
    <w:rsid w:val="0035504E"/>
    <w:rsid w:val="00356B27"/>
    <w:rsid w:val="00356C0F"/>
    <w:rsid w:val="00356CDE"/>
    <w:rsid w:val="00357A29"/>
    <w:rsid w:val="003604BD"/>
    <w:rsid w:val="00360703"/>
    <w:rsid w:val="00360B97"/>
    <w:rsid w:val="00364218"/>
    <w:rsid w:val="003649C6"/>
    <w:rsid w:val="00364C4B"/>
    <w:rsid w:val="003658FC"/>
    <w:rsid w:val="00367AE5"/>
    <w:rsid w:val="00367BF6"/>
    <w:rsid w:val="003707B5"/>
    <w:rsid w:val="00372C37"/>
    <w:rsid w:val="00372D1F"/>
    <w:rsid w:val="003741E6"/>
    <w:rsid w:val="0037484A"/>
    <w:rsid w:val="003753AB"/>
    <w:rsid w:val="0037595F"/>
    <w:rsid w:val="0037615E"/>
    <w:rsid w:val="003814E6"/>
    <w:rsid w:val="003816F7"/>
    <w:rsid w:val="00381F32"/>
    <w:rsid w:val="003822DF"/>
    <w:rsid w:val="00382DB2"/>
    <w:rsid w:val="00383F2B"/>
    <w:rsid w:val="00385206"/>
    <w:rsid w:val="003873AF"/>
    <w:rsid w:val="00387639"/>
    <w:rsid w:val="003901C3"/>
    <w:rsid w:val="003905D3"/>
    <w:rsid w:val="00390EC4"/>
    <w:rsid w:val="0039120B"/>
    <w:rsid w:val="003914E6"/>
    <w:rsid w:val="00392496"/>
    <w:rsid w:val="00393332"/>
    <w:rsid w:val="003934E8"/>
    <w:rsid w:val="00393D45"/>
    <w:rsid w:val="00393E88"/>
    <w:rsid w:val="0039400D"/>
    <w:rsid w:val="003940CD"/>
    <w:rsid w:val="003954DD"/>
    <w:rsid w:val="003957C0"/>
    <w:rsid w:val="00395D29"/>
    <w:rsid w:val="00396A81"/>
    <w:rsid w:val="00397AF0"/>
    <w:rsid w:val="00397BD4"/>
    <w:rsid w:val="003A03A3"/>
    <w:rsid w:val="003A0D3A"/>
    <w:rsid w:val="003A1BAB"/>
    <w:rsid w:val="003A28B9"/>
    <w:rsid w:val="003A55C8"/>
    <w:rsid w:val="003A583B"/>
    <w:rsid w:val="003A678D"/>
    <w:rsid w:val="003A7036"/>
    <w:rsid w:val="003A74A1"/>
    <w:rsid w:val="003A7614"/>
    <w:rsid w:val="003B1B93"/>
    <w:rsid w:val="003B1E3B"/>
    <w:rsid w:val="003B2284"/>
    <w:rsid w:val="003B2419"/>
    <w:rsid w:val="003B28B9"/>
    <w:rsid w:val="003B4433"/>
    <w:rsid w:val="003B4A72"/>
    <w:rsid w:val="003B5750"/>
    <w:rsid w:val="003B5757"/>
    <w:rsid w:val="003B5C01"/>
    <w:rsid w:val="003B5FC8"/>
    <w:rsid w:val="003B66D3"/>
    <w:rsid w:val="003C048B"/>
    <w:rsid w:val="003C13C9"/>
    <w:rsid w:val="003C19A5"/>
    <w:rsid w:val="003C19FE"/>
    <w:rsid w:val="003C5E20"/>
    <w:rsid w:val="003C66EE"/>
    <w:rsid w:val="003C6773"/>
    <w:rsid w:val="003C77E0"/>
    <w:rsid w:val="003D0156"/>
    <w:rsid w:val="003D0473"/>
    <w:rsid w:val="003D0D8C"/>
    <w:rsid w:val="003D16BF"/>
    <w:rsid w:val="003D2384"/>
    <w:rsid w:val="003D2828"/>
    <w:rsid w:val="003D3FCF"/>
    <w:rsid w:val="003D4323"/>
    <w:rsid w:val="003D545D"/>
    <w:rsid w:val="003D6A2C"/>
    <w:rsid w:val="003E289A"/>
    <w:rsid w:val="003E28A0"/>
    <w:rsid w:val="003E52F0"/>
    <w:rsid w:val="003E5FC4"/>
    <w:rsid w:val="003F0221"/>
    <w:rsid w:val="003F0A29"/>
    <w:rsid w:val="003F0CF3"/>
    <w:rsid w:val="003F129C"/>
    <w:rsid w:val="003F1471"/>
    <w:rsid w:val="003F1888"/>
    <w:rsid w:val="003F27C4"/>
    <w:rsid w:val="003F29B4"/>
    <w:rsid w:val="003F3455"/>
    <w:rsid w:val="003F3D2A"/>
    <w:rsid w:val="003F3F50"/>
    <w:rsid w:val="003F54AE"/>
    <w:rsid w:val="003F62C8"/>
    <w:rsid w:val="004010B7"/>
    <w:rsid w:val="004023A3"/>
    <w:rsid w:val="0040248D"/>
    <w:rsid w:val="004034F2"/>
    <w:rsid w:val="004039BD"/>
    <w:rsid w:val="00406338"/>
    <w:rsid w:val="00406DAA"/>
    <w:rsid w:val="0041092A"/>
    <w:rsid w:val="00412BE5"/>
    <w:rsid w:val="004145FE"/>
    <w:rsid w:val="00414627"/>
    <w:rsid w:val="004151A0"/>
    <w:rsid w:val="004161CC"/>
    <w:rsid w:val="0041751A"/>
    <w:rsid w:val="00420376"/>
    <w:rsid w:val="00421904"/>
    <w:rsid w:val="00423711"/>
    <w:rsid w:val="00423A70"/>
    <w:rsid w:val="00423DFC"/>
    <w:rsid w:val="004240CD"/>
    <w:rsid w:val="00424360"/>
    <w:rsid w:val="004249A7"/>
    <w:rsid w:val="00424A13"/>
    <w:rsid w:val="00425A3C"/>
    <w:rsid w:val="004264ED"/>
    <w:rsid w:val="00426D6B"/>
    <w:rsid w:val="00427165"/>
    <w:rsid w:val="0043175C"/>
    <w:rsid w:val="00431CA9"/>
    <w:rsid w:val="004327BC"/>
    <w:rsid w:val="004333D4"/>
    <w:rsid w:val="00433D48"/>
    <w:rsid w:val="00434C26"/>
    <w:rsid w:val="004400C8"/>
    <w:rsid w:val="004410AD"/>
    <w:rsid w:val="004435AF"/>
    <w:rsid w:val="00444495"/>
    <w:rsid w:val="00444F75"/>
    <w:rsid w:val="0044714D"/>
    <w:rsid w:val="0045037A"/>
    <w:rsid w:val="00451FC2"/>
    <w:rsid w:val="00452C3B"/>
    <w:rsid w:val="00453430"/>
    <w:rsid w:val="004534BC"/>
    <w:rsid w:val="00453CB5"/>
    <w:rsid w:val="00454285"/>
    <w:rsid w:val="0045525C"/>
    <w:rsid w:val="00455E02"/>
    <w:rsid w:val="0045621C"/>
    <w:rsid w:val="004574D6"/>
    <w:rsid w:val="0046030E"/>
    <w:rsid w:val="0046062C"/>
    <w:rsid w:val="00460674"/>
    <w:rsid w:val="00460A66"/>
    <w:rsid w:val="00463C66"/>
    <w:rsid w:val="00464113"/>
    <w:rsid w:val="00465598"/>
    <w:rsid w:val="00466DBC"/>
    <w:rsid w:val="00467632"/>
    <w:rsid w:val="00470005"/>
    <w:rsid w:val="004718A7"/>
    <w:rsid w:val="00471A7D"/>
    <w:rsid w:val="00471B91"/>
    <w:rsid w:val="00472199"/>
    <w:rsid w:val="00472667"/>
    <w:rsid w:val="00472820"/>
    <w:rsid w:val="00472FB1"/>
    <w:rsid w:val="004745FD"/>
    <w:rsid w:val="0047570D"/>
    <w:rsid w:val="00477627"/>
    <w:rsid w:val="00480B35"/>
    <w:rsid w:val="0048253E"/>
    <w:rsid w:val="00482A9D"/>
    <w:rsid w:val="00482E7C"/>
    <w:rsid w:val="0048306F"/>
    <w:rsid w:val="00483273"/>
    <w:rsid w:val="0048350E"/>
    <w:rsid w:val="004843BC"/>
    <w:rsid w:val="004849BD"/>
    <w:rsid w:val="00485F2C"/>
    <w:rsid w:val="00486519"/>
    <w:rsid w:val="0048676E"/>
    <w:rsid w:val="00486A4E"/>
    <w:rsid w:val="00486FE9"/>
    <w:rsid w:val="00487E95"/>
    <w:rsid w:val="004905F8"/>
    <w:rsid w:val="004933C7"/>
    <w:rsid w:val="00493B22"/>
    <w:rsid w:val="00493FAD"/>
    <w:rsid w:val="00494980"/>
    <w:rsid w:val="00495278"/>
    <w:rsid w:val="00495355"/>
    <w:rsid w:val="004954E9"/>
    <w:rsid w:val="00496961"/>
    <w:rsid w:val="00497815"/>
    <w:rsid w:val="004979CC"/>
    <w:rsid w:val="004A0005"/>
    <w:rsid w:val="004A0816"/>
    <w:rsid w:val="004A2F87"/>
    <w:rsid w:val="004A4825"/>
    <w:rsid w:val="004A4D76"/>
    <w:rsid w:val="004A6165"/>
    <w:rsid w:val="004B47C0"/>
    <w:rsid w:val="004B4BBC"/>
    <w:rsid w:val="004B525B"/>
    <w:rsid w:val="004B632A"/>
    <w:rsid w:val="004B7F95"/>
    <w:rsid w:val="004C0594"/>
    <w:rsid w:val="004C0A98"/>
    <w:rsid w:val="004C158F"/>
    <w:rsid w:val="004C1E1C"/>
    <w:rsid w:val="004C5FEA"/>
    <w:rsid w:val="004C6B53"/>
    <w:rsid w:val="004C7286"/>
    <w:rsid w:val="004C728C"/>
    <w:rsid w:val="004D044B"/>
    <w:rsid w:val="004D0C16"/>
    <w:rsid w:val="004D1017"/>
    <w:rsid w:val="004D14AB"/>
    <w:rsid w:val="004D2D29"/>
    <w:rsid w:val="004D3289"/>
    <w:rsid w:val="004D3E3C"/>
    <w:rsid w:val="004D43C1"/>
    <w:rsid w:val="004D4AB2"/>
    <w:rsid w:val="004D4F17"/>
    <w:rsid w:val="004D4F34"/>
    <w:rsid w:val="004D5408"/>
    <w:rsid w:val="004D5829"/>
    <w:rsid w:val="004D6C66"/>
    <w:rsid w:val="004D7715"/>
    <w:rsid w:val="004D7AF2"/>
    <w:rsid w:val="004E088E"/>
    <w:rsid w:val="004E1A4F"/>
    <w:rsid w:val="004E2247"/>
    <w:rsid w:val="004E2955"/>
    <w:rsid w:val="004E2AE6"/>
    <w:rsid w:val="004E356B"/>
    <w:rsid w:val="004E4361"/>
    <w:rsid w:val="004E467F"/>
    <w:rsid w:val="004E4DD0"/>
    <w:rsid w:val="004E5A90"/>
    <w:rsid w:val="004E6249"/>
    <w:rsid w:val="004E6CFE"/>
    <w:rsid w:val="004E6E54"/>
    <w:rsid w:val="004F0591"/>
    <w:rsid w:val="004F0A8F"/>
    <w:rsid w:val="004F1203"/>
    <w:rsid w:val="004F3B7A"/>
    <w:rsid w:val="004F3C18"/>
    <w:rsid w:val="004F42B6"/>
    <w:rsid w:val="004F450A"/>
    <w:rsid w:val="004F4B1C"/>
    <w:rsid w:val="004F5915"/>
    <w:rsid w:val="004F6829"/>
    <w:rsid w:val="00500509"/>
    <w:rsid w:val="00500E2A"/>
    <w:rsid w:val="0050279C"/>
    <w:rsid w:val="00502A2C"/>
    <w:rsid w:val="00504F79"/>
    <w:rsid w:val="00505896"/>
    <w:rsid w:val="005062C6"/>
    <w:rsid w:val="00506684"/>
    <w:rsid w:val="005067E6"/>
    <w:rsid w:val="00507313"/>
    <w:rsid w:val="005077A3"/>
    <w:rsid w:val="005101DC"/>
    <w:rsid w:val="005113A3"/>
    <w:rsid w:val="00511402"/>
    <w:rsid w:val="0051199B"/>
    <w:rsid w:val="005134D4"/>
    <w:rsid w:val="00513C55"/>
    <w:rsid w:val="0051581E"/>
    <w:rsid w:val="00516796"/>
    <w:rsid w:val="00516B63"/>
    <w:rsid w:val="0051704F"/>
    <w:rsid w:val="00520598"/>
    <w:rsid w:val="00520D45"/>
    <w:rsid w:val="00522400"/>
    <w:rsid w:val="005224B0"/>
    <w:rsid w:val="005232B1"/>
    <w:rsid w:val="005243A8"/>
    <w:rsid w:val="005244E2"/>
    <w:rsid w:val="005248FE"/>
    <w:rsid w:val="00525F66"/>
    <w:rsid w:val="0053127B"/>
    <w:rsid w:val="005314B0"/>
    <w:rsid w:val="00531545"/>
    <w:rsid w:val="00532C21"/>
    <w:rsid w:val="00532C23"/>
    <w:rsid w:val="0053378F"/>
    <w:rsid w:val="00534259"/>
    <w:rsid w:val="00534F85"/>
    <w:rsid w:val="00535915"/>
    <w:rsid w:val="00535E76"/>
    <w:rsid w:val="005369FC"/>
    <w:rsid w:val="00536C3A"/>
    <w:rsid w:val="005374BC"/>
    <w:rsid w:val="0053755B"/>
    <w:rsid w:val="00540197"/>
    <w:rsid w:val="00540A06"/>
    <w:rsid w:val="00543846"/>
    <w:rsid w:val="00544D9B"/>
    <w:rsid w:val="00544DBF"/>
    <w:rsid w:val="00545688"/>
    <w:rsid w:val="005472AB"/>
    <w:rsid w:val="00547752"/>
    <w:rsid w:val="0054784D"/>
    <w:rsid w:val="00550B90"/>
    <w:rsid w:val="005516FE"/>
    <w:rsid w:val="00551D5F"/>
    <w:rsid w:val="00553C62"/>
    <w:rsid w:val="0055427F"/>
    <w:rsid w:val="00554377"/>
    <w:rsid w:val="00554633"/>
    <w:rsid w:val="00554C81"/>
    <w:rsid w:val="00555A71"/>
    <w:rsid w:val="0055632E"/>
    <w:rsid w:val="0056073B"/>
    <w:rsid w:val="005640D8"/>
    <w:rsid w:val="00564856"/>
    <w:rsid w:val="005654A4"/>
    <w:rsid w:val="005656E2"/>
    <w:rsid w:val="00565B2C"/>
    <w:rsid w:val="00565DD4"/>
    <w:rsid w:val="00565E37"/>
    <w:rsid w:val="005663CD"/>
    <w:rsid w:val="005672DA"/>
    <w:rsid w:val="0056779A"/>
    <w:rsid w:val="00571E26"/>
    <w:rsid w:val="00573627"/>
    <w:rsid w:val="00573C30"/>
    <w:rsid w:val="0057409D"/>
    <w:rsid w:val="005747C1"/>
    <w:rsid w:val="005747F6"/>
    <w:rsid w:val="005757FA"/>
    <w:rsid w:val="00577B41"/>
    <w:rsid w:val="00580063"/>
    <w:rsid w:val="00580F57"/>
    <w:rsid w:val="00581E16"/>
    <w:rsid w:val="00582782"/>
    <w:rsid w:val="005832B9"/>
    <w:rsid w:val="0058345B"/>
    <w:rsid w:val="005838AC"/>
    <w:rsid w:val="00584D15"/>
    <w:rsid w:val="00584D47"/>
    <w:rsid w:val="005857FE"/>
    <w:rsid w:val="00585AE8"/>
    <w:rsid w:val="00585D4A"/>
    <w:rsid w:val="00585E34"/>
    <w:rsid w:val="0058615A"/>
    <w:rsid w:val="0058636E"/>
    <w:rsid w:val="0058661C"/>
    <w:rsid w:val="005876B5"/>
    <w:rsid w:val="0059098F"/>
    <w:rsid w:val="00592554"/>
    <w:rsid w:val="00593006"/>
    <w:rsid w:val="005930E9"/>
    <w:rsid w:val="00593487"/>
    <w:rsid w:val="00593828"/>
    <w:rsid w:val="005939B8"/>
    <w:rsid w:val="00594771"/>
    <w:rsid w:val="00594DFE"/>
    <w:rsid w:val="005954F8"/>
    <w:rsid w:val="00596004"/>
    <w:rsid w:val="00596B8C"/>
    <w:rsid w:val="005A0AD4"/>
    <w:rsid w:val="005A0B38"/>
    <w:rsid w:val="005A108B"/>
    <w:rsid w:val="005A2CF2"/>
    <w:rsid w:val="005A341E"/>
    <w:rsid w:val="005A37E3"/>
    <w:rsid w:val="005A38B5"/>
    <w:rsid w:val="005A5036"/>
    <w:rsid w:val="005A53C2"/>
    <w:rsid w:val="005A5414"/>
    <w:rsid w:val="005A6518"/>
    <w:rsid w:val="005A6689"/>
    <w:rsid w:val="005A7D64"/>
    <w:rsid w:val="005B054F"/>
    <w:rsid w:val="005B0899"/>
    <w:rsid w:val="005B154B"/>
    <w:rsid w:val="005B2B1A"/>
    <w:rsid w:val="005B340A"/>
    <w:rsid w:val="005B3633"/>
    <w:rsid w:val="005B4481"/>
    <w:rsid w:val="005B46BB"/>
    <w:rsid w:val="005B5997"/>
    <w:rsid w:val="005C0DFC"/>
    <w:rsid w:val="005C0EB2"/>
    <w:rsid w:val="005C15CE"/>
    <w:rsid w:val="005C22EA"/>
    <w:rsid w:val="005C25AF"/>
    <w:rsid w:val="005C2A9E"/>
    <w:rsid w:val="005C2F42"/>
    <w:rsid w:val="005C3EFD"/>
    <w:rsid w:val="005C4118"/>
    <w:rsid w:val="005C4ADC"/>
    <w:rsid w:val="005C6289"/>
    <w:rsid w:val="005D02A2"/>
    <w:rsid w:val="005D0760"/>
    <w:rsid w:val="005D0F9E"/>
    <w:rsid w:val="005D20D8"/>
    <w:rsid w:val="005D23B7"/>
    <w:rsid w:val="005D520B"/>
    <w:rsid w:val="005D6304"/>
    <w:rsid w:val="005D694A"/>
    <w:rsid w:val="005D752C"/>
    <w:rsid w:val="005E0072"/>
    <w:rsid w:val="005E0593"/>
    <w:rsid w:val="005E0C17"/>
    <w:rsid w:val="005E1B90"/>
    <w:rsid w:val="005E275D"/>
    <w:rsid w:val="005E2A50"/>
    <w:rsid w:val="005E2B5E"/>
    <w:rsid w:val="005E4623"/>
    <w:rsid w:val="005E4B32"/>
    <w:rsid w:val="005E54E1"/>
    <w:rsid w:val="005E55F4"/>
    <w:rsid w:val="005E5647"/>
    <w:rsid w:val="005E564C"/>
    <w:rsid w:val="005E639D"/>
    <w:rsid w:val="005E728F"/>
    <w:rsid w:val="005E77C8"/>
    <w:rsid w:val="005F0001"/>
    <w:rsid w:val="005F0401"/>
    <w:rsid w:val="005F0DDE"/>
    <w:rsid w:val="005F0F57"/>
    <w:rsid w:val="005F1B86"/>
    <w:rsid w:val="005F1E73"/>
    <w:rsid w:val="005F2060"/>
    <w:rsid w:val="005F26FC"/>
    <w:rsid w:val="005F478A"/>
    <w:rsid w:val="005F59D5"/>
    <w:rsid w:val="005F644C"/>
    <w:rsid w:val="005F6AD5"/>
    <w:rsid w:val="005F77C5"/>
    <w:rsid w:val="005F793E"/>
    <w:rsid w:val="00600378"/>
    <w:rsid w:val="00602FE5"/>
    <w:rsid w:val="0060363A"/>
    <w:rsid w:val="00603CB9"/>
    <w:rsid w:val="0060490D"/>
    <w:rsid w:val="006071F2"/>
    <w:rsid w:val="00607CB7"/>
    <w:rsid w:val="00610D71"/>
    <w:rsid w:val="00610E21"/>
    <w:rsid w:val="00610E68"/>
    <w:rsid w:val="00611995"/>
    <w:rsid w:val="00611D39"/>
    <w:rsid w:val="00611F92"/>
    <w:rsid w:val="00613368"/>
    <w:rsid w:val="00614F7D"/>
    <w:rsid w:val="0061573A"/>
    <w:rsid w:val="00615B5C"/>
    <w:rsid w:val="00617429"/>
    <w:rsid w:val="0061797A"/>
    <w:rsid w:val="00620417"/>
    <w:rsid w:val="0062156F"/>
    <w:rsid w:val="00621D99"/>
    <w:rsid w:val="00623B11"/>
    <w:rsid w:val="006251FE"/>
    <w:rsid w:val="006258BD"/>
    <w:rsid w:val="00625987"/>
    <w:rsid w:val="00625E52"/>
    <w:rsid w:val="0062744B"/>
    <w:rsid w:val="00627F55"/>
    <w:rsid w:val="006303D1"/>
    <w:rsid w:val="00630859"/>
    <w:rsid w:val="00630A26"/>
    <w:rsid w:val="00632F5E"/>
    <w:rsid w:val="00634874"/>
    <w:rsid w:val="00635575"/>
    <w:rsid w:val="00635922"/>
    <w:rsid w:val="006361FF"/>
    <w:rsid w:val="00636C2A"/>
    <w:rsid w:val="00636D45"/>
    <w:rsid w:val="006371B7"/>
    <w:rsid w:val="00640091"/>
    <w:rsid w:val="0064099D"/>
    <w:rsid w:val="00641187"/>
    <w:rsid w:val="006412E7"/>
    <w:rsid w:val="00641B37"/>
    <w:rsid w:val="0064338F"/>
    <w:rsid w:val="0064386B"/>
    <w:rsid w:val="00643AAD"/>
    <w:rsid w:val="00643F51"/>
    <w:rsid w:val="00645F0B"/>
    <w:rsid w:val="00646BBB"/>
    <w:rsid w:val="00650576"/>
    <w:rsid w:val="00650EB6"/>
    <w:rsid w:val="00652197"/>
    <w:rsid w:val="00652297"/>
    <w:rsid w:val="00652E87"/>
    <w:rsid w:val="0065351E"/>
    <w:rsid w:val="00653F61"/>
    <w:rsid w:val="00654BBD"/>
    <w:rsid w:val="00655D56"/>
    <w:rsid w:val="0065655B"/>
    <w:rsid w:val="00656ECA"/>
    <w:rsid w:val="00660C20"/>
    <w:rsid w:val="006615C2"/>
    <w:rsid w:val="00661FAD"/>
    <w:rsid w:val="00662ACF"/>
    <w:rsid w:val="00664DD8"/>
    <w:rsid w:val="00665CC3"/>
    <w:rsid w:val="00667C35"/>
    <w:rsid w:val="00670384"/>
    <w:rsid w:val="00670738"/>
    <w:rsid w:val="00671D7C"/>
    <w:rsid w:val="00672E21"/>
    <w:rsid w:val="00672E58"/>
    <w:rsid w:val="0067359C"/>
    <w:rsid w:val="00673607"/>
    <w:rsid w:val="00673D74"/>
    <w:rsid w:val="00673E18"/>
    <w:rsid w:val="006753F3"/>
    <w:rsid w:val="00676509"/>
    <w:rsid w:val="006771AB"/>
    <w:rsid w:val="00680F5A"/>
    <w:rsid w:val="00682F34"/>
    <w:rsid w:val="00682FE0"/>
    <w:rsid w:val="006837CE"/>
    <w:rsid w:val="00684504"/>
    <w:rsid w:val="00684B23"/>
    <w:rsid w:val="00685B65"/>
    <w:rsid w:val="006868B9"/>
    <w:rsid w:val="00687CD8"/>
    <w:rsid w:val="006904AE"/>
    <w:rsid w:val="00691302"/>
    <w:rsid w:val="00691486"/>
    <w:rsid w:val="00691A7C"/>
    <w:rsid w:val="00692022"/>
    <w:rsid w:val="00692D14"/>
    <w:rsid w:val="00694DE8"/>
    <w:rsid w:val="00695034"/>
    <w:rsid w:val="006972FB"/>
    <w:rsid w:val="00697AD0"/>
    <w:rsid w:val="00697EED"/>
    <w:rsid w:val="006A0128"/>
    <w:rsid w:val="006A0DD8"/>
    <w:rsid w:val="006A1097"/>
    <w:rsid w:val="006A11FB"/>
    <w:rsid w:val="006A256E"/>
    <w:rsid w:val="006A272B"/>
    <w:rsid w:val="006A403F"/>
    <w:rsid w:val="006A458E"/>
    <w:rsid w:val="006A4C71"/>
    <w:rsid w:val="006A5757"/>
    <w:rsid w:val="006A5966"/>
    <w:rsid w:val="006A5CF1"/>
    <w:rsid w:val="006A659D"/>
    <w:rsid w:val="006A72FF"/>
    <w:rsid w:val="006A79C5"/>
    <w:rsid w:val="006B090C"/>
    <w:rsid w:val="006B0F9B"/>
    <w:rsid w:val="006B1FBD"/>
    <w:rsid w:val="006B4EDC"/>
    <w:rsid w:val="006B4F8F"/>
    <w:rsid w:val="006B7C73"/>
    <w:rsid w:val="006C01EA"/>
    <w:rsid w:val="006C0D66"/>
    <w:rsid w:val="006C10B8"/>
    <w:rsid w:val="006C1146"/>
    <w:rsid w:val="006C1ABF"/>
    <w:rsid w:val="006C1E0D"/>
    <w:rsid w:val="006C2E7C"/>
    <w:rsid w:val="006C39BF"/>
    <w:rsid w:val="006C41D0"/>
    <w:rsid w:val="006C47A8"/>
    <w:rsid w:val="006C566A"/>
    <w:rsid w:val="006C63B1"/>
    <w:rsid w:val="006C6B4C"/>
    <w:rsid w:val="006C700E"/>
    <w:rsid w:val="006D01E1"/>
    <w:rsid w:val="006D1F74"/>
    <w:rsid w:val="006D3657"/>
    <w:rsid w:val="006D37EB"/>
    <w:rsid w:val="006D4530"/>
    <w:rsid w:val="006D49D3"/>
    <w:rsid w:val="006D4F0A"/>
    <w:rsid w:val="006D5892"/>
    <w:rsid w:val="006D647D"/>
    <w:rsid w:val="006D76FF"/>
    <w:rsid w:val="006E0314"/>
    <w:rsid w:val="006E0F0D"/>
    <w:rsid w:val="006E2714"/>
    <w:rsid w:val="006E3A34"/>
    <w:rsid w:val="006E44BE"/>
    <w:rsid w:val="006E52F6"/>
    <w:rsid w:val="006E7767"/>
    <w:rsid w:val="006E788B"/>
    <w:rsid w:val="006F39D8"/>
    <w:rsid w:val="006F3C12"/>
    <w:rsid w:val="006F61B1"/>
    <w:rsid w:val="006F6339"/>
    <w:rsid w:val="00700CC3"/>
    <w:rsid w:val="00700FE7"/>
    <w:rsid w:val="0070125B"/>
    <w:rsid w:val="00702895"/>
    <w:rsid w:val="00704813"/>
    <w:rsid w:val="0070520E"/>
    <w:rsid w:val="007054E6"/>
    <w:rsid w:val="00706DEC"/>
    <w:rsid w:val="0071079E"/>
    <w:rsid w:val="007122E8"/>
    <w:rsid w:val="007132AB"/>
    <w:rsid w:val="007134F7"/>
    <w:rsid w:val="0071439C"/>
    <w:rsid w:val="007172E8"/>
    <w:rsid w:val="00717EEB"/>
    <w:rsid w:val="007203BA"/>
    <w:rsid w:val="00722948"/>
    <w:rsid w:val="00722F56"/>
    <w:rsid w:val="00723F80"/>
    <w:rsid w:val="00725AA6"/>
    <w:rsid w:val="00727B9A"/>
    <w:rsid w:val="00727D92"/>
    <w:rsid w:val="00731267"/>
    <w:rsid w:val="007319F9"/>
    <w:rsid w:val="00731B29"/>
    <w:rsid w:val="007327EA"/>
    <w:rsid w:val="0073302E"/>
    <w:rsid w:val="007330BC"/>
    <w:rsid w:val="00734900"/>
    <w:rsid w:val="00734C99"/>
    <w:rsid w:val="007353BF"/>
    <w:rsid w:val="00735D79"/>
    <w:rsid w:val="00736B6D"/>
    <w:rsid w:val="0074043C"/>
    <w:rsid w:val="007419F1"/>
    <w:rsid w:val="00741EDB"/>
    <w:rsid w:val="00743B3F"/>
    <w:rsid w:val="007454E0"/>
    <w:rsid w:val="00746130"/>
    <w:rsid w:val="00746E5E"/>
    <w:rsid w:val="007476F9"/>
    <w:rsid w:val="00750687"/>
    <w:rsid w:val="00750C4F"/>
    <w:rsid w:val="00751093"/>
    <w:rsid w:val="00751D13"/>
    <w:rsid w:val="00752561"/>
    <w:rsid w:val="00752CEA"/>
    <w:rsid w:val="007530C5"/>
    <w:rsid w:val="00753754"/>
    <w:rsid w:val="00753F43"/>
    <w:rsid w:val="007544B9"/>
    <w:rsid w:val="00754731"/>
    <w:rsid w:val="00755728"/>
    <w:rsid w:val="007557B1"/>
    <w:rsid w:val="00755F05"/>
    <w:rsid w:val="00756954"/>
    <w:rsid w:val="00756B11"/>
    <w:rsid w:val="00756C4E"/>
    <w:rsid w:val="00756F59"/>
    <w:rsid w:val="0075753A"/>
    <w:rsid w:val="00760762"/>
    <w:rsid w:val="00760AA6"/>
    <w:rsid w:val="00760FCB"/>
    <w:rsid w:val="00761232"/>
    <w:rsid w:val="007612C6"/>
    <w:rsid w:val="007612EC"/>
    <w:rsid w:val="00761962"/>
    <w:rsid w:val="0076309A"/>
    <w:rsid w:val="00764768"/>
    <w:rsid w:val="007663ED"/>
    <w:rsid w:val="00766585"/>
    <w:rsid w:val="007665AF"/>
    <w:rsid w:val="007711D9"/>
    <w:rsid w:val="00771DA0"/>
    <w:rsid w:val="00771FC9"/>
    <w:rsid w:val="00773AA4"/>
    <w:rsid w:val="00773F49"/>
    <w:rsid w:val="00773F9D"/>
    <w:rsid w:val="00775AC8"/>
    <w:rsid w:val="00775FA2"/>
    <w:rsid w:val="00776B79"/>
    <w:rsid w:val="007770F8"/>
    <w:rsid w:val="007771F1"/>
    <w:rsid w:val="00777596"/>
    <w:rsid w:val="00777960"/>
    <w:rsid w:val="00780382"/>
    <w:rsid w:val="00780650"/>
    <w:rsid w:val="007828C0"/>
    <w:rsid w:val="00785EC4"/>
    <w:rsid w:val="007860B6"/>
    <w:rsid w:val="00787014"/>
    <w:rsid w:val="007906EB"/>
    <w:rsid w:val="00791188"/>
    <w:rsid w:val="007920FE"/>
    <w:rsid w:val="0079410B"/>
    <w:rsid w:val="0079577C"/>
    <w:rsid w:val="00797CEE"/>
    <w:rsid w:val="007A01FE"/>
    <w:rsid w:val="007A03B7"/>
    <w:rsid w:val="007A0BE8"/>
    <w:rsid w:val="007A140D"/>
    <w:rsid w:val="007A27E7"/>
    <w:rsid w:val="007A286E"/>
    <w:rsid w:val="007A2907"/>
    <w:rsid w:val="007A3140"/>
    <w:rsid w:val="007A35E9"/>
    <w:rsid w:val="007A3D9B"/>
    <w:rsid w:val="007A3FC1"/>
    <w:rsid w:val="007A5A29"/>
    <w:rsid w:val="007A68ED"/>
    <w:rsid w:val="007A7B07"/>
    <w:rsid w:val="007B008C"/>
    <w:rsid w:val="007B0489"/>
    <w:rsid w:val="007B0839"/>
    <w:rsid w:val="007B0B7F"/>
    <w:rsid w:val="007B138C"/>
    <w:rsid w:val="007B2DAD"/>
    <w:rsid w:val="007B3D50"/>
    <w:rsid w:val="007B42BF"/>
    <w:rsid w:val="007B4D35"/>
    <w:rsid w:val="007B53D1"/>
    <w:rsid w:val="007B57CE"/>
    <w:rsid w:val="007B6820"/>
    <w:rsid w:val="007B693C"/>
    <w:rsid w:val="007B6CDD"/>
    <w:rsid w:val="007C037E"/>
    <w:rsid w:val="007C0B45"/>
    <w:rsid w:val="007C1739"/>
    <w:rsid w:val="007C1FA0"/>
    <w:rsid w:val="007C4006"/>
    <w:rsid w:val="007C4268"/>
    <w:rsid w:val="007C5BD8"/>
    <w:rsid w:val="007C635F"/>
    <w:rsid w:val="007D092D"/>
    <w:rsid w:val="007D192B"/>
    <w:rsid w:val="007D22B4"/>
    <w:rsid w:val="007D28B7"/>
    <w:rsid w:val="007D3491"/>
    <w:rsid w:val="007D354C"/>
    <w:rsid w:val="007D3D6D"/>
    <w:rsid w:val="007D48DC"/>
    <w:rsid w:val="007D5474"/>
    <w:rsid w:val="007E04D4"/>
    <w:rsid w:val="007E2A2A"/>
    <w:rsid w:val="007E38FB"/>
    <w:rsid w:val="007E45E5"/>
    <w:rsid w:val="007E5321"/>
    <w:rsid w:val="007F0C16"/>
    <w:rsid w:val="007F0EE6"/>
    <w:rsid w:val="007F1297"/>
    <w:rsid w:val="007F129C"/>
    <w:rsid w:val="007F2F8B"/>
    <w:rsid w:val="007F5746"/>
    <w:rsid w:val="007F67C7"/>
    <w:rsid w:val="007F6CEF"/>
    <w:rsid w:val="007F6E37"/>
    <w:rsid w:val="00800B08"/>
    <w:rsid w:val="00801057"/>
    <w:rsid w:val="00801224"/>
    <w:rsid w:val="0080146B"/>
    <w:rsid w:val="0080167C"/>
    <w:rsid w:val="00801AFB"/>
    <w:rsid w:val="0080260C"/>
    <w:rsid w:val="00802DCD"/>
    <w:rsid w:val="00802ECA"/>
    <w:rsid w:val="00803DC8"/>
    <w:rsid w:val="00804F18"/>
    <w:rsid w:val="00806832"/>
    <w:rsid w:val="008071BE"/>
    <w:rsid w:val="0080767E"/>
    <w:rsid w:val="0081033F"/>
    <w:rsid w:val="00810AF0"/>
    <w:rsid w:val="00813F4B"/>
    <w:rsid w:val="00814B4D"/>
    <w:rsid w:val="0081613E"/>
    <w:rsid w:val="00817047"/>
    <w:rsid w:val="008177A2"/>
    <w:rsid w:val="0082176F"/>
    <w:rsid w:val="0082199C"/>
    <w:rsid w:val="008237C2"/>
    <w:rsid w:val="00825A5E"/>
    <w:rsid w:val="00826985"/>
    <w:rsid w:val="00826D88"/>
    <w:rsid w:val="00830620"/>
    <w:rsid w:val="00830DDC"/>
    <w:rsid w:val="00831282"/>
    <w:rsid w:val="0083230A"/>
    <w:rsid w:val="008323B2"/>
    <w:rsid w:val="008341B6"/>
    <w:rsid w:val="00834E25"/>
    <w:rsid w:val="00834F37"/>
    <w:rsid w:val="008361E1"/>
    <w:rsid w:val="00836211"/>
    <w:rsid w:val="00836389"/>
    <w:rsid w:val="0084111C"/>
    <w:rsid w:val="0084226D"/>
    <w:rsid w:val="00843074"/>
    <w:rsid w:val="00844137"/>
    <w:rsid w:val="008447E6"/>
    <w:rsid w:val="00845548"/>
    <w:rsid w:val="00845CF8"/>
    <w:rsid w:val="0084686E"/>
    <w:rsid w:val="00846A75"/>
    <w:rsid w:val="00847933"/>
    <w:rsid w:val="0085019F"/>
    <w:rsid w:val="008502A9"/>
    <w:rsid w:val="0085070C"/>
    <w:rsid w:val="0085207D"/>
    <w:rsid w:val="00852796"/>
    <w:rsid w:val="0085341F"/>
    <w:rsid w:val="00853875"/>
    <w:rsid w:val="0085389A"/>
    <w:rsid w:val="00854111"/>
    <w:rsid w:val="00854489"/>
    <w:rsid w:val="008551A7"/>
    <w:rsid w:val="00855992"/>
    <w:rsid w:val="0085754C"/>
    <w:rsid w:val="00860039"/>
    <w:rsid w:val="008606B9"/>
    <w:rsid w:val="00861686"/>
    <w:rsid w:val="00861752"/>
    <w:rsid w:val="00861B69"/>
    <w:rsid w:val="00861D56"/>
    <w:rsid w:val="00862143"/>
    <w:rsid w:val="00863767"/>
    <w:rsid w:val="00863A24"/>
    <w:rsid w:val="00863A71"/>
    <w:rsid w:val="00865910"/>
    <w:rsid w:val="00865EE9"/>
    <w:rsid w:val="008660D4"/>
    <w:rsid w:val="00870E1D"/>
    <w:rsid w:val="00871DA2"/>
    <w:rsid w:val="00871FCF"/>
    <w:rsid w:val="008721B8"/>
    <w:rsid w:val="008750A5"/>
    <w:rsid w:val="00876030"/>
    <w:rsid w:val="008779D5"/>
    <w:rsid w:val="0088033D"/>
    <w:rsid w:val="0088037D"/>
    <w:rsid w:val="00881023"/>
    <w:rsid w:val="008810FA"/>
    <w:rsid w:val="00881396"/>
    <w:rsid w:val="00881459"/>
    <w:rsid w:val="0088199F"/>
    <w:rsid w:val="00883710"/>
    <w:rsid w:val="00883783"/>
    <w:rsid w:val="008837F3"/>
    <w:rsid w:val="008839F8"/>
    <w:rsid w:val="008902E6"/>
    <w:rsid w:val="00890C73"/>
    <w:rsid w:val="00891051"/>
    <w:rsid w:val="00892432"/>
    <w:rsid w:val="00892829"/>
    <w:rsid w:val="008940AB"/>
    <w:rsid w:val="00894285"/>
    <w:rsid w:val="0089522A"/>
    <w:rsid w:val="00895E3E"/>
    <w:rsid w:val="008966DB"/>
    <w:rsid w:val="008975C2"/>
    <w:rsid w:val="008A13A1"/>
    <w:rsid w:val="008A5244"/>
    <w:rsid w:val="008A72E0"/>
    <w:rsid w:val="008A79C9"/>
    <w:rsid w:val="008B2F8A"/>
    <w:rsid w:val="008B3B43"/>
    <w:rsid w:val="008B3BA6"/>
    <w:rsid w:val="008B3F7B"/>
    <w:rsid w:val="008B5064"/>
    <w:rsid w:val="008B5523"/>
    <w:rsid w:val="008C0289"/>
    <w:rsid w:val="008C2F6D"/>
    <w:rsid w:val="008C343B"/>
    <w:rsid w:val="008C4702"/>
    <w:rsid w:val="008C50F9"/>
    <w:rsid w:val="008C5969"/>
    <w:rsid w:val="008C5B93"/>
    <w:rsid w:val="008C6A16"/>
    <w:rsid w:val="008C7464"/>
    <w:rsid w:val="008C753C"/>
    <w:rsid w:val="008D1187"/>
    <w:rsid w:val="008D13DC"/>
    <w:rsid w:val="008D19E6"/>
    <w:rsid w:val="008D24DC"/>
    <w:rsid w:val="008D2934"/>
    <w:rsid w:val="008D313E"/>
    <w:rsid w:val="008D34C1"/>
    <w:rsid w:val="008D3F16"/>
    <w:rsid w:val="008D3F8B"/>
    <w:rsid w:val="008D4BE6"/>
    <w:rsid w:val="008D4C22"/>
    <w:rsid w:val="008D64C9"/>
    <w:rsid w:val="008D7F55"/>
    <w:rsid w:val="008E1249"/>
    <w:rsid w:val="008E14DB"/>
    <w:rsid w:val="008E1B0F"/>
    <w:rsid w:val="008E21D7"/>
    <w:rsid w:val="008E2600"/>
    <w:rsid w:val="008E29B9"/>
    <w:rsid w:val="008E2E58"/>
    <w:rsid w:val="008E30ED"/>
    <w:rsid w:val="008E3202"/>
    <w:rsid w:val="008E517E"/>
    <w:rsid w:val="008E57C3"/>
    <w:rsid w:val="008E6030"/>
    <w:rsid w:val="008E6274"/>
    <w:rsid w:val="008F3180"/>
    <w:rsid w:val="008F35C0"/>
    <w:rsid w:val="008F3634"/>
    <w:rsid w:val="008F421E"/>
    <w:rsid w:val="008F422C"/>
    <w:rsid w:val="008F50F8"/>
    <w:rsid w:val="008F56BC"/>
    <w:rsid w:val="008F6B3C"/>
    <w:rsid w:val="0090123D"/>
    <w:rsid w:val="009017D7"/>
    <w:rsid w:val="00903D2C"/>
    <w:rsid w:val="00904135"/>
    <w:rsid w:val="00905BB2"/>
    <w:rsid w:val="00906672"/>
    <w:rsid w:val="00906822"/>
    <w:rsid w:val="00906989"/>
    <w:rsid w:val="00907DB1"/>
    <w:rsid w:val="009102E2"/>
    <w:rsid w:val="00911E33"/>
    <w:rsid w:val="009133D1"/>
    <w:rsid w:val="00914FFD"/>
    <w:rsid w:val="00915114"/>
    <w:rsid w:val="009151C0"/>
    <w:rsid w:val="0092123A"/>
    <w:rsid w:val="009213AB"/>
    <w:rsid w:val="0092449D"/>
    <w:rsid w:val="0092482D"/>
    <w:rsid w:val="0092551E"/>
    <w:rsid w:val="00925949"/>
    <w:rsid w:val="00925F5B"/>
    <w:rsid w:val="00925F94"/>
    <w:rsid w:val="0092713F"/>
    <w:rsid w:val="009304BF"/>
    <w:rsid w:val="009307D7"/>
    <w:rsid w:val="00930E42"/>
    <w:rsid w:val="00930E5E"/>
    <w:rsid w:val="009311BA"/>
    <w:rsid w:val="00931DE6"/>
    <w:rsid w:val="009330ED"/>
    <w:rsid w:val="009342E6"/>
    <w:rsid w:val="00934393"/>
    <w:rsid w:val="00934ACE"/>
    <w:rsid w:val="00935177"/>
    <w:rsid w:val="00936CAE"/>
    <w:rsid w:val="009377A9"/>
    <w:rsid w:val="0094128B"/>
    <w:rsid w:val="009433FD"/>
    <w:rsid w:val="00943C34"/>
    <w:rsid w:val="00945993"/>
    <w:rsid w:val="0094628D"/>
    <w:rsid w:val="00946312"/>
    <w:rsid w:val="009469F4"/>
    <w:rsid w:val="00946C49"/>
    <w:rsid w:val="00947944"/>
    <w:rsid w:val="0095142E"/>
    <w:rsid w:val="0095370A"/>
    <w:rsid w:val="0095469D"/>
    <w:rsid w:val="00955158"/>
    <w:rsid w:val="009552CA"/>
    <w:rsid w:val="00955361"/>
    <w:rsid w:val="009569EF"/>
    <w:rsid w:val="00957085"/>
    <w:rsid w:val="00963AC6"/>
    <w:rsid w:val="0096492D"/>
    <w:rsid w:val="00964BBB"/>
    <w:rsid w:val="00964C87"/>
    <w:rsid w:val="00965030"/>
    <w:rsid w:val="00966312"/>
    <w:rsid w:val="0096631A"/>
    <w:rsid w:val="009667C4"/>
    <w:rsid w:val="00966ADA"/>
    <w:rsid w:val="00966BB1"/>
    <w:rsid w:val="00967CFF"/>
    <w:rsid w:val="00967F46"/>
    <w:rsid w:val="009714C8"/>
    <w:rsid w:val="00971806"/>
    <w:rsid w:val="00971B8A"/>
    <w:rsid w:val="00972AF4"/>
    <w:rsid w:val="009731D8"/>
    <w:rsid w:val="00974727"/>
    <w:rsid w:val="0097530B"/>
    <w:rsid w:val="009756EF"/>
    <w:rsid w:val="00977070"/>
    <w:rsid w:val="009771ED"/>
    <w:rsid w:val="009772C9"/>
    <w:rsid w:val="009802A0"/>
    <w:rsid w:val="0098207C"/>
    <w:rsid w:val="009829EE"/>
    <w:rsid w:val="009834B5"/>
    <w:rsid w:val="0098415C"/>
    <w:rsid w:val="00984606"/>
    <w:rsid w:val="00984A76"/>
    <w:rsid w:val="00985BDE"/>
    <w:rsid w:val="00985D25"/>
    <w:rsid w:val="009912B7"/>
    <w:rsid w:val="0099131B"/>
    <w:rsid w:val="009924CF"/>
    <w:rsid w:val="00992659"/>
    <w:rsid w:val="009928DD"/>
    <w:rsid w:val="00993015"/>
    <w:rsid w:val="009933D1"/>
    <w:rsid w:val="0099431C"/>
    <w:rsid w:val="00994470"/>
    <w:rsid w:val="009948E5"/>
    <w:rsid w:val="00994D6A"/>
    <w:rsid w:val="00994E9B"/>
    <w:rsid w:val="009A0033"/>
    <w:rsid w:val="009A13B4"/>
    <w:rsid w:val="009A19DB"/>
    <w:rsid w:val="009A1E47"/>
    <w:rsid w:val="009A2150"/>
    <w:rsid w:val="009A2D50"/>
    <w:rsid w:val="009A3C28"/>
    <w:rsid w:val="009A49B5"/>
    <w:rsid w:val="009A5EFC"/>
    <w:rsid w:val="009A5F3B"/>
    <w:rsid w:val="009B07F0"/>
    <w:rsid w:val="009B1228"/>
    <w:rsid w:val="009B1FAA"/>
    <w:rsid w:val="009B21B5"/>
    <w:rsid w:val="009B3DBB"/>
    <w:rsid w:val="009B5438"/>
    <w:rsid w:val="009B5502"/>
    <w:rsid w:val="009B7A42"/>
    <w:rsid w:val="009B7CDD"/>
    <w:rsid w:val="009C08E7"/>
    <w:rsid w:val="009C0B87"/>
    <w:rsid w:val="009C1BB4"/>
    <w:rsid w:val="009C20B6"/>
    <w:rsid w:val="009C292C"/>
    <w:rsid w:val="009C2DB2"/>
    <w:rsid w:val="009C4A4F"/>
    <w:rsid w:val="009C62B6"/>
    <w:rsid w:val="009C7A68"/>
    <w:rsid w:val="009C7BFC"/>
    <w:rsid w:val="009D01A4"/>
    <w:rsid w:val="009D07BA"/>
    <w:rsid w:val="009D0A48"/>
    <w:rsid w:val="009D1051"/>
    <w:rsid w:val="009D1E3E"/>
    <w:rsid w:val="009D2454"/>
    <w:rsid w:val="009D263A"/>
    <w:rsid w:val="009D2DBE"/>
    <w:rsid w:val="009D46F1"/>
    <w:rsid w:val="009D4A7C"/>
    <w:rsid w:val="009D4A88"/>
    <w:rsid w:val="009D68F5"/>
    <w:rsid w:val="009D6E90"/>
    <w:rsid w:val="009D7988"/>
    <w:rsid w:val="009D7AE5"/>
    <w:rsid w:val="009E04F1"/>
    <w:rsid w:val="009E1A7E"/>
    <w:rsid w:val="009E251F"/>
    <w:rsid w:val="009E385D"/>
    <w:rsid w:val="009E57DA"/>
    <w:rsid w:val="009E5993"/>
    <w:rsid w:val="009E671B"/>
    <w:rsid w:val="009E67A7"/>
    <w:rsid w:val="009E78AA"/>
    <w:rsid w:val="009F0292"/>
    <w:rsid w:val="009F1795"/>
    <w:rsid w:val="009F19F8"/>
    <w:rsid w:val="009F1B05"/>
    <w:rsid w:val="009F3923"/>
    <w:rsid w:val="009F4958"/>
    <w:rsid w:val="009F6873"/>
    <w:rsid w:val="009F7930"/>
    <w:rsid w:val="00A00119"/>
    <w:rsid w:val="00A03A9E"/>
    <w:rsid w:val="00A03D2C"/>
    <w:rsid w:val="00A03E8B"/>
    <w:rsid w:val="00A04AAF"/>
    <w:rsid w:val="00A0555C"/>
    <w:rsid w:val="00A05A7D"/>
    <w:rsid w:val="00A06E5B"/>
    <w:rsid w:val="00A07150"/>
    <w:rsid w:val="00A0721C"/>
    <w:rsid w:val="00A107FA"/>
    <w:rsid w:val="00A1289D"/>
    <w:rsid w:val="00A13F0F"/>
    <w:rsid w:val="00A14542"/>
    <w:rsid w:val="00A1573C"/>
    <w:rsid w:val="00A204F4"/>
    <w:rsid w:val="00A213CA"/>
    <w:rsid w:val="00A22BA9"/>
    <w:rsid w:val="00A23E9F"/>
    <w:rsid w:val="00A269C3"/>
    <w:rsid w:val="00A26F75"/>
    <w:rsid w:val="00A27B13"/>
    <w:rsid w:val="00A3055C"/>
    <w:rsid w:val="00A30624"/>
    <w:rsid w:val="00A31D8E"/>
    <w:rsid w:val="00A31F0D"/>
    <w:rsid w:val="00A32072"/>
    <w:rsid w:val="00A334A7"/>
    <w:rsid w:val="00A33919"/>
    <w:rsid w:val="00A3485F"/>
    <w:rsid w:val="00A34FBD"/>
    <w:rsid w:val="00A362B8"/>
    <w:rsid w:val="00A36389"/>
    <w:rsid w:val="00A36B96"/>
    <w:rsid w:val="00A37A8C"/>
    <w:rsid w:val="00A4007B"/>
    <w:rsid w:val="00A40C69"/>
    <w:rsid w:val="00A42713"/>
    <w:rsid w:val="00A43560"/>
    <w:rsid w:val="00A44774"/>
    <w:rsid w:val="00A47FCF"/>
    <w:rsid w:val="00A50132"/>
    <w:rsid w:val="00A5400A"/>
    <w:rsid w:val="00A5480B"/>
    <w:rsid w:val="00A553B6"/>
    <w:rsid w:val="00A5791E"/>
    <w:rsid w:val="00A61551"/>
    <w:rsid w:val="00A61D95"/>
    <w:rsid w:val="00A641D3"/>
    <w:rsid w:val="00A64E34"/>
    <w:rsid w:val="00A657AA"/>
    <w:rsid w:val="00A66C37"/>
    <w:rsid w:val="00A70C81"/>
    <w:rsid w:val="00A7282C"/>
    <w:rsid w:val="00A73334"/>
    <w:rsid w:val="00A733BF"/>
    <w:rsid w:val="00A77372"/>
    <w:rsid w:val="00A80397"/>
    <w:rsid w:val="00A81F6C"/>
    <w:rsid w:val="00A82597"/>
    <w:rsid w:val="00A82901"/>
    <w:rsid w:val="00A8339B"/>
    <w:rsid w:val="00A8620B"/>
    <w:rsid w:val="00A90E6D"/>
    <w:rsid w:val="00A9157A"/>
    <w:rsid w:val="00A919E9"/>
    <w:rsid w:val="00A93EDB"/>
    <w:rsid w:val="00A94C10"/>
    <w:rsid w:val="00A95102"/>
    <w:rsid w:val="00A957C9"/>
    <w:rsid w:val="00A95F01"/>
    <w:rsid w:val="00A971D1"/>
    <w:rsid w:val="00A97226"/>
    <w:rsid w:val="00A9737C"/>
    <w:rsid w:val="00AA12AB"/>
    <w:rsid w:val="00AA1505"/>
    <w:rsid w:val="00AA22E2"/>
    <w:rsid w:val="00AA32F8"/>
    <w:rsid w:val="00AA39CC"/>
    <w:rsid w:val="00AA41A0"/>
    <w:rsid w:val="00AA543E"/>
    <w:rsid w:val="00AA5E54"/>
    <w:rsid w:val="00AA6EB5"/>
    <w:rsid w:val="00AB3458"/>
    <w:rsid w:val="00AB4AEE"/>
    <w:rsid w:val="00AB4B2D"/>
    <w:rsid w:val="00AB5B93"/>
    <w:rsid w:val="00AB6B19"/>
    <w:rsid w:val="00AB7056"/>
    <w:rsid w:val="00AB7F9F"/>
    <w:rsid w:val="00AC1D96"/>
    <w:rsid w:val="00AC1F31"/>
    <w:rsid w:val="00AC3BD9"/>
    <w:rsid w:val="00AC55EB"/>
    <w:rsid w:val="00AC7583"/>
    <w:rsid w:val="00AC783B"/>
    <w:rsid w:val="00AD0A42"/>
    <w:rsid w:val="00AD10CE"/>
    <w:rsid w:val="00AD17F8"/>
    <w:rsid w:val="00AD2EDF"/>
    <w:rsid w:val="00AD4720"/>
    <w:rsid w:val="00AD5447"/>
    <w:rsid w:val="00AD656C"/>
    <w:rsid w:val="00AE07B9"/>
    <w:rsid w:val="00AE2304"/>
    <w:rsid w:val="00AE241B"/>
    <w:rsid w:val="00AE2D4D"/>
    <w:rsid w:val="00AE43EB"/>
    <w:rsid w:val="00AF0472"/>
    <w:rsid w:val="00AF0863"/>
    <w:rsid w:val="00AF103C"/>
    <w:rsid w:val="00AF226A"/>
    <w:rsid w:val="00AF4BE7"/>
    <w:rsid w:val="00AF78DB"/>
    <w:rsid w:val="00B00A2A"/>
    <w:rsid w:val="00B00E22"/>
    <w:rsid w:val="00B00F4C"/>
    <w:rsid w:val="00B015EE"/>
    <w:rsid w:val="00B01B27"/>
    <w:rsid w:val="00B0235E"/>
    <w:rsid w:val="00B037E3"/>
    <w:rsid w:val="00B040AC"/>
    <w:rsid w:val="00B05758"/>
    <w:rsid w:val="00B0585F"/>
    <w:rsid w:val="00B05E8E"/>
    <w:rsid w:val="00B06122"/>
    <w:rsid w:val="00B07323"/>
    <w:rsid w:val="00B07701"/>
    <w:rsid w:val="00B07B94"/>
    <w:rsid w:val="00B10AB6"/>
    <w:rsid w:val="00B10FF1"/>
    <w:rsid w:val="00B127C8"/>
    <w:rsid w:val="00B13769"/>
    <w:rsid w:val="00B1393A"/>
    <w:rsid w:val="00B153E5"/>
    <w:rsid w:val="00B16600"/>
    <w:rsid w:val="00B177EC"/>
    <w:rsid w:val="00B224F9"/>
    <w:rsid w:val="00B22F29"/>
    <w:rsid w:val="00B2429B"/>
    <w:rsid w:val="00B247AA"/>
    <w:rsid w:val="00B276DA"/>
    <w:rsid w:val="00B27A76"/>
    <w:rsid w:val="00B27DEC"/>
    <w:rsid w:val="00B29BBB"/>
    <w:rsid w:val="00B30348"/>
    <w:rsid w:val="00B30AE3"/>
    <w:rsid w:val="00B315AD"/>
    <w:rsid w:val="00B330AE"/>
    <w:rsid w:val="00B3364C"/>
    <w:rsid w:val="00B33C79"/>
    <w:rsid w:val="00B34599"/>
    <w:rsid w:val="00B36B73"/>
    <w:rsid w:val="00B4070C"/>
    <w:rsid w:val="00B41597"/>
    <w:rsid w:val="00B42E72"/>
    <w:rsid w:val="00B43CE1"/>
    <w:rsid w:val="00B43DEC"/>
    <w:rsid w:val="00B43F39"/>
    <w:rsid w:val="00B45BEE"/>
    <w:rsid w:val="00B47A21"/>
    <w:rsid w:val="00B519E1"/>
    <w:rsid w:val="00B5279A"/>
    <w:rsid w:val="00B5323A"/>
    <w:rsid w:val="00B53AA3"/>
    <w:rsid w:val="00B56B46"/>
    <w:rsid w:val="00B56D41"/>
    <w:rsid w:val="00B57375"/>
    <w:rsid w:val="00B57E22"/>
    <w:rsid w:val="00B60765"/>
    <w:rsid w:val="00B614D7"/>
    <w:rsid w:val="00B61754"/>
    <w:rsid w:val="00B6271F"/>
    <w:rsid w:val="00B628BF"/>
    <w:rsid w:val="00B629E6"/>
    <w:rsid w:val="00B631B0"/>
    <w:rsid w:val="00B6495D"/>
    <w:rsid w:val="00B64A9D"/>
    <w:rsid w:val="00B664EF"/>
    <w:rsid w:val="00B70E7E"/>
    <w:rsid w:val="00B71874"/>
    <w:rsid w:val="00B735BA"/>
    <w:rsid w:val="00B7388D"/>
    <w:rsid w:val="00B738B0"/>
    <w:rsid w:val="00B741D0"/>
    <w:rsid w:val="00B74F8E"/>
    <w:rsid w:val="00B7503B"/>
    <w:rsid w:val="00B76951"/>
    <w:rsid w:val="00B80406"/>
    <w:rsid w:val="00B80521"/>
    <w:rsid w:val="00B80F5B"/>
    <w:rsid w:val="00B81CA4"/>
    <w:rsid w:val="00B8308C"/>
    <w:rsid w:val="00B8351A"/>
    <w:rsid w:val="00B83554"/>
    <w:rsid w:val="00B85287"/>
    <w:rsid w:val="00B87772"/>
    <w:rsid w:val="00B87DEF"/>
    <w:rsid w:val="00B90616"/>
    <w:rsid w:val="00B91314"/>
    <w:rsid w:val="00B91F37"/>
    <w:rsid w:val="00B920A1"/>
    <w:rsid w:val="00B92D45"/>
    <w:rsid w:val="00B9327B"/>
    <w:rsid w:val="00B9516E"/>
    <w:rsid w:val="00B954F8"/>
    <w:rsid w:val="00B95590"/>
    <w:rsid w:val="00B962BB"/>
    <w:rsid w:val="00B96E0F"/>
    <w:rsid w:val="00BA0EF3"/>
    <w:rsid w:val="00BA2282"/>
    <w:rsid w:val="00BA2633"/>
    <w:rsid w:val="00BA38C9"/>
    <w:rsid w:val="00BA47C3"/>
    <w:rsid w:val="00BA5928"/>
    <w:rsid w:val="00BA5CDE"/>
    <w:rsid w:val="00BA5D62"/>
    <w:rsid w:val="00BA6719"/>
    <w:rsid w:val="00BA72E0"/>
    <w:rsid w:val="00BB3C52"/>
    <w:rsid w:val="00BB422B"/>
    <w:rsid w:val="00BB46C4"/>
    <w:rsid w:val="00BB4710"/>
    <w:rsid w:val="00BB4D47"/>
    <w:rsid w:val="00BB59CD"/>
    <w:rsid w:val="00BB5A9F"/>
    <w:rsid w:val="00BB5C93"/>
    <w:rsid w:val="00BB600C"/>
    <w:rsid w:val="00BB6BB7"/>
    <w:rsid w:val="00BB7DFC"/>
    <w:rsid w:val="00BB7F65"/>
    <w:rsid w:val="00BC022A"/>
    <w:rsid w:val="00BC14BC"/>
    <w:rsid w:val="00BC1F75"/>
    <w:rsid w:val="00BC3D1C"/>
    <w:rsid w:val="00BC43FB"/>
    <w:rsid w:val="00BC5CF9"/>
    <w:rsid w:val="00BC6114"/>
    <w:rsid w:val="00BD0046"/>
    <w:rsid w:val="00BD0839"/>
    <w:rsid w:val="00BD0DBA"/>
    <w:rsid w:val="00BD172E"/>
    <w:rsid w:val="00BD1DE9"/>
    <w:rsid w:val="00BD1FEE"/>
    <w:rsid w:val="00BD237D"/>
    <w:rsid w:val="00BD2A81"/>
    <w:rsid w:val="00BD2F19"/>
    <w:rsid w:val="00BD3894"/>
    <w:rsid w:val="00BD3BE4"/>
    <w:rsid w:val="00BD4BCE"/>
    <w:rsid w:val="00BD4E5D"/>
    <w:rsid w:val="00BD4EFD"/>
    <w:rsid w:val="00BD5EF9"/>
    <w:rsid w:val="00BD62EA"/>
    <w:rsid w:val="00BD6671"/>
    <w:rsid w:val="00BD7134"/>
    <w:rsid w:val="00BE01DD"/>
    <w:rsid w:val="00BE0DA0"/>
    <w:rsid w:val="00BE2AB1"/>
    <w:rsid w:val="00BE411F"/>
    <w:rsid w:val="00BE4270"/>
    <w:rsid w:val="00BE5C69"/>
    <w:rsid w:val="00BE66F8"/>
    <w:rsid w:val="00BE715D"/>
    <w:rsid w:val="00BE7CDD"/>
    <w:rsid w:val="00BF04C1"/>
    <w:rsid w:val="00BF26E3"/>
    <w:rsid w:val="00BF2ABC"/>
    <w:rsid w:val="00BF431C"/>
    <w:rsid w:val="00BF442C"/>
    <w:rsid w:val="00BF4A4B"/>
    <w:rsid w:val="00BF4D04"/>
    <w:rsid w:val="00BF6818"/>
    <w:rsid w:val="00BF6BFF"/>
    <w:rsid w:val="00C007F4"/>
    <w:rsid w:val="00C01C22"/>
    <w:rsid w:val="00C058BA"/>
    <w:rsid w:val="00C06BE6"/>
    <w:rsid w:val="00C078E2"/>
    <w:rsid w:val="00C07B99"/>
    <w:rsid w:val="00C1185B"/>
    <w:rsid w:val="00C12C54"/>
    <w:rsid w:val="00C14E8F"/>
    <w:rsid w:val="00C1617F"/>
    <w:rsid w:val="00C17A93"/>
    <w:rsid w:val="00C21E0A"/>
    <w:rsid w:val="00C21F4F"/>
    <w:rsid w:val="00C2241D"/>
    <w:rsid w:val="00C22B50"/>
    <w:rsid w:val="00C235A7"/>
    <w:rsid w:val="00C24068"/>
    <w:rsid w:val="00C24424"/>
    <w:rsid w:val="00C245E7"/>
    <w:rsid w:val="00C25AE2"/>
    <w:rsid w:val="00C26435"/>
    <w:rsid w:val="00C26B13"/>
    <w:rsid w:val="00C30EA5"/>
    <w:rsid w:val="00C31E67"/>
    <w:rsid w:val="00C327B6"/>
    <w:rsid w:val="00C32FE5"/>
    <w:rsid w:val="00C33B48"/>
    <w:rsid w:val="00C33EE7"/>
    <w:rsid w:val="00C3495D"/>
    <w:rsid w:val="00C34D1D"/>
    <w:rsid w:val="00C34D52"/>
    <w:rsid w:val="00C36406"/>
    <w:rsid w:val="00C36C18"/>
    <w:rsid w:val="00C372DD"/>
    <w:rsid w:val="00C3792E"/>
    <w:rsid w:val="00C42CE1"/>
    <w:rsid w:val="00C43795"/>
    <w:rsid w:val="00C44092"/>
    <w:rsid w:val="00C4436D"/>
    <w:rsid w:val="00C44856"/>
    <w:rsid w:val="00C47384"/>
    <w:rsid w:val="00C4790D"/>
    <w:rsid w:val="00C47E15"/>
    <w:rsid w:val="00C503CA"/>
    <w:rsid w:val="00C509D9"/>
    <w:rsid w:val="00C517A1"/>
    <w:rsid w:val="00C5322D"/>
    <w:rsid w:val="00C544F6"/>
    <w:rsid w:val="00C5465C"/>
    <w:rsid w:val="00C55C42"/>
    <w:rsid w:val="00C567F1"/>
    <w:rsid w:val="00C56F79"/>
    <w:rsid w:val="00C577A1"/>
    <w:rsid w:val="00C577EF"/>
    <w:rsid w:val="00C600CF"/>
    <w:rsid w:val="00C60296"/>
    <w:rsid w:val="00C60546"/>
    <w:rsid w:val="00C637F3"/>
    <w:rsid w:val="00C64508"/>
    <w:rsid w:val="00C6514E"/>
    <w:rsid w:val="00C7021E"/>
    <w:rsid w:val="00C705BD"/>
    <w:rsid w:val="00C70BE6"/>
    <w:rsid w:val="00C722AA"/>
    <w:rsid w:val="00C7272D"/>
    <w:rsid w:val="00C74683"/>
    <w:rsid w:val="00C75F46"/>
    <w:rsid w:val="00C77EAA"/>
    <w:rsid w:val="00C824AD"/>
    <w:rsid w:val="00C8328F"/>
    <w:rsid w:val="00C8352F"/>
    <w:rsid w:val="00C8399B"/>
    <w:rsid w:val="00C86A98"/>
    <w:rsid w:val="00C905CF"/>
    <w:rsid w:val="00C90697"/>
    <w:rsid w:val="00C90AA3"/>
    <w:rsid w:val="00C932C9"/>
    <w:rsid w:val="00C934B5"/>
    <w:rsid w:val="00C93788"/>
    <w:rsid w:val="00C9453B"/>
    <w:rsid w:val="00C95FE6"/>
    <w:rsid w:val="00C96033"/>
    <w:rsid w:val="00C97F61"/>
    <w:rsid w:val="00CA07E1"/>
    <w:rsid w:val="00CA07EB"/>
    <w:rsid w:val="00CA2465"/>
    <w:rsid w:val="00CA3612"/>
    <w:rsid w:val="00CA3E7A"/>
    <w:rsid w:val="00CA4D5E"/>
    <w:rsid w:val="00CA6B8C"/>
    <w:rsid w:val="00CB111D"/>
    <w:rsid w:val="00CB1544"/>
    <w:rsid w:val="00CB1764"/>
    <w:rsid w:val="00CB1BE3"/>
    <w:rsid w:val="00CB1F78"/>
    <w:rsid w:val="00CB2E8F"/>
    <w:rsid w:val="00CB38A5"/>
    <w:rsid w:val="00CB4531"/>
    <w:rsid w:val="00CB4A35"/>
    <w:rsid w:val="00CB5C26"/>
    <w:rsid w:val="00CB6930"/>
    <w:rsid w:val="00CB6D26"/>
    <w:rsid w:val="00CB72C7"/>
    <w:rsid w:val="00CB7C93"/>
    <w:rsid w:val="00CC05EA"/>
    <w:rsid w:val="00CC2B39"/>
    <w:rsid w:val="00CC33F7"/>
    <w:rsid w:val="00CC4071"/>
    <w:rsid w:val="00CC4FD0"/>
    <w:rsid w:val="00CC6960"/>
    <w:rsid w:val="00CC726B"/>
    <w:rsid w:val="00CD0801"/>
    <w:rsid w:val="00CD099E"/>
    <w:rsid w:val="00CD166C"/>
    <w:rsid w:val="00CD1A34"/>
    <w:rsid w:val="00CD1C0A"/>
    <w:rsid w:val="00CD1F99"/>
    <w:rsid w:val="00CD323D"/>
    <w:rsid w:val="00CD3E63"/>
    <w:rsid w:val="00CD4C26"/>
    <w:rsid w:val="00CD54EB"/>
    <w:rsid w:val="00CD598D"/>
    <w:rsid w:val="00CD6D86"/>
    <w:rsid w:val="00CE0D54"/>
    <w:rsid w:val="00CE176A"/>
    <w:rsid w:val="00CE180C"/>
    <w:rsid w:val="00CE1F57"/>
    <w:rsid w:val="00CE2E2F"/>
    <w:rsid w:val="00CE3BD9"/>
    <w:rsid w:val="00CE3BF7"/>
    <w:rsid w:val="00CE4793"/>
    <w:rsid w:val="00CE5E0B"/>
    <w:rsid w:val="00CE610A"/>
    <w:rsid w:val="00CE643F"/>
    <w:rsid w:val="00CE6445"/>
    <w:rsid w:val="00CE6886"/>
    <w:rsid w:val="00CE7301"/>
    <w:rsid w:val="00CF3BC4"/>
    <w:rsid w:val="00CF47BD"/>
    <w:rsid w:val="00CF5598"/>
    <w:rsid w:val="00CF60FF"/>
    <w:rsid w:val="00D02684"/>
    <w:rsid w:val="00D02A57"/>
    <w:rsid w:val="00D04EFA"/>
    <w:rsid w:val="00D05B3C"/>
    <w:rsid w:val="00D06096"/>
    <w:rsid w:val="00D110D7"/>
    <w:rsid w:val="00D117EE"/>
    <w:rsid w:val="00D11C6B"/>
    <w:rsid w:val="00D124FC"/>
    <w:rsid w:val="00D13E22"/>
    <w:rsid w:val="00D146BA"/>
    <w:rsid w:val="00D14702"/>
    <w:rsid w:val="00D15CB4"/>
    <w:rsid w:val="00D17E32"/>
    <w:rsid w:val="00D20DCB"/>
    <w:rsid w:val="00D20DF4"/>
    <w:rsid w:val="00D2109B"/>
    <w:rsid w:val="00D21A5D"/>
    <w:rsid w:val="00D229FB"/>
    <w:rsid w:val="00D22E59"/>
    <w:rsid w:val="00D23EB7"/>
    <w:rsid w:val="00D23F7A"/>
    <w:rsid w:val="00D26F3F"/>
    <w:rsid w:val="00D312C1"/>
    <w:rsid w:val="00D31784"/>
    <w:rsid w:val="00D33290"/>
    <w:rsid w:val="00D338A8"/>
    <w:rsid w:val="00D338B0"/>
    <w:rsid w:val="00D344CB"/>
    <w:rsid w:val="00D3460D"/>
    <w:rsid w:val="00D353AF"/>
    <w:rsid w:val="00D359F1"/>
    <w:rsid w:val="00D35D47"/>
    <w:rsid w:val="00D369A3"/>
    <w:rsid w:val="00D37417"/>
    <w:rsid w:val="00D374B6"/>
    <w:rsid w:val="00D37AD4"/>
    <w:rsid w:val="00D407BD"/>
    <w:rsid w:val="00D4115E"/>
    <w:rsid w:val="00D41E9E"/>
    <w:rsid w:val="00D430A2"/>
    <w:rsid w:val="00D44D03"/>
    <w:rsid w:val="00D44FBD"/>
    <w:rsid w:val="00D45AF2"/>
    <w:rsid w:val="00D4639E"/>
    <w:rsid w:val="00D47702"/>
    <w:rsid w:val="00D503CB"/>
    <w:rsid w:val="00D5081F"/>
    <w:rsid w:val="00D533B6"/>
    <w:rsid w:val="00D53E62"/>
    <w:rsid w:val="00D542F2"/>
    <w:rsid w:val="00D5485E"/>
    <w:rsid w:val="00D54AE9"/>
    <w:rsid w:val="00D5697F"/>
    <w:rsid w:val="00D57494"/>
    <w:rsid w:val="00D57AF5"/>
    <w:rsid w:val="00D57F9D"/>
    <w:rsid w:val="00D5C6D6"/>
    <w:rsid w:val="00D60262"/>
    <w:rsid w:val="00D603BC"/>
    <w:rsid w:val="00D60E8C"/>
    <w:rsid w:val="00D62254"/>
    <w:rsid w:val="00D634C1"/>
    <w:rsid w:val="00D64222"/>
    <w:rsid w:val="00D67985"/>
    <w:rsid w:val="00D706E5"/>
    <w:rsid w:val="00D71E33"/>
    <w:rsid w:val="00D72665"/>
    <w:rsid w:val="00D739D5"/>
    <w:rsid w:val="00D740FF"/>
    <w:rsid w:val="00D77BD9"/>
    <w:rsid w:val="00D810A9"/>
    <w:rsid w:val="00D812A2"/>
    <w:rsid w:val="00D81EE2"/>
    <w:rsid w:val="00D8344B"/>
    <w:rsid w:val="00D86723"/>
    <w:rsid w:val="00D8693B"/>
    <w:rsid w:val="00D86950"/>
    <w:rsid w:val="00D86FD6"/>
    <w:rsid w:val="00D8775C"/>
    <w:rsid w:val="00D87A24"/>
    <w:rsid w:val="00D87E53"/>
    <w:rsid w:val="00D90799"/>
    <w:rsid w:val="00D93986"/>
    <w:rsid w:val="00D952DB"/>
    <w:rsid w:val="00D95683"/>
    <w:rsid w:val="00D9703F"/>
    <w:rsid w:val="00D9723A"/>
    <w:rsid w:val="00DA0D20"/>
    <w:rsid w:val="00DA3172"/>
    <w:rsid w:val="00DA43B8"/>
    <w:rsid w:val="00DA488C"/>
    <w:rsid w:val="00DA4C59"/>
    <w:rsid w:val="00DA6323"/>
    <w:rsid w:val="00DA650B"/>
    <w:rsid w:val="00DA777C"/>
    <w:rsid w:val="00DA7E56"/>
    <w:rsid w:val="00DB14B3"/>
    <w:rsid w:val="00DB2D75"/>
    <w:rsid w:val="00DB3EDA"/>
    <w:rsid w:val="00DB41DD"/>
    <w:rsid w:val="00DB449E"/>
    <w:rsid w:val="00DB594A"/>
    <w:rsid w:val="00DB7620"/>
    <w:rsid w:val="00DC0C9D"/>
    <w:rsid w:val="00DC1A8D"/>
    <w:rsid w:val="00DC26D7"/>
    <w:rsid w:val="00DC271B"/>
    <w:rsid w:val="00DC2D5A"/>
    <w:rsid w:val="00DC3133"/>
    <w:rsid w:val="00DC403E"/>
    <w:rsid w:val="00DC4D30"/>
    <w:rsid w:val="00DC7614"/>
    <w:rsid w:val="00DC791F"/>
    <w:rsid w:val="00DD1A2A"/>
    <w:rsid w:val="00DD2766"/>
    <w:rsid w:val="00DD2899"/>
    <w:rsid w:val="00DD391A"/>
    <w:rsid w:val="00DD55D2"/>
    <w:rsid w:val="00DD56F7"/>
    <w:rsid w:val="00DD5888"/>
    <w:rsid w:val="00DD6A66"/>
    <w:rsid w:val="00DD7030"/>
    <w:rsid w:val="00DE0688"/>
    <w:rsid w:val="00DE0955"/>
    <w:rsid w:val="00DE166A"/>
    <w:rsid w:val="00DE24F0"/>
    <w:rsid w:val="00DE3352"/>
    <w:rsid w:val="00DE3474"/>
    <w:rsid w:val="00DE3638"/>
    <w:rsid w:val="00DE4592"/>
    <w:rsid w:val="00DE4627"/>
    <w:rsid w:val="00DE4D0F"/>
    <w:rsid w:val="00DE4D1D"/>
    <w:rsid w:val="00DE5AFD"/>
    <w:rsid w:val="00DE5E3E"/>
    <w:rsid w:val="00DE6F78"/>
    <w:rsid w:val="00DF12FC"/>
    <w:rsid w:val="00DF310C"/>
    <w:rsid w:val="00DF5364"/>
    <w:rsid w:val="00DF5556"/>
    <w:rsid w:val="00DF5786"/>
    <w:rsid w:val="00DF620C"/>
    <w:rsid w:val="00DF666C"/>
    <w:rsid w:val="00DF6BD8"/>
    <w:rsid w:val="00DF76B5"/>
    <w:rsid w:val="00E00C2F"/>
    <w:rsid w:val="00E019BA"/>
    <w:rsid w:val="00E02B9C"/>
    <w:rsid w:val="00E03DAD"/>
    <w:rsid w:val="00E040FC"/>
    <w:rsid w:val="00E047E9"/>
    <w:rsid w:val="00E04E95"/>
    <w:rsid w:val="00E04F69"/>
    <w:rsid w:val="00E0590A"/>
    <w:rsid w:val="00E065D7"/>
    <w:rsid w:val="00E06C83"/>
    <w:rsid w:val="00E105D4"/>
    <w:rsid w:val="00E10AB9"/>
    <w:rsid w:val="00E1116B"/>
    <w:rsid w:val="00E11E27"/>
    <w:rsid w:val="00E125AC"/>
    <w:rsid w:val="00E13397"/>
    <w:rsid w:val="00E14236"/>
    <w:rsid w:val="00E14E31"/>
    <w:rsid w:val="00E152B4"/>
    <w:rsid w:val="00E165B4"/>
    <w:rsid w:val="00E20111"/>
    <w:rsid w:val="00E21200"/>
    <w:rsid w:val="00E2368E"/>
    <w:rsid w:val="00E27DDF"/>
    <w:rsid w:val="00E301B9"/>
    <w:rsid w:val="00E31CCA"/>
    <w:rsid w:val="00E334DD"/>
    <w:rsid w:val="00E3372F"/>
    <w:rsid w:val="00E350B1"/>
    <w:rsid w:val="00E35401"/>
    <w:rsid w:val="00E3575A"/>
    <w:rsid w:val="00E36C1A"/>
    <w:rsid w:val="00E40D15"/>
    <w:rsid w:val="00E411A6"/>
    <w:rsid w:val="00E41678"/>
    <w:rsid w:val="00E42186"/>
    <w:rsid w:val="00E42B24"/>
    <w:rsid w:val="00E4535E"/>
    <w:rsid w:val="00E45644"/>
    <w:rsid w:val="00E45B47"/>
    <w:rsid w:val="00E45BF0"/>
    <w:rsid w:val="00E4643C"/>
    <w:rsid w:val="00E47E48"/>
    <w:rsid w:val="00E50185"/>
    <w:rsid w:val="00E50D7D"/>
    <w:rsid w:val="00E5302A"/>
    <w:rsid w:val="00E5405A"/>
    <w:rsid w:val="00E54974"/>
    <w:rsid w:val="00E54F0E"/>
    <w:rsid w:val="00E5596D"/>
    <w:rsid w:val="00E559E2"/>
    <w:rsid w:val="00E55CFA"/>
    <w:rsid w:val="00E560BA"/>
    <w:rsid w:val="00E57E81"/>
    <w:rsid w:val="00E6011C"/>
    <w:rsid w:val="00E612D0"/>
    <w:rsid w:val="00E6155A"/>
    <w:rsid w:val="00E62FE0"/>
    <w:rsid w:val="00E646CA"/>
    <w:rsid w:val="00E65BFB"/>
    <w:rsid w:val="00E66C80"/>
    <w:rsid w:val="00E6756F"/>
    <w:rsid w:val="00E707CA"/>
    <w:rsid w:val="00E7088E"/>
    <w:rsid w:val="00E72955"/>
    <w:rsid w:val="00E730C9"/>
    <w:rsid w:val="00E7392A"/>
    <w:rsid w:val="00E749E3"/>
    <w:rsid w:val="00E74BD5"/>
    <w:rsid w:val="00E74D02"/>
    <w:rsid w:val="00E74E32"/>
    <w:rsid w:val="00E75139"/>
    <w:rsid w:val="00E761FE"/>
    <w:rsid w:val="00E77DE7"/>
    <w:rsid w:val="00E802EF"/>
    <w:rsid w:val="00E80A44"/>
    <w:rsid w:val="00E82CF0"/>
    <w:rsid w:val="00E83093"/>
    <w:rsid w:val="00E85E40"/>
    <w:rsid w:val="00E86A94"/>
    <w:rsid w:val="00E87819"/>
    <w:rsid w:val="00E90265"/>
    <w:rsid w:val="00E90615"/>
    <w:rsid w:val="00E91C65"/>
    <w:rsid w:val="00E940B9"/>
    <w:rsid w:val="00E9452A"/>
    <w:rsid w:val="00E94841"/>
    <w:rsid w:val="00E94D13"/>
    <w:rsid w:val="00E95219"/>
    <w:rsid w:val="00EA0CEE"/>
    <w:rsid w:val="00EA0E8B"/>
    <w:rsid w:val="00EA1792"/>
    <w:rsid w:val="00EA335A"/>
    <w:rsid w:val="00EA3669"/>
    <w:rsid w:val="00EA4DE2"/>
    <w:rsid w:val="00EA552E"/>
    <w:rsid w:val="00EA5601"/>
    <w:rsid w:val="00EA70FD"/>
    <w:rsid w:val="00EA7614"/>
    <w:rsid w:val="00EA76B2"/>
    <w:rsid w:val="00EB0A8B"/>
    <w:rsid w:val="00EB2414"/>
    <w:rsid w:val="00EB32A7"/>
    <w:rsid w:val="00EB3BA9"/>
    <w:rsid w:val="00EB52EA"/>
    <w:rsid w:val="00EB5619"/>
    <w:rsid w:val="00EB65C1"/>
    <w:rsid w:val="00EB74F8"/>
    <w:rsid w:val="00EB769C"/>
    <w:rsid w:val="00EC0A18"/>
    <w:rsid w:val="00EC1023"/>
    <w:rsid w:val="00EC2386"/>
    <w:rsid w:val="00EC26AC"/>
    <w:rsid w:val="00EC2702"/>
    <w:rsid w:val="00EC2A95"/>
    <w:rsid w:val="00EC2EA5"/>
    <w:rsid w:val="00EC339A"/>
    <w:rsid w:val="00EC3A56"/>
    <w:rsid w:val="00EC3DE8"/>
    <w:rsid w:val="00EC5390"/>
    <w:rsid w:val="00EC589D"/>
    <w:rsid w:val="00EC6BB0"/>
    <w:rsid w:val="00EC7215"/>
    <w:rsid w:val="00EC7231"/>
    <w:rsid w:val="00EC7322"/>
    <w:rsid w:val="00ED0818"/>
    <w:rsid w:val="00ED081D"/>
    <w:rsid w:val="00ED1252"/>
    <w:rsid w:val="00ED1332"/>
    <w:rsid w:val="00ED2634"/>
    <w:rsid w:val="00ED2A79"/>
    <w:rsid w:val="00ED6218"/>
    <w:rsid w:val="00ED6C0E"/>
    <w:rsid w:val="00ED6D3A"/>
    <w:rsid w:val="00ED6DE9"/>
    <w:rsid w:val="00ED7372"/>
    <w:rsid w:val="00EE13B6"/>
    <w:rsid w:val="00EE2AA0"/>
    <w:rsid w:val="00EE2BB5"/>
    <w:rsid w:val="00EE4729"/>
    <w:rsid w:val="00EE566A"/>
    <w:rsid w:val="00EE5EF0"/>
    <w:rsid w:val="00EF03AD"/>
    <w:rsid w:val="00EF113D"/>
    <w:rsid w:val="00EF23F6"/>
    <w:rsid w:val="00EF2FBD"/>
    <w:rsid w:val="00EF41C8"/>
    <w:rsid w:val="00EF4894"/>
    <w:rsid w:val="00EF52EE"/>
    <w:rsid w:val="00EF56A6"/>
    <w:rsid w:val="00EF7B57"/>
    <w:rsid w:val="00F005FE"/>
    <w:rsid w:val="00F00D89"/>
    <w:rsid w:val="00F025EC"/>
    <w:rsid w:val="00F02CD4"/>
    <w:rsid w:val="00F05612"/>
    <w:rsid w:val="00F0655E"/>
    <w:rsid w:val="00F10203"/>
    <w:rsid w:val="00F10DE4"/>
    <w:rsid w:val="00F12878"/>
    <w:rsid w:val="00F13976"/>
    <w:rsid w:val="00F14791"/>
    <w:rsid w:val="00F171DD"/>
    <w:rsid w:val="00F173AF"/>
    <w:rsid w:val="00F2096C"/>
    <w:rsid w:val="00F20DC1"/>
    <w:rsid w:val="00F21D2A"/>
    <w:rsid w:val="00F233E7"/>
    <w:rsid w:val="00F23535"/>
    <w:rsid w:val="00F23ECB"/>
    <w:rsid w:val="00F257BF"/>
    <w:rsid w:val="00F2661D"/>
    <w:rsid w:val="00F308AB"/>
    <w:rsid w:val="00F31F21"/>
    <w:rsid w:val="00F34BAC"/>
    <w:rsid w:val="00F35D4E"/>
    <w:rsid w:val="00F362F4"/>
    <w:rsid w:val="00F36B32"/>
    <w:rsid w:val="00F3721F"/>
    <w:rsid w:val="00F43296"/>
    <w:rsid w:val="00F443BD"/>
    <w:rsid w:val="00F45522"/>
    <w:rsid w:val="00F46409"/>
    <w:rsid w:val="00F464AE"/>
    <w:rsid w:val="00F466B8"/>
    <w:rsid w:val="00F50774"/>
    <w:rsid w:val="00F50E6F"/>
    <w:rsid w:val="00F53489"/>
    <w:rsid w:val="00F5445C"/>
    <w:rsid w:val="00F54926"/>
    <w:rsid w:val="00F54B62"/>
    <w:rsid w:val="00F54B76"/>
    <w:rsid w:val="00F54C32"/>
    <w:rsid w:val="00F55034"/>
    <w:rsid w:val="00F55D6B"/>
    <w:rsid w:val="00F5697C"/>
    <w:rsid w:val="00F574D5"/>
    <w:rsid w:val="00F605F9"/>
    <w:rsid w:val="00F6082D"/>
    <w:rsid w:val="00F61481"/>
    <w:rsid w:val="00F61C33"/>
    <w:rsid w:val="00F62E65"/>
    <w:rsid w:val="00F6367E"/>
    <w:rsid w:val="00F64903"/>
    <w:rsid w:val="00F6622C"/>
    <w:rsid w:val="00F6689B"/>
    <w:rsid w:val="00F6698C"/>
    <w:rsid w:val="00F67578"/>
    <w:rsid w:val="00F67EDF"/>
    <w:rsid w:val="00F70423"/>
    <w:rsid w:val="00F70D0E"/>
    <w:rsid w:val="00F7103C"/>
    <w:rsid w:val="00F72137"/>
    <w:rsid w:val="00F723F1"/>
    <w:rsid w:val="00F726D5"/>
    <w:rsid w:val="00F73FF8"/>
    <w:rsid w:val="00F74481"/>
    <w:rsid w:val="00F75612"/>
    <w:rsid w:val="00F75BEF"/>
    <w:rsid w:val="00F76935"/>
    <w:rsid w:val="00F76A64"/>
    <w:rsid w:val="00F80A5F"/>
    <w:rsid w:val="00F80A7D"/>
    <w:rsid w:val="00F82AF0"/>
    <w:rsid w:val="00F847FF"/>
    <w:rsid w:val="00F84AE8"/>
    <w:rsid w:val="00F85295"/>
    <w:rsid w:val="00F91B66"/>
    <w:rsid w:val="00F93606"/>
    <w:rsid w:val="00F9472A"/>
    <w:rsid w:val="00F96D94"/>
    <w:rsid w:val="00F97889"/>
    <w:rsid w:val="00FA04B1"/>
    <w:rsid w:val="00FA0AC0"/>
    <w:rsid w:val="00FA0D06"/>
    <w:rsid w:val="00FA0F24"/>
    <w:rsid w:val="00FA1982"/>
    <w:rsid w:val="00FA19C2"/>
    <w:rsid w:val="00FA23AF"/>
    <w:rsid w:val="00FA2E0E"/>
    <w:rsid w:val="00FA6F69"/>
    <w:rsid w:val="00FA7F9E"/>
    <w:rsid w:val="00FB048D"/>
    <w:rsid w:val="00FB065F"/>
    <w:rsid w:val="00FB0963"/>
    <w:rsid w:val="00FB18F4"/>
    <w:rsid w:val="00FB3569"/>
    <w:rsid w:val="00FB4334"/>
    <w:rsid w:val="00FB7375"/>
    <w:rsid w:val="00FC2518"/>
    <w:rsid w:val="00FC27E9"/>
    <w:rsid w:val="00FC2E1B"/>
    <w:rsid w:val="00FC40F9"/>
    <w:rsid w:val="00FC42D7"/>
    <w:rsid w:val="00FC4A11"/>
    <w:rsid w:val="00FC5A9E"/>
    <w:rsid w:val="00FC6A27"/>
    <w:rsid w:val="00FC6D6F"/>
    <w:rsid w:val="00FC76F6"/>
    <w:rsid w:val="00FD05CA"/>
    <w:rsid w:val="00FD27FA"/>
    <w:rsid w:val="00FD2B4C"/>
    <w:rsid w:val="00FD397F"/>
    <w:rsid w:val="00FD4292"/>
    <w:rsid w:val="00FD5008"/>
    <w:rsid w:val="00FD6F4C"/>
    <w:rsid w:val="00FD778D"/>
    <w:rsid w:val="00FE1BC9"/>
    <w:rsid w:val="00FE2A60"/>
    <w:rsid w:val="00FE53B0"/>
    <w:rsid w:val="00FE670E"/>
    <w:rsid w:val="00FE7298"/>
    <w:rsid w:val="00FF00C8"/>
    <w:rsid w:val="00FF02BB"/>
    <w:rsid w:val="00FF0674"/>
    <w:rsid w:val="00FF0C52"/>
    <w:rsid w:val="00FF1717"/>
    <w:rsid w:val="00FF1750"/>
    <w:rsid w:val="00FF19D7"/>
    <w:rsid w:val="00FF19EE"/>
    <w:rsid w:val="00FF1D71"/>
    <w:rsid w:val="00FF2C35"/>
    <w:rsid w:val="00FF31C1"/>
    <w:rsid w:val="00FF45B2"/>
    <w:rsid w:val="00FF460F"/>
    <w:rsid w:val="00FF4777"/>
    <w:rsid w:val="00FF6184"/>
    <w:rsid w:val="00FF7A65"/>
    <w:rsid w:val="00FF7F4C"/>
    <w:rsid w:val="0127F11C"/>
    <w:rsid w:val="0144117D"/>
    <w:rsid w:val="01940749"/>
    <w:rsid w:val="01DA9506"/>
    <w:rsid w:val="01DCF0E0"/>
    <w:rsid w:val="02177440"/>
    <w:rsid w:val="0236C2C0"/>
    <w:rsid w:val="0266E86B"/>
    <w:rsid w:val="027BEC80"/>
    <w:rsid w:val="029B7D7B"/>
    <w:rsid w:val="02A8B731"/>
    <w:rsid w:val="02D09E76"/>
    <w:rsid w:val="030F1F19"/>
    <w:rsid w:val="032BA92C"/>
    <w:rsid w:val="03672A75"/>
    <w:rsid w:val="03DFD29E"/>
    <w:rsid w:val="041D2136"/>
    <w:rsid w:val="0427137D"/>
    <w:rsid w:val="04594EF3"/>
    <w:rsid w:val="0463215A"/>
    <w:rsid w:val="04828E15"/>
    <w:rsid w:val="04B63F4F"/>
    <w:rsid w:val="05FDC2CB"/>
    <w:rsid w:val="0632FCD2"/>
    <w:rsid w:val="063CF83E"/>
    <w:rsid w:val="06446B8C"/>
    <w:rsid w:val="064E8E3F"/>
    <w:rsid w:val="0651C982"/>
    <w:rsid w:val="065C64F9"/>
    <w:rsid w:val="06F60DDE"/>
    <w:rsid w:val="075533B5"/>
    <w:rsid w:val="077D115B"/>
    <w:rsid w:val="07F90ED3"/>
    <w:rsid w:val="0828BE6B"/>
    <w:rsid w:val="083F98C7"/>
    <w:rsid w:val="08473C56"/>
    <w:rsid w:val="0861878D"/>
    <w:rsid w:val="08783D74"/>
    <w:rsid w:val="0908A70D"/>
    <w:rsid w:val="09367DE7"/>
    <w:rsid w:val="096C65D7"/>
    <w:rsid w:val="09752946"/>
    <w:rsid w:val="09A0FF0A"/>
    <w:rsid w:val="09BE687E"/>
    <w:rsid w:val="0AF88E2F"/>
    <w:rsid w:val="0B103690"/>
    <w:rsid w:val="0B1054CB"/>
    <w:rsid w:val="0BA8BF99"/>
    <w:rsid w:val="0BB92148"/>
    <w:rsid w:val="0C391661"/>
    <w:rsid w:val="0C6313D4"/>
    <w:rsid w:val="0CE6C6D2"/>
    <w:rsid w:val="0D172931"/>
    <w:rsid w:val="0D2BFA75"/>
    <w:rsid w:val="0D440878"/>
    <w:rsid w:val="0E3F1FAF"/>
    <w:rsid w:val="0EA8F5AC"/>
    <w:rsid w:val="0EC0BC2F"/>
    <w:rsid w:val="0F5FCC5D"/>
    <w:rsid w:val="0F8D0193"/>
    <w:rsid w:val="0FA4A511"/>
    <w:rsid w:val="1030F000"/>
    <w:rsid w:val="1044C60D"/>
    <w:rsid w:val="10559C24"/>
    <w:rsid w:val="10AF8292"/>
    <w:rsid w:val="10C77BFF"/>
    <w:rsid w:val="1139A341"/>
    <w:rsid w:val="1158F1C1"/>
    <w:rsid w:val="116124E4"/>
    <w:rsid w:val="117E7BF5"/>
    <w:rsid w:val="11F07066"/>
    <w:rsid w:val="1299CAFF"/>
    <w:rsid w:val="12D59147"/>
    <w:rsid w:val="1332C8A5"/>
    <w:rsid w:val="13C97C32"/>
    <w:rsid w:val="144B18B2"/>
    <w:rsid w:val="14615EB8"/>
    <w:rsid w:val="14E9B95B"/>
    <w:rsid w:val="154E6E4F"/>
    <w:rsid w:val="156C709F"/>
    <w:rsid w:val="1573F883"/>
    <w:rsid w:val="15A86953"/>
    <w:rsid w:val="16208AC0"/>
    <w:rsid w:val="167ED604"/>
    <w:rsid w:val="16ABD386"/>
    <w:rsid w:val="16B1DDD1"/>
    <w:rsid w:val="16C06816"/>
    <w:rsid w:val="184080AA"/>
    <w:rsid w:val="1840E64C"/>
    <w:rsid w:val="1866ACA6"/>
    <w:rsid w:val="18779747"/>
    <w:rsid w:val="188FB6D3"/>
    <w:rsid w:val="18943C20"/>
    <w:rsid w:val="1924054C"/>
    <w:rsid w:val="1B04300A"/>
    <w:rsid w:val="1BD4C1B7"/>
    <w:rsid w:val="1BE46828"/>
    <w:rsid w:val="1CFDA188"/>
    <w:rsid w:val="1DE8DF7D"/>
    <w:rsid w:val="1DF06761"/>
    <w:rsid w:val="1E81FB5E"/>
    <w:rsid w:val="1E918394"/>
    <w:rsid w:val="1EDB86DD"/>
    <w:rsid w:val="1EE640CD"/>
    <w:rsid w:val="1F133E4F"/>
    <w:rsid w:val="1F540A14"/>
    <w:rsid w:val="203C32B6"/>
    <w:rsid w:val="203E8FC7"/>
    <w:rsid w:val="207B20C2"/>
    <w:rsid w:val="208DB2D3"/>
    <w:rsid w:val="213597B1"/>
    <w:rsid w:val="2173EF7E"/>
    <w:rsid w:val="21E5E3EF"/>
    <w:rsid w:val="22BC50A0"/>
    <w:rsid w:val="232472AA"/>
    <w:rsid w:val="2335B85F"/>
    <w:rsid w:val="2335EB30"/>
    <w:rsid w:val="23572F85"/>
    <w:rsid w:val="236D47B3"/>
    <w:rsid w:val="237907D3"/>
    <w:rsid w:val="23BCAC80"/>
    <w:rsid w:val="23BFBAD3"/>
    <w:rsid w:val="23DF278E"/>
    <w:rsid w:val="2429D5E3"/>
    <w:rsid w:val="250C2A66"/>
    <w:rsid w:val="2516F8EC"/>
    <w:rsid w:val="252924B2"/>
    <w:rsid w:val="25639E99"/>
    <w:rsid w:val="25AE62FB"/>
    <w:rsid w:val="261A631F"/>
    <w:rsid w:val="26333270"/>
    <w:rsid w:val="26A179E0"/>
    <w:rsid w:val="272CB665"/>
    <w:rsid w:val="273E812F"/>
    <w:rsid w:val="27CA4ED3"/>
    <w:rsid w:val="27D4A41C"/>
    <w:rsid w:val="27D4B8B2"/>
    <w:rsid w:val="280C3370"/>
    <w:rsid w:val="28ED1264"/>
    <w:rsid w:val="291D19D4"/>
    <w:rsid w:val="293C868F"/>
    <w:rsid w:val="298F0E45"/>
    <w:rsid w:val="29B2029C"/>
    <w:rsid w:val="2AFBC1F9"/>
    <w:rsid w:val="2B7DB66D"/>
    <w:rsid w:val="2BB2273D"/>
    <w:rsid w:val="2CB22C93"/>
    <w:rsid w:val="2CE28EF2"/>
    <w:rsid w:val="2D283208"/>
    <w:rsid w:val="2D4DBAEA"/>
    <w:rsid w:val="2D53791D"/>
    <w:rsid w:val="2DBFE9CA"/>
    <w:rsid w:val="2DD127E1"/>
    <w:rsid w:val="2DECACDD"/>
    <w:rsid w:val="2DFEBE29"/>
    <w:rsid w:val="2E4AA436"/>
    <w:rsid w:val="2E626AD2"/>
    <w:rsid w:val="2F013E8A"/>
    <w:rsid w:val="2F0F00E9"/>
    <w:rsid w:val="2F3ECA62"/>
    <w:rsid w:val="2F829A74"/>
    <w:rsid w:val="2F92698C"/>
    <w:rsid w:val="2FA6FAD3"/>
    <w:rsid w:val="2FBA86FB"/>
    <w:rsid w:val="2FD46499"/>
    <w:rsid w:val="3004A8BD"/>
    <w:rsid w:val="30FA96BF"/>
    <w:rsid w:val="313196FF"/>
    <w:rsid w:val="317034FA"/>
    <w:rsid w:val="320BA99E"/>
    <w:rsid w:val="3228E1AD"/>
    <w:rsid w:val="3257E760"/>
    <w:rsid w:val="32818005"/>
    <w:rsid w:val="32A6E661"/>
    <w:rsid w:val="32C492C3"/>
    <w:rsid w:val="32C64423"/>
    <w:rsid w:val="32DC4290"/>
    <w:rsid w:val="32FA64E2"/>
    <w:rsid w:val="3323B89A"/>
    <w:rsid w:val="3347F58F"/>
    <w:rsid w:val="334A73EE"/>
    <w:rsid w:val="337AB4A9"/>
    <w:rsid w:val="33FA254B"/>
    <w:rsid w:val="348BB948"/>
    <w:rsid w:val="34D5F597"/>
    <w:rsid w:val="351CFC39"/>
    <w:rsid w:val="35251529"/>
    <w:rsid w:val="353FA472"/>
    <w:rsid w:val="35772A0E"/>
    <w:rsid w:val="35A43028"/>
    <w:rsid w:val="35AE58AD"/>
    <w:rsid w:val="35D3FC2F"/>
    <w:rsid w:val="364610DD"/>
    <w:rsid w:val="36484DB1"/>
    <w:rsid w:val="364D96BF"/>
    <w:rsid w:val="36550081"/>
    <w:rsid w:val="3684DEAC"/>
    <w:rsid w:val="369A68DD"/>
    <w:rsid w:val="36F6E7B3"/>
    <w:rsid w:val="3720DB47"/>
    <w:rsid w:val="3738652F"/>
    <w:rsid w:val="373F886C"/>
    <w:rsid w:val="37907C02"/>
    <w:rsid w:val="379D2EB9"/>
    <w:rsid w:val="383862F3"/>
    <w:rsid w:val="3864AB4C"/>
    <w:rsid w:val="38A08456"/>
    <w:rsid w:val="38C37DF2"/>
    <w:rsid w:val="38F5364C"/>
    <w:rsid w:val="393FA91A"/>
    <w:rsid w:val="3957844C"/>
    <w:rsid w:val="3957A287"/>
    <w:rsid w:val="3978D72C"/>
    <w:rsid w:val="39D0EC0B"/>
    <w:rsid w:val="3A5B0CBA"/>
    <w:rsid w:val="3AEC4FAB"/>
    <w:rsid w:val="3B290834"/>
    <w:rsid w:val="3B7329F6"/>
    <w:rsid w:val="3B744F4B"/>
    <w:rsid w:val="3B9296B1"/>
    <w:rsid w:val="3C8C4D9D"/>
    <w:rsid w:val="3C96157A"/>
    <w:rsid w:val="3CEBA27B"/>
    <w:rsid w:val="3D5C2947"/>
    <w:rsid w:val="3D773EBE"/>
    <w:rsid w:val="3DC66899"/>
    <w:rsid w:val="3F26D7BE"/>
    <w:rsid w:val="3F367E2F"/>
    <w:rsid w:val="3FA02142"/>
    <w:rsid w:val="3FB838EA"/>
    <w:rsid w:val="4007DEA5"/>
    <w:rsid w:val="401848B5"/>
    <w:rsid w:val="403F1335"/>
    <w:rsid w:val="409348AA"/>
    <w:rsid w:val="40D0A732"/>
    <w:rsid w:val="41427D68"/>
    <w:rsid w:val="417A1661"/>
    <w:rsid w:val="418E7E7B"/>
    <w:rsid w:val="41E3999B"/>
    <w:rsid w:val="4251D70C"/>
    <w:rsid w:val="42AA5FDB"/>
    <w:rsid w:val="42EC4CDC"/>
    <w:rsid w:val="4368BE89"/>
    <w:rsid w:val="43ADCA0E"/>
    <w:rsid w:val="43C7895C"/>
    <w:rsid w:val="4464B56E"/>
    <w:rsid w:val="44C623C0"/>
    <w:rsid w:val="454889BA"/>
    <w:rsid w:val="4584277F"/>
    <w:rsid w:val="45F10F96"/>
    <w:rsid w:val="460E66A7"/>
    <w:rsid w:val="46236731"/>
    <w:rsid w:val="465AD0E4"/>
    <w:rsid w:val="4672FD22"/>
    <w:rsid w:val="4687CE66"/>
    <w:rsid w:val="47313D95"/>
    <w:rsid w:val="4731522B"/>
    <w:rsid w:val="47372111"/>
    <w:rsid w:val="47AA9BAF"/>
    <w:rsid w:val="47B8361B"/>
    <w:rsid w:val="47FD2D0A"/>
    <w:rsid w:val="4822846D"/>
    <w:rsid w:val="485A31FC"/>
    <w:rsid w:val="48716051"/>
    <w:rsid w:val="48844D83"/>
    <w:rsid w:val="4920188E"/>
    <w:rsid w:val="49204B5F"/>
    <w:rsid w:val="49618003"/>
    <w:rsid w:val="4991EEC4"/>
    <w:rsid w:val="4995988E"/>
    <w:rsid w:val="49B15B7F"/>
    <w:rsid w:val="49B17015"/>
    <w:rsid w:val="4A0B5683"/>
    <w:rsid w:val="4ACBB049"/>
    <w:rsid w:val="4ADA4FE6"/>
    <w:rsid w:val="4B6BE3E3"/>
    <w:rsid w:val="4C07D5A0"/>
    <w:rsid w:val="4C122AE9"/>
    <w:rsid w:val="4C33BF82"/>
    <w:rsid w:val="4C64C5FC"/>
    <w:rsid w:val="4D1920AB"/>
    <w:rsid w:val="4D255023"/>
    <w:rsid w:val="4D7A5F71"/>
    <w:rsid w:val="4D9F5029"/>
    <w:rsid w:val="4E0D1B47"/>
    <w:rsid w:val="4E4DD800"/>
    <w:rsid w:val="4E4E1DC6"/>
    <w:rsid w:val="4E53A0F5"/>
    <w:rsid w:val="4E6BC79A"/>
    <w:rsid w:val="4E7D5954"/>
    <w:rsid w:val="4EAA4240"/>
    <w:rsid w:val="4F791A6C"/>
    <w:rsid w:val="4FDAA9F5"/>
    <w:rsid w:val="5034A4F9"/>
    <w:rsid w:val="50F60D95"/>
    <w:rsid w:val="50F99924"/>
    <w:rsid w:val="519CBA3D"/>
    <w:rsid w:val="51C1DECF"/>
    <w:rsid w:val="51C4D427"/>
    <w:rsid w:val="520E5DA2"/>
    <w:rsid w:val="52EC6866"/>
    <w:rsid w:val="530A5E2C"/>
    <w:rsid w:val="53BB553F"/>
    <w:rsid w:val="53C8B335"/>
    <w:rsid w:val="53D02683"/>
    <w:rsid w:val="53E83486"/>
    <w:rsid w:val="54155043"/>
    <w:rsid w:val="546EE41D"/>
    <w:rsid w:val="54A69334"/>
    <w:rsid w:val="54D390B6"/>
    <w:rsid w:val="54F30D77"/>
    <w:rsid w:val="54FFB2C5"/>
    <w:rsid w:val="55533545"/>
    <w:rsid w:val="563B4058"/>
    <w:rsid w:val="5641A138"/>
    <w:rsid w:val="56B7E395"/>
    <w:rsid w:val="56BAC590"/>
    <w:rsid w:val="571F3DD0"/>
    <w:rsid w:val="574C3B52"/>
    <w:rsid w:val="575F896E"/>
    <w:rsid w:val="576BA80D"/>
    <w:rsid w:val="5783D44B"/>
    <w:rsid w:val="57913241"/>
    <w:rsid w:val="579F3735"/>
    <w:rsid w:val="57C08CD4"/>
    <w:rsid w:val="57ED5785"/>
    <w:rsid w:val="57F3D7E7"/>
    <w:rsid w:val="5842BCAC"/>
    <w:rsid w:val="590951B3"/>
    <w:rsid w:val="59760802"/>
    <w:rsid w:val="599806A7"/>
    <w:rsid w:val="599A63B8"/>
    <w:rsid w:val="599FACC6"/>
    <w:rsid w:val="5B41B7E0"/>
    <w:rsid w:val="5B61249B"/>
    <w:rsid w:val="5B613931"/>
    <w:rsid w:val="5B75EBFC"/>
    <w:rsid w:val="5BCB9128"/>
    <w:rsid w:val="5C91BF21"/>
    <w:rsid w:val="5C984008"/>
    <w:rsid w:val="5D125766"/>
    <w:rsid w:val="5D1B8EC4"/>
    <w:rsid w:val="5D3AFB7F"/>
    <w:rsid w:val="5D3D2F1F"/>
    <w:rsid w:val="5E06CCB9"/>
    <w:rsid w:val="5E36274C"/>
    <w:rsid w:val="5E6EEEC3"/>
    <w:rsid w:val="5EBDB819"/>
    <w:rsid w:val="5EE4ACB8"/>
    <w:rsid w:val="5F14D263"/>
    <w:rsid w:val="5F25C82E"/>
    <w:rsid w:val="5F46CE48"/>
    <w:rsid w:val="5F50341F"/>
    <w:rsid w:val="5F7E886E"/>
    <w:rsid w:val="5FC9B185"/>
    <w:rsid w:val="6015146D"/>
    <w:rsid w:val="601BC825"/>
    <w:rsid w:val="6056A67F"/>
    <w:rsid w:val="6130780D"/>
    <w:rsid w:val="6140FE6A"/>
    <w:rsid w:val="61852A03"/>
    <w:rsid w:val="6206E4BE"/>
    <w:rsid w:val="623B4BE9"/>
    <w:rsid w:val="62985A80"/>
    <w:rsid w:val="62CB2E14"/>
    <w:rsid w:val="62EAE236"/>
    <w:rsid w:val="630A6387"/>
    <w:rsid w:val="640DD48E"/>
    <w:rsid w:val="6422BD39"/>
    <w:rsid w:val="64431148"/>
    <w:rsid w:val="6508E4F1"/>
    <w:rsid w:val="651F76D7"/>
    <w:rsid w:val="656ED8A1"/>
    <w:rsid w:val="65BF7CB9"/>
    <w:rsid w:val="65E467DF"/>
    <w:rsid w:val="667195E1"/>
    <w:rsid w:val="66D4B2B9"/>
    <w:rsid w:val="66E7D212"/>
    <w:rsid w:val="6718AA4D"/>
    <w:rsid w:val="672CC901"/>
    <w:rsid w:val="67D63830"/>
    <w:rsid w:val="67E311AF"/>
    <w:rsid w:val="67F89A3B"/>
    <w:rsid w:val="67FAF74C"/>
    <w:rsid w:val="6800405A"/>
    <w:rsid w:val="680B29DD"/>
    <w:rsid w:val="68378847"/>
    <w:rsid w:val="6860BC45"/>
    <w:rsid w:val="68A88974"/>
    <w:rsid w:val="68A9914E"/>
    <w:rsid w:val="696AF9EA"/>
    <w:rsid w:val="69C4F4EE"/>
    <w:rsid w:val="69D9E46D"/>
    <w:rsid w:val="6A83539C"/>
    <w:rsid w:val="6A945C6F"/>
    <w:rsid w:val="6AD2F957"/>
    <w:rsid w:val="6BBA349A"/>
    <w:rsid w:val="6BC37658"/>
    <w:rsid w:val="6C796364"/>
    <w:rsid w:val="6CA20334"/>
    <w:rsid w:val="6CDAC9DC"/>
    <w:rsid w:val="6D037186"/>
    <w:rsid w:val="6D06986E"/>
    <w:rsid w:val="6D39E4EB"/>
    <w:rsid w:val="6D5D6C8A"/>
    <w:rsid w:val="6D8014C3"/>
    <w:rsid w:val="6D9AF02B"/>
    <w:rsid w:val="6DF4912E"/>
    <w:rsid w:val="6E0F0EDC"/>
    <w:rsid w:val="6E9F697E"/>
    <w:rsid w:val="6EAA8C57"/>
    <w:rsid w:val="6EE0B1B3"/>
    <w:rsid w:val="6F6440F0"/>
    <w:rsid w:val="6F74C70F"/>
    <w:rsid w:val="6F83A406"/>
    <w:rsid w:val="6F991F6F"/>
    <w:rsid w:val="6FCBE018"/>
    <w:rsid w:val="7010A436"/>
    <w:rsid w:val="704B32F1"/>
    <w:rsid w:val="7077662A"/>
    <w:rsid w:val="707EA580"/>
    <w:rsid w:val="709B298C"/>
    <w:rsid w:val="70E710E7"/>
    <w:rsid w:val="70EBCE18"/>
    <w:rsid w:val="7158E346"/>
    <w:rsid w:val="71608D3C"/>
    <w:rsid w:val="71906CB9"/>
    <w:rsid w:val="71AAC337"/>
    <w:rsid w:val="71AC7497"/>
    <w:rsid w:val="71FC5847"/>
    <w:rsid w:val="71FFC529"/>
    <w:rsid w:val="7221E27B"/>
    <w:rsid w:val="7292111C"/>
    <w:rsid w:val="72B3583D"/>
    <w:rsid w:val="72D2C4F8"/>
    <w:rsid w:val="73254CAE"/>
    <w:rsid w:val="732C2A6F"/>
    <w:rsid w:val="732CBFFC"/>
    <w:rsid w:val="73503969"/>
    <w:rsid w:val="73911A01"/>
    <w:rsid w:val="73B6E0AB"/>
    <w:rsid w:val="73EE2898"/>
    <w:rsid w:val="742EB407"/>
    <w:rsid w:val="747553EF"/>
    <w:rsid w:val="74EED044"/>
    <w:rsid w:val="7607E5DB"/>
    <w:rsid w:val="761E95A3"/>
    <w:rsid w:val="766A1BCF"/>
    <w:rsid w:val="76744F65"/>
    <w:rsid w:val="772A4A8A"/>
    <w:rsid w:val="773A68C8"/>
    <w:rsid w:val="775AF02C"/>
    <w:rsid w:val="77E0E29F"/>
    <w:rsid w:val="77E3A526"/>
    <w:rsid w:val="77F135ED"/>
    <w:rsid w:val="7842D083"/>
    <w:rsid w:val="785234BA"/>
    <w:rsid w:val="789148F7"/>
    <w:rsid w:val="78AA4B8D"/>
    <w:rsid w:val="78C60F07"/>
    <w:rsid w:val="78D113A2"/>
    <w:rsid w:val="792BD304"/>
    <w:rsid w:val="79637FC5"/>
    <w:rsid w:val="7998118C"/>
    <w:rsid w:val="799AE726"/>
    <w:rsid w:val="799DC7E8"/>
    <w:rsid w:val="79DFDE15"/>
    <w:rsid w:val="7A00268C"/>
    <w:rsid w:val="7A214860"/>
    <w:rsid w:val="7A410FB3"/>
    <w:rsid w:val="7A5978A5"/>
    <w:rsid w:val="7B177C64"/>
    <w:rsid w:val="7B1AC306"/>
    <w:rsid w:val="7B250C5A"/>
    <w:rsid w:val="7B2FE556"/>
    <w:rsid w:val="7B6363BF"/>
    <w:rsid w:val="7B74BE0A"/>
    <w:rsid w:val="7BC12847"/>
    <w:rsid w:val="7BDCE014"/>
    <w:rsid w:val="7C116F33"/>
    <w:rsid w:val="7CF18FFC"/>
    <w:rsid w:val="7E93CDE7"/>
    <w:rsid w:val="7EB33AA2"/>
    <w:rsid w:val="7ED346FA"/>
    <w:rsid w:val="7F6A3A98"/>
    <w:rsid w:val="7FB6A4D5"/>
    <w:rsid w:val="7FCED113"/>
    <w:rsid w:val="7FDE8C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C811D"/>
  <w15:chartTrackingRefBased/>
  <w15:docId w15:val="{B552177C-91E0-4CC9-8AC9-E7EABB4F3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BCE"/>
    <w:pPr>
      <w:spacing w:after="0" w:line="276" w:lineRule="auto"/>
    </w:pPr>
    <w:rPr>
      <w:rFonts w:ascii="Arial" w:eastAsia="Arial" w:hAnsi="Arial" w:cs="Arial"/>
      <w:lang w:val="en" w:eastAsia="en-GB"/>
    </w:rPr>
  </w:style>
  <w:style w:type="paragraph" w:styleId="Heading1">
    <w:name w:val="heading 1"/>
    <w:basedOn w:val="Normal"/>
    <w:next w:val="Normal"/>
    <w:link w:val="Heading1Char"/>
    <w:uiPriority w:val="9"/>
    <w:qFormat/>
    <w:rsid w:val="00BD4BCE"/>
    <w:pPr>
      <w:keepNext/>
      <w:keepLines/>
      <w:spacing w:before="400" w:after="120"/>
      <w:outlineLvl w:val="0"/>
    </w:pPr>
    <w:rPr>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BCE"/>
    <w:rPr>
      <w:rFonts w:ascii="Arial" w:eastAsia="Arial" w:hAnsi="Arial" w:cs="Arial"/>
      <w:sz w:val="40"/>
      <w:szCs w:val="40"/>
      <w:lang w:val="en" w:eastAsia="en-GB"/>
    </w:rPr>
  </w:style>
  <w:style w:type="paragraph" w:styleId="CommentText">
    <w:name w:val="annotation text"/>
    <w:basedOn w:val="Normal"/>
    <w:link w:val="CommentTextChar"/>
    <w:uiPriority w:val="99"/>
    <w:unhideWhenUsed/>
    <w:rsid w:val="00BD4BCE"/>
    <w:pPr>
      <w:spacing w:line="240" w:lineRule="auto"/>
    </w:pPr>
    <w:rPr>
      <w:sz w:val="20"/>
      <w:szCs w:val="20"/>
    </w:rPr>
  </w:style>
  <w:style w:type="character" w:customStyle="1" w:styleId="CommentTextChar">
    <w:name w:val="Comment Text Char"/>
    <w:basedOn w:val="DefaultParagraphFont"/>
    <w:link w:val="CommentText"/>
    <w:uiPriority w:val="99"/>
    <w:rsid w:val="00BD4BCE"/>
    <w:rPr>
      <w:rFonts w:ascii="Arial" w:eastAsia="Arial" w:hAnsi="Arial" w:cs="Arial"/>
      <w:sz w:val="20"/>
      <w:szCs w:val="20"/>
      <w:lang w:val="en" w:eastAsia="en-GB"/>
    </w:rPr>
  </w:style>
  <w:style w:type="character" w:styleId="CommentReference">
    <w:name w:val="annotation reference"/>
    <w:basedOn w:val="DefaultParagraphFont"/>
    <w:uiPriority w:val="99"/>
    <w:semiHidden/>
    <w:unhideWhenUsed/>
    <w:rsid w:val="00BD4BCE"/>
    <w:rPr>
      <w:sz w:val="16"/>
      <w:szCs w:val="16"/>
    </w:rPr>
  </w:style>
  <w:style w:type="paragraph" w:customStyle="1" w:styleId="paragraph">
    <w:name w:val="paragraph"/>
    <w:basedOn w:val="Normal"/>
    <w:rsid w:val="00BD4BC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DefaultParagraphFont"/>
    <w:rsid w:val="00BD4BCE"/>
  </w:style>
  <w:style w:type="character" w:customStyle="1" w:styleId="eop">
    <w:name w:val="eop"/>
    <w:basedOn w:val="DefaultParagraphFont"/>
    <w:rsid w:val="00BD4BCE"/>
  </w:style>
  <w:style w:type="character" w:customStyle="1" w:styleId="spellingerror">
    <w:name w:val="spellingerror"/>
    <w:basedOn w:val="DefaultParagraphFont"/>
    <w:rsid w:val="00BD4BCE"/>
  </w:style>
  <w:style w:type="paragraph" w:styleId="Header">
    <w:name w:val="header"/>
    <w:basedOn w:val="Normal"/>
    <w:link w:val="HeaderChar"/>
    <w:uiPriority w:val="99"/>
    <w:unhideWhenUsed/>
    <w:rsid w:val="00431CA9"/>
    <w:pPr>
      <w:tabs>
        <w:tab w:val="center" w:pos="4680"/>
        <w:tab w:val="right" w:pos="9360"/>
      </w:tabs>
      <w:spacing w:line="240" w:lineRule="auto"/>
    </w:pPr>
  </w:style>
  <w:style w:type="character" w:customStyle="1" w:styleId="HeaderChar">
    <w:name w:val="Header Char"/>
    <w:basedOn w:val="DefaultParagraphFont"/>
    <w:link w:val="Header"/>
    <w:uiPriority w:val="99"/>
    <w:rsid w:val="00431CA9"/>
    <w:rPr>
      <w:rFonts w:ascii="Arial" w:eastAsia="Arial" w:hAnsi="Arial" w:cs="Arial"/>
      <w:lang w:val="en" w:eastAsia="en-GB"/>
    </w:rPr>
  </w:style>
  <w:style w:type="paragraph" w:styleId="Footer">
    <w:name w:val="footer"/>
    <w:basedOn w:val="Normal"/>
    <w:link w:val="FooterChar"/>
    <w:uiPriority w:val="99"/>
    <w:unhideWhenUsed/>
    <w:rsid w:val="00431CA9"/>
    <w:pPr>
      <w:tabs>
        <w:tab w:val="center" w:pos="4680"/>
        <w:tab w:val="right" w:pos="9360"/>
      </w:tabs>
      <w:spacing w:line="240" w:lineRule="auto"/>
    </w:pPr>
  </w:style>
  <w:style w:type="character" w:customStyle="1" w:styleId="FooterChar">
    <w:name w:val="Footer Char"/>
    <w:basedOn w:val="DefaultParagraphFont"/>
    <w:link w:val="Footer"/>
    <w:uiPriority w:val="99"/>
    <w:rsid w:val="00431CA9"/>
    <w:rPr>
      <w:rFonts w:ascii="Arial" w:eastAsia="Arial" w:hAnsi="Arial" w:cs="Arial"/>
      <w:lang w:val="en" w:eastAsia="en-GB"/>
    </w:rPr>
  </w:style>
  <w:style w:type="paragraph" w:styleId="ListParagraph">
    <w:name w:val="List Paragraph"/>
    <w:aliases w:val="Citation List,references,Bullet Points,Liste Paragraf,List Bullet-OpsManual,Table of contents numbered,List Paragraph Char Char,List Paragraph1,Bullets,Graphic,Resume Title,Ha,Text,Use Case List Paragraph,Proposal Bullet List,List Item,bl"/>
    <w:basedOn w:val="Normal"/>
    <w:link w:val="ListParagraphChar"/>
    <w:uiPriority w:val="34"/>
    <w:qFormat/>
    <w:rsid w:val="000B7B44"/>
    <w:pPr>
      <w:ind w:left="720"/>
      <w:contextualSpacing/>
    </w:pPr>
  </w:style>
  <w:style w:type="paragraph" w:styleId="CommentSubject">
    <w:name w:val="annotation subject"/>
    <w:basedOn w:val="CommentText"/>
    <w:next w:val="CommentText"/>
    <w:link w:val="CommentSubjectChar"/>
    <w:uiPriority w:val="99"/>
    <w:semiHidden/>
    <w:unhideWhenUsed/>
    <w:rsid w:val="007A3FC1"/>
    <w:rPr>
      <w:b/>
      <w:bCs/>
    </w:rPr>
  </w:style>
  <w:style w:type="character" w:customStyle="1" w:styleId="CommentSubjectChar">
    <w:name w:val="Comment Subject Char"/>
    <w:basedOn w:val="CommentTextChar"/>
    <w:link w:val="CommentSubject"/>
    <w:uiPriority w:val="99"/>
    <w:semiHidden/>
    <w:rsid w:val="007A3FC1"/>
    <w:rPr>
      <w:rFonts w:ascii="Arial" w:eastAsia="Arial" w:hAnsi="Arial" w:cs="Arial"/>
      <w:b/>
      <w:bCs/>
      <w:sz w:val="20"/>
      <w:szCs w:val="20"/>
      <w:lang w:val="en" w:eastAsia="en-GB"/>
    </w:rPr>
  </w:style>
  <w:style w:type="table" w:styleId="TableGrid">
    <w:name w:val="Table Grid"/>
    <w:basedOn w:val="TableNormal"/>
    <w:uiPriority w:val="39"/>
    <w:rsid w:val="001850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references Char,Bullet Points Char,Liste Paragraf Char,List Bullet-OpsManual Char,Table of contents numbered Char,List Paragraph Char Char Char,List Paragraph1 Char,Bullets Char,Graphic Char,Resume Title Char"/>
    <w:link w:val="ListParagraph"/>
    <w:uiPriority w:val="34"/>
    <w:qFormat/>
    <w:locked/>
    <w:rsid w:val="00AA32F8"/>
    <w:rPr>
      <w:rFonts w:ascii="Arial" w:eastAsia="Arial" w:hAnsi="Arial" w:cs="Arial"/>
      <w:lang w:val="en" w:eastAsia="en-GB"/>
    </w:rPr>
  </w:style>
  <w:style w:type="character" w:styleId="Mention">
    <w:name w:val="Mention"/>
    <w:basedOn w:val="DefaultParagraphFont"/>
    <w:uiPriority w:val="99"/>
    <w:unhideWhenUsed/>
    <w:rsid w:val="00AA32F8"/>
    <w:rPr>
      <w:color w:val="2B579A"/>
      <w:shd w:val="clear" w:color="auto" w:fill="E6E6E6"/>
    </w:rPr>
  </w:style>
  <w:style w:type="character" w:styleId="UnresolvedMention">
    <w:name w:val="Unresolved Mention"/>
    <w:basedOn w:val="DefaultParagraphFont"/>
    <w:uiPriority w:val="99"/>
    <w:unhideWhenUsed/>
    <w:rsid w:val="00806832"/>
    <w:rPr>
      <w:color w:val="605E5C"/>
      <w:shd w:val="clear" w:color="auto" w:fill="E1DFDD"/>
    </w:rPr>
  </w:style>
  <w:style w:type="paragraph" w:styleId="Title">
    <w:name w:val="Title"/>
    <w:basedOn w:val="Normal"/>
    <w:link w:val="TitleChar"/>
    <w:uiPriority w:val="10"/>
    <w:qFormat/>
    <w:rsid w:val="00806832"/>
    <w:pPr>
      <w:spacing w:before="240" w:after="60" w:line="240" w:lineRule="auto"/>
      <w:jc w:val="center"/>
      <w:outlineLvl w:val="0"/>
    </w:pPr>
    <w:rPr>
      <w:rFonts w:eastAsia="MS Mincho"/>
      <w:b/>
      <w:bCs/>
      <w:kern w:val="28"/>
      <w:sz w:val="32"/>
      <w:szCs w:val="32"/>
      <w:lang w:val="en-US" w:eastAsia="ja-JP"/>
    </w:rPr>
  </w:style>
  <w:style w:type="character" w:customStyle="1" w:styleId="TitleChar">
    <w:name w:val="Title Char"/>
    <w:basedOn w:val="DefaultParagraphFont"/>
    <w:link w:val="Title"/>
    <w:uiPriority w:val="10"/>
    <w:rsid w:val="00806832"/>
    <w:rPr>
      <w:rFonts w:ascii="Arial" w:eastAsia="MS Mincho" w:hAnsi="Arial" w:cs="Arial"/>
      <w:b/>
      <w:bCs/>
      <w:kern w:val="28"/>
      <w:sz w:val="32"/>
      <w:szCs w:val="32"/>
      <w:lang w:eastAsia="ja-JP"/>
    </w:rPr>
  </w:style>
  <w:style w:type="paragraph" w:styleId="Revision">
    <w:name w:val="Revision"/>
    <w:hidden/>
    <w:uiPriority w:val="99"/>
    <w:semiHidden/>
    <w:rsid w:val="002518B4"/>
    <w:pPr>
      <w:spacing w:after="0" w:line="240" w:lineRule="auto"/>
    </w:pPr>
    <w:rPr>
      <w:rFonts w:ascii="Arial" w:eastAsia="Arial" w:hAnsi="Arial" w:cs="Arial"/>
      <w:lang w:val="en" w:eastAsia="en-GB"/>
    </w:rPr>
  </w:style>
  <w:style w:type="character" w:styleId="Hyperlink">
    <w:name w:val="Hyperlink"/>
    <w:basedOn w:val="DefaultParagraphFont"/>
    <w:uiPriority w:val="99"/>
    <w:unhideWhenUsed/>
    <w:rsid w:val="00775AC8"/>
    <w:rPr>
      <w:color w:val="0563C1" w:themeColor="hyperlink"/>
      <w:u w:val="single"/>
    </w:rPr>
  </w:style>
  <w:style w:type="character" w:styleId="FollowedHyperlink">
    <w:name w:val="FollowedHyperlink"/>
    <w:basedOn w:val="DefaultParagraphFont"/>
    <w:uiPriority w:val="99"/>
    <w:semiHidden/>
    <w:unhideWhenUsed/>
    <w:rsid w:val="0032033D"/>
    <w:rPr>
      <w:color w:val="954F72" w:themeColor="followedHyperlink"/>
      <w:u w:val="single"/>
    </w:rPr>
  </w:style>
  <w:style w:type="paragraph" w:styleId="NormalWeb">
    <w:name w:val="Normal (Web)"/>
    <w:basedOn w:val="Normal"/>
    <w:uiPriority w:val="99"/>
    <w:semiHidden/>
    <w:unhideWhenUsed/>
    <w:rsid w:val="003427F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CurrentList1">
    <w:name w:val="Current List1"/>
    <w:uiPriority w:val="99"/>
    <w:rsid w:val="004E4361"/>
    <w:pPr>
      <w:numPr>
        <w:numId w:val="1"/>
      </w:numPr>
    </w:pPr>
  </w:style>
  <w:style w:type="numbering" w:customStyle="1" w:styleId="CurrentList2">
    <w:name w:val="Current List2"/>
    <w:uiPriority w:val="99"/>
    <w:rsid w:val="00F73FF8"/>
    <w:pPr>
      <w:numPr>
        <w:numId w:val="2"/>
      </w:numPr>
    </w:pPr>
  </w:style>
  <w:style w:type="numbering" w:customStyle="1" w:styleId="CurrentList3">
    <w:name w:val="Current List3"/>
    <w:uiPriority w:val="99"/>
    <w:rsid w:val="001E1C11"/>
    <w:pPr>
      <w:numPr>
        <w:numId w:val="3"/>
      </w:numPr>
    </w:pPr>
  </w:style>
  <w:style w:type="paragraph" w:styleId="NoSpacing">
    <w:name w:val="No Spacing"/>
    <w:uiPriority w:val="1"/>
    <w:qFormat/>
    <w:rsid w:val="00284A22"/>
    <w:pPr>
      <w:spacing w:after="0" w:line="240" w:lineRule="auto"/>
    </w:pPr>
    <w:rPr>
      <w:rFonts w:ascii="Arial" w:eastAsia="Arial" w:hAnsi="Arial" w:cs="Arial"/>
      <w:lang w:val="en" w:eastAsia="en-GB"/>
    </w:rPr>
  </w:style>
  <w:style w:type="paragraph" w:styleId="FootnoteText">
    <w:name w:val="footnote text"/>
    <w:basedOn w:val="Normal"/>
    <w:link w:val="FootnoteTextChar"/>
    <w:uiPriority w:val="99"/>
    <w:semiHidden/>
    <w:unhideWhenUsed/>
    <w:rsid w:val="00D77BD9"/>
    <w:pPr>
      <w:spacing w:line="240" w:lineRule="auto"/>
    </w:pPr>
    <w:rPr>
      <w:sz w:val="20"/>
      <w:szCs w:val="20"/>
    </w:rPr>
  </w:style>
  <w:style w:type="character" w:customStyle="1" w:styleId="FootnoteTextChar">
    <w:name w:val="Footnote Text Char"/>
    <w:basedOn w:val="DefaultParagraphFont"/>
    <w:link w:val="FootnoteText"/>
    <w:uiPriority w:val="99"/>
    <w:semiHidden/>
    <w:rsid w:val="00D77BD9"/>
    <w:rPr>
      <w:rFonts w:ascii="Arial" w:eastAsia="Arial" w:hAnsi="Arial" w:cs="Arial"/>
      <w:sz w:val="20"/>
      <w:szCs w:val="20"/>
      <w:lang w:val="en" w:eastAsia="en-GB"/>
    </w:rPr>
  </w:style>
  <w:style w:type="character" w:styleId="FootnoteReference">
    <w:name w:val="footnote reference"/>
    <w:basedOn w:val="DefaultParagraphFont"/>
    <w:uiPriority w:val="99"/>
    <w:semiHidden/>
    <w:unhideWhenUsed/>
    <w:rsid w:val="00D77BD9"/>
    <w:rPr>
      <w:vertAlign w:val="superscript"/>
    </w:rPr>
  </w:style>
  <w:style w:type="table" w:customStyle="1" w:styleId="TableGrid1">
    <w:name w:val="Table Grid1"/>
    <w:basedOn w:val="TableNormal"/>
    <w:next w:val="TableGrid"/>
    <w:uiPriority w:val="39"/>
    <w:rsid w:val="008A72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102086">
      <w:bodyDiv w:val="1"/>
      <w:marLeft w:val="0"/>
      <w:marRight w:val="0"/>
      <w:marTop w:val="0"/>
      <w:marBottom w:val="0"/>
      <w:divBdr>
        <w:top w:val="none" w:sz="0" w:space="0" w:color="auto"/>
        <w:left w:val="none" w:sz="0" w:space="0" w:color="auto"/>
        <w:bottom w:val="none" w:sz="0" w:space="0" w:color="auto"/>
        <w:right w:val="none" w:sz="0" w:space="0" w:color="auto"/>
      </w:divBdr>
      <w:divsChild>
        <w:div w:id="778570844">
          <w:marLeft w:val="446"/>
          <w:marRight w:val="0"/>
          <w:marTop w:val="0"/>
          <w:marBottom w:val="0"/>
          <w:divBdr>
            <w:top w:val="none" w:sz="0" w:space="0" w:color="auto"/>
            <w:left w:val="none" w:sz="0" w:space="0" w:color="auto"/>
            <w:bottom w:val="none" w:sz="0" w:space="0" w:color="auto"/>
            <w:right w:val="none" w:sz="0" w:space="0" w:color="auto"/>
          </w:divBdr>
        </w:div>
        <w:div w:id="2123526703">
          <w:marLeft w:val="446"/>
          <w:marRight w:val="0"/>
          <w:marTop w:val="0"/>
          <w:marBottom w:val="0"/>
          <w:divBdr>
            <w:top w:val="none" w:sz="0" w:space="0" w:color="auto"/>
            <w:left w:val="none" w:sz="0" w:space="0" w:color="auto"/>
            <w:bottom w:val="none" w:sz="0" w:space="0" w:color="auto"/>
            <w:right w:val="none" w:sz="0" w:space="0" w:color="auto"/>
          </w:divBdr>
        </w:div>
      </w:divsChild>
    </w:div>
    <w:div w:id="634679841">
      <w:bodyDiv w:val="1"/>
      <w:marLeft w:val="0"/>
      <w:marRight w:val="0"/>
      <w:marTop w:val="0"/>
      <w:marBottom w:val="0"/>
      <w:divBdr>
        <w:top w:val="none" w:sz="0" w:space="0" w:color="auto"/>
        <w:left w:val="none" w:sz="0" w:space="0" w:color="auto"/>
        <w:bottom w:val="none" w:sz="0" w:space="0" w:color="auto"/>
        <w:right w:val="none" w:sz="0" w:space="0" w:color="auto"/>
      </w:divBdr>
    </w:div>
    <w:div w:id="714697641">
      <w:bodyDiv w:val="1"/>
      <w:marLeft w:val="0"/>
      <w:marRight w:val="0"/>
      <w:marTop w:val="0"/>
      <w:marBottom w:val="0"/>
      <w:divBdr>
        <w:top w:val="none" w:sz="0" w:space="0" w:color="auto"/>
        <w:left w:val="none" w:sz="0" w:space="0" w:color="auto"/>
        <w:bottom w:val="none" w:sz="0" w:space="0" w:color="auto"/>
        <w:right w:val="none" w:sz="0" w:space="0" w:color="auto"/>
      </w:divBdr>
      <w:divsChild>
        <w:div w:id="485634332">
          <w:marLeft w:val="547"/>
          <w:marRight w:val="0"/>
          <w:marTop w:val="0"/>
          <w:marBottom w:val="0"/>
          <w:divBdr>
            <w:top w:val="none" w:sz="0" w:space="0" w:color="auto"/>
            <w:left w:val="none" w:sz="0" w:space="0" w:color="auto"/>
            <w:bottom w:val="none" w:sz="0" w:space="0" w:color="auto"/>
            <w:right w:val="none" w:sz="0" w:space="0" w:color="auto"/>
          </w:divBdr>
        </w:div>
        <w:div w:id="832451658">
          <w:marLeft w:val="547"/>
          <w:marRight w:val="0"/>
          <w:marTop w:val="0"/>
          <w:marBottom w:val="0"/>
          <w:divBdr>
            <w:top w:val="none" w:sz="0" w:space="0" w:color="auto"/>
            <w:left w:val="none" w:sz="0" w:space="0" w:color="auto"/>
            <w:bottom w:val="none" w:sz="0" w:space="0" w:color="auto"/>
            <w:right w:val="none" w:sz="0" w:space="0" w:color="auto"/>
          </w:divBdr>
        </w:div>
        <w:div w:id="1220674050">
          <w:marLeft w:val="547"/>
          <w:marRight w:val="0"/>
          <w:marTop w:val="0"/>
          <w:marBottom w:val="0"/>
          <w:divBdr>
            <w:top w:val="none" w:sz="0" w:space="0" w:color="auto"/>
            <w:left w:val="none" w:sz="0" w:space="0" w:color="auto"/>
            <w:bottom w:val="none" w:sz="0" w:space="0" w:color="auto"/>
            <w:right w:val="none" w:sz="0" w:space="0" w:color="auto"/>
          </w:divBdr>
        </w:div>
        <w:div w:id="1766029581">
          <w:marLeft w:val="547"/>
          <w:marRight w:val="0"/>
          <w:marTop w:val="0"/>
          <w:marBottom w:val="0"/>
          <w:divBdr>
            <w:top w:val="none" w:sz="0" w:space="0" w:color="auto"/>
            <w:left w:val="none" w:sz="0" w:space="0" w:color="auto"/>
            <w:bottom w:val="none" w:sz="0" w:space="0" w:color="auto"/>
            <w:right w:val="none" w:sz="0" w:space="0" w:color="auto"/>
          </w:divBdr>
        </w:div>
        <w:div w:id="2067297246">
          <w:marLeft w:val="547"/>
          <w:marRight w:val="0"/>
          <w:marTop w:val="0"/>
          <w:marBottom w:val="0"/>
          <w:divBdr>
            <w:top w:val="none" w:sz="0" w:space="0" w:color="auto"/>
            <w:left w:val="none" w:sz="0" w:space="0" w:color="auto"/>
            <w:bottom w:val="none" w:sz="0" w:space="0" w:color="auto"/>
            <w:right w:val="none" w:sz="0" w:space="0" w:color="auto"/>
          </w:divBdr>
        </w:div>
      </w:divsChild>
    </w:div>
    <w:div w:id="1320111590">
      <w:bodyDiv w:val="1"/>
      <w:marLeft w:val="0"/>
      <w:marRight w:val="0"/>
      <w:marTop w:val="0"/>
      <w:marBottom w:val="0"/>
      <w:divBdr>
        <w:top w:val="none" w:sz="0" w:space="0" w:color="auto"/>
        <w:left w:val="none" w:sz="0" w:space="0" w:color="auto"/>
        <w:bottom w:val="none" w:sz="0" w:space="0" w:color="auto"/>
        <w:right w:val="none" w:sz="0" w:space="0" w:color="auto"/>
      </w:divBdr>
    </w:div>
    <w:div w:id="1539397317">
      <w:bodyDiv w:val="1"/>
      <w:marLeft w:val="0"/>
      <w:marRight w:val="0"/>
      <w:marTop w:val="0"/>
      <w:marBottom w:val="0"/>
      <w:divBdr>
        <w:top w:val="none" w:sz="0" w:space="0" w:color="auto"/>
        <w:left w:val="none" w:sz="0" w:space="0" w:color="auto"/>
        <w:bottom w:val="none" w:sz="0" w:space="0" w:color="auto"/>
        <w:right w:val="none" w:sz="0" w:space="0" w:color="auto"/>
      </w:divBdr>
      <w:divsChild>
        <w:div w:id="572273363">
          <w:marLeft w:val="0"/>
          <w:marRight w:val="0"/>
          <w:marTop w:val="0"/>
          <w:marBottom w:val="0"/>
          <w:divBdr>
            <w:top w:val="none" w:sz="0" w:space="0" w:color="auto"/>
            <w:left w:val="none" w:sz="0" w:space="0" w:color="auto"/>
            <w:bottom w:val="none" w:sz="0" w:space="0" w:color="auto"/>
            <w:right w:val="none" w:sz="0" w:space="0" w:color="auto"/>
          </w:divBdr>
          <w:divsChild>
            <w:div w:id="37357810">
              <w:marLeft w:val="0"/>
              <w:marRight w:val="0"/>
              <w:marTop w:val="0"/>
              <w:marBottom w:val="0"/>
              <w:divBdr>
                <w:top w:val="none" w:sz="0" w:space="0" w:color="auto"/>
                <w:left w:val="none" w:sz="0" w:space="0" w:color="auto"/>
                <w:bottom w:val="none" w:sz="0" w:space="0" w:color="auto"/>
                <w:right w:val="none" w:sz="0" w:space="0" w:color="auto"/>
              </w:divBdr>
              <w:divsChild>
                <w:div w:id="2144106564">
                  <w:marLeft w:val="0"/>
                  <w:marRight w:val="0"/>
                  <w:marTop w:val="0"/>
                  <w:marBottom w:val="0"/>
                  <w:divBdr>
                    <w:top w:val="none" w:sz="0" w:space="0" w:color="auto"/>
                    <w:left w:val="none" w:sz="0" w:space="0" w:color="auto"/>
                    <w:bottom w:val="none" w:sz="0" w:space="0" w:color="auto"/>
                    <w:right w:val="none" w:sz="0" w:space="0" w:color="auto"/>
                  </w:divBdr>
                </w:div>
              </w:divsChild>
            </w:div>
            <w:div w:id="478692110">
              <w:marLeft w:val="0"/>
              <w:marRight w:val="0"/>
              <w:marTop w:val="0"/>
              <w:marBottom w:val="0"/>
              <w:divBdr>
                <w:top w:val="none" w:sz="0" w:space="0" w:color="auto"/>
                <w:left w:val="none" w:sz="0" w:space="0" w:color="auto"/>
                <w:bottom w:val="none" w:sz="0" w:space="0" w:color="auto"/>
                <w:right w:val="none" w:sz="0" w:space="0" w:color="auto"/>
              </w:divBdr>
              <w:divsChild>
                <w:div w:id="866674073">
                  <w:marLeft w:val="0"/>
                  <w:marRight w:val="0"/>
                  <w:marTop w:val="0"/>
                  <w:marBottom w:val="0"/>
                  <w:divBdr>
                    <w:top w:val="none" w:sz="0" w:space="0" w:color="auto"/>
                    <w:left w:val="none" w:sz="0" w:space="0" w:color="auto"/>
                    <w:bottom w:val="none" w:sz="0" w:space="0" w:color="auto"/>
                    <w:right w:val="none" w:sz="0" w:space="0" w:color="auto"/>
                  </w:divBdr>
                </w:div>
                <w:div w:id="908659193">
                  <w:marLeft w:val="0"/>
                  <w:marRight w:val="0"/>
                  <w:marTop w:val="0"/>
                  <w:marBottom w:val="0"/>
                  <w:divBdr>
                    <w:top w:val="none" w:sz="0" w:space="0" w:color="auto"/>
                    <w:left w:val="none" w:sz="0" w:space="0" w:color="auto"/>
                    <w:bottom w:val="none" w:sz="0" w:space="0" w:color="auto"/>
                    <w:right w:val="none" w:sz="0" w:space="0" w:color="auto"/>
                  </w:divBdr>
                </w:div>
              </w:divsChild>
            </w:div>
            <w:div w:id="563680221">
              <w:marLeft w:val="0"/>
              <w:marRight w:val="0"/>
              <w:marTop w:val="0"/>
              <w:marBottom w:val="0"/>
              <w:divBdr>
                <w:top w:val="none" w:sz="0" w:space="0" w:color="auto"/>
                <w:left w:val="none" w:sz="0" w:space="0" w:color="auto"/>
                <w:bottom w:val="none" w:sz="0" w:space="0" w:color="auto"/>
                <w:right w:val="none" w:sz="0" w:space="0" w:color="auto"/>
              </w:divBdr>
              <w:divsChild>
                <w:div w:id="1096101502">
                  <w:marLeft w:val="0"/>
                  <w:marRight w:val="0"/>
                  <w:marTop w:val="0"/>
                  <w:marBottom w:val="0"/>
                  <w:divBdr>
                    <w:top w:val="none" w:sz="0" w:space="0" w:color="auto"/>
                    <w:left w:val="none" w:sz="0" w:space="0" w:color="auto"/>
                    <w:bottom w:val="none" w:sz="0" w:space="0" w:color="auto"/>
                    <w:right w:val="none" w:sz="0" w:space="0" w:color="auto"/>
                  </w:divBdr>
                </w:div>
              </w:divsChild>
            </w:div>
            <w:div w:id="862061366">
              <w:marLeft w:val="0"/>
              <w:marRight w:val="0"/>
              <w:marTop w:val="0"/>
              <w:marBottom w:val="0"/>
              <w:divBdr>
                <w:top w:val="none" w:sz="0" w:space="0" w:color="auto"/>
                <w:left w:val="none" w:sz="0" w:space="0" w:color="auto"/>
                <w:bottom w:val="none" w:sz="0" w:space="0" w:color="auto"/>
                <w:right w:val="none" w:sz="0" w:space="0" w:color="auto"/>
              </w:divBdr>
              <w:divsChild>
                <w:div w:id="811171557">
                  <w:marLeft w:val="0"/>
                  <w:marRight w:val="0"/>
                  <w:marTop w:val="0"/>
                  <w:marBottom w:val="0"/>
                  <w:divBdr>
                    <w:top w:val="none" w:sz="0" w:space="0" w:color="auto"/>
                    <w:left w:val="none" w:sz="0" w:space="0" w:color="auto"/>
                    <w:bottom w:val="none" w:sz="0" w:space="0" w:color="auto"/>
                    <w:right w:val="none" w:sz="0" w:space="0" w:color="auto"/>
                  </w:divBdr>
                </w:div>
              </w:divsChild>
            </w:div>
            <w:div w:id="1411927330">
              <w:marLeft w:val="0"/>
              <w:marRight w:val="0"/>
              <w:marTop w:val="0"/>
              <w:marBottom w:val="0"/>
              <w:divBdr>
                <w:top w:val="none" w:sz="0" w:space="0" w:color="auto"/>
                <w:left w:val="none" w:sz="0" w:space="0" w:color="auto"/>
                <w:bottom w:val="none" w:sz="0" w:space="0" w:color="auto"/>
                <w:right w:val="none" w:sz="0" w:space="0" w:color="auto"/>
              </w:divBdr>
              <w:divsChild>
                <w:div w:id="287396759">
                  <w:marLeft w:val="0"/>
                  <w:marRight w:val="0"/>
                  <w:marTop w:val="0"/>
                  <w:marBottom w:val="0"/>
                  <w:divBdr>
                    <w:top w:val="none" w:sz="0" w:space="0" w:color="auto"/>
                    <w:left w:val="none" w:sz="0" w:space="0" w:color="auto"/>
                    <w:bottom w:val="none" w:sz="0" w:space="0" w:color="auto"/>
                    <w:right w:val="none" w:sz="0" w:space="0" w:color="auto"/>
                  </w:divBdr>
                </w:div>
                <w:div w:id="1500923814">
                  <w:marLeft w:val="0"/>
                  <w:marRight w:val="0"/>
                  <w:marTop w:val="0"/>
                  <w:marBottom w:val="0"/>
                  <w:divBdr>
                    <w:top w:val="none" w:sz="0" w:space="0" w:color="auto"/>
                    <w:left w:val="none" w:sz="0" w:space="0" w:color="auto"/>
                    <w:bottom w:val="none" w:sz="0" w:space="0" w:color="auto"/>
                    <w:right w:val="none" w:sz="0" w:space="0" w:color="auto"/>
                  </w:divBdr>
                </w:div>
              </w:divsChild>
            </w:div>
            <w:div w:id="2097747082">
              <w:marLeft w:val="0"/>
              <w:marRight w:val="0"/>
              <w:marTop w:val="0"/>
              <w:marBottom w:val="0"/>
              <w:divBdr>
                <w:top w:val="none" w:sz="0" w:space="0" w:color="auto"/>
                <w:left w:val="none" w:sz="0" w:space="0" w:color="auto"/>
                <w:bottom w:val="none" w:sz="0" w:space="0" w:color="auto"/>
                <w:right w:val="none" w:sz="0" w:space="0" w:color="auto"/>
              </w:divBdr>
              <w:divsChild>
                <w:div w:id="21235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101029">
      <w:bodyDiv w:val="1"/>
      <w:marLeft w:val="0"/>
      <w:marRight w:val="0"/>
      <w:marTop w:val="0"/>
      <w:marBottom w:val="0"/>
      <w:divBdr>
        <w:top w:val="none" w:sz="0" w:space="0" w:color="auto"/>
        <w:left w:val="none" w:sz="0" w:space="0" w:color="auto"/>
        <w:bottom w:val="none" w:sz="0" w:space="0" w:color="auto"/>
        <w:right w:val="none" w:sz="0" w:space="0" w:color="auto"/>
      </w:divBdr>
      <w:divsChild>
        <w:div w:id="309098310">
          <w:marLeft w:val="0"/>
          <w:marRight w:val="0"/>
          <w:marTop w:val="0"/>
          <w:marBottom w:val="0"/>
          <w:divBdr>
            <w:top w:val="none" w:sz="0" w:space="0" w:color="auto"/>
            <w:left w:val="none" w:sz="0" w:space="0" w:color="auto"/>
            <w:bottom w:val="none" w:sz="0" w:space="0" w:color="auto"/>
            <w:right w:val="none" w:sz="0" w:space="0" w:color="auto"/>
          </w:divBdr>
          <w:divsChild>
            <w:div w:id="239684054">
              <w:marLeft w:val="0"/>
              <w:marRight w:val="0"/>
              <w:marTop w:val="0"/>
              <w:marBottom w:val="0"/>
              <w:divBdr>
                <w:top w:val="none" w:sz="0" w:space="0" w:color="auto"/>
                <w:left w:val="none" w:sz="0" w:space="0" w:color="auto"/>
                <w:bottom w:val="none" w:sz="0" w:space="0" w:color="auto"/>
                <w:right w:val="none" w:sz="0" w:space="0" w:color="auto"/>
              </w:divBdr>
              <w:divsChild>
                <w:div w:id="1331443089">
                  <w:marLeft w:val="0"/>
                  <w:marRight w:val="0"/>
                  <w:marTop w:val="0"/>
                  <w:marBottom w:val="0"/>
                  <w:divBdr>
                    <w:top w:val="none" w:sz="0" w:space="0" w:color="auto"/>
                    <w:left w:val="none" w:sz="0" w:space="0" w:color="auto"/>
                    <w:bottom w:val="none" w:sz="0" w:space="0" w:color="auto"/>
                    <w:right w:val="none" w:sz="0" w:space="0" w:color="auto"/>
                  </w:divBdr>
                </w:div>
              </w:divsChild>
            </w:div>
            <w:div w:id="879901245">
              <w:marLeft w:val="0"/>
              <w:marRight w:val="0"/>
              <w:marTop w:val="0"/>
              <w:marBottom w:val="0"/>
              <w:divBdr>
                <w:top w:val="none" w:sz="0" w:space="0" w:color="auto"/>
                <w:left w:val="none" w:sz="0" w:space="0" w:color="auto"/>
                <w:bottom w:val="none" w:sz="0" w:space="0" w:color="auto"/>
                <w:right w:val="none" w:sz="0" w:space="0" w:color="auto"/>
              </w:divBdr>
              <w:divsChild>
                <w:div w:id="584648199">
                  <w:marLeft w:val="0"/>
                  <w:marRight w:val="0"/>
                  <w:marTop w:val="0"/>
                  <w:marBottom w:val="0"/>
                  <w:divBdr>
                    <w:top w:val="none" w:sz="0" w:space="0" w:color="auto"/>
                    <w:left w:val="none" w:sz="0" w:space="0" w:color="auto"/>
                    <w:bottom w:val="none" w:sz="0" w:space="0" w:color="auto"/>
                    <w:right w:val="none" w:sz="0" w:space="0" w:color="auto"/>
                  </w:divBdr>
                </w:div>
                <w:div w:id="1619753760">
                  <w:marLeft w:val="0"/>
                  <w:marRight w:val="0"/>
                  <w:marTop w:val="0"/>
                  <w:marBottom w:val="0"/>
                  <w:divBdr>
                    <w:top w:val="none" w:sz="0" w:space="0" w:color="auto"/>
                    <w:left w:val="none" w:sz="0" w:space="0" w:color="auto"/>
                    <w:bottom w:val="none" w:sz="0" w:space="0" w:color="auto"/>
                    <w:right w:val="none" w:sz="0" w:space="0" w:color="auto"/>
                  </w:divBdr>
                </w:div>
              </w:divsChild>
            </w:div>
            <w:div w:id="1192648869">
              <w:marLeft w:val="0"/>
              <w:marRight w:val="0"/>
              <w:marTop w:val="0"/>
              <w:marBottom w:val="0"/>
              <w:divBdr>
                <w:top w:val="none" w:sz="0" w:space="0" w:color="auto"/>
                <w:left w:val="none" w:sz="0" w:space="0" w:color="auto"/>
                <w:bottom w:val="none" w:sz="0" w:space="0" w:color="auto"/>
                <w:right w:val="none" w:sz="0" w:space="0" w:color="auto"/>
              </w:divBdr>
              <w:divsChild>
                <w:div w:id="1102336681">
                  <w:marLeft w:val="0"/>
                  <w:marRight w:val="0"/>
                  <w:marTop w:val="0"/>
                  <w:marBottom w:val="0"/>
                  <w:divBdr>
                    <w:top w:val="none" w:sz="0" w:space="0" w:color="auto"/>
                    <w:left w:val="none" w:sz="0" w:space="0" w:color="auto"/>
                    <w:bottom w:val="none" w:sz="0" w:space="0" w:color="auto"/>
                    <w:right w:val="none" w:sz="0" w:space="0" w:color="auto"/>
                  </w:divBdr>
                </w:div>
              </w:divsChild>
            </w:div>
            <w:div w:id="1455521570">
              <w:marLeft w:val="0"/>
              <w:marRight w:val="0"/>
              <w:marTop w:val="0"/>
              <w:marBottom w:val="0"/>
              <w:divBdr>
                <w:top w:val="none" w:sz="0" w:space="0" w:color="auto"/>
                <w:left w:val="none" w:sz="0" w:space="0" w:color="auto"/>
                <w:bottom w:val="none" w:sz="0" w:space="0" w:color="auto"/>
                <w:right w:val="none" w:sz="0" w:space="0" w:color="auto"/>
              </w:divBdr>
              <w:divsChild>
                <w:div w:id="21977477">
                  <w:marLeft w:val="0"/>
                  <w:marRight w:val="0"/>
                  <w:marTop w:val="0"/>
                  <w:marBottom w:val="0"/>
                  <w:divBdr>
                    <w:top w:val="none" w:sz="0" w:space="0" w:color="auto"/>
                    <w:left w:val="none" w:sz="0" w:space="0" w:color="auto"/>
                    <w:bottom w:val="none" w:sz="0" w:space="0" w:color="auto"/>
                    <w:right w:val="none" w:sz="0" w:space="0" w:color="auto"/>
                  </w:divBdr>
                </w:div>
              </w:divsChild>
            </w:div>
            <w:div w:id="1835871347">
              <w:marLeft w:val="0"/>
              <w:marRight w:val="0"/>
              <w:marTop w:val="0"/>
              <w:marBottom w:val="0"/>
              <w:divBdr>
                <w:top w:val="none" w:sz="0" w:space="0" w:color="auto"/>
                <w:left w:val="none" w:sz="0" w:space="0" w:color="auto"/>
                <w:bottom w:val="none" w:sz="0" w:space="0" w:color="auto"/>
                <w:right w:val="none" w:sz="0" w:space="0" w:color="auto"/>
              </w:divBdr>
              <w:divsChild>
                <w:div w:id="219098264">
                  <w:marLeft w:val="0"/>
                  <w:marRight w:val="0"/>
                  <w:marTop w:val="0"/>
                  <w:marBottom w:val="0"/>
                  <w:divBdr>
                    <w:top w:val="none" w:sz="0" w:space="0" w:color="auto"/>
                    <w:left w:val="none" w:sz="0" w:space="0" w:color="auto"/>
                    <w:bottom w:val="none" w:sz="0" w:space="0" w:color="auto"/>
                    <w:right w:val="none" w:sz="0" w:space="0" w:color="auto"/>
                  </w:divBdr>
                </w:div>
                <w:div w:id="1577786666">
                  <w:marLeft w:val="0"/>
                  <w:marRight w:val="0"/>
                  <w:marTop w:val="0"/>
                  <w:marBottom w:val="0"/>
                  <w:divBdr>
                    <w:top w:val="none" w:sz="0" w:space="0" w:color="auto"/>
                    <w:left w:val="none" w:sz="0" w:space="0" w:color="auto"/>
                    <w:bottom w:val="none" w:sz="0" w:space="0" w:color="auto"/>
                    <w:right w:val="none" w:sz="0" w:space="0" w:color="auto"/>
                  </w:divBdr>
                </w:div>
              </w:divsChild>
            </w:div>
            <w:div w:id="2061131726">
              <w:marLeft w:val="0"/>
              <w:marRight w:val="0"/>
              <w:marTop w:val="0"/>
              <w:marBottom w:val="0"/>
              <w:divBdr>
                <w:top w:val="none" w:sz="0" w:space="0" w:color="auto"/>
                <w:left w:val="none" w:sz="0" w:space="0" w:color="auto"/>
                <w:bottom w:val="none" w:sz="0" w:space="0" w:color="auto"/>
                <w:right w:val="none" w:sz="0" w:space="0" w:color="auto"/>
              </w:divBdr>
              <w:divsChild>
                <w:div w:id="78847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033455">
      <w:bodyDiv w:val="1"/>
      <w:marLeft w:val="0"/>
      <w:marRight w:val="0"/>
      <w:marTop w:val="0"/>
      <w:marBottom w:val="0"/>
      <w:divBdr>
        <w:top w:val="none" w:sz="0" w:space="0" w:color="auto"/>
        <w:left w:val="none" w:sz="0" w:space="0" w:color="auto"/>
        <w:bottom w:val="none" w:sz="0" w:space="0" w:color="auto"/>
        <w:right w:val="none" w:sz="0" w:space="0" w:color="auto"/>
      </w:divBdr>
    </w:div>
    <w:div w:id="210510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avi.org/news/document-library/gavi-programme-funding-guideline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9/05/relationships/documenttasks" Target="documenttasks/documenttasks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ur01.safelinks.protection.outlook.com/?url=https%3A%2F%2Fwww.gavi.org%2Fnews%2Fdocument-library%2Ftca-guidelines&amp;data=05%7C01%7Cegormley%40gavi.org%7C990571ac9fe3410660a008da24644b30%7C1de6d9f30daf4df6b9d65959f16f6118%7C0%7C0%7C637862310415669979%7CUnknown%7CTWFpbGZsb3d8eyJWIjoiMC4wLjAwMDAiLCJQIjoiV2luMzIiLCJBTiI6Ik1haWwiLCJXVCI6Mn0%3D%7C3000%7C%7C%7C&amp;sdata=B6%2B91FguaNH9utCfM9aMPU3flVqbPk%2Bgx%2BlgiutijH0%3D&amp;reserved=0"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4A43C8DD-7982-43B9-B1AB-BA3DB70F9F30}">
    <t:Anchor>
      <t:Comment id="1598432536"/>
    </t:Anchor>
    <t:History>
      <t:Event id="{150CC8DA-67DB-4E73-AB3C-B8ABB2F2B172}" time="2021-07-28T10:36:11.111Z">
        <t:Attribution userId="S::ssingh@gavi.org::3c2f2231-3942-4bb8-9d90-8435c098fb31" userProvider="AD" userName="Smita Singh"/>
        <t:Anchor>
          <t:Comment id="98129769"/>
        </t:Anchor>
        <t:Create/>
      </t:Event>
      <t:Event id="{153BB033-02ED-47D3-BFE0-04FA1F5241FF}" time="2021-07-28T10:36:11.111Z">
        <t:Attribution userId="S::ssingh@gavi.org::3c2f2231-3942-4bb8-9d90-8435c098fb31" userProvider="AD" userName="Smita Singh"/>
        <t:Anchor>
          <t:Comment id="98129769"/>
        </t:Anchor>
        <t:Assign userId="S::rsoundardjee@gavi.org::c337124f-86db-4ef7-b062-924dc22f0008" userProvider="AD" userName="Riswana Soundardjee"/>
      </t:Event>
      <t:Event id="{BC8A21B9-3DBD-46D2-8062-54407F6CE020}" time="2021-07-28T10:36:11.111Z">
        <t:Attribution userId="S::ssingh@gavi.org::3c2f2231-3942-4bb8-9d90-8435c098fb31" userProvider="AD" userName="Smita Singh"/>
        <t:Anchor>
          <t:Comment id="98129769"/>
        </t:Anchor>
        <t:SetTitle title="@Riswana Soundardjee I've expanded this - does it looks okay now?"/>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706217-df7c-4bf4-936d-b09aa3b837af" xsi:nil="true"/>
    <_dlc_DocId xmlns="55894003-98dc-4f3e-8669-85b90bdbcc8c">MD2A55DAQTUQ-1169143380-957749</_dlc_DocId>
    <_dlc_DocIdUrl xmlns="55894003-98dc-4f3e-8669-85b90bdbcc8c">
      <Url>https://gavinet.sharepoint.com/teams/PAP/srp/_layouts/15/DocIdRedir.aspx?ID=MD2A55DAQTUQ-1169143380-957749</Url>
      <Description>MD2A55DAQTUQ-1169143380-957749</Description>
    </_dlc_DocIdUrl>
    <_dlc_DocIdPersistId xmlns="55894003-98dc-4f3e-8669-85b90bdbcc8c">false</_dlc_DocIdPersistId>
    <lcf76f155ced4ddcb4097134ff3c332f xmlns="5c2490db-6e42-4989-a0fb-d6ff54a6a7d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Gavi Document" ma:contentTypeID="0x0101009954897F3EE3CC4ABB9FB9EDAC9CDEBC0061E92A44B5DD2545AEF000129C25E859" ma:contentTypeVersion="211" ma:contentTypeDescription="Gavi Document content type " ma:contentTypeScope="" ma:versionID="3b0b85d5947ea24f0c0956fc47bdb498">
  <xsd:schema xmlns:xsd="http://www.w3.org/2001/XMLSchema" xmlns:xs="http://www.w3.org/2001/XMLSchema" xmlns:p="http://schemas.microsoft.com/office/2006/metadata/properties" xmlns:ns2="d0706217-df7c-4bf4-936d-b09aa3b837af" xmlns:ns3="55894003-98dc-4f3e-8669-85b90bdbcc8c" xmlns:ns4="5c2490db-6e42-4989-a0fb-d6ff54a6a7de" targetNamespace="http://schemas.microsoft.com/office/2006/metadata/properties" ma:root="true" ma:fieldsID="b24f44a081ec587cada9ab9c1fee1689" ns2:_="" ns3:_="" ns4:_="">
    <xsd:import namespace="d0706217-df7c-4bf4-936d-b09aa3b837af"/>
    <xsd:import namespace="55894003-98dc-4f3e-8669-85b90bdbcc8c"/>
    <xsd:import namespace="5c2490db-6e42-4989-a0fb-d6ff54a6a7de"/>
    <xsd:element name="properties">
      <xsd:complexType>
        <xsd:sequence>
          <xsd:element name="documentManagement">
            <xsd:complexType>
              <xsd:all>
                <xsd:element ref="ns2:TaxCatchAll" minOccurs="0"/>
                <xsd:element ref="ns3:_dlc_DocId" minOccurs="0"/>
                <xsd:element ref="ns3:_dlc_DocIdUrl" minOccurs="0"/>
                <xsd:element ref="ns3:_dlc_DocIdPersistId" minOccurs="0"/>
                <xsd:element ref="ns2:TaxCatchAllLabel"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TaxCatchAll" ma:index="5" nillable="true" ma:displayName="Taxonomy Catch All Column" ma:description="" ma:hidden="true" ma:list="{c405dbff-886d-494b-bfcb-83b334e9f606}" ma:internalName="TaxCatchAll" ma:showField="CatchAllData" ma:web="55894003-98dc-4f3e-8669-85b90bdbcc8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c405dbff-886d-494b-bfcb-83b334e9f606}" ma:internalName="TaxCatchAllLabel" ma:readOnly="true" ma:showField="CatchAllDataLabel" ma:web="55894003-98dc-4f3e-8669-85b90bdbcc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894003-98dc-4f3e-8669-85b90bdbcc8c"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dexed="true"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2490db-6e42-4989-a0fb-d6ff54a6a7de" elementFormDefault="qualified">
    <xsd:import namespace="http://schemas.microsoft.com/office/2006/documentManagement/types"/>
    <xsd:import namespace="http://schemas.microsoft.com/office/infopath/2007/PartnerControls"/>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cb0222-e980-4273-ad97-85dba3159c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93cb0222-e980-4273-ad97-85dba3159c09" ContentTypeId="0x0101009954897F3EE3CC4ABB9FB9EDAC9CDEBC"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ABCCA-2525-4A32-B18C-E44E28EFC753}">
  <ds:schemaRefs>
    <ds:schemaRef ds:uri="http://schemas.microsoft.com/office/2006/metadata/properties"/>
    <ds:schemaRef ds:uri="http://schemas.microsoft.com/office/infopath/2007/PartnerControls"/>
    <ds:schemaRef ds:uri="d0706217-df7c-4bf4-936d-b09aa3b837af"/>
    <ds:schemaRef ds:uri="55894003-98dc-4f3e-8669-85b90bdbcc8c"/>
    <ds:schemaRef ds:uri="5c2490db-6e42-4989-a0fb-d6ff54a6a7de"/>
  </ds:schemaRefs>
</ds:datastoreItem>
</file>

<file path=customXml/itemProps2.xml><?xml version="1.0" encoding="utf-8"?>
<ds:datastoreItem xmlns:ds="http://schemas.openxmlformats.org/officeDocument/2006/customXml" ds:itemID="{BC749995-A4FA-4ACF-B66C-E11D335CCB8C}"/>
</file>

<file path=customXml/itemProps3.xml><?xml version="1.0" encoding="utf-8"?>
<ds:datastoreItem xmlns:ds="http://schemas.openxmlformats.org/officeDocument/2006/customXml" ds:itemID="{404F728E-98BA-48D5-8C0D-AFF4B98B0BF5}">
  <ds:schemaRefs>
    <ds:schemaRef ds:uri="http://schemas.microsoft.com/sharepoint/events"/>
  </ds:schemaRefs>
</ds:datastoreItem>
</file>

<file path=customXml/itemProps4.xml><?xml version="1.0" encoding="utf-8"?>
<ds:datastoreItem xmlns:ds="http://schemas.openxmlformats.org/officeDocument/2006/customXml" ds:itemID="{B510E385-F15C-49C0-BF1D-0F2315539B29}">
  <ds:schemaRefs>
    <ds:schemaRef ds:uri="http://schemas.microsoft.com/sharepoint/v3/contenttype/forms"/>
  </ds:schemaRefs>
</ds:datastoreItem>
</file>

<file path=customXml/itemProps5.xml><?xml version="1.0" encoding="utf-8"?>
<ds:datastoreItem xmlns:ds="http://schemas.openxmlformats.org/officeDocument/2006/customXml" ds:itemID="{7128A578-D6CE-4B46-9B14-9ECAFD982273}">
  <ds:schemaRefs>
    <ds:schemaRef ds:uri="Microsoft.SharePoint.Taxonomy.ContentTypeSync"/>
  </ds:schemaRefs>
</ds:datastoreItem>
</file>

<file path=customXml/itemProps6.xml><?xml version="1.0" encoding="utf-8"?>
<ds:datastoreItem xmlns:ds="http://schemas.openxmlformats.org/officeDocument/2006/customXml" ds:itemID="{5C9515F4-B062-F745-B773-98F18418B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5502</Words>
  <Characters>31366</Characters>
  <Application>Microsoft Office Word</Application>
  <DocSecurity>0</DocSecurity>
  <Lines>261</Lines>
  <Paragraphs>73</Paragraphs>
  <ScaleCrop>false</ScaleCrop>
  <Company/>
  <LinksUpToDate>false</LinksUpToDate>
  <CharactersWithSpaces>36795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seeee</dc:title>
  <dc:subject/>
  <dc:creator>Stephanie Phipps (Consultant)</dc:creator>
  <cp:keywords/>
  <dc:description/>
  <cp:lastModifiedBy>Eoin Gormley</cp:lastModifiedBy>
  <cp:revision>72</cp:revision>
  <dcterms:created xsi:type="dcterms:W3CDTF">2022-05-24T18:36:00Z</dcterms:created>
  <dcterms:modified xsi:type="dcterms:W3CDTF">2022-06-01T18:45:00Z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0x0101009954897F3EE3CC4ABB9FB9EDAC9CDEBC0061E92A44B5DD2545AEF000129C25E859</vt:lpwstr>
  </property>
  <property fmtid="{D5CDD505-2E9C-101B-9397-08002B2CF9AE}" pid="3" name="SharedWithUsers">
    <vt:lpwstr>2081;#Barnett;#15072;#Christina Muli;#1098;#BEBE;#2389;#CUHK;#646;#Mohammad Younus</vt:lpwstr>
  </property>
  <property fmtid="{D5CDD505-2E9C-101B-9397-08002B2CF9AE}" pid="4" name="MSIP_Label_0a957285-7815-485a-9751-5b273b784ad5_Enabled">
    <vt:lpwstr>true</vt:lpwstr>
  </property>
  <property fmtid="{D5CDD505-2E9C-101B-9397-08002B2CF9AE}" pid="5" name="MSIP_Label_0a957285-7815-485a-9751-5b273b784ad5_SetDate">
    <vt:lpwstr>2021-06-28T14:41:48Z</vt:lpwstr>
  </property>
  <property fmtid="{D5CDD505-2E9C-101B-9397-08002B2CF9AE}" pid="6" name="MSIP_Label_0a957285-7815-485a-9751-5b273b784ad5_Method">
    <vt:lpwstr>Privileged</vt:lpwstr>
  </property>
  <property fmtid="{D5CDD505-2E9C-101B-9397-08002B2CF9AE}" pid="7" name="MSIP_Label_0a957285-7815-485a-9751-5b273b784ad5_Name">
    <vt:lpwstr>0a957285-7815-485a-9751-5b273b784ad5</vt:lpwstr>
  </property>
  <property fmtid="{D5CDD505-2E9C-101B-9397-08002B2CF9AE}" pid="8" name="MSIP_Label_0a957285-7815-485a-9751-5b273b784ad5_SiteId">
    <vt:lpwstr>1de6d9f3-0daf-4df6-b9d6-5959f16f6118</vt:lpwstr>
  </property>
  <property fmtid="{D5CDD505-2E9C-101B-9397-08002B2CF9AE}" pid="9" name="MSIP_Label_0a957285-7815-485a-9751-5b273b784ad5_ActionId">
    <vt:lpwstr>b3f6c006-4701-4f2b-898d-0000134ac9f8</vt:lpwstr>
  </property>
  <property fmtid="{D5CDD505-2E9C-101B-9397-08002B2CF9AE}" pid="10" name="MSIP_Label_0a957285-7815-485a-9751-5b273b784ad5_ContentBits">
    <vt:lpwstr>0</vt:lpwstr>
  </property>
  <property fmtid="{D5CDD505-2E9C-101B-9397-08002B2CF9AE}" pid="11" name="_dlc_DocIdItemGuid">
    <vt:lpwstr>924ebb70-3057-4ba2-b7a7-6a7e300d63d6</vt:lpwstr>
  </property>
  <property fmtid="{D5CDD505-2E9C-101B-9397-08002B2CF9AE}" pid="12" name="Lang">
    <vt:lpwstr/>
  </property>
  <property fmtid="{D5CDD505-2E9C-101B-9397-08002B2CF9AE}" pid="13" name="TaxKeyword">
    <vt:lpwstr/>
  </property>
  <property fmtid="{D5CDD505-2E9C-101B-9397-08002B2CF9AE}" pid="14" name="Risk">
    <vt:lpwstr/>
  </property>
  <property fmtid="{D5CDD505-2E9C-101B-9397-08002B2CF9AE}" pid="15" name="Health">
    <vt:lpwstr/>
  </property>
  <property fmtid="{D5CDD505-2E9C-101B-9397-08002B2CF9AE}" pid="16" name="Vaccine">
    <vt:lpwstr/>
  </property>
  <property fmtid="{D5CDD505-2E9C-101B-9397-08002B2CF9AE}" pid="17" name="Governance">
    <vt:lpwstr/>
  </property>
  <property fmtid="{D5CDD505-2E9C-101B-9397-08002B2CF9AE}" pid="18" name="Country">
    <vt:lpwstr/>
  </property>
  <property fmtid="{D5CDD505-2E9C-101B-9397-08002B2CF9AE}" pid="19" name="International Development">
    <vt:lpwstr/>
  </property>
  <property fmtid="{D5CDD505-2E9C-101B-9397-08002B2CF9AE}" pid="20" name="Market Shaping">
    <vt:lpwstr/>
  </property>
  <property fmtid="{D5CDD505-2E9C-101B-9397-08002B2CF9AE}" pid="21" name="Programme and project management">
    <vt:lpwstr/>
  </property>
  <property fmtid="{D5CDD505-2E9C-101B-9397-08002B2CF9AE}" pid="22" name="Strategy and Policy">
    <vt:lpwstr/>
  </property>
  <property fmtid="{D5CDD505-2E9C-101B-9397-08002B2CF9AE}" pid="23" name="Stakeholder">
    <vt:lpwstr/>
  </property>
  <property fmtid="{D5CDD505-2E9C-101B-9397-08002B2CF9AE}" pid="24" name="Document Type">
    <vt:lpwstr/>
  </property>
  <property fmtid="{D5CDD505-2E9C-101B-9397-08002B2CF9AE}" pid="25" name="Finance">
    <vt:lpwstr/>
  </property>
  <property fmtid="{D5CDD505-2E9C-101B-9397-08002B2CF9AE}" pid="26" name="Country Type">
    <vt:lpwstr/>
  </property>
  <property fmtid="{D5CDD505-2E9C-101B-9397-08002B2CF9AE}" pid="27" name="Health System Strengthening">
    <vt:lpwstr/>
  </property>
  <property fmtid="{D5CDD505-2E9C-101B-9397-08002B2CF9AE}" pid="28" name="Location1">
    <vt:lpwstr/>
  </property>
  <property fmtid="{D5CDD505-2E9C-101B-9397-08002B2CF9AE}" pid="29" name="IT Systems">
    <vt:lpwstr/>
  </property>
  <property fmtid="{D5CDD505-2E9C-101B-9397-08002B2CF9AE}" pid="30" name="Depto">
    <vt:lpwstr/>
  </property>
  <property fmtid="{D5CDD505-2E9C-101B-9397-08002B2CF9AE}" pid="31" name="Order">
    <vt:r8>99738800</vt:r8>
  </property>
  <property fmtid="{D5CDD505-2E9C-101B-9397-08002B2CF9AE}" pid="32" name="Topic">
    <vt:lpwstr/>
  </property>
  <property fmtid="{D5CDD505-2E9C-101B-9397-08002B2CF9AE}" pid="33" name="xd_ProgID">
    <vt:lpwstr/>
  </property>
  <property fmtid="{D5CDD505-2E9C-101B-9397-08002B2CF9AE}" pid="34" name="ComplianceAssetId">
    <vt:lpwstr/>
  </property>
  <property fmtid="{D5CDD505-2E9C-101B-9397-08002B2CF9AE}" pid="35" name="TemplateUrl">
    <vt:lpwstr/>
  </property>
  <property fmtid="{D5CDD505-2E9C-101B-9397-08002B2CF9AE}" pid="36" name="Attendees">
    <vt:lpwstr/>
  </property>
  <property fmtid="{D5CDD505-2E9C-101B-9397-08002B2CF9AE}" pid="37" name="_ExtendedDescription">
    <vt:lpwstr/>
  </property>
  <property fmtid="{D5CDD505-2E9C-101B-9397-08002B2CF9AE}" pid="38" name="TriggerFlowInfo">
    <vt:lpwstr/>
  </property>
  <property fmtid="{D5CDD505-2E9C-101B-9397-08002B2CF9AE}" pid="39" name="xd_Signature">
    <vt:bool>false</vt:bool>
  </property>
  <property fmtid="{D5CDD505-2E9C-101B-9397-08002B2CF9AE}" pid="40" name="MediaServiceImageTags">
    <vt:lpwstr/>
  </property>
  <property fmtid="{D5CDD505-2E9C-101B-9397-08002B2CF9AE}" pid="44" name="Test">
    <vt:lpwstr/>
  </property>
  <property fmtid="{D5CDD505-2E9C-101B-9397-08002B2CF9AE}" pid="45" name="kfa83adfad8641678ddaedda80d7e126">
    <vt:lpwstr/>
  </property>
</Properties>
</file>