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77EC" w:rsidR="00B177EC" w:rsidP="4BC61A78" w:rsidRDefault="4BC61A78" w14:paraId="15DDCE4E" w14:textId="0250D074">
      <w:pPr>
        <w:spacing w:line="300" w:lineRule="exact"/>
        <w:jc w:val="center"/>
        <w:rPr>
          <w:b/>
          <w:bCs/>
          <w:color w:val="4472C4" w:themeColor="accent1"/>
          <w:sz w:val="32"/>
          <w:szCs w:val="32"/>
          <w:lang w:val="en-GB"/>
        </w:rPr>
      </w:pPr>
      <w:r w:rsidRPr="4BC61A78">
        <w:rPr>
          <w:b/>
          <w:bCs/>
          <w:color w:val="4472C4" w:themeColor="accent1"/>
          <w:sz w:val="32"/>
          <w:szCs w:val="32"/>
          <w:lang w:val="en-GB"/>
        </w:rPr>
        <w:t>Zimbabwe</w:t>
      </w:r>
    </w:p>
    <w:p w:rsidR="00B177EC" w:rsidP="00FC4A11" w:rsidRDefault="00B177EC" w14:paraId="2F1C3C11" w14:textId="77777777">
      <w:pPr>
        <w:spacing w:line="300" w:lineRule="exact"/>
        <w:rPr>
          <w:b/>
          <w:color w:val="4472C4" w:themeColor="accent1"/>
          <w:sz w:val="36"/>
          <w:szCs w:val="36"/>
          <w:lang w:val="en-GB"/>
        </w:rPr>
      </w:pPr>
    </w:p>
    <w:p w:rsidR="00EA7614" w:rsidP="002C42E8" w:rsidRDefault="000301CD" w14:paraId="104F20A4" w14:textId="46A3E482">
      <w:pPr>
        <w:spacing w:line="300" w:lineRule="exact"/>
        <w:jc w:val="center"/>
        <w:rPr>
          <w:b/>
          <w:color w:val="4471C4"/>
          <w:sz w:val="32"/>
          <w:szCs w:val="32"/>
          <w:lang w:val="en-GB"/>
        </w:rPr>
      </w:pPr>
      <w:r w:rsidRPr="4E4DD800">
        <w:rPr>
          <w:b/>
          <w:color w:val="4471C4"/>
          <w:sz w:val="32"/>
          <w:szCs w:val="32"/>
          <w:lang w:val="en-GB"/>
        </w:rPr>
        <w:t>PEF Targeted Country Assistance (TCA) Narrative</w:t>
      </w:r>
    </w:p>
    <w:p w:rsidRPr="000301CD" w:rsidR="00EA7614" w:rsidP="002C42E8" w:rsidRDefault="000301CD" w14:paraId="299FEA98" w14:textId="14379F3C">
      <w:pPr>
        <w:spacing w:line="300" w:lineRule="exact"/>
        <w:jc w:val="center"/>
        <w:rPr>
          <w:bCs/>
          <w:color w:val="808080" w:themeColor="background1" w:themeShade="80"/>
          <w:sz w:val="32"/>
          <w:szCs w:val="32"/>
          <w:lang w:val="en-GB"/>
        </w:rPr>
      </w:pPr>
      <w:r w:rsidRPr="4E4DD800">
        <w:rPr>
          <w:b/>
          <w:color w:val="4471C4"/>
          <w:sz w:val="32"/>
          <w:szCs w:val="32"/>
          <w:lang w:val="en-GB"/>
        </w:rPr>
        <w:t>for 2022-</w:t>
      </w:r>
      <w:r w:rsidRPr="4E4DD800">
        <w:rPr>
          <w:b/>
          <w:bCs/>
          <w:color w:val="4471C4"/>
          <w:sz w:val="32"/>
          <w:szCs w:val="32"/>
          <w:lang w:val="en-GB"/>
        </w:rPr>
        <w:t>2025 Multi-</w:t>
      </w:r>
      <w:r w:rsidRPr="4E4DD800">
        <w:rPr>
          <w:b/>
          <w:bCs/>
          <w:color w:val="4472C4" w:themeColor="accent1"/>
          <w:sz w:val="32"/>
          <w:szCs w:val="32"/>
          <w:lang w:val="en-GB"/>
        </w:rPr>
        <w:t>Year Planning</w:t>
      </w:r>
    </w:p>
    <w:p w:rsidR="000301CD" w:rsidP="00FC4A11" w:rsidRDefault="000301CD" w14:paraId="505C9912" w14:textId="77777777">
      <w:pPr>
        <w:spacing w:line="300" w:lineRule="exact"/>
        <w:rPr>
          <w:bCs/>
          <w:color w:val="808080" w:themeColor="background1" w:themeShade="80"/>
          <w:lang w:val="en-GB"/>
        </w:rPr>
      </w:pPr>
    </w:p>
    <w:p w:rsidR="000D0267" w:rsidP="00FC4A11" w:rsidRDefault="00322FAC" w14:paraId="0E23D244" w14:textId="1D5F69EF">
      <w:pPr>
        <w:spacing w:line="300" w:lineRule="exact"/>
        <w:rPr>
          <w:bCs/>
          <w:color w:val="808080" w:themeColor="background1" w:themeShade="80"/>
        </w:rPr>
      </w:pPr>
      <w:r w:rsidRPr="00072D93">
        <w:rPr>
          <w:bCs/>
          <w:color w:val="808080" w:themeColor="background1" w:themeShade="80"/>
          <w:lang w:val="en-GB"/>
        </w:rPr>
        <w:t>Use this template to create a narrative that contextualise</w:t>
      </w:r>
      <w:r w:rsidR="008447E6">
        <w:rPr>
          <w:bCs/>
          <w:color w:val="808080" w:themeColor="background1" w:themeShade="80"/>
          <w:lang w:val="en-GB"/>
        </w:rPr>
        <w:t>s</w:t>
      </w:r>
      <w:r w:rsidRPr="00072D93">
        <w:rPr>
          <w:bCs/>
          <w:color w:val="808080" w:themeColor="background1" w:themeShade="80"/>
          <w:lang w:val="en-GB"/>
        </w:rPr>
        <w:t xml:space="preserve"> your </w:t>
      </w:r>
      <w:r w:rsidRPr="00072D93" w:rsidR="00E14236">
        <w:rPr>
          <w:bCs/>
          <w:color w:val="808080" w:themeColor="background1" w:themeShade="80"/>
          <w:lang w:val="en-GB"/>
        </w:rPr>
        <w:t>TCA plan</w:t>
      </w:r>
      <w:r w:rsidR="00EF52EE">
        <w:rPr>
          <w:bCs/>
          <w:color w:val="808080" w:themeColor="background1" w:themeShade="80"/>
          <w:lang w:val="en-GB"/>
        </w:rPr>
        <w:t xml:space="preserve"> for the planned</w:t>
      </w:r>
      <w:r w:rsidR="009731D8">
        <w:rPr>
          <w:bCs/>
          <w:color w:val="808080" w:themeColor="background1" w:themeShade="80"/>
          <w:lang w:val="en-GB"/>
        </w:rPr>
        <w:t xml:space="preserve"> duration</w:t>
      </w:r>
      <w:r w:rsidRPr="00072D93">
        <w:rPr>
          <w:bCs/>
          <w:color w:val="808080" w:themeColor="background1" w:themeShade="80"/>
          <w:lang w:val="en-GB"/>
        </w:rPr>
        <w:t xml:space="preserve"> and how the support </w:t>
      </w:r>
      <w:r w:rsidR="007454E0">
        <w:rPr>
          <w:bCs/>
          <w:color w:val="808080" w:themeColor="background1" w:themeShade="80"/>
          <w:lang w:val="en-GB"/>
        </w:rPr>
        <w:t>that</w:t>
      </w:r>
      <w:r w:rsidRPr="00072D93">
        <w:rPr>
          <w:bCs/>
          <w:color w:val="808080" w:themeColor="background1" w:themeShade="80"/>
          <w:lang w:val="en-GB"/>
        </w:rPr>
        <w:t xml:space="preserve"> you are requesting from Gavi will help you </w:t>
      </w:r>
      <w:r w:rsidR="008E6274">
        <w:rPr>
          <w:bCs/>
          <w:color w:val="808080" w:themeColor="background1" w:themeShade="80"/>
          <w:lang w:val="en-GB"/>
        </w:rPr>
        <w:t>reach your immuni</w:t>
      </w:r>
      <w:r w:rsidR="00FF2C35">
        <w:rPr>
          <w:bCs/>
          <w:color w:val="808080" w:themeColor="background1" w:themeShade="80"/>
          <w:lang w:val="en-GB"/>
        </w:rPr>
        <w:t>s</w:t>
      </w:r>
      <w:r w:rsidR="008E6274">
        <w:rPr>
          <w:bCs/>
          <w:color w:val="808080" w:themeColor="background1" w:themeShade="80"/>
          <w:lang w:val="en-GB"/>
        </w:rPr>
        <w:t xml:space="preserve">ation goals. </w:t>
      </w:r>
      <w:r w:rsidRPr="00072D93">
        <w:rPr>
          <w:bCs/>
          <w:color w:val="808080" w:themeColor="background1" w:themeShade="80"/>
        </w:rPr>
        <w:t xml:space="preserve"> </w:t>
      </w:r>
    </w:p>
    <w:p w:rsidRPr="00072D93" w:rsidR="00056DDF" w:rsidP="00FC4A11" w:rsidRDefault="00056DDF" w14:paraId="6F6CC660" w14:textId="77777777">
      <w:pPr>
        <w:spacing w:line="300" w:lineRule="exact"/>
        <w:rPr>
          <w:bCs/>
          <w:color w:val="808080" w:themeColor="background1" w:themeShade="80"/>
        </w:rPr>
      </w:pPr>
    </w:p>
    <w:p w:rsidRPr="0065351E" w:rsidR="001C1D82" w:rsidP="00056DDF" w:rsidRDefault="00056DDF" w14:paraId="1AB11C18" w14:textId="238BD1D1">
      <w:pPr>
        <w:spacing w:line="300" w:lineRule="exact"/>
        <w:ind w:left="426"/>
        <w:rPr>
          <w:i/>
          <w:color w:val="808080" w:themeColor="background1" w:themeShade="80"/>
          <w:lang w:val="en-GB"/>
        </w:rPr>
      </w:pPr>
      <w:r w:rsidRPr="0065351E">
        <w:rPr>
          <w:i/>
          <w:color w:val="808080" w:themeColor="background1" w:themeShade="80"/>
          <w:lang w:val="en-GB"/>
        </w:rPr>
        <w:t>(Populated by Gavi)</w:t>
      </w:r>
    </w:p>
    <w:tbl>
      <w:tblPr>
        <w:tblStyle w:val="TableGrid"/>
        <w:tblW w:w="9067" w:type="dxa"/>
        <w:shd w:val="clear" w:color="auto" w:fill="FFFFFF" w:themeFill="background1"/>
        <w:tblLook w:val="04A0" w:firstRow="1" w:lastRow="0" w:firstColumn="1" w:lastColumn="0" w:noHBand="0" w:noVBand="1"/>
      </w:tblPr>
      <w:tblGrid>
        <w:gridCol w:w="2185"/>
        <w:gridCol w:w="787"/>
        <w:gridCol w:w="4961"/>
        <w:gridCol w:w="1134"/>
      </w:tblGrid>
      <w:tr w:rsidR="00FB048D" w:rsidTr="004C6B53" w14:paraId="70C3917F" w14:textId="6D7D2D4E">
        <w:tc>
          <w:tcPr>
            <w:tcW w:w="2185" w:type="dxa"/>
            <w:shd w:val="clear" w:color="auto" w:fill="DEEAF6" w:themeFill="accent5" w:themeFillTint="33"/>
          </w:tcPr>
          <w:p w:rsidRPr="00372D1F" w:rsidR="00FB048D" w:rsidP="00FC4A11" w:rsidRDefault="00FB048D" w14:paraId="7BD2C001" w14:textId="20F00943">
            <w:pPr>
              <w:spacing w:line="300" w:lineRule="exact"/>
              <w:rPr>
                <w:b/>
                <w:lang w:val="en-GB"/>
              </w:rPr>
            </w:pPr>
            <w:r w:rsidRPr="00372D1F">
              <w:rPr>
                <w:b/>
                <w:lang w:val="en-GB"/>
              </w:rPr>
              <w:t>Total Envelope</w:t>
            </w:r>
          </w:p>
        </w:tc>
        <w:tc>
          <w:tcPr>
            <w:tcW w:w="5748" w:type="dxa"/>
            <w:gridSpan w:val="2"/>
            <w:shd w:val="clear" w:color="auto" w:fill="DEEAF6" w:themeFill="accent5" w:themeFillTint="33"/>
          </w:tcPr>
          <w:p w:rsidRPr="00372D1F" w:rsidR="00FB048D" w:rsidP="00FC4A11" w:rsidRDefault="00FB048D" w14:paraId="5F1CD927" w14:textId="6426DCE3">
            <w:pPr>
              <w:spacing w:line="300" w:lineRule="exact"/>
              <w:rPr>
                <w:b/>
                <w:lang w:val="en-GB"/>
              </w:rPr>
            </w:pPr>
            <w:r w:rsidRPr="00372D1F">
              <w:rPr>
                <w:b/>
                <w:lang w:val="en-GB"/>
              </w:rPr>
              <w:t>Indicative allocation per 2022-2025</w:t>
            </w:r>
          </w:p>
        </w:tc>
        <w:tc>
          <w:tcPr>
            <w:tcW w:w="1134" w:type="dxa"/>
            <w:shd w:val="clear" w:color="auto" w:fill="DEEAF6" w:themeFill="accent5" w:themeFillTint="33"/>
          </w:tcPr>
          <w:p w:rsidRPr="00372D1F" w:rsidR="00FB048D" w:rsidP="00FC4A11" w:rsidRDefault="00FB048D" w14:paraId="7640021E" w14:textId="0969877A">
            <w:pPr>
              <w:spacing w:line="300" w:lineRule="exact"/>
              <w:rPr>
                <w:b/>
                <w:lang w:val="en-GB"/>
              </w:rPr>
            </w:pPr>
            <w:r>
              <w:rPr>
                <w:b/>
                <w:lang w:val="en-GB"/>
              </w:rPr>
              <w:t>%</w:t>
            </w:r>
          </w:p>
        </w:tc>
      </w:tr>
      <w:tr w:rsidR="009F48DD" w:rsidTr="004C6B53" w14:paraId="150C4E2A" w14:textId="117ACA42">
        <w:tc>
          <w:tcPr>
            <w:tcW w:w="2185" w:type="dxa"/>
            <w:vMerge w:val="restart"/>
            <w:shd w:val="clear" w:color="auto" w:fill="FFFFFF" w:themeFill="background1"/>
          </w:tcPr>
          <w:p w:rsidRPr="009D6E02" w:rsidR="009F48DD" w:rsidP="001117DD" w:rsidRDefault="009F48DD" w14:paraId="731ED098" w14:textId="60FE0551">
            <w:pPr>
              <w:spacing w:line="300" w:lineRule="exact"/>
              <w:rPr>
                <w:color w:val="808080" w:themeColor="background1" w:themeShade="80"/>
                <w:lang w:val="en-GB"/>
              </w:rPr>
            </w:pPr>
            <w:r w:rsidRPr="009D6E02">
              <w:rPr>
                <w:color w:val="808080" w:themeColor="background1" w:themeShade="80"/>
                <w:lang w:val="en-GB"/>
              </w:rPr>
              <w:t>$</w:t>
            </w:r>
            <w:r w:rsidRPr="0049365E">
              <w:rPr>
                <w:color w:val="808080" w:themeColor="background1" w:themeShade="80"/>
                <w:lang w:val="en-GB"/>
              </w:rPr>
              <w:t xml:space="preserve"> 1,080,849</w:t>
            </w:r>
          </w:p>
        </w:tc>
        <w:tc>
          <w:tcPr>
            <w:tcW w:w="787" w:type="dxa"/>
            <w:shd w:val="clear" w:color="auto" w:fill="E2EFD9" w:themeFill="accent6" w:themeFillTint="33"/>
          </w:tcPr>
          <w:p w:rsidRPr="009D6E02" w:rsidR="009F48DD" w:rsidP="00FC4A11" w:rsidRDefault="009F48DD" w14:paraId="7CFDAA42" w14:textId="1406FB5F">
            <w:pPr>
              <w:spacing w:line="300" w:lineRule="exact"/>
              <w:rPr>
                <w:b/>
                <w:lang w:val="en-GB"/>
              </w:rPr>
            </w:pPr>
            <w:r w:rsidRPr="009D6E02">
              <w:rPr>
                <w:b/>
                <w:lang w:val="en-GB"/>
              </w:rPr>
              <w:t>2022</w:t>
            </w:r>
          </w:p>
        </w:tc>
        <w:tc>
          <w:tcPr>
            <w:tcW w:w="4961" w:type="dxa"/>
            <w:shd w:val="clear" w:color="auto" w:fill="E2EFD9" w:themeFill="accent6" w:themeFillTint="33"/>
          </w:tcPr>
          <w:p w:rsidRPr="009D6E02" w:rsidR="009F48DD" w:rsidP="00FC4A11" w:rsidRDefault="009F48DD" w14:paraId="00353A5A" w14:textId="2B826419">
            <w:pPr>
              <w:spacing w:line="300" w:lineRule="exact"/>
              <w:rPr>
                <w:color w:val="808080" w:themeColor="background1" w:themeShade="80"/>
                <w:lang w:val="en-GB"/>
              </w:rPr>
            </w:pPr>
            <w:r w:rsidRPr="009D6E02">
              <w:rPr>
                <w:color w:val="808080" w:themeColor="background1" w:themeShade="80"/>
                <w:lang w:val="en-GB"/>
              </w:rPr>
              <w:t>$ 375,968</w:t>
            </w:r>
          </w:p>
        </w:tc>
        <w:tc>
          <w:tcPr>
            <w:tcW w:w="1134" w:type="dxa"/>
            <w:shd w:val="clear" w:color="auto" w:fill="E2EFD9" w:themeFill="accent6" w:themeFillTint="33"/>
          </w:tcPr>
          <w:p w:rsidR="009F48DD" w:rsidP="00FC4A11" w:rsidRDefault="003E000F" w14:paraId="2EADFDF3" w14:textId="643FA2CF">
            <w:pPr>
              <w:spacing w:line="300" w:lineRule="exact"/>
              <w:rPr>
                <w:bCs/>
                <w:color w:val="808080" w:themeColor="background1" w:themeShade="80"/>
                <w:lang w:val="en-GB"/>
              </w:rPr>
            </w:pPr>
            <w:r>
              <w:rPr>
                <w:bCs/>
                <w:color w:val="808080" w:themeColor="background1" w:themeShade="80"/>
                <w:lang w:val="en-GB"/>
              </w:rPr>
              <w:t>35%</w:t>
            </w:r>
          </w:p>
        </w:tc>
      </w:tr>
      <w:tr w:rsidR="009F48DD" w:rsidTr="009F48DD" w14:paraId="3A3CDB53" w14:textId="7AF48707">
        <w:tc>
          <w:tcPr>
            <w:tcW w:w="2185" w:type="dxa"/>
            <w:vMerge/>
            <w:shd w:val="clear" w:color="auto" w:fill="FFFFFF" w:themeFill="background1"/>
          </w:tcPr>
          <w:p w:rsidRPr="009D6E02" w:rsidR="009F48DD" w:rsidP="00FC4A11" w:rsidRDefault="009F48DD" w14:paraId="0CA26921" w14:textId="77777777">
            <w:pPr>
              <w:spacing w:line="300" w:lineRule="exact"/>
              <w:rPr>
                <w:bCs/>
                <w:color w:val="808080" w:themeColor="background1" w:themeShade="80"/>
                <w:lang w:val="en-GB"/>
              </w:rPr>
            </w:pPr>
          </w:p>
        </w:tc>
        <w:tc>
          <w:tcPr>
            <w:tcW w:w="787" w:type="dxa"/>
            <w:shd w:val="clear" w:color="auto" w:fill="E2EFD9" w:themeFill="accent6" w:themeFillTint="33"/>
          </w:tcPr>
          <w:p w:rsidRPr="009D6E02" w:rsidR="009F48DD" w:rsidP="00FC4A11" w:rsidRDefault="009F48DD" w14:paraId="5CF45603" w14:textId="2F76FA56">
            <w:pPr>
              <w:spacing w:line="300" w:lineRule="exact"/>
              <w:rPr>
                <w:b/>
                <w:lang w:val="en-GB"/>
              </w:rPr>
            </w:pPr>
            <w:r w:rsidRPr="009D6E02">
              <w:rPr>
                <w:b/>
                <w:lang w:val="en-GB"/>
              </w:rPr>
              <w:t>2023</w:t>
            </w:r>
          </w:p>
        </w:tc>
        <w:tc>
          <w:tcPr>
            <w:tcW w:w="4961" w:type="dxa"/>
            <w:shd w:val="clear" w:color="auto" w:fill="E2EFD9" w:themeFill="accent6" w:themeFillTint="33"/>
          </w:tcPr>
          <w:p w:rsidRPr="009D6E02" w:rsidR="009F48DD" w:rsidP="00FC4A11" w:rsidRDefault="009F48DD" w14:paraId="4DA7D255" w14:textId="6E9B3675">
            <w:pPr>
              <w:spacing w:line="300" w:lineRule="exact"/>
              <w:rPr>
                <w:color w:val="808080" w:themeColor="background1" w:themeShade="80"/>
                <w:lang w:val="en-GB"/>
              </w:rPr>
            </w:pPr>
            <w:r w:rsidRPr="009D6E02">
              <w:rPr>
                <w:color w:val="808080" w:themeColor="background1" w:themeShade="80"/>
                <w:lang w:val="en-GB"/>
              </w:rPr>
              <w:t>$ 704,881</w:t>
            </w:r>
          </w:p>
        </w:tc>
        <w:tc>
          <w:tcPr>
            <w:tcW w:w="1134" w:type="dxa"/>
            <w:shd w:val="clear" w:color="auto" w:fill="E2EFD9" w:themeFill="accent6" w:themeFillTint="33"/>
          </w:tcPr>
          <w:p w:rsidR="009F48DD" w:rsidP="00FC4A11" w:rsidRDefault="00FD2CED" w14:paraId="11ED1C8B" w14:textId="2CAA4DFD">
            <w:pPr>
              <w:spacing w:line="300" w:lineRule="exact"/>
              <w:rPr>
                <w:bCs/>
                <w:color w:val="808080" w:themeColor="background1" w:themeShade="80"/>
                <w:lang w:val="en-GB"/>
              </w:rPr>
            </w:pPr>
            <w:r>
              <w:rPr>
                <w:bCs/>
                <w:color w:val="808080" w:themeColor="background1" w:themeShade="80"/>
                <w:lang w:val="en-GB"/>
              </w:rPr>
              <w:t>65%</w:t>
            </w:r>
          </w:p>
        </w:tc>
      </w:tr>
    </w:tbl>
    <w:p w:rsidR="00A47FCF" w:rsidP="00FC4A11" w:rsidRDefault="00A47FCF" w14:paraId="1F6083B3" w14:textId="77777777">
      <w:pPr>
        <w:spacing w:line="300" w:lineRule="exact"/>
        <w:rPr>
          <w:bCs/>
          <w:color w:val="808080" w:themeColor="background1" w:themeShade="80"/>
          <w:lang w:val="en-GB"/>
        </w:rPr>
      </w:pPr>
    </w:p>
    <w:p w:rsidR="00650EB6" w:rsidP="00CE1F57" w:rsidRDefault="00FB7375" w14:paraId="030CF340" w14:textId="34A3E30E">
      <w:pPr>
        <w:pStyle w:val="ListParagraph"/>
        <w:numPr>
          <w:ilvl w:val="0"/>
          <w:numId w:val="4"/>
        </w:numPr>
        <w:spacing w:line="300" w:lineRule="exact"/>
        <w:ind w:left="426"/>
        <w:rPr>
          <w:b/>
          <w:color w:val="84C650"/>
          <w:sz w:val="26"/>
          <w:szCs w:val="26"/>
          <w:lang w:val="en-GB"/>
        </w:rPr>
      </w:pPr>
      <w:r>
        <w:rPr>
          <w:b/>
          <w:color w:val="70AD47" w:themeColor="accent6"/>
          <w:sz w:val="26"/>
          <w:szCs w:val="26"/>
          <w:lang w:val="en-GB"/>
        </w:rPr>
        <w:t>K</w:t>
      </w:r>
      <w:r w:rsidRPr="00FB7375">
        <w:rPr>
          <w:b/>
          <w:color w:val="70AD47" w:themeColor="accent6"/>
          <w:sz w:val="26"/>
          <w:szCs w:val="26"/>
          <w:lang w:val="en-GB"/>
        </w:rPr>
        <w:t xml:space="preserve">ey objectives for the </w:t>
      </w:r>
      <w:r>
        <w:rPr>
          <w:b/>
          <w:color w:val="70AD47" w:themeColor="accent6"/>
          <w:sz w:val="26"/>
          <w:szCs w:val="26"/>
          <w:lang w:val="en-GB"/>
        </w:rPr>
        <w:t>EPI</w:t>
      </w:r>
      <w:r w:rsidRPr="00FB7375">
        <w:rPr>
          <w:b/>
          <w:color w:val="70AD47" w:themeColor="accent6"/>
          <w:sz w:val="26"/>
          <w:szCs w:val="26"/>
          <w:lang w:val="en-GB"/>
        </w:rPr>
        <w:t xml:space="preserve"> program and known gaps/bottlenecks </w:t>
      </w:r>
      <w:r w:rsidR="00650EB6">
        <w:rPr>
          <w:b/>
          <w:color w:val="70AD47" w:themeColor="accent6"/>
          <w:sz w:val="26"/>
          <w:szCs w:val="26"/>
          <w:lang w:val="en-GB"/>
        </w:rPr>
        <w:t>(0.5 page)</w:t>
      </w:r>
    </w:p>
    <w:p w:rsidR="000E69CF" w:rsidP="00FC4A11" w:rsidRDefault="000E69CF" w14:paraId="52D793FC" w14:textId="77777777">
      <w:pPr>
        <w:spacing w:line="300" w:lineRule="exact"/>
        <w:rPr>
          <w:bCs/>
          <w:color w:val="808080" w:themeColor="background1" w:themeShade="80"/>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650EB6" w:rsidTr="00294171" w14:paraId="4DE8D376" w14:textId="77777777">
        <w:tc>
          <w:tcPr>
            <w:tcW w:w="9192" w:type="dxa"/>
            <w:tcBorders>
              <w:bottom w:val="single" w:color="auto" w:sz="6" w:space="0"/>
            </w:tcBorders>
            <w:shd w:val="clear" w:color="auto" w:fill="F2F2F2" w:themeFill="background1" w:themeFillShade="F2"/>
          </w:tcPr>
          <w:p w:rsidRPr="00650EB6" w:rsidR="00650EB6" w:rsidP="00871FCF" w:rsidRDefault="00650EB6" w14:paraId="7976640A" w14:textId="70A33093">
            <w:pPr>
              <w:spacing w:line="300" w:lineRule="exact"/>
              <w:rPr>
                <w:b/>
                <w:i/>
                <w:iCs/>
                <w:color w:val="000000" w:themeColor="text1"/>
                <w:sz w:val="20"/>
                <w:szCs w:val="20"/>
                <w:lang w:val="en-GB"/>
              </w:rPr>
            </w:pPr>
            <w:r>
              <w:rPr>
                <w:b/>
                <w:bCs/>
                <w:i/>
                <w:iCs/>
                <w:color w:val="000000" w:themeColor="text1"/>
                <w:sz w:val="20"/>
                <w:szCs w:val="20"/>
                <w:lang w:val="en-GB"/>
              </w:rPr>
              <w:t xml:space="preserve">1.1 </w:t>
            </w:r>
            <w:r w:rsidRPr="008C7464">
              <w:rPr>
                <w:b/>
                <w:bCs/>
                <w:i/>
                <w:iCs/>
                <w:sz w:val="20"/>
                <w:szCs w:val="20"/>
              </w:rPr>
              <w:t xml:space="preserve">Please note any country context that </w:t>
            </w:r>
            <w:r w:rsidR="00483273">
              <w:rPr>
                <w:b/>
                <w:bCs/>
                <w:i/>
                <w:iCs/>
                <w:sz w:val="20"/>
                <w:szCs w:val="20"/>
              </w:rPr>
              <w:t>is</w:t>
            </w:r>
            <w:r w:rsidRPr="008C7464">
              <w:rPr>
                <w:b/>
                <w:bCs/>
                <w:i/>
                <w:iCs/>
                <w:sz w:val="20"/>
                <w:szCs w:val="20"/>
              </w:rPr>
              <w:t xml:space="preserve"> significant to understanding the country</w:t>
            </w:r>
            <w:r w:rsidR="00483273">
              <w:rPr>
                <w:b/>
                <w:bCs/>
                <w:i/>
                <w:iCs/>
                <w:sz w:val="20"/>
                <w:szCs w:val="20"/>
              </w:rPr>
              <w:t>'s</w:t>
            </w:r>
            <w:r w:rsidRPr="008C7464">
              <w:rPr>
                <w:b/>
                <w:bCs/>
                <w:i/>
                <w:iCs/>
                <w:sz w:val="20"/>
                <w:szCs w:val="20"/>
              </w:rPr>
              <w:t xml:space="preserve"> vision and request for Gavi TCA support. What specific effects do these factors have on the national immunisation programme</w:t>
            </w:r>
            <w:r w:rsidR="003036DC">
              <w:rPr>
                <w:b/>
                <w:bCs/>
                <w:i/>
                <w:iCs/>
                <w:sz w:val="20"/>
                <w:szCs w:val="20"/>
              </w:rPr>
              <w:t>?</w:t>
            </w:r>
          </w:p>
        </w:tc>
      </w:tr>
      <w:tr w:rsidR="00650EB6" w:rsidTr="00294171" w14:paraId="79578C2F" w14:textId="77777777">
        <w:tc>
          <w:tcPr>
            <w:tcW w:w="9192" w:type="dxa"/>
            <w:tcBorders>
              <w:top w:val="single" w:color="auto" w:sz="6" w:space="0"/>
              <w:left w:val="single" w:color="auto" w:sz="6" w:space="0"/>
              <w:bottom w:val="single" w:color="auto" w:sz="6" w:space="0"/>
              <w:right w:val="single" w:color="auto" w:sz="6" w:space="0"/>
            </w:tcBorders>
          </w:tcPr>
          <w:p w:rsidRPr="00453F92" w:rsidR="005F6264" w:rsidP="00A074FF" w:rsidRDefault="005F6264" w14:paraId="1282566F" w14:textId="5EA2147E">
            <w:pPr>
              <w:spacing w:line="300" w:lineRule="exact"/>
              <w:jc w:val="both"/>
              <w:rPr>
                <w:color w:val="000000" w:themeColor="text1"/>
                <w:lang w:val="en-GB"/>
              </w:rPr>
            </w:pPr>
            <w:r w:rsidRPr="005F6264">
              <w:rPr>
                <w:color w:val="92D050"/>
                <w:lang w:val="en-GB"/>
              </w:rPr>
              <w:t>I</w:t>
            </w:r>
            <w:r w:rsidRPr="00453F92">
              <w:rPr>
                <w:color w:val="000000" w:themeColor="text1"/>
                <w:lang w:val="en-GB"/>
              </w:rPr>
              <w:t xml:space="preserve">mmunization services are a cost-effective public health measure for child survival and the entire population health and wellbeing as envisioned in the National Development Strategy 1 [2021-2025]. The critical role of vaccines in preventing, responding to and controlling disruptive pandemics has become more evident here in Zimbabwe and beyond our borders. </w:t>
            </w:r>
          </w:p>
          <w:p w:rsidRPr="00453F92" w:rsidR="005F6264" w:rsidP="005F6264" w:rsidRDefault="005F6264" w14:paraId="2D3AA45C" w14:textId="77777777">
            <w:pPr>
              <w:spacing w:line="300" w:lineRule="exact"/>
              <w:rPr>
                <w:color w:val="000000" w:themeColor="text1"/>
                <w:lang w:val="en-GB"/>
              </w:rPr>
            </w:pPr>
          </w:p>
          <w:p w:rsidRPr="00453F92" w:rsidR="00452761" w:rsidP="00A074FF" w:rsidRDefault="005F6264" w14:paraId="5FC2D1D9" w14:textId="012542C8">
            <w:pPr>
              <w:spacing w:line="300" w:lineRule="exact"/>
              <w:jc w:val="both"/>
              <w:rPr>
                <w:color w:val="000000" w:themeColor="text1"/>
                <w:lang w:val="en-GB"/>
              </w:rPr>
            </w:pPr>
            <w:r w:rsidRPr="00453F92">
              <w:rPr>
                <w:color w:val="000000" w:themeColor="text1"/>
                <w:lang w:val="en-GB"/>
              </w:rPr>
              <w:t>The</w:t>
            </w:r>
            <w:r w:rsidRPr="00453F92" w:rsidR="00CF44A0">
              <w:rPr>
                <w:color w:val="000000" w:themeColor="text1"/>
                <w:lang w:val="en-GB"/>
              </w:rPr>
              <w:t xml:space="preserve"> country has </w:t>
            </w:r>
            <w:proofErr w:type="spellStart"/>
            <w:r w:rsidRPr="00453F92" w:rsidR="00CF44A0">
              <w:rPr>
                <w:color w:val="000000" w:themeColor="text1"/>
                <w:lang w:val="en-GB"/>
              </w:rPr>
              <w:t>witnesse</w:t>
            </w:r>
            <w:proofErr w:type="spellEnd"/>
            <w:r w:rsidRPr="00453F92" w:rsidR="00CF44A0">
              <w:rPr>
                <w:color w:val="000000" w:themeColor="text1"/>
                <w:lang w:val="en-GB"/>
              </w:rPr>
              <w:t xml:space="preserve"> a</w:t>
            </w:r>
            <w:r w:rsidRPr="00453F92">
              <w:rPr>
                <w:color w:val="000000" w:themeColor="text1"/>
                <w:lang w:val="en-GB"/>
              </w:rPr>
              <w:t xml:space="preserve"> stagnation of routine immunisation coverage </w:t>
            </w:r>
            <w:r w:rsidRPr="00453F92" w:rsidR="00CF44A0">
              <w:rPr>
                <w:color w:val="000000" w:themeColor="text1"/>
                <w:lang w:val="en-GB"/>
              </w:rPr>
              <w:t>between</w:t>
            </w:r>
            <w:r w:rsidRPr="00453F92">
              <w:rPr>
                <w:color w:val="000000" w:themeColor="text1"/>
                <w:lang w:val="en-GB"/>
              </w:rPr>
              <w:t xml:space="preserve"> 2016 and </w:t>
            </w:r>
            <w:proofErr w:type="spellStart"/>
            <w:r w:rsidRPr="00453F92" w:rsidR="00CF44A0">
              <w:rPr>
                <w:color w:val="000000" w:themeColor="text1"/>
                <w:lang w:val="en-GB"/>
              </w:rPr>
              <w:t>and</w:t>
            </w:r>
            <w:proofErr w:type="spellEnd"/>
            <w:r w:rsidRPr="00453F92" w:rsidR="00CF44A0">
              <w:rPr>
                <w:color w:val="000000" w:themeColor="text1"/>
                <w:lang w:val="en-GB"/>
              </w:rPr>
              <w:t xml:space="preserve"> 2019, and a decline of immunization coverage in 2020 and 2021. For the latter two years, the country was not spared by the Covid-19 pandemic that carried the limelight and divert resources to controlling the pandemic and thereby affecting other health delivery services including immunization. </w:t>
            </w:r>
            <w:r w:rsidRPr="00453F92" w:rsidR="00452761">
              <w:rPr>
                <w:color w:val="000000" w:themeColor="text1"/>
                <w:lang w:val="en-GB"/>
              </w:rPr>
              <w:t xml:space="preserve">The national immunisation coverage of 86% in 2020 implies that about 66655 children are unimmunized in Zimbabwe. Administrative coverage indicates that 12/63 of the districts  have Penta 3 coverage &lt;80% , 10/63 districts have MR1 coverage &gt;95%, while 2/63 districts have MR2 coverage &gt; 95%. Results of MICS, CEA, PCS for  2019 MR campaign revealed inequities in vaccination access and supply issues. Service delivery issues account for the main reasons why eligible children are not immunized in Zimbabwe. Service delivery issues include weak planning and implementation of the RED/REC strategy, failure to service all planned outreach and vaccination sessions, inconvenient timing, and location of immunization sessions, amongst other reasons, resulting in low utilization of services. Additionally, primary health care infrastructure is weak and there are many missed opportunities for vaccination due to poor planning and limited integration of routine immunization services with other maternal, </w:t>
            </w:r>
            <w:proofErr w:type="spellStart"/>
            <w:r w:rsidRPr="00453F92" w:rsidR="00452761">
              <w:rPr>
                <w:color w:val="000000" w:themeColor="text1"/>
                <w:lang w:val="en-GB"/>
              </w:rPr>
              <w:t>newborn</w:t>
            </w:r>
            <w:proofErr w:type="spellEnd"/>
            <w:r w:rsidRPr="00453F92" w:rsidR="00452761">
              <w:rPr>
                <w:color w:val="000000" w:themeColor="text1"/>
                <w:lang w:val="en-GB"/>
              </w:rPr>
              <w:t xml:space="preserve"> and child health services.</w:t>
            </w:r>
          </w:p>
          <w:p w:rsidRPr="00453F92" w:rsidR="00452761" w:rsidP="00A074FF" w:rsidRDefault="00452761" w14:paraId="296E7BF1" w14:textId="77777777">
            <w:pPr>
              <w:spacing w:line="300" w:lineRule="exact"/>
              <w:jc w:val="both"/>
              <w:rPr>
                <w:color w:val="000000" w:themeColor="text1"/>
                <w:lang w:val="en-GB"/>
              </w:rPr>
            </w:pPr>
          </w:p>
          <w:p w:rsidRPr="00453F92" w:rsidR="00D505C5" w:rsidP="00A074FF" w:rsidRDefault="009C17B0" w14:paraId="00D64985" w14:textId="1E22D72E">
            <w:pPr>
              <w:spacing w:line="300" w:lineRule="exact"/>
              <w:jc w:val="both"/>
              <w:rPr>
                <w:color w:val="000000" w:themeColor="text1"/>
                <w:lang w:val="en-GB"/>
              </w:rPr>
            </w:pPr>
            <w:r w:rsidRPr="00453F92">
              <w:rPr>
                <w:color w:val="000000" w:themeColor="text1"/>
                <w:lang w:val="en-GB"/>
              </w:rPr>
              <w:lastRenderedPageBreak/>
              <w:t>The country is currently in the middle of a measles outbreak in one of the provinces and response activities are taking place. Meanwhile the country has been approved for a measles campaign scheduled to take place in September 2022</w:t>
            </w:r>
            <w:r w:rsidRPr="00453F92" w:rsidR="00744BFB">
              <w:rPr>
                <w:color w:val="000000" w:themeColor="text1"/>
                <w:lang w:val="en-GB"/>
              </w:rPr>
              <w:t xml:space="preserve">. However, in view of the prevailing situation, the country planning to bring forward the </w:t>
            </w:r>
            <w:proofErr w:type="spellStart"/>
            <w:r w:rsidRPr="00453F92" w:rsidR="00744BFB">
              <w:rPr>
                <w:color w:val="000000" w:themeColor="text1"/>
                <w:lang w:val="en-GB"/>
              </w:rPr>
              <w:t>to</w:t>
            </w:r>
            <w:proofErr w:type="spellEnd"/>
            <w:r w:rsidRPr="00453F92" w:rsidR="00744BFB">
              <w:rPr>
                <w:color w:val="000000" w:themeColor="text1"/>
                <w:lang w:val="en-GB"/>
              </w:rPr>
              <w:t xml:space="preserve"> sometime in June or July 2022 to avert a potential countrywide measles outbreak.</w:t>
            </w:r>
            <w:r w:rsidRPr="00453F92" w:rsidR="00D505C5">
              <w:rPr>
                <w:color w:val="000000" w:themeColor="text1"/>
                <w:lang w:val="en-GB"/>
              </w:rPr>
              <w:t xml:space="preserve"> The Measles 1 vaccination coverage has declined from 92% in 2015 to </w:t>
            </w:r>
            <w:r w:rsidRPr="00453F92" w:rsidR="00924B55">
              <w:rPr>
                <w:color w:val="000000" w:themeColor="text1"/>
                <w:lang w:val="en-GB"/>
              </w:rPr>
              <w:t xml:space="preserve">70% </w:t>
            </w:r>
            <w:r w:rsidRPr="00453F92" w:rsidR="00D505C5">
              <w:rPr>
                <w:color w:val="000000" w:themeColor="text1"/>
                <w:lang w:val="en-GB"/>
              </w:rPr>
              <w:t xml:space="preserve">in 2021. </w:t>
            </w:r>
            <w:proofErr w:type="spellStart"/>
            <w:r w:rsidRPr="00453F92" w:rsidR="00D505C5">
              <w:rPr>
                <w:color w:val="000000" w:themeColor="text1"/>
                <w:lang w:val="en-GB"/>
              </w:rPr>
              <w:t>Poilio</w:t>
            </w:r>
            <w:proofErr w:type="spellEnd"/>
            <w:r w:rsidRPr="00453F92" w:rsidR="00D505C5">
              <w:rPr>
                <w:color w:val="000000" w:themeColor="text1"/>
                <w:lang w:val="en-GB"/>
              </w:rPr>
              <w:t xml:space="preserve"> outbreaks in Malawi (January 2022) and Mozambique district </w:t>
            </w:r>
            <w:proofErr w:type="spellStart"/>
            <w:r w:rsidRPr="00453F92" w:rsidR="00D505C5">
              <w:rPr>
                <w:color w:val="000000" w:themeColor="text1"/>
                <w:lang w:val="en-GB"/>
              </w:rPr>
              <w:t>boardering</w:t>
            </w:r>
            <w:proofErr w:type="spellEnd"/>
            <w:r w:rsidRPr="00453F92" w:rsidR="00D505C5">
              <w:rPr>
                <w:color w:val="000000" w:themeColor="text1"/>
                <w:lang w:val="en-GB"/>
              </w:rPr>
              <w:t xml:space="preserve"> Zimbabwe (May 2022) pose a serious threat to the country. Zimbabwe has been recommended to participate in the regional initiatives to contain the outbreak </w:t>
            </w:r>
            <w:r w:rsidRPr="00453F92" w:rsidR="00557AFC">
              <w:rPr>
                <w:color w:val="000000" w:themeColor="text1"/>
                <w:lang w:val="en-GB"/>
              </w:rPr>
              <w:t>a</w:t>
            </w:r>
            <w:r w:rsidRPr="00453F92" w:rsidR="00D505C5">
              <w:rPr>
                <w:color w:val="000000" w:themeColor="text1"/>
                <w:lang w:val="en-GB"/>
              </w:rPr>
              <w:t>by con</w:t>
            </w:r>
            <w:r w:rsidRPr="00453F92" w:rsidR="000E33B1">
              <w:rPr>
                <w:color w:val="000000" w:themeColor="text1"/>
                <w:lang w:val="en-GB"/>
              </w:rPr>
              <w:t>du</w:t>
            </w:r>
            <w:r w:rsidRPr="00453F92" w:rsidR="00D505C5">
              <w:rPr>
                <w:color w:val="000000" w:themeColor="text1"/>
                <w:lang w:val="en-GB"/>
              </w:rPr>
              <w:t>cting a polio vaccination campaign targeting all children under 5 years old and also enhancing AFP surveillance activities.</w:t>
            </w:r>
            <w:r w:rsidRPr="00453F92" w:rsidR="000954E4">
              <w:rPr>
                <w:color w:val="000000" w:themeColor="text1"/>
                <w:lang w:val="en-GB"/>
              </w:rPr>
              <w:t xml:space="preserve"> Meanwhile MOHCC and partners will continue monitoring the situation and ensuring implementation of immunisation services.</w:t>
            </w:r>
          </w:p>
          <w:p w:rsidRPr="00453F92" w:rsidR="00D505C5" w:rsidP="00A074FF" w:rsidRDefault="00D505C5" w14:paraId="1EBA2652" w14:textId="77777777">
            <w:pPr>
              <w:spacing w:line="300" w:lineRule="exact"/>
              <w:jc w:val="both"/>
              <w:rPr>
                <w:color w:val="000000" w:themeColor="text1"/>
                <w:lang w:val="en-GB"/>
              </w:rPr>
            </w:pPr>
          </w:p>
          <w:p w:rsidRPr="00453F92" w:rsidR="005F6264" w:rsidP="00A074FF" w:rsidRDefault="00557AFC" w14:paraId="3DC03490" w14:textId="14BA5649">
            <w:pPr>
              <w:spacing w:line="300" w:lineRule="exact"/>
              <w:jc w:val="both"/>
              <w:rPr>
                <w:color w:val="000000" w:themeColor="text1"/>
                <w:lang w:val="en-GB"/>
              </w:rPr>
            </w:pPr>
            <w:r w:rsidRPr="00453F92">
              <w:rPr>
                <w:color w:val="000000" w:themeColor="text1"/>
                <w:lang w:val="en-GB"/>
              </w:rPr>
              <w:t>Besides the declining vaccination cover</w:t>
            </w:r>
            <w:r w:rsidRPr="00453F92" w:rsidR="000954E4">
              <w:rPr>
                <w:color w:val="000000" w:themeColor="text1"/>
                <w:lang w:val="en-GB"/>
              </w:rPr>
              <w:t>a</w:t>
            </w:r>
            <w:r w:rsidRPr="00453F92">
              <w:rPr>
                <w:color w:val="000000" w:themeColor="text1"/>
                <w:lang w:val="en-GB"/>
              </w:rPr>
              <w:t xml:space="preserve">ge and the prevailing Covid-19 situation, the country is also faced with declining purchasing power. The country’s inflation rose from 74% in march 2022 to 96% in April 2022 </w:t>
            </w:r>
            <w:proofErr w:type="spellStart"/>
            <w:r w:rsidRPr="00453F92">
              <w:rPr>
                <w:color w:val="000000" w:themeColor="text1"/>
                <w:lang w:val="en-GB"/>
              </w:rPr>
              <w:t>afecting</w:t>
            </w:r>
            <w:proofErr w:type="spellEnd"/>
            <w:r w:rsidRPr="00453F92">
              <w:rPr>
                <w:color w:val="000000" w:themeColor="text1"/>
                <w:lang w:val="en-GB"/>
              </w:rPr>
              <w:t xml:space="preserve"> the consumer buying power. This has an effect of care givers prioritizing income generating activities over seeking health services. </w:t>
            </w:r>
            <w:r w:rsidRPr="00453F92" w:rsidR="005F6264">
              <w:rPr>
                <w:color w:val="000000" w:themeColor="text1"/>
                <w:lang w:val="en-GB"/>
              </w:rPr>
              <w:t xml:space="preserve">o avert outbreaks and re-emergence of these diseases, </w:t>
            </w:r>
          </w:p>
          <w:p w:rsidRPr="00453F92" w:rsidR="005F6264" w:rsidP="005F6264" w:rsidRDefault="005F6264" w14:paraId="11AD5BAC" w14:textId="77777777">
            <w:pPr>
              <w:spacing w:line="300" w:lineRule="exact"/>
              <w:rPr>
                <w:color w:val="000000" w:themeColor="text1"/>
                <w:lang w:val="en-GB"/>
              </w:rPr>
            </w:pPr>
          </w:p>
          <w:p w:rsidRPr="00453F92" w:rsidR="005F6264" w:rsidP="00A074FF" w:rsidRDefault="005F6264" w14:paraId="321DB22B" w14:textId="2CF03494">
            <w:pPr>
              <w:spacing w:line="300" w:lineRule="exact"/>
              <w:jc w:val="both"/>
              <w:rPr>
                <w:color w:val="000000" w:themeColor="text1"/>
                <w:lang w:val="en-GB"/>
              </w:rPr>
            </w:pPr>
            <w:r w:rsidRPr="00453F92">
              <w:rPr>
                <w:color w:val="000000" w:themeColor="text1"/>
                <w:lang w:val="en-GB"/>
              </w:rPr>
              <w:t xml:space="preserve">Immunization service delivery improvement requires the implementation of multi-faceted approaches that will improve the availability and quality of immunization. Although strategies to improve immunization service delivery will be tailored to suit different geographical contexts to ensure the attainment of the programmatic milestones, some cross-cutting strategies apply to all communities due to the need to routinize specific activities. These include optimal micro-planning and high-quality supportive supervision, integrated immunization services, innovative strategies </w:t>
            </w:r>
            <w:proofErr w:type="spellStart"/>
            <w:r w:rsidRPr="00453F92">
              <w:rPr>
                <w:color w:val="000000" w:themeColor="text1"/>
                <w:lang w:val="en-GB"/>
              </w:rPr>
              <w:t>i.e</w:t>
            </w:r>
            <w:proofErr w:type="spellEnd"/>
            <w:r w:rsidRPr="00453F92">
              <w:rPr>
                <w:color w:val="000000" w:themeColor="text1"/>
                <w:lang w:val="en-GB"/>
              </w:rPr>
              <w:t xml:space="preserve"> MVMH, RED/REC approach and urban immunization. Inadequate community involvement strategies such as the use of community-based organization, special populations as the disabled and key populations amongst others. Service delivery interventions will be prioritized based on interpretation of data. Continuous assessment of health facilities adequacy will guide the revitalization strategy supporting the prioritization and balance of the various strategic approaches. </w:t>
            </w:r>
          </w:p>
          <w:p w:rsidRPr="00453F92" w:rsidR="00452761" w:rsidP="00A074FF" w:rsidRDefault="00452761" w14:paraId="161DEADC" w14:textId="77777777">
            <w:pPr>
              <w:spacing w:line="300" w:lineRule="exact"/>
              <w:jc w:val="both"/>
              <w:rPr>
                <w:color w:val="000000" w:themeColor="text1"/>
                <w:lang w:val="en-GB"/>
              </w:rPr>
            </w:pPr>
          </w:p>
          <w:p w:rsidRPr="00453F92" w:rsidR="005F6264" w:rsidP="005F6264" w:rsidRDefault="005F6264" w14:paraId="3848E5CD" w14:textId="77777777">
            <w:pPr>
              <w:spacing w:line="300" w:lineRule="exact"/>
              <w:jc w:val="both"/>
              <w:rPr>
                <w:color w:val="000000" w:themeColor="text1"/>
                <w:lang w:val="en-GB"/>
              </w:rPr>
            </w:pPr>
            <w:r w:rsidRPr="00453F92">
              <w:rPr>
                <w:color w:val="000000" w:themeColor="text1"/>
                <w:lang w:val="en-GB"/>
              </w:rPr>
              <w:t xml:space="preserve">Active engagement of low performing  districts in fine tuning and adapting proposed intensification strategies is key to their successful implementation in driving ownership and commitment. District involvement will ensure that peculiarities and contextual factors in each district are taken into consideration. The Ministry of Health  in collaboration with supporting partners have prioritized the following key focus areas to fast-track improvements in service delivery: </w:t>
            </w:r>
          </w:p>
          <w:p w:rsidRPr="00453F92" w:rsidR="00F97F07" w:rsidP="0020212E" w:rsidRDefault="005F6264" w14:paraId="6F272BD4" w14:textId="2818AB4A">
            <w:pPr>
              <w:pStyle w:val="ListParagraph"/>
              <w:numPr>
                <w:ilvl w:val="0"/>
                <w:numId w:val="7"/>
              </w:numPr>
              <w:spacing w:line="300" w:lineRule="exact"/>
              <w:rPr>
                <w:color w:val="000000" w:themeColor="text1"/>
                <w:lang w:val="en-GB"/>
              </w:rPr>
            </w:pPr>
            <w:r w:rsidRPr="00453F92">
              <w:rPr>
                <w:color w:val="000000" w:themeColor="text1"/>
                <w:lang w:val="en-GB"/>
              </w:rPr>
              <w:t>Implement zero dose strategy</w:t>
            </w:r>
          </w:p>
          <w:p w:rsidRPr="00453F92" w:rsidR="00F97F07" w:rsidP="00FC563C" w:rsidRDefault="005F6264" w14:paraId="5FD6EDB7" w14:textId="77777777">
            <w:pPr>
              <w:pStyle w:val="ListParagraph"/>
              <w:numPr>
                <w:ilvl w:val="0"/>
                <w:numId w:val="7"/>
              </w:numPr>
              <w:spacing w:line="300" w:lineRule="exact"/>
              <w:rPr>
                <w:color w:val="000000" w:themeColor="text1"/>
                <w:lang w:val="en-GB"/>
              </w:rPr>
            </w:pPr>
            <w:r w:rsidRPr="00453F92">
              <w:rPr>
                <w:color w:val="000000" w:themeColor="text1"/>
                <w:lang w:val="en-GB"/>
              </w:rPr>
              <w:t xml:space="preserve">Address missed opportunities for vaccination </w:t>
            </w:r>
          </w:p>
          <w:p w:rsidRPr="00453F92" w:rsidR="00F97F07" w:rsidP="0035336E" w:rsidRDefault="005F6264" w14:paraId="78EF6BE1" w14:textId="77777777">
            <w:pPr>
              <w:pStyle w:val="ListParagraph"/>
              <w:numPr>
                <w:ilvl w:val="0"/>
                <w:numId w:val="7"/>
              </w:numPr>
              <w:spacing w:line="300" w:lineRule="exact"/>
              <w:rPr>
                <w:color w:val="000000" w:themeColor="text1"/>
                <w:lang w:val="en-GB"/>
              </w:rPr>
            </w:pPr>
            <w:r w:rsidRPr="00453F92">
              <w:rPr>
                <w:color w:val="000000" w:themeColor="text1"/>
                <w:lang w:val="en-GB"/>
              </w:rPr>
              <w:t>Optimization of the RED/REC approach in all districts</w:t>
            </w:r>
          </w:p>
          <w:p w:rsidRPr="00453F92" w:rsidR="00F97F07" w:rsidP="005F6264" w:rsidRDefault="005F6264" w14:paraId="006DC1BF" w14:textId="77777777">
            <w:pPr>
              <w:pStyle w:val="ListParagraph"/>
              <w:numPr>
                <w:ilvl w:val="0"/>
                <w:numId w:val="7"/>
              </w:numPr>
              <w:spacing w:line="300" w:lineRule="exact"/>
              <w:rPr>
                <w:color w:val="000000" w:themeColor="text1"/>
                <w:lang w:val="en-GB"/>
              </w:rPr>
            </w:pPr>
            <w:r w:rsidRPr="00453F92">
              <w:rPr>
                <w:color w:val="000000" w:themeColor="text1"/>
                <w:lang w:val="en-GB"/>
              </w:rPr>
              <w:t xml:space="preserve">Strengthen implementation of Urban Immunization </w:t>
            </w:r>
          </w:p>
          <w:p w:rsidRPr="00453F92" w:rsidR="00F97F07" w:rsidP="00F97F07" w:rsidRDefault="005F6264" w14:paraId="7CDA6756" w14:textId="77777777">
            <w:pPr>
              <w:pStyle w:val="ListParagraph"/>
              <w:numPr>
                <w:ilvl w:val="0"/>
                <w:numId w:val="7"/>
              </w:numPr>
              <w:spacing w:line="300" w:lineRule="exact"/>
              <w:rPr>
                <w:color w:val="000000" w:themeColor="text1"/>
                <w:lang w:val="en-GB"/>
              </w:rPr>
            </w:pPr>
            <w:r w:rsidRPr="00453F92">
              <w:rPr>
                <w:color w:val="000000" w:themeColor="text1"/>
                <w:lang w:val="en-GB"/>
              </w:rPr>
              <w:t xml:space="preserve">Strengthen </w:t>
            </w:r>
            <w:r w:rsidRPr="00453F92" w:rsidR="00F97F07">
              <w:rPr>
                <w:color w:val="000000" w:themeColor="text1"/>
                <w:lang w:val="en-GB"/>
              </w:rPr>
              <w:t>and sustain o</w:t>
            </w:r>
            <w:r w:rsidRPr="00453F92">
              <w:rPr>
                <w:color w:val="000000" w:themeColor="text1"/>
                <w:lang w:val="en-GB"/>
              </w:rPr>
              <w:t>utreach services</w:t>
            </w:r>
          </w:p>
          <w:p w:rsidRPr="00453F92" w:rsidR="00F97F07" w:rsidP="00F97F07" w:rsidRDefault="00F97F07" w14:paraId="5760F92B" w14:textId="77777777">
            <w:pPr>
              <w:pStyle w:val="ListParagraph"/>
              <w:numPr>
                <w:ilvl w:val="0"/>
                <w:numId w:val="7"/>
              </w:numPr>
              <w:spacing w:line="300" w:lineRule="exact"/>
              <w:rPr>
                <w:color w:val="000000" w:themeColor="text1"/>
                <w:lang w:val="en-GB"/>
              </w:rPr>
            </w:pPr>
            <w:r w:rsidRPr="00453F92">
              <w:rPr>
                <w:color w:val="000000" w:themeColor="text1"/>
                <w:lang w:val="en-GB"/>
              </w:rPr>
              <w:t>Improve vaccine supply chain</w:t>
            </w:r>
          </w:p>
          <w:p w:rsidRPr="00453F92" w:rsidR="00604DAC" w:rsidP="00604DAC" w:rsidRDefault="00604DAC" w14:paraId="3334716F" w14:textId="77777777">
            <w:pPr>
              <w:spacing w:line="300" w:lineRule="exact"/>
              <w:rPr>
                <w:color w:val="000000" w:themeColor="text1"/>
                <w:lang w:val="en-GB"/>
              </w:rPr>
            </w:pPr>
          </w:p>
          <w:p w:rsidRPr="00453F92" w:rsidR="00604DAC" w:rsidP="00604DAC" w:rsidRDefault="00604DAC" w14:paraId="752A1996" w14:textId="3A06D55F">
            <w:pPr>
              <w:spacing w:line="300" w:lineRule="exact"/>
              <w:rPr>
                <w:color w:val="000000" w:themeColor="text1"/>
                <w:lang w:val="en-GB"/>
              </w:rPr>
            </w:pPr>
            <w:r w:rsidRPr="00453F92">
              <w:rPr>
                <w:color w:val="000000" w:themeColor="text1"/>
                <w:lang w:val="en-GB"/>
              </w:rPr>
              <w:lastRenderedPageBreak/>
              <w:t xml:space="preserve">Despite relatively high immunization coverage in Zimbabwe, low- performing areas  report high concentrations of unvaccinated children . The challenge of under vaccinated and zero -dose population groups by social determinants of vaccination are mostly  in rural areas, urban slums . Vaccine hesitancy due to religious beliefs of immunization still persists in some provinces as evidenced by the most recent measles outbreak in Manicaland.  The main  challenges that have been identified in surveys and assessments are vaccine hesitancy, inadequate engagement of CSOs/CBO, private sector, vaccine hesitant communities for immunisation, inadequate capacitation of frontline workers for IPC, limited interpersonal communication engagement of parents and </w:t>
            </w:r>
            <w:proofErr w:type="spellStart"/>
            <w:r w:rsidRPr="00453F92">
              <w:rPr>
                <w:color w:val="000000" w:themeColor="text1"/>
                <w:lang w:val="en-GB"/>
              </w:rPr>
              <w:t>craegivers</w:t>
            </w:r>
            <w:proofErr w:type="spellEnd"/>
            <w:r w:rsidRPr="00453F92">
              <w:rPr>
                <w:color w:val="000000" w:themeColor="text1"/>
                <w:lang w:val="en-GB"/>
              </w:rPr>
              <w:t xml:space="preserve">, and suboptimal use of community feedback platforms and social listening platforms to track and address </w:t>
            </w:r>
            <w:proofErr w:type="spellStart"/>
            <w:r w:rsidRPr="00453F92">
              <w:rPr>
                <w:color w:val="000000" w:themeColor="text1"/>
                <w:lang w:val="en-GB"/>
              </w:rPr>
              <w:t>rumors</w:t>
            </w:r>
            <w:proofErr w:type="spellEnd"/>
            <w:r w:rsidRPr="00453F92">
              <w:rPr>
                <w:color w:val="000000" w:themeColor="text1"/>
                <w:lang w:val="en-GB"/>
              </w:rPr>
              <w:t>. The Ministry of Health and partners will  focus on  increasing engagement of  communities and generating demand is critical to ensure that zero-dose, underimmunised children and missed communities are reached.</w:t>
            </w:r>
          </w:p>
          <w:p w:rsidRPr="00453F92" w:rsidR="00604DAC" w:rsidP="003C1181" w:rsidRDefault="00604DAC" w14:paraId="6B247CE3" w14:textId="080B32EF">
            <w:pPr>
              <w:pStyle w:val="ListParagraph"/>
              <w:numPr>
                <w:ilvl w:val="0"/>
                <w:numId w:val="7"/>
              </w:numPr>
              <w:spacing w:line="300" w:lineRule="exact"/>
              <w:rPr>
                <w:color w:val="000000" w:themeColor="text1"/>
                <w:lang w:val="en-GB"/>
              </w:rPr>
            </w:pPr>
            <w:r w:rsidRPr="00453F92">
              <w:rPr>
                <w:color w:val="000000" w:themeColor="text1"/>
                <w:lang w:val="en-GB"/>
              </w:rPr>
              <w:t>Engaging communities and shaping social norms</w:t>
            </w:r>
          </w:p>
          <w:p w:rsidRPr="00453F92" w:rsidR="00604DAC" w:rsidP="003C1181" w:rsidRDefault="00604DAC" w14:paraId="71D7F1CB" w14:textId="13606200">
            <w:pPr>
              <w:pStyle w:val="ListParagraph"/>
              <w:numPr>
                <w:ilvl w:val="0"/>
                <w:numId w:val="7"/>
              </w:numPr>
              <w:spacing w:line="300" w:lineRule="exact"/>
              <w:rPr>
                <w:color w:val="000000" w:themeColor="text1"/>
                <w:lang w:val="en-GB"/>
              </w:rPr>
            </w:pPr>
            <w:r w:rsidRPr="00453F92">
              <w:rPr>
                <w:color w:val="000000" w:themeColor="text1"/>
                <w:lang w:val="en-GB"/>
              </w:rPr>
              <w:t>Use of Human-Centred Design approaches to inform community engagement activities</w:t>
            </w:r>
          </w:p>
          <w:p w:rsidRPr="00453F92" w:rsidR="00604DAC" w:rsidP="003C1181" w:rsidRDefault="00604DAC" w14:paraId="0463F727" w14:textId="4E46B3A3">
            <w:pPr>
              <w:pStyle w:val="ListParagraph"/>
              <w:numPr>
                <w:ilvl w:val="0"/>
                <w:numId w:val="7"/>
              </w:numPr>
              <w:spacing w:line="300" w:lineRule="exact"/>
              <w:rPr>
                <w:color w:val="000000" w:themeColor="text1"/>
                <w:lang w:val="en-GB"/>
              </w:rPr>
            </w:pPr>
            <w:r w:rsidRPr="00453F92">
              <w:rPr>
                <w:color w:val="000000" w:themeColor="text1"/>
                <w:lang w:val="en-GB"/>
              </w:rPr>
              <w:t>Develop and update vaccine communication plans</w:t>
            </w:r>
          </w:p>
          <w:p w:rsidRPr="00453F92" w:rsidR="00604DAC" w:rsidP="003C1181" w:rsidRDefault="00604DAC" w14:paraId="0A0D5722" w14:textId="37D55DD7">
            <w:pPr>
              <w:pStyle w:val="ListParagraph"/>
              <w:numPr>
                <w:ilvl w:val="0"/>
                <w:numId w:val="7"/>
              </w:numPr>
              <w:spacing w:line="300" w:lineRule="exact"/>
              <w:rPr>
                <w:color w:val="000000" w:themeColor="text1"/>
                <w:lang w:val="en-GB"/>
              </w:rPr>
            </w:pPr>
            <w:r w:rsidRPr="00453F92">
              <w:rPr>
                <w:color w:val="000000" w:themeColor="text1"/>
                <w:lang w:val="en-GB"/>
              </w:rPr>
              <w:t>Improve frontline worker interpersonal communication skills</w:t>
            </w:r>
          </w:p>
          <w:p w:rsidRPr="00604DAC" w:rsidR="00604DAC" w:rsidP="003C1181" w:rsidRDefault="00604DAC" w14:paraId="78052B35" w14:textId="6A2E489E">
            <w:pPr>
              <w:pStyle w:val="ListParagraph"/>
              <w:numPr>
                <w:ilvl w:val="0"/>
                <w:numId w:val="7"/>
              </w:numPr>
              <w:spacing w:line="300" w:lineRule="exact"/>
              <w:rPr>
                <w:color w:val="92D050"/>
                <w:lang w:val="en-GB"/>
              </w:rPr>
            </w:pPr>
            <w:r w:rsidRPr="00453F92">
              <w:rPr>
                <w:color w:val="000000" w:themeColor="text1"/>
                <w:lang w:val="en-GB"/>
              </w:rPr>
              <w:t>Using social data for learning and decision making</w:t>
            </w:r>
          </w:p>
        </w:tc>
      </w:tr>
    </w:tbl>
    <w:p w:rsidR="000759BE" w:rsidP="00FC4A11" w:rsidRDefault="000759BE" w14:paraId="434C7691" w14:textId="77777777">
      <w:pPr>
        <w:spacing w:line="300" w:lineRule="exact"/>
        <w:rPr>
          <w:bCs/>
          <w:color w:val="808080" w:themeColor="background1" w:themeShade="80"/>
          <w:lang w:val="en-GB"/>
        </w:rPr>
      </w:pPr>
    </w:p>
    <w:p w:rsidRPr="00372D1F" w:rsidR="004E4361" w:rsidP="00CE1F57" w:rsidRDefault="004E4361" w14:paraId="5CAF378B" w14:textId="658F9E51">
      <w:pPr>
        <w:pStyle w:val="ListParagraph"/>
        <w:numPr>
          <w:ilvl w:val="0"/>
          <w:numId w:val="4"/>
        </w:numPr>
        <w:spacing w:line="300" w:lineRule="exact"/>
        <w:ind w:left="426"/>
        <w:rPr>
          <w:b/>
          <w:bCs/>
          <w:color w:val="84C650"/>
          <w:sz w:val="26"/>
          <w:szCs w:val="26"/>
          <w:lang w:val="en-GB"/>
        </w:rPr>
      </w:pPr>
      <w:r w:rsidRPr="08473C56">
        <w:rPr>
          <w:b/>
          <w:bCs/>
          <w:color w:val="70AD47" w:themeColor="accent6"/>
          <w:sz w:val="26"/>
          <w:szCs w:val="26"/>
          <w:lang w:val="en-GB"/>
        </w:rPr>
        <w:t xml:space="preserve">Current </w:t>
      </w:r>
      <w:r w:rsidRPr="08473C56" w:rsidR="00352AE9">
        <w:rPr>
          <w:b/>
          <w:bCs/>
          <w:color w:val="70AD47" w:themeColor="accent6"/>
          <w:sz w:val="26"/>
          <w:szCs w:val="26"/>
          <w:lang w:val="en-GB"/>
        </w:rPr>
        <w:t>TA needs</w:t>
      </w:r>
      <w:r w:rsidRPr="08473C56">
        <w:rPr>
          <w:b/>
          <w:bCs/>
          <w:color w:val="70AD47" w:themeColor="accent6"/>
          <w:sz w:val="26"/>
          <w:szCs w:val="26"/>
          <w:lang w:val="en-GB"/>
        </w:rPr>
        <w:t xml:space="preserve"> of your immunisation system </w:t>
      </w:r>
      <w:r w:rsidRPr="08473C56" w:rsidR="006D5892">
        <w:rPr>
          <w:b/>
          <w:bCs/>
          <w:color w:val="70AD47" w:themeColor="accent6"/>
          <w:sz w:val="26"/>
          <w:szCs w:val="26"/>
          <w:lang w:val="en-GB"/>
        </w:rPr>
        <w:t>(</w:t>
      </w:r>
      <w:r w:rsidRPr="08473C56" w:rsidR="00301307">
        <w:rPr>
          <w:b/>
          <w:bCs/>
          <w:color w:val="70AD47" w:themeColor="accent6"/>
          <w:sz w:val="26"/>
          <w:szCs w:val="26"/>
          <w:lang w:val="en-GB"/>
        </w:rPr>
        <w:t xml:space="preserve">1-2 </w:t>
      </w:r>
      <w:r w:rsidRPr="08473C56" w:rsidR="006D5892">
        <w:rPr>
          <w:b/>
          <w:bCs/>
          <w:color w:val="70AD47" w:themeColor="accent6"/>
          <w:sz w:val="26"/>
          <w:szCs w:val="26"/>
          <w:lang w:val="en-GB"/>
        </w:rPr>
        <w:t>pages)</w:t>
      </w:r>
    </w:p>
    <w:p w:rsidRPr="00D93986" w:rsidR="0095370A" w:rsidP="00E50185" w:rsidRDefault="00EC2EA5" w14:paraId="272993D5" w14:textId="0A023459">
      <w:pPr>
        <w:pStyle w:val="ListParagraph"/>
        <w:spacing w:line="300" w:lineRule="exact"/>
        <w:ind w:left="142"/>
        <w:rPr>
          <w:b/>
          <w:i/>
          <w:sz w:val="20"/>
          <w:szCs w:val="20"/>
        </w:rPr>
      </w:pPr>
      <w:r w:rsidRPr="00D93986">
        <w:rPr>
          <w:b/>
          <w:bCs/>
          <w:i/>
          <w:iCs/>
          <w:sz w:val="20"/>
          <w:szCs w:val="20"/>
        </w:rPr>
        <w:t xml:space="preserve">Please provide </w:t>
      </w:r>
      <w:r w:rsidRPr="00D93986" w:rsidR="008B2F8A">
        <w:rPr>
          <w:b/>
          <w:bCs/>
          <w:i/>
          <w:iCs/>
          <w:sz w:val="20"/>
          <w:szCs w:val="20"/>
        </w:rPr>
        <w:t xml:space="preserve">the planned allocation of PEF TCA towards </w:t>
      </w:r>
      <w:r w:rsidRPr="00D93986" w:rsidR="004010B7">
        <w:rPr>
          <w:b/>
          <w:bCs/>
          <w:i/>
          <w:iCs/>
          <w:sz w:val="20"/>
          <w:szCs w:val="20"/>
        </w:rPr>
        <w:t>investments areas and hig</w:t>
      </w:r>
      <w:r w:rsidR="00107D9F">
        <w:rPr>
          <w:b/>
          <w:bCs/>
          <w:i/>
          <w:iCs/>
          <w:sz w:val="20"/>
          <w:szCs w:val="20"/>
        </w:rPr>
        <w:t>h</w:t>
      </w:r>
      <w:r w:rsidRPr="00D93986" w:rsidR="004010B7">
        <w:rPr>
          <w:b/>
          <w:bCs/>
          <w:i/>
          <w:iCs/>
          <w:sz w:val="20"/>
          <w:szCs w:val="20"/>
        </w:rPr>
        <w:t>-level objectives. Gavi-supported investment areas and a menu of objectives are available for refer</w:t>
      </w:r>
      <w:r w:rsidR="00107D9F">
        <w:rPr>
          <w:b/>
          <w:bCs/>
          <w:i/>
          <w:iCs/>
          <w:sz w:val="20"/>
          <w:szCs w:val="20"/>
        </w:rPr>
        <w:t>e</w:t>
      </w:r>
      <w:r w:rsidRPr="00D93986" w:rsidR="004010B7">
        <w:rPr>
          <w:b/>
          <w:bCs/>
          <w:i/>
          <w:iCs/>
          <w:sz w:val="20"/>
          <w:szCs w:val="20"/>
        </w:rPr>
        <w:t>nce in Gav</w:t>
      </w:r>
      <w:r w:rsidR="00107D9F">
        <w:rPr>
          <w:b/>
          <w:bCs/>
          <w:i/>
          <w:iCs/>
          <w:sz w:val="20"/>
          <w:szCs w:val="20"/>
        </w:rPr>
        <w:t>i</w:t>
      </w:r>
      <w:r w:rsidRPr="00D93986" w:rsidR="004010B7">
        <w:rPr>
          <w:b/>
          <w:bCs/>
          <w:i/>
          <w:iCs/>
          <w:sz w:val="20"/>
          <w:szCs w:val="20"/>
        </w:rPr>
        <w:t xml:space="preserve">’s </w:t>
      </w:r>
      <w:hyperlink w:history="1" r:id="rId13">
        <w:r w:rsidRPr="00270AE6" w:rsidR="00270AE6">
          <w:rPr>
            <w:rStyle w:val="Hyperlink"/>
            <w:b/>
            <w:bCs/>
            <w:i/>
            <w:iCs/>
            <w:sz w:val="20"/>
            <w:szCs w:val="20"/>
          </w:rPr>
          <w:t>Programme Funding Guidelines</w:t>
        </w:r>
      </w:hyperlink>
      <w:r w:rsidRPr="00D93986" w:rsidR="004010B7">
        <w:rPr>
          <w:b/>
          <w:bCs/>
          <w:i/>
          <w:iCs/>
          <w:sz w:val="20"/>
          <w:szCs w:val="20"/>
        </w:rPr>
        <w:t>.</w:t>
      </w:r>
      <w:r w:rsidR="00DD6A66">
        <w:rPr>
          <w:b/>
          <w:bCs/>
          <w:i/>
          <w:iCs/>
          <w:sz w:val="20"/>
          <w:szCs w:val="20"/>
        </w:rPr>
        <w:t xml:space="preserve"> The country can plan </w:t>
      </w:r>
      <w:r w:rsidR="00B0585F">
        <w:rPr>
          <w:b/>
          <w:bCs/>
          <w:i/>
          <w:iCs/>
          <w:sz w:val="20"/>
          <w:szCs w:val="20"/>
        </w:rPr>
        <w:t>for the remaining duration of their current HSS grant.</w:t>
      </w:r>
    </w:p>
    <w:p w:rsidR="007F2F8B" w:rsidP="00372D1F" w:rsidRDefault="007F2F8B" w14:paraId="6567DB8B" w14:textId="77777777">
      <w:pPr>
        <w:pStyle w:val="ListParagraph"/>
        <w:spacing w:line="300" w:lineRule="exact"/>
        <w:ind w:left="426"/>
        <w:rPr>
          <w:i/>
          <w:color w:val="808080" w:themeColor="background1" w:themeShade="80"/>
          <w:lang w:val="en-GB"/>
        </w:rPr>
      </w:pPr>
    </w:p>
    <w:p w:rsidRPr="006C63B1" w:rsidR="00655D56" w:rsidP="00372D1F" w:rsidRDefault="00372D1F" w14:paraId="1D079834" w14:textId="3BFFF507">
      <w:pPr>
        <w:pStyle w:val="ListParagraph"/>
        <w:spacing w:line="300" w:lineRule="exact"/>
        <w:ind w:left="426"/>
        <w:rPr>
          <w:i/>
          <w:color w:val="808080" w:themeColor="background1" w:themeShade="80"/>
          <w:lang w:val="en-GB"/>
        </w:rPr>
      </w:pPr>
      <w:r w:rsidRPr="0065351E">
        <w:rPr>
          <w:i/>
          <w:color w:val="808080" w:themeColor="background1" w:themeShade="80"/>
          <w:lang w:val="en-GB"/>
        </w:rPr>
        <w:t>(Please feel free to add lines as needed)</w:t>
      </w:r>
    </w:p>
    <w:tbl>
      <w:tblPr>
        <w:tblStyle w:val="TableGrid"/>
        <w:tblW w:w="9072" w:type="dxa"/>
        <w:tblInd w:w="-5" w:type="dxa"/>
        <w:tblLook w:val="04A0" w:firstRow="1" w:lastRow="0" w:firstColumn="1" w:lastColumn="0" w:noHBand="0" w:noVBand="1"/>
      </w:tblPr>
      <w:tblGrid>
        <w:gridCol w:w="2173"/>
        <w:gridCol w:w="3857"/>
        <w:gridCol w:w="1952"/>
        <w:gridCol w:w="1090"/>
      </w:tblGrid>
      <w:tr w:rsidR="004D0C16" w:rsidTr="6B9B85CA" w14:paraId="4754848F" w14:textId="2B3AF5AA">
        <w:tc>
          <w:tcPr>
            <w:tcW w:w="6030" w:type="dxa"/>
            <w:gridSpan w:val="2"/>
            <w:shd w:val="clear" w:color="auto" w:fill="DEEAF6" w:themeFill="accent5" w:themeFillTint="33"/>
            <w:tcMar/>
          </w:tcPr>
          <w:p w:rsidRPr="00372D1F" w:rsidR="004D0C16" w:rsidP="00871FCF" w:rsidRDefault="004D0C16" w14:paraId="60978116" w14:textId="77777777">
            <w:pPr>
              <w:spacing w:line="300" w:lineRule="exact"/>
              <w:rPr>
                <w:b/>
                <w:lang w:val="en-GB"/>
              </w:rPr>
            </w:pPr>
            <w:r>
              <w:rPr>
                <w:b/>
                <w:lang w:val="en-GB"/>
              </w:rPr>
              <w:t>High-level Plan</w:t>
            </w:r>
          </w:p>
        </w:tc>
        <w:tc>
          <w:tcPr>
            <w:tcW w:w="1952" w:type="dxa"/>
            <w:shd w:val="clear" w:color="auto" w:fill="DEEAF6" w:themeFill="accent5" w:themeFillTint="33"/>
            <w:tcMar/>
          </w:tcPr>
          <w:p w:rsidRPr="00372D1F" w:rsidR="004D0C16" w:rsidP="00871FCF" w:rsidRDefault="004D0C16" w14:paraId="2F400D8C" w14:textId="754228F6">
            <w:pPr>
              <w:spacing w:line="300" w:lineRule="exact"/>
              <w:rPr>
                <w:b/>
                <w:color w:val="808080" w:themeColor="background1" w:themeShade="80"/>
                <w:lang w:val="en-GB"/>
              </w:rPr>
            </w:pPr>
            <w:r w:rsidRPr="00372D1F">
              <w:rPr>
                <w:b/>
                <w:lang w:val="en-GB"/>
              </w:rPr>
              <w:t>Budget (USD)</w:t>
            </w:r>
          </w:p>
        </w:tc>
        <w:tc>
          <w:tcPr>
            <w:tcW w:w="1090" w:type="dxa"/>
            <w:shd w:val="clear" w:color="auto" w:fill="DEEAF6" w:themeFill="accent5" w:themeFillTint="33"/>
            <w:tcMar/>
          </w:tcPr>
          <w:p w:rsidRPr="00372D1F" w:rsidR="004D0C16" w:rsidP="00871FCF" w:rsidRDefault="00131FD5" w14:paraId="0FEF51FA" w14:textId="32409750">
            <w:pPr>
              <w:spacing w:line="300" w:lineRule="exact"/>
              <w:rPr>
                <w:b/>
                <w:lang w:val="en-GB"/>
              </w:rPr>
            </w:pPr>
            <w:r>
              <w:rPr>
                <w:b/>
                <w:lang w:val="en-GB"/>
              </w:rPr>
              <w:t>%</w:t>
            </w:r>
          </w:p>
        </w:tc>
      </w:tr>
      <w:tr w:rsidR="004D0C16" w:rsidTr="6B9B85CA" w14:paraId="65B29F5B" w14:textId="129D73A5">
        <w:tc>
          <w:tcPr>
            <w:tcW w:w="6030" w:type="dxa"/>
            <w:gridSpan w:val="2"/>
            <w:shd w:val="clear" w:color="auto" w:fill="E2EFD9" w:themeFill="accent6" w:themeFillTint="33"/>
            <w:tcMar/>
          </w:tcPr>
          <w:p w:rsidRPr="00372D1F" w:rsidR="004D0C16" w:rsidP="00871FCF" w:rsidRDefault="004D0C16" w14:paraId="106E2D7B" w14:textId="77777777">
            <w:pPr>
              <w:spacing w:line="300" w:lineRule="exact"/>
              <w:jc w:val="right"/>
              <w:rPr>
                <w:b/>
                <w:color w:val="808080" w:themeColor="background1" w:themeShade="80"/>
                <w:lang w:val="en-GB"/>
              </w:rPr>
            </w:pPr>
            <w:r w:rsidRPr="00372D1F">
              <w:rPr>
                <w:b/>
                <w:lang w:val="en-GB"/>
              </w:rPr>
              <w:t>2022</w:t>
            </w:r>
          </w:p>
        </w:tc>
        <w:tc>
          <w:tcPr>
            <w:tcW w:w="1952" w:type="dxa"/>
            <w:shd w:val="clear" w:color="auto" w:fill="E2EFD9" w:themeFill="accent6" w:themeFillTint="33"/>
            <w:tcMar/>
          </w:tcPr>
          <w:p w:rsidR="004D0C16" w:rsidP="6B9B85CA" w:rsidRDefault="004D0C16" w14:paraId="6DD37EC1" w14:textId="3B88CF53">
            <w:pPr>
              <w:spacing w:line="300" w:lineRule="exact"/>
              <w:jc w:val="right"/>
              <w:rPr>
                <w:color w:val="808080" w:themeColor="background1" w:themeShade="80"/>
                <w:lang w:val="en-GB"/>
              </w:rPr>
            </w:pPr>
            <w:r w:rsidRPr="6B9B85CA" w:rsidR="6B9B85CA">
              <w:rPr>
                <w:color w:val="808080" w:themeColor="background1" w:themeTint="FF" w:themeShade="80"/>
                <w:lang w:val="en-GB"/>
              </w:rPr>
              <w:t>375,968</w:t>
            </w:r>
          </w:p>
        </w:tc>
        <w:tc>
          <w:tcPr>
            <w:tcW w:w="1090" w:type="dxa"/>
            <w:shd w:val="clear" w:color="auto" w:fill="E2EFD9" w:themeFill="accent6" w:themeFillTint="33"/>
            <w:tcMar/>
          </w:tcPr>
          <w:p w:rsidR="004D0C16" w:rsidP="00871FCF" w:rsidRDefault="004D0C16" w14:paraId="3D6A3C6F" w14:textId="77777777">
            <w:pPr>
              <w:spacing w:line="300" w:lineRule="exact"/>
              <w:jc w:val="right"/>
              <w:rPr>
                <w:bCs/>
                <w:color w:val="808080" w:themeColor="background1" w:themeShade="80"/>
                <w:lang w:val="en-GB"/>
              </w:rPr>
            </w:pPr>
          </w:p>
        </w:tc>
      </w:tr>
      <w:tr w:rsidR="004D0C16" w:rsidTr="6B9B85CA" w14:paraId="113A41E1" w14:textId="1B4A5F63">
        <w:tc>
          <w:tcPr>
            <w:tcW w:w="2173" w:type="dxa"/>
            <w:shd w:val="clear" w:color="auto" w:fill="FFFFFF" w:themeFill="background1"/>
            <w:tcMar/>
          </w:tcPr>
          <w:p w:rsidRPr="00453F92" w:rsidR="004D0C16" w:rsidP="00BD0046" w:rsidRDefault="008C7E25" w14:paraId="10985FF8" w14:textId="6007D235">
            <w:pPr>
              <w:spacing w:line="300" w:lineRule="exact"/>
              <w:rPr>
                <w:bCs/>
                <w:color w:val="000000" w:themeColor="text1"/>
                <w:lang w:val="en-GB"/>
              </w:rPr>
            </w:pPr>
            <w:r w:rsidRPr="00453F92">
              <w:rPr>
                <w:bCs/>
                <w:color w:val="000000" w:themeColor="text1"/>
                <w:lang w:val="en-GB"/>
              </w:rPr>
              <w:t>Service Delivery</w:t>
            </w:r>
          </w:p>
        </w:tc>
        <w:tc>
          <w:tcPr>
            <w:tcW w:w="3857" w:type="dxa"/>
            <w:shd w:val="clear" w:color="auto" w:fill="FFFFFF" w:themeFill="background1"/>
            <w:tcMar/>
          </w:tcPr>
          <w:p w:rsidRPr="00453F92" w:rsidR="004D0C16" w:rsidP="008C7E25" w:rsidRDefault="008C7E25" w14:paraId="6D48E39E" w14:textId="5905D824">
            <w:pPr>
              <w:spacing w:line="300" w:lineRule="exact"/>
              <w:rPr>
                <w:bCs/>
                <w:color w:val="000000" w:themeColor="text1"/>
                <w:lang w:val="en-GB"/>
              </w:rPr>
            </w:pPr>
            <w:r w:rsidRPr="00453F92">
              <w:rPr>
                <w:bCs/>
                <w:color w:val="000000" w:themeColor="text1"/>
                <w:lang w:val="en-GB"/>
              </w:rPr>
              <w:t>Service delivery-related barriers of missed communities to access immunisation services identified and prioritised</w:t>
            </w:r>
          </w:p>
          <w:p w:rsidRPr="00453F92" w:rsidR="00591EDA" w:rsidP="008C7E25" w:rsidRDefault="00591EDA" w14:paraId="5346AA73" w14:textId="77777777">
            <w:pPr>
              <w:spacing w:line="300" w:lineRule="exact"/>
              <w:rPr>
                <w:bCs/>
                <w:color w:val="000000" w:themeColor="text1"/>
                <w:lang w:val="en-GB"/>
              </w:rPr>
            </w:pPr>
          </w:p>
          <w:p w:rsidRPr="00453F92" w:rsidR="0088477E" w:rsidP="008C7E25" w:rsidRDefault="0088477E" w14:paraId="20682BEB" w14:textId="585E2D52">
            <w:pPr>
              <w:spacing w:line="300" w:lineRule="exact"/>
              <w:rPr>
                <w:bCs/>
                <w:color w:val="000000" w:themeColor="text1"/>
                <w:lang w:val="en-GB"/>
              </w:rPr>
            </w:pPr>
            <w:r w:rsidRPr="00453F92">
              <w:rPr>
                <w:bCs/>
                <w:color w:val="000000" w:themeColor="text1"/>
                <w:lang w:val="en-GB"/>
              </w:rPr>
              <w:t>Microplanning conducte</w:t>
            </w:r>
            <w:r w:rsidRPr="00453F92" w:rsidR="001D70AF">
              <w:rPr>
                <w:bCs/>
                <w:color w:val="000000" w:themeColor="text1"/>
                <w:lang w:val="en-GB"/>
              </w:rPr>
              <w:t>d</w:t>
            </w:r>
          </w:p>
          <w:p w:rsidRPr="00453F92" w:rsidR="00C80103" w:rsidP="008C7E25" w:rsidRDefault="00C80103" w14:paraId="211D354B" w14:textId="78924BA5">
            <w:pPr>
              <w:spacing w:line="300" w:lineRule="exact"/>
              <w:rPr>
                <w:bCs/>
                <w:color w:val="000000" w:themeColor="text1"/>
                <w:lang w:val="en-GB"/>
              </w:rPr>
            </w:pPr>
          </w:p>
          <w:p w:rsidRPr="00453F92" w:rsidR="0088477E" w:rsidP="008C7E25" w:rsidRDefault="00C80103" w14:paraId="40A674E0" w14:textId="01021D62">
            <w:pPr>
              <w:spacing w:line="300" w:lineRule="exact"/>
              <w:rPr>
                <w:bCs/>
                <w:color w:val="000000" w:themeColor="text1"/>
                <w:lang w:val="en-GB"/>
              </w:rPr>
            </w:pPr>
            <w:r w:rsidRPr="00453F92">
              <w:rPr>
                <w:bCs/>
                <w:color w:val="000000" w:themeColor="text1"/>
                <w:lang w:val="en-GB"/>
              </w:rPr>
              <w:t>Supportive supervision conducted</w:t>
            </w:r>
          </w:p>
        </w:tc>
        <w:tc>
          <w:tcPr>
            <w:tcW w:w="1952" w:type="dxa"/>
            <w:shd w:val="clear" w:color="auto" w:fill="FFFFFF" w:themeFill="background1"/>
            <w:tcMar/>
          </w:tcPr>
          <w:p w:rsidRPr="00453F92" w:rsidR="004D0C16" w:rsidP="00BD0046" w:rsidRDefault="00BD3276" w14:paraId="4CDE8FAA" w14:textId="5ECBC2C6">
            <w:pPr>
              <w:spacing w:line="300" w:lineRule="exact"/>
              <w:jc w:val="right"/>
              <w:rPr>
                <w:bCs/>
                <w:color w:val="000000" w:themeColor="text1"/>
                <w:lang w:val="en-GB"/>
              </w:rPr>
            </w:pPr>
            <w:r w:rsidRPr="00453F92">
              <w:rPr>
                <w:bCs/>
                <w:color w:val="000000" w:themeColor="text1"/>
                <w:lang w:val="en-GB"/>
              </w:rPr>
              <w:t>190,000</w:t>
            </w:r>
          </w:p>
        </w:tc>
        <w:tc>
          <w:tcPr>
            <w:tcW w:w="1090" w:type="dxa"/>
            <w:shd w:val="clear" w:color="auto" w:fill="FFFFFF" w:themeFill="background1"/>
            <w:tcMar/>
          </w:tcPr>
          <w:p w:rsidRPr="00453F92" w:rsidR="004D0C16" w:rsidP="00BD0046" w:rsidRDefault="00BD3276" w14:paraId="0F3A2B8A" w14:textId="436356A0">
            <w:pPr>
              <w:spacing w:line="300" w:lineRule="exact"/>
              <w:jc w:val="right"/>
              <w:rPr>
                <w:bCs/>
                <w:color w:val="000000" w:themeColor="text1"/>
                <w:lang w:val="en-GB"/>
              </w:rPr>
            </w:pPr>
            <w:r w:rsidRPr="00453F92">
              <w:rPr>
                <w:bCs/>
                <w:color w:val="000000" w:themeColor="text1"/>
                <w:lang w:val="en-GB"/>
              </w:rPr>
              <w:t>5</w:t>
            </w:r>
            <w:r w:rsidRPr="00453F92" w:rsidR="00DD6994">
              <w:rPr>
                <w:bCs/>
                <w:color w:val="000000" w:themeColor="text1"/>
                <w:lang w:val="en-GB"/>
              </w:rPr>
              <w:t>1</w:t>
            </w:r>
            <w:r w:rsidRPr="00453F92">
              <w:rPr>
                <w:bCs/>
                <w:color w:val="000000" w:themeColor="text1"/>
                <w:lang w:val="en-GB"/>
              </w:rPr>
              <w:t>%</w:t>
            </w:r>
          </w:p>
        </w:tc>
      </w:tr>
      <w:tr w:rsidR="004D0C16" w:rsidTr="6B9B85CA" w14:paraId="795A975C" w14:textId="61E0C5F4">
        <w:tc>
          <w:tcPr>
            <w:tcW w:w="2173" w:type="dxa"/>
            <w:shd w:val="clear" w:color="auto" w:fill="FFFFFF" w:themeFill="background1"/>
            <w:tcMar/>
          </w:tcPr>
          <w:p w:rsidRPr="00453F92" w:rsidR="008C7E25" w:rsidP="008C7E25" w:rsidRDefault="008C7E25" w14:paraId="158F3B0B" w14:textId="77777777">
            <w:pPr>
              <w:spacing w:line="300" w:lineRule="exact"/>
              <w:rPr>
                <w:bCs/>
                <w:color w:val="000000" w:themeColor="text1"/>
                <w:lang w:val="en-GB"/>
              </w:rPr>
            </w:pPr>
            <w:r w:rsidRPr="00453F92">
              <w:rPr>
                <w:bCs/>
                <w:color w:val="000000" w:themeColor="text1"/>
                <w:lang w:val="en-GB"/>
              </w:rPr>
              <w:t xml:space="preserve">Human </w:t>
            </w:r>
          </w:p>
          <w:p w:rsidRPr="00453F92" w:rsidR="004D0C16" w:rsidP="008C7E25" w:rsidRDefault="008C7E25" w14:paraId="02FE1568" w14:textId="32D8BF7B">
            <w:pPr>
              <w:spacing w:line="300" w:lineRule="exact"/>
              <w:rPr>
                <w:bCs/>
                <w:color w:val="000000" w:themeColor="text1"/>
                <w:lang w:val="en-GB"/>
              </w:rPr>
            </w:pPr>
            <w:r w:rsidRPr="00453F92">
              <w:rPr>
                <w:bCs/>
                <w:color w:val="000000" w:themeColor="text1"/>
                <w:lang w:val="en-GB"/>
              </w:rPr>
              <w:t>resources for health</w:t>
            </w:r>
          </w:p>
        </w:tc>
        <w:tc>
          <w:tcPr>
            <w:tcW w:w="3857" w:type="dxa"/>
            <w:shd w:val="clear" w:color="auto" w:fill="FFFFFF" w:themeFill="background1"/>
            <w:tcMar/>
          </w:tcPr>
          <w:p w:rsidRPr="00453F92" w:rsidR="00C80103" w:rsidP="00C80103" w:rsidRDefault="00C80103" w14:paraId="6887E0E4" w14:textId="6B0320CC">
            <w:pPr>
              <w:spacing w:line="300" w:lineRule="exact"/>
              <w:rPr>
                <w:bCs/>
                <w:color w:val="000000" w:themeColor="text1"/>
                <w:lang w:val="en-GB"/>
              </w:rPr>
            </w:pPr>
            <w:r w:rsidRPr="00453F92">
              <w:rPr>
                <w:bCs/>
                <w:color w:val="000000" w:themeColor="text1"/>
                <w:lang w:val="en-GB"/>
              </w:rPr>
              <w:t>Increased knowledge of vaccination and its benefits</w:t>
            </w:r>
          </w:p>
        </w:tc>
        <w:tc>
          <w:tcPr>
            <w:tcW w:w="1952" w:type="dxa"/>
            <w:shd w:val="clear" w:color="auto" w:fill="FFFFFF" w:themeFill="background1"/>
            <w:tcMar/>
          </w:tcPr>
          <w:p w:rsidRPr="00453F92" w:rsidR="004D0C16" w:rsidP="002901E0" w:rsidRDefault="00BD3276" w14:paraId="3FCB67D1" w14:textId="457CB0D1">
            <w:pPr>
              <w:spacing w:line="300" w:lineRule="exact"/>
              <w:jc w:val="right"/>
              <w:rPr>
                <w:bCs/>
                <w:color w:val="000000" w:themeColor="text1"/>
                <w:lang w:val="en-GB"/>
              </w:rPr>
            </w:pPr>
            <w:r w:rsidRPr="00453F92">
              <w:rPr>
                <w:bCs/>
                <w:color w:val="000000" w:themeColor="text1"/>
                <w:lang w:val="en-GB"/>
              </w:rPr>
              <w:t>6</w:t>
            </w:r>
            <w:r w:rsidRPr="00453F92" w:rsidR="00F56C54">
              <w:rPr>
                <w:bCs/>
                <w:color w:val="000000" w:themeColor="text1"/>
                <w:lang w:val="en-GB"/>
              </w:rPr>
              <w:t>5</w:t>
            </w:r>
            <w:r w:rsidRPr="00453F92">
              <w:rPr>
                <w:bCs/>
                <w:color w:val="000000" w:themeColor="text1"/>
                <w:lang w:val="en-GB"/>
              </w:rPr>
              <w:t>,000</w:t>
            </w:r>
          </w:p>
        </w:tc>
        <w:tc>
          <w:tcPr>
            <w:tcW w:w="1090" w:type="dxa"/>
            <w:shd w:val="clear" w:color="auto" w:fill="FFFFFF" w:themeFill="background1"/>
            <w:tcMar/>
          </w:tcPr>
          <w:p w:rsidRPr="00453F92" w:rsidR="004D0C16" w:rsidP="002901E0" w:rsidRDefault="00BD3276" w14:paraId="07171017" w14:textId="73239A41">
            <w:pPr>
              <w:spacing w:line="300" w:lineRule="exact"/>
              <w:jc w:val="right"/>
              <w:rPr>
                <w:bCs/>
                <w:color w:val="000000" w:themeColor="text1"/>
                <w:lang w:val="en-GB"/>
              </w:rPr>
            </w:pPr>
            <w:r w:rsidRPr="00453F92">
              <w:rPr>
                <w:bCs/>
                <w:color w:val="000000" w:themeColor="text1"/>
                <w:lang w:val="en-GB"/>
              </w:rPr>
              <w:t>1</w:t>
            </w:r>
            <w:r w:rsidRPr="00453F92" w:rsidR="00F56C54">
              <w:rPr>
                <w:bCs/>
                <w:color w:val="000000" w:themeColor="text1"/>
                <w:lang w:val="en-GB"/>
              </w:rPr>
              <w:t>7</w:t>
            </w:r>
            <w:r w:rsidRPr="00453F92">
              <w:rPr>
                <w:bCs/>
                <w:color w:val="000000" w:themeColor="text1"/>
                <w:lang w:val="en-GB"/>
              </w:rPr>
              <w:t>%</w:t>
            </w:r>
          </w:p>
        </w:tc>
      </w:tr>
      <w:tr w:rsidR="008C7E25" w:rsidTr="6B9B85CA" w14:paraId="42A4A0A0" w14:textId="77777777">
        <w:tc>
          <w:tcPr>
            <w:tcW w:w="2173" w:type="dxa"/>
            <w:shd w:val="clear" w:color="auto" w:fill="FFFFFF" w:themeFill="background1"/>
            <w:tcMar/>
          </w:tcPr>
          <w:p w:rsidRPr="00453F92" w:rsidR="008C7E25" w:rsidP="002901E0" w:rsidRDefault="008C7E25" w14:paraId="17A872AF" w14:textId="19B344B0">
            <w:pPr>
              <w:spacing w:line="300" w:lineRule="exact"/>
              <w:rPr>
                <w:bCs/>
                <w:color w:val="000000" w:themeColor="text1"/>
                <w:lang w:val="en-GB"/>
              </w:rPr>
            </w:pPr>
            <w:r w:rsidRPr="00453F92">
              <w:rPr>
                <w:bCs/>
                <w:color w:val="000000" w:themeColor="text1"/>
                <w:lang w:val="en-GB"/>
              </w:rPr>
              <w:t>Supply Chain</w:t>
            </w:r>
          </w:p>
        </w:tc>
        <w:tc>
          <w:tcPr>
            <w:tcW w:w="3857" w:type="dxa"/>
            <w:shd w:val="clear" w:color="auto" w:fill="FFFFFF" w:themeFill="background1"/>
            <w:tcMar/>
          </w:tcPr>
          <w:p w:rsidRPr="00453F92" w:rsidR="0080033A" w:rsidP="0080033A" w:rsidRDefault="0080033A" w14:paraId="2B397E98" w14:textId="76E813FD">
            <w:pPr>
              <w:spacing w:line="300" w:lineRule="exact"/>
              <w:rPr>
                <w:bCs/>
                <w:color w:val="000000" w:themeColor="text1"/>
                <w:lang w:val="en-GB"/>
              </w:rPr>
            </w:pPr>
            <w:r w:rsidRPr="00453F92">
              <w:rPr>
                <w:bCs/>
                <w:color w:val="000000" w:themeColor="text1"/>
                <w:lang w:val="en-GB"/>
              </w:rPr>
              <w:t xml:space="preserve">% </w:t>
            </w:r>
            <w:proofErr w:type="gramStart"/>
            <w:r w:rsidRPr="00453F92">
              <w:rPr>
                <w:bCs/>
                <w:color w:val="000000" w:themeColor="text1"/>
                <w:lang w:val="en-GB"/>
              </w:rPr>
              <w:t>of</w:t>
            </w:r>
            <w:proofErr w:type="gramEnd"/>
            <w:r w:rsidRPr="00453F92">
              <w:rPr>
                <w:bCs/>
                <w:color w:val="000000" w:themeColor="text1"/>
                <w:lang w:val="en-GB"/>
              </w:rPr>
              <w:t xml:space="preserve"> target sites (provinces/districts) that have updated CCE management documents – for example, CCE inventory, Operational Deployment </w:t>
            </w:r>
            <w:r w:rsidRPr="00453F92">
              <w:rPr>
                <w:bCs/>
                <w:color w:val="000000" w:themeColor="text1"/>
                <w:lang w:val="en-GB"/>
              </w:rPr>
              <w:lastRenderedPageBreak/>
              <w:t xml:space="preserve">Plan (ODP) or Cold Chain Expansion and Rehabilitation Plan, CCE maintenance strategy, </w:t>
            </w:r>
          </w:p>
          <w:p w:rsidRPr="00453F92" w:rsidR="0080033A" w:rsidP="0080033A" w:rsidRDefault="0080033A" w14:paraId="67B2D813" w14:textId="77777777">
            <w:pPr>
              <w:spacing w:line="300" w:lineRule="exact"/>
              <w:rPr>
                <w:bCs/>
                <w:color w:val="000000" w:themeColor="text1"/>
                <w:lang w:val="en-GB"/>
              </w:rPr>
            </w:pPr>
            <w:r w:rsidRPr="00453F92">
              <w:rPr>
                <w:bCs/>
                <w:color w:val="000000" w:themeColor="text1"/>
                <w:lang w:val="en-GB"/>
              </w:rPr>
              <w:t>etc.</w:t>
            </w:r>
          </w:p>
          <w:p w:rsidRPr="00453F92" w:rsidR="0080033A" w:rsidP="0080033A" w:rsidRDefault="0080033A" w14:paraId="643789A5" w14:textId="77777777">
            <w:pPr>
              <w:spacing w:line="300" w:lineRule="exact"/>
              <w:rPr>
                <w:bCs/>
                <w:color w:val="000000" w:themeColor="text1"/>
                <w:lang w:val="en-GB"/>
              </w:rPr>
            </w:pPr>
          </w:p>
          <w:p w:rsidRPr="00453F92" w:rsidR="0080033A" w:rsidP="0080033A" w:rsidRDefault="0080033A" w14:paraId="5B789154" w14:textId="77777777">
            <w:pPr>
              <w:spacing w:line="300" w:lineRule="exact"/>
              <w:rPr>
                <w:bCs/>
                <w:color w:val="000000" w:themeColor="text1"/>
                <w:lang w:val="en-GB"/>
              </w:rPr>
            </w:pPr>
            <w:r w:rsidRPr="00453F92">
              <w:rPr>
                <w:bCs/>
                <w:color w:val="000000" w:themeColor="text1"/>
                <w:lang w:val="en-GB"/>
              </w:rPr>
              <w:t xml:space="preserve">% </w:t>
            </w:r>
            <w:proofErr w:type="gramStart"/>
            <w:r w:rsidRPr="00453F92">
              <w:rPr>
                <w:bCs/>
                <w:color w:val="000000" w:themeColor="text1"/>
                <w:lang w:val="en-GB"/>
              </w:rPr>
              <w:t>of</w:t>
            </w:r>
            <w:proofErr w:type="gramEnd"/>
            <w:r w:rsidRPr="00453F92">
              <w:rPr>
                <w:bCs/>
                <w:color w:val="000000" w:themeColor="text1"/>
                <w:lang w:val="en-GB"/>
              </w:rPr>
              <w:t xml:space="preserve"> target sites (provinces/districts) that have updated CCE management </w:t>
            </w:r>
          </w:p>
          <w:p w:rsidRPr="00453F92" w:rsidR="0080033A" w:rsidP="0080033A" w:rsidRDefault="0080033A" w14:paraId="427D4661" w14:textId="6FCFFD29">
            <w:pPr>
              <w:spacing w:line="300" w:lineRule="exact"/>
              <w:rPr>
                <w:bCs/>
                <w:color w:val="000000" w:themeColor="text1"/>
                <w:lang w:val="en-GB"/>
              </w:rPr>
            </w:pPr>
            <w:r w:rsidRPr="00453F92">
              <w:rPr>
                <w:bCs/>
                <w:color w:val="000000" w:themeColor="text1"/>
                <w:lang w:val="en-GB"/>
              </w:rPr>
              <w:t xml:space="preserve">documents – for example, CCE inventory, Operational Deployment Plan (ODP) or Cold Chain Expansion and Rehabilitation Plan, CCE maintenance strategy, </w:t>
            </w:r>
          </w:p>
          <w:p w:rsidRPr="00453F92" w:rsidR="0080033A" w:rsidP="0080033A" w:rsidRDefault="0080033A" w14:paraId="474CEFC3" w14:textId="77777777">
            <w:pPr>
              <w:spacing w:line="300" w:lineRule="exact"/>
              <w:rPr>
                <w:bCs/>
                <w:color w:val="000000" w:themeColor="text1"/>
                <w:lang w:val="en-GB"/>
              </w:rPr>
            </w:pPr>
            <w:r w:rsidRPr="00453F92">
              <w:rPr>
                <w:bCs/>
                <w:color w:val="000000" w:themeColor="text1"/>
                <w:lang w:val="en-GB"/>
              </w:rPr>
              <w:t>etc.</w:t>
            </w:r>
          </w:p>
          <w:p w:rsidRPr="00453F92" w:rsidR="00BF044B" w:rsidP="0080033A" w:rsidRDefault="00BF044B" w14:paraId="4FE7E20A" w14:textId="77777777">
            <w:pPr>
              <w:spacing w:line="300" w:lineRule="exact"/>
              <w:rPr>
                <w:bCs/>
                <w:color w:val="000000" w:themeColor="text1"/>
                <w:lang w:val="en-GB"/>
              </w:rPr>
            </w:pPr>
          </w:p>
          <w:p w:rsidRPr="00453F92" w:rsidR="00BF044B" w:rsidP="00BF044B" w:rsidRDefault="00BF044B" w14:paraId="331F5DE8" w14:textId="77777777">
            <w:pPr>
              <w:spacing w:line="300" w:lineRule="exact"/>
              <w:rPr>
                <w:bCs/>
                <w:color w:val="000000" w:themeColor="text1"/>
                <w:lang w:val="en-GB"/>
              </w:rPr>
            </w:pPr>
            <w:r w:rsidRPr="00453F92">
              <w:rPr>
                <w:bCs/>
                <w:color w:val="000000" w:themeColor="text1"/>
                <w:lang w:val="en-GB"/>
              </w:rPr>
              <w:t xml:space="preserve">% </w:t>
            </w:r>
            <w:proofErr w:type="gramStart"/>
            <w:r w:rsidRPr="00453F92">
              <w:rPr>
                <w:bCs/>
                <w:color w:val="000000" w:themeColor="text1"/>
                <w:lang w:val="en-GB"/>
              </w:rPr>
              <w:t>of</w:t>
            </w:r>
            <w:proofErr w:type="gramEnd"/>
            <w:r w:rsidRPr="00453F92">
              <w:rPr>
                <w:bCs/>
                <w:color w:val="000000" w:themeColor="text1"/>
                <w:lang w:val="en-GB"/>
              </w:rPr>
              <w:t xml:space="preserve"> sites with supply chain data platform (e.g. RTM, </w:t>
            </w:r>
            <w:proofErr w:type="spellStart"/>
            <w:r w:rsidRPr="00453F92">
              <w:rPr>
                <w:bCs/>
                <w:color w:val="000000" w:themeColor="text1"/>
                <w:lang w:val="en-GB"/>
              </w:rPr>
              <w:t>eLMIS</w:t>
            </w:r>
            <w:proofErr w:type="spellEnd"/>
            <w:r w:rsidRPr="00453F92">
              <w:rPr>
                <w:bCs/>
                <w:color w:val="000000" w:themeColor="text1"/>
                <w:lang w:val="en-GB"/>
              </w:rPr>
              <w:t xml:space="preserve">) users </w:t>
            </w:r>
          </w:p>
          <w:p w:rsidRPr="00453F92" w:rsidR="00BF044B" w:rsidP="00BF044B" w:rsidRDefault="00BF044B" w14:paraId="3444667C" w14:textId="55624DCB">
            <w:pPr>
              <w:spacing w:line="300" w:lineRule="exact"/>
              <w:rPr>
                <w:bCs/>
                <w:color w:val="000000" w:themeColor="text1"/>
                <w:lang w:val="en-GB"/>
              </w:rPr>
            </w:pPr>
            <w:r w:rsidRPr="00453F92">
              <w:rPr>
                <w:bCs/>
                <w:color w:val="000000" w:themeColor="text1"/>
                <w:lang w:val="en-GB"/>
              </w:rPr>
              <w:t>demonstrating regular and independent use of platform in preceding [X] months</w:t>
            </w:r>
          </w:p>
        </w:tc>
        <w:tc>
          <w:tcPr>
            <w:tcW w:w="1952" w:type="dxa"/>
            <w:shd w:val="clear" w:color="auto" w:fill="FFFFFF" w:themeFill="background1"/>
            <w:tcMar/>
          </w:tcPr>
          <w:p w:rsidRPr="00453F92" w:rsidR="008C7E25" w:rsidP="002901E0" w:rsidRDefault="001D70AF" w14:paraId="3F1C84C1" w14:textId="4CF7B581">
            <w:pPr>
              <w:spacing w:line="300" w:lineRule="exact"/>
              <w:jc w:val="right"/>
              <w:rPr>
                <w:bCs/>
                <w:color w:val="000000" w:themeColor="text1"/>
                <w:lang w:val="en-GB"/>
              </w:rPr>
            </w:pPr>
            <w:r w:rsidRPr="00453F92">
              <w:rPr>
                <w:bCs/>
                <w:color w:val="000000" w:themeColor="text1"/>
                <w:lang w:val="en-GB"/>
              </w:rPr>
              <w:lastRenderedPageBreak/>
              <w:t>40,</w:t>
            </w:r>
            <w:r w:rsidRPr="00453F92" w:rsidR="00695024">
              <w:rPr>
                <w:bCs/>
                <w:color w:val="000000" w:themeColor="text1"/>
                <w:lang w:val="en-GB"/>
              </w:rPr>
              <w:t>852</w:t>
            </w:r>
          </w:p>
        </w:tc>
        <w:tc>
          <w:tcPr>
            <w:tcW w:w="1090" w:type="dxa"/>
            <w:shd w:val="clear" w:color="auto" w:fill="FFFFFF" w:themeFill="background1"/>
            <w:tcMar/>
          </w:tcPr>
          <w:p w:rsidRPr="00453F92" w:rsidR="008C7E25" w:rsidP="002901E0" w:rsidRDefault="00BD3276" w14:paraId="441DB48F" w14:textId="09D010BD">
            <w:pPr>
              <w:spacing w:line="300" w:lineRule="exact"/>
              <w:jc w:val="right"/>
              <w:rPr>
                <w:bCs/>
                <w:color w:val="000000" w:themeColor="text1"/>
                <w:lang w:val="en-GB"/>
              </w:rPr>
            </w:pPr>
            <w:r w:rsidRPr="00453F92">
              <w:rPr>
                <w:bCs/>
                <w:color w:val="000000" w:themeColor="text1"/>
                <w:lang w:val="en-GB"/>
              </w:rPr>
              <w:t>11%</w:t>
            </w:r>
          </w:p>
        </w:tc>
      </w:tr>
      <w:tr w:rsidR="008C7E25" w:rsidTr="6B9B85CA" w14:paraId="52EB36B5" w14:textId="77777777">
        <w:tc>
          <w:tcPr>
            <w:tcW w:w="2173" w:type="dxa"/>
            <w:shd w:val="clear" w:color="auto" w:fill="FFFFFF" w:themeFill="background1"/>
            <w:tcMar/>
          </w:tcPr>
          <w:p w:rsidRPr="00453F92" w:rsidR="008C7E25" w:rsidP="008C7E25" w:rsidRDefault="008C7E25" w14:paraId="7A56CCD2" w14:textId="77777777">
            <w:pPr>
              <w:spacing w:line="300" w:lineRule="exact"/>
              <w:rPr>
                <w:bCs/>
                <w:color w:val="000000" w:themeColor="text1"/>
                <w:lang w:val="en-GB"/>
              </w:rPr>
            </w:pPr>
            <w:r w:rsidRPr="00453F92">
              <w:rPr>
                <w:bCs/>
                <w:color w:val="000000" w:themeColor="text1"/>
                <w:lang w:val="en-GB"/>
              </w:rPr>
              <w:t xml:space="preserve">Health </w:t>
            </w:r>
          </w:p>
          <w:p w:rsidRPr="00453F92" w:rsidR="008C7E25" w:rsidP="008C7E25" w:rsidRDefault="008C7E25" w14:paraId="6EFC9DA1" w14:textId="77777777">
            <w:pPr>
              <w:spacing w:line="300" w:lineRule="exact"/>
              <w:rPr>
                <w:bCs/>
                <w:color w:val="000000" w:themeColor="text1"/>
                <w:lang w:val="en-GB"/>
              </w:rPr>
            </w:pPr>
            <w:r w:rsidRPr="00453F92">
              <w:rPr>
                <w:bCs/>
                <w:color w:val="000000" w:themeColor="text1"/>
                <w:lang w:val="en-GB"/>
              </w:rPr>
              <w:t xml:space="preserve">Information </w:t>
            </w:r>
          </w:p>
          <w:p w:rsidRPr="00453F92" w:rsidR="008C7E25" w:rsidP="008C7E25" w:rsidRDefault="008C7E25" w14:paraId="6C3827BD" w14:textId="77777777">
            <w:pPr>
              <w:spacing w:line="300" w:lineRule="exact"/>
              <w:rPr>
                <w:bCs/>
                <w:color w:val="000000" w:themeColor="text1"/>
                <w:lang w:val="en-GB"/>
              </w:rPr>
            </w:pPr>
            <w:r w:rsidRPr="00453F92">
              <w:rPr>
                <w:bCs/>
                <w:color w:val="000000" w:themeColor="text1"/>
                <w:lang w:val="en-GB"/>
              </w:rPr>
              <w:t xml:space="preserve">Systems and </w:t>
            </w:r>
          </w:p>
          <w:p w:rsidRPr="00453F92" w:rsidR="008C7E25" w:rsidP="008C7E25" w:rsidRDefault="008C7E25" w14:paraId="41598069" w14:textId="77777777">
            <w:pPr>
              <w:spacing w:line="300" w:lineRule="exact"/>
              <w:rPr>
                <w:bCs/>
                <w:color w:val="000000" w:themeColor="text1"/>
                <w:lang w:val="en-GB"/>
              </w:rPr>
            </w:pPr>
            <w:r w:rsidRPr="00453F92">
              <w:rPr>
                <w:bCs/>
                <w:color w:val="000000" w:themeColor="text1"/>
                <w:lang w:val="en-GB"/>
              </w:rPr>
              <w:t xml:space="preserve">Monitoring &amp; </w:t>
            </w:r>
          </w:p>
          <w:p w:rsidRPr="00453F92" w:rsidR="008C7E25" w:rsidP="008C7E25" w:rsidRDefault="008C7E25" w14:paraId="2E950C41" w14:textId="21A014A3">
            <w:pPr>
              <w:spacing w:line="300" w:lineRule="exact"/>
              <w:rPr>
                <w:bCs/>
                <w:color w:val="000000" w:themeColor="text1"/>
                <w:lang w:val="en-GB"/>
              </w:rPr>
            </w:pPr>
            <w:r w:rsidRPr="00453F92">
              <w:rPr>
                <w:bCs/>
                <w:color w:val="000000" w:themeColor="text1"/>
                <w:lang w:val="en-GB"/>
              </w:rPr>
              <w:t>Learning</w:t>
            </w:r>
          </w:p>
        </w:tc>
        <w:tc>
          <w:tcPr>
            <w:tcW w:w="3857" w:type="dxa"/>
            <w:shd w:val="clear" w:color="auto" w:fill="FFFFFF" w:themeFill="background1"/>
            <w:tcMar/>
          </w:tcPr>
          <w:p w:rsidRPr="00453F92" w:rsidR="008C7E25" w:rsidP="002901E0" w:rsidRDefault="008C7E25" w14:paraId="2703D987" w14:textId="1FB5E089">
            <w:pPr>
              <w:spacing w:line="300" w:lineRule="exact"/>
              <w:rPr>
                <w:bCs/>
                <w:color w:val="000000" w:themeColor="text1"/>
                <w:lang w:val="en-GB"/>
              </w:rPr>
            </w:pPr>
          </w:p>
        </w:tc>
        <w:tc>
          <w:tcPr>
            <w:tcW w:w="1952" w:type="dxa"/>
            <w:shd w:val="clear" w:color="auto" w:fill="FFFFFF" w:themeFill="background1"/>
            <w:tcMar/>
          </w:tcPr>
          <w:p w:rsidRPr="00453F92" w:rsidR="008C7E25" w:rsidP="002901E0" w:rsidRDefault="008C7E25" w14:paraId="59BCE78F" w14:textId="77777777">
            <w:pPr>
              <w:spacing w:line="300" w:lineRule="exact"/>
              <w:jc w:val="right"/>
              <w:rPr>
                <w:bCs/>
                <w:color w:val="000000" w:themeColor="text1"/>
                <w:lang w:val="en-GB"/>
              </w:rPr>
            </w:pPr>
          </w:p>
        </w:tc>
        <w:tc>
          <w:tcPr>
            <w:tcW w:w="1090" w:type="dxa"/>
            <w:shd w:val="clear" w:color="auto" w:fill="FFFFFF" w:themeFill="background1"/>
            <w:tcMar/>
          </w:tcPr>
          <w:p w:rsidRPr="00453F92" w:rsidR="008C7E25" w:rsidP="002901E0" w:rsidRDefault="008C7E25" w14:paraId="3F0C38C8" w14:textId="77777777">
            <w:pPr>
              <w:spacing w:line="300" w:lineRule="exact"/>
              <w:jc w:val="right"/>
              <w:rPr>
                <w:bCs/>
                <w:color w:val="000000" w:themeColor="text1"/>
                <w:lang w:val="en-GB"/>
              </w:rPr>
            </w:pPr>
          </w:p>
        </w:tc>
      </w:tr>
      <w:tr w:rsidR="008C7E25" w:rsidTr="6B9B85CA" w14:paraId="633BF116" w14:textId="77777777">
        <w:tc>
          <w:tcPr>
            <w:tcW w:w="2173" w:type="dxa"/>
            <w:shd w:val="clear" w:color="auto" w:fill="FFFFFF" w:themeFill="background1"/>
            <w:tcMar/>
          </w:tcPr>
          <w:p w:rsidRPr="00453F92" w:rsidR="008C7E25" w:rsidP="008C7E25" w:rsidRDefault="008C7E25" w14:paraId="7BA316E8" w14:textId="77777777">
            <w:pPr>
              <w:spacing w:line="300" w:lineRule="exact"/>
              <w:rPr>
                <w:bCs/>
                <w:color w:val="000000" w:themeColor="text1"/>
                <w:lang w:val="en-GB"/>
              </w:rPr>
            </w:pPr>
            <w:r w:rsidRPr="00453F92">
              <w:rPr>
                <w:bCs/>
                <w:color w:val="000000" w:themeColor="text1"/>
                <w:lang w:val="en-GB"/>
              </w:rPr>
              <w:t xml:space="preserve">VaccinePreventable </w:t>
            </w:r>
          </w:p>
          <w:p w:rsidRPr="00453F92" w:rsidR="008C7E25" w:rsidP="008C7E25" w:rsidRDefault="008C7E25" w14:paraId="3AB2AC9C" w14:textId="77777777">
            <w:pPr>
              <w:spacing w:line="300" w:lineRule="exact"/>
              <w:rPr>
                <w:bCs/>
                <w:color w:val="000000" w:themeColor="text1"/>
                <w:lang w:val="en-GB"/>
              </w:rPr>
            </w:pPr>
            <w:r w:rsidRPr="00453F92">
              <w:rPr>
                <w:bCs/>
                <w:color w:val="000000" w:themeColor="text1"/>
                <w:lang w:val="en-GB"/>
              </w:rPr>
              <w:t xml:space="preserve">Disease (VPD) </w:t>
            </w:r>
          </w:p>
          <w:p w:rsidRPr="00453F92" w:rsidR="008C7E25" w:rsidP="008C7E25" w:rsidRDefault="008C7E25" w14:paraId="0EB90A34" w14:textId="73949D7B">
            <w:pPr>
              <w:spacing w:line="300" w:lineRule="exact"/>
              <w:rPr>
                <w:bCs/>
                <w:color w:val="000000" w:themeColor="text1"/>
                <w:lang w:val="en-GB"/>
              </w:rPr>
            </w:pPr>
            <w:r w:rsidRPr="00453F92">
              <w:rPr>
                <w:bCs/>
                <w:color w:val="000000" w:themeColor="text1"/>
                <w:lang w:val="en-GB"/>
              </w:rPr>
              <w:t>Surveillance</w:t>
            </w:r>
          </w:p>
        </w:tc>
        <w:tc>
          <w:tcPr>
            <w:tcW w:w="3857" w:type="dxa"/>
            <w:shd w:val="clear" w:color="auto" w:fill="FFFFFF" w:themeFill="background1"/>
            <w:tcMar/>
          </w:tcPr>
          <w:p w:rsidRPr="00453F92" w:rsidR="008C7E25" w:rsidP="002901E0" w:rsidRDefault="00C446D2" w14:paraId="6BC921B6" w14:textId="1F73AD9B">
            <w:pPr>
              <w:spacing w:line="300" w:lineRule="exact"/>
              <w:rPr>
                <w:bCs/>
                <w:color w:val="000000" w:themeColor="text1"/>
                <w:lang w:val="en-GB"/>
              </w:rPr>
            </w:pPr>
            <w:r w:rsidRPr="00453F92">
              <w:rPr>
                <w:bCs/>
                <w:color w:val="000000" w:themeColor="text1"/>
                <w:lang w:val="en-GB"/>
              </w:rPr>
              <w:t>X % of samples for X collected within X days</w:t>
            </w:r>
          </w:p>
        </w:tc>
        <w:tc>
          <w:tcPr>
            <w:tcW w:w="1952" w:type="dxa"/>
            <w:shd w:val="clear" w:color="auto" w:fill="FFFFFF" w:themeFill="background1"/>
            <w:tcMar/>
          </w:tcPr>
          <w:p w:rsidRPr="00453F92" w:rsidR="008C7E25" w:rsidP="002901E0" w:rsidRDefault="00F56C54" w14:paraId="1E1F457F" w14:textId="28DB33BE">
            <w:pPr>
              <w:spacing w:line="300" w:lineRule="exact"/>
              <w:jc w:val="right"/>
              <w:rPr>
                <w:bCs/>
                <w:color w:val="000000" w:themeColor="text1"/>
                <w:lang w:val="en-GB"/>
              </w:rPr>
            </w:pPr>
            <w:r w:rsidRPr="00453F92">
              <w:rPr>
                <w:bCs/>
                <w:color w:val="000000" w:themeColor="text1"/>
                <w:lang w:val="en-GB"/>
              </w:rPr>
              <w:t>45</w:t>
            </w:r>
            <w:r w:rsidRPr="00453F92" w:rsidR="00695024">
              <w:rPr>
                <w:bCs/>
                <w:color w:val="000000" w:themeColor="text1"/>
                <w:lang w:val="en-GB"/>
              </w:rPr>
              <w:t>,</w:t>
            </w:r>
            <w:r w:rsidRPr="00453F92">
              <w:rPr>
                <w:bCs/>
                <w:color w:val="000000" w:themeColor="text1"/>
                <w:lang w:val="en-GB"/>
              </w:rPr>
              <w:t>116</w:t>
            </w:r>
          </w:p>
        </w:tc>
        <w:tc>
          <w:tcPr>
            <w:tcW w:w="1090" w:type="dxa"/>
            <w:shd w:val="clear" w:color="auto" w:fill="FFFFFF" w:themeFill="background1"/>
            <w:tcMar/>
          </w:tcPr>
          <w:p w:rsidRPr="00453F92" w:rsidR="008C7E25" w:rsidP="002901E0" w:rsidRDefault="00F56C54" w14:paraId="30B9CEB6" w14:textId="6E22B3DA">
            <w:pPr>
              <w:spacing w:line="300" w:lineRule="exact"/>
              <w:jc w:val="right"/>
              <w:rPr>
                <w:bCs/>
                <w:color w:val="000000" w:themeColor="text1"/>
                <w:lang w:val="en-GB"/>
              </w:rPr>
            </w:pPr>
            <w:r w:rsidRPr="00453F92">
              <w:rPr>
                <w:bCs/>
                <w:color w:val="000000" w:themeColor="text1"/>
                <w:lang w:val="en-GB"/>
              </w:rPr>
              <w:t>12%</w:t>
            </w:r>
          </w:p>
        </w:tc>
      </w:tr>
      <w:tr w:rsidR="008C7E25" w:rsidTr="6B9B85CA" w14:paraId="4528A924" w14:textId="77777777">
        <w:tc>
          <w:tcPr>
            <w:tcW w:w="2173" w:type="dxa"/>
            <w:shd w:val="clear" w:color="auto" w:fill="FFFFFF" w:themeFill="background1"/>
            <w:tcMar/>
          </w:tcPr>
          <w:p w:rsidRPr="00453F92" w:rsidR="008C7E25" w:rsidP="008C7E25" w:rsidRDefault="008C7E25" w14:paraId="68BFFCAF" w14:textId="77777777">
            <w:pPr>
              <w:spacing w:line="300" w:lineRule="exact"/>
              <w:rPr>
                <w:bCs/>
                <w:color w:val="000000" w:themeColor="text1"/>
                <w:lang w:val="en-GB"/>
              </w:rPr>
            </w:pPr>
            <w:r w:rsidRPr="00453F92">
              <w:rPr>
                <w:bCs/>
                <w:color w:val="000000" w:themeColor="text1"/>
                <w:lang w:val="en-GB"/>
              </w:rPr>
              <w:t xml:space="preserve">Demand </w:t>
            </w:r>
          </w:p>
          <w:p w:rsidRPr="00453F92" w:rsidR="008C7E25" w:rsidP="008C7E25" w:rsidRDefault="008C7E25" w14:paraId="284DB36C" w14:textId="77777777">
            <w:pPr>
              <w:spacing w:line="300" w:lineRule="exact"/>
              <w:rPr>
                <w:bCs/>
                <w:color w:val="000000" w:themeColor="text1"/>
                <w:lang w:val="en-GB"/>
              </w:rPr>
            </w:pPr>
            <w:r w:rsidRPr="00453F92">
              <w:rPr>
                <w:bCs/>
                <w:color w:val="000000" w:themeColor="text1"/>
                <w:lang w:val="en-GB"/>
              </w:rPr>
              <w:t xml:space="preserve">Generation and </w:t>
            </w:r>
          </w:p>
          <w:p w:rsidRPr="00453F92" w:rsidR="008C7E25" w:rsidP="008C7E25" w:rsidRDefault="008C7E25" w14:paraId="47E8F4A6" w14:textId="77777777">
            <w:pPr>
              <w:spacing w:line="300" w:lineRule="exact"/>
              <w:rPr>
                <w:bCs/>
                <w:color w:val="000000" w:themeColor="text1"/>
                <w:lang w:val="en-GB"/>
              </w:rPr>
            </w:pPr>
            <w:r w:rsidRPr="00453F92">
              <w:rPr>
                <w:bCs/>
                <w:color w:val="000000" w:themeColor="text1"/>
                <w:lang w:val="en-GB"/>
              </w:rPr>
              <w:t xml:space="preserve">Community </w:t>
            </w:r>
          </w:p>
          <w:p w:rsidRPr="00453F92" w:rsidR="008C7E25" w:rsidP="008C7E25" w:rsidRDefault="008C7E25" w14:paraId="440D980D" w14:textId="4EFE69E8">
            <w:pPr>
              <w:spacing w:line="300" w:lineRule="exact"/>
              <w:rPr>
                <w:bCs/>
                <w:color w:val="000000" w:themeColor="text1"/>
                <w:lang w:val="en-GB"/>
              </w:rPr>
            </w:pPr>
            <w:r w:rsidRPr="00453F92">
              <w:rPr>
                <w:bCs/>
                <w:color w:val="000000" w:themeColor="text1"/>
                <w:lang w:val="en-GB"/>
              </w:rPr>
              <w:t>Engagement</w:t>
            </w:r>
          </w:p>
        </w:tc>
        <w:tc>
          <w:tcPr>
            <w:tcW w:w="3857" w:type="dxa"/>
            <w:shd w:val="clear" w:color="auto" w:fill="FFFFFF" w:themeFill="background1"/>
            <w:tcMar/>
          </w:tcPr>
          <w:p w:rsidRPr="00453F92" w:rsidR="00F44283" w:rsidP="00F44283" w:rsidRDefault="00F44283" w14:paraId="0A4E56B4" w14:textId="77777777">
            <w:pPr>
              <w:spacing w:line="300" w:lineRule="exact"/>
              <w:rPr>
                <w:bCs/>
                <w:color w:val="000000" w:themeColor="text1"/>
                <w:lang w:val="en-GB"/>
              </w:rPr>
            </w:pPr>
            <w:r w:rsidRPr="00453F92">
              <w:rPr>
                <w:bCs/>
                <w:color w:val="000000" w:themeColor="text1"/>
                <w:lang w:val="en-GB"/>
              </w:rPr>
              <w:t>Social Listening &amp; Engagement approach to track, assess and address misinformation and rumours on immunisation as well as COVID-19, generating analytical reports</w:t>
            </w:r>
          </w:p>
          <w:p w:rsidRPr="00453F92" w:rsidR="00F44283" w:rsidP="00F44283" w:rsidRDefault="00F44283" w14:paraId="7A60FF18" w14:textId="77777777">
            <w:pPr>
              <w:spacing w:line="300" w:lineRule="exact"/>
              <w:rPr>
                <w:bCs/>
                <w:color w:val="000000" w:themeColor="text1"/>
                <w:lang w:val="en-GB"/>
              </w:rPr>
            </w:pPr>
          </w:p>
          <w:p w:rsidRPr="00453F92" w:rsidR="00F44283" w:rsidP="00F44283" w:rsidRDefault="00F44283" w14:paraId="76273566" w14:textId="77777777">
            <w:pPr>
              <w:spacing w:line="300" w:lineRule="exact"/>
              <w:rPr>
                <w:bCs/>
                <w:color w:val="000000" w:themeColor="text1"/>
                <w:lang w:val="en-GB"/>
              </w:rPr>
            </w:pPr>
            <w:r w:rsidRPr="00453F92">
              <w:rPr>
                <w:bCs/>
                <w:color w:val="000000" w:themeColor="text1"/>
                <w:lang w:val="en-GB"/>
              </w:rPr>
              <w:t>Social mobilisation approach planned and implemented</w:t>
            </w:r>
          </w:p>
          <w:p w:rsidRPr="00453F92" w:rsidR="00F44283" w:rsidP="00F44283" w:rsidRDefault="00F44283" w14:paraId="593889A8" w14:textId="77777777">
            <w:pPr>
              <w:spacing w:line="300" w:lineRule="exact"/>
              <w:rPr>
                <w:bCs/>
                <w:color w:val="000000" w:themeColor="text1"/>
                <w:lang w:val="en-GB"/>
              </w:rPr>
            </w:pPr>
          </w:p>
          <w:p w:rsidRPr="00453F92" w:rsidR="008C7E25" w:rsidP="002901E0" w:rsidRDefault="00F44283" w14:paraId="588F12DF" w14:textId="20956729">
            <w:pPr>
              <w:spacing w:line="300" w:lineRule="exact"/>
              <w:rPr>
                <w:bCs/>
                <w:color w:val="000000" w:themeColor="text1"/>
                <w:lang w:val="en-GB"/>
              </w:rPr>
            </w:pPr>
            <w:r w:rsidRPr="00453F92">
              <w:rPr>
                <w:bCs/>
                <w:color w:val="000000" w:themeColor="text1"/>
                <w:lang w:val="en-GB"/>
              </w:rPr>
              <w:t>High-level advocacy mission conducted</w:t>
            </w:r>
          </w:p>
        </w:tc>
        <w:tc>
          <w:tcPr>
            <w:tcW w:w="1952" w:type="dxa"/>
            <w:shd w:val="clear" w:color="auto" w:fill="FFFFFF" w:themeFill="background1"/>
            <w:tcMar/>
          </w:tcPr>
          <w:p w:rsidRPr="00453F92" w:rsidR="008C7E25" w:rsidP="002901E0" w:rsidRDefault="00F56C54" w14:paraId="03D3E149" w14:textId="0BDAA19D">
            <w:pPr>
              <w:spacing w:line="300" w:lineRule="exact"/>
              <w:jc w:val="right"/>
              <w:rPr>
                <w:bCs/>
                <w:color w:val="000000" w:themeColor="text1"/>
                <w:lang w:val="en-GB"/>
              </w:rPr>
            </w:pPr>
            <w:r w:rsidRPr="00453F92">
              <w:rPr>
                <w:bCs/>
                <w:color w:val="000000" w:themeColor="text1"/>
                <w:lang w:val="en-GB"/>
              </w:rPr>
              <w:t>3</w:t>
            </w:r>
            <w:r w:rsidRPr="00453F92" w:rsidR="00695024">
              <w:rPr>
                <w:bCs/>
                <w:color w:val="000000" w:themeColor="text1"/>
                <w:lang w:val="en-GB"/>
              </w:rPr>
              <w:t>5</w:t>
            </w:r>
            <w:r w:rsidRPr="00453F92">
              <w:rPr>
                <w:bCs/>
                <w:color w:val="000000" w:themeColor="text1"/>
                <w:lang w:val="en-GB"/>
              </w:rPr>
              <w:t>,000</w:t>
            </w:r>
          </w:p>
        </w:tc>
        <w:tc>
          <w:tcPr>
            <w:tcW w:w="1090" w:type="dxa"/>
            <w:shd w:val="clear" w:color="auto" w:fill="FFFFFF" w:themeFill="background1"/>
            <w:tcMar/>
          </w:tcPr>
          <w:p w:rsidRPr="00453F92" w:rsidR="008C7E25" w:rsidP="002901E0" w:rsidRDefault="00DD6994" w14:paraId="7276730D" w14:textId="57474F13">
            <w:pPr>
              <w:spacing w:line="300" w:lineRule="exact"/>
              <w:jc w:val="right"/>
              <w:rPr>
                <w:bCs/>
                <w:color w:val="000000" w:themeColor="text1"/>
                <w:lang w:val="en-GB"/>
              </w:rPr>
            </w:pPr>
            <w:r w:rsidRPr="00453F92">
              <w:rPr>
                <w:bCs/>
                <w:color w:val="000000" w:themeColor="text1"/>
                <w:lang w:val="en-GB"/>
              </w:rPr>
              <w:t>9</w:t>
            </w:r>
            <w:r w:rsidRPr="00453F92" w:rsidR="00F56C54">
              <w:rPr>
                <w:bCs/>
                <w:color w:val="000000" w:themeColor="text1"/>
                <w:lang w:val="en-GB"/>
              </w:rPr>
              <w:t>%</w:t>
            </w:r>
          </w:p>
        </w:tc>
      </w:tr>
      <w:tr w:rsidR="004D0C16" w:rsidTr="6B9B85CA" w14:paraId="722EF4AE" w14:textId="037364C4">
        <w:tc>
          <w:tcPr>
            <w:tcW w:w="6030" w:type="dxa"/>
            <w:gridSpan w:val="2"/>
            <w:shd w:val="clear" w:color="auto" w:fill="E2EFD9" w:themeFill="accent6" w:themeFillTint="33"/>
            <w:tcMar/>
          </w:tcPr>
          <w:p w:rsidRPr="00453F92" w:rsidR="004D0C16" w:rsidP="002901E0" w:rsidRDefault="004D0C16" w14:paraId="43F4301D" w14:textId="77777777">
            <w:pPr>
              <w:spacing w:line="300" w:lineRule="exact"/>
              <w:jc w:val="right"/>
              <w:rPr>
                <w:b/>
                <w:color w:val="000000" w:themeColor="text1"/>
                <w:lang w:val="en-GB"/>
              </w:rPr>
            </w:pPr>
            <w:r w:rsidRPr="00453F92">
              <w:rPr>
                <w:b/>
                <w:color w:val="000000" w:themeColor="text1"/>
                <w:lang w:val="en-GB"/>
              </w:rPr>
              <w:t>2023</w:t>
            </w:r>
          </w:p>
        </w:tc>
        <w:tc>
          <w:tcPr>
            <w:tcW w:w="1952" w:type="dxa"/>
            <w:shd w:val="clear" w:color="auto" w:fill="E2EFD9" w:themeFill="accent6" w:themeFillTint="33"/>
            <w:tcMar/>
          </w:tcPr>
          <w:p w:rsidRPr="00453F92" w:rsidR="004D0C16" w:rsidP="6B9B85CA" w:rsidRDefault="004D0C16" w14:paraId="09E6B15D" w14:textId="4C372971">
            <w:pPr>
              <w:spacing w:line="300" w:lineRule="exact"/>
              <w:jc w:val="right"/>
              <w:rPr>
                <w:b w:val="1"/>
                <w:bCs w:val="1"/>
                <w:color w:val="000000" w:themeColor="text1"/>
                <w:lang w:val="en-GB"/>
              </w:rPr>
            </w:pPr>
            <w:r w:rsidRPr="6B9B85CA" w:rsidR="6B9B85CA">
              <w:rPr>
                <w:b w:val="1"/>
                <w:bCs w:val="1"/>
                <w:color w:val="000000" w:themeColor="text1" w:themeTint="FF" w:themeShade="FF"/>
                <w:lang w:val="en-GB"/>
              </w:rPr>
              <w:t>704,881</w:t>
            </w:r>
          </w:p>
        </w:tc>
        <w:tc>
          <w:tcPr>
            <w:tcW w:w="1090" w:type="dxa"/>
            <w:shd w:val="clear" w:color="auto" w:fill="E2EFD9" w:themeFill="accent6" w:themeFillTint="33"/>
            <w:tcMar/>
          </w:tcPr>
          <w:p w:rsidRPr="00453F92" w:rsidR="004D0C16" w:rsidP="002901E0" w:rsidRDefault="004D0C16" w14:paraId="7CED7596" w14:textId="77777777">
            <w:pPr>
              <w:spacing w:line="300" w:lineRule="exact"/>
              <w:jc w:val="right"/>
              <w:rPr>
                <w:b/>
                <w:color w:val="000000" w:themeColor="text1"/>
                <w:lang w:val="en-GB"/>
              </w:rPr>
            </w:pPr>
          </w:p>
        </w:tc>
      </w:tr>
      <w:tr w:rsidR="00C446D2" w:rsidTr="6B9B85CA" w14:paraId="22897710" w14:textId="2350D58E">
        <w:tc>
          <w:tcPr>
            <w:tcW w:w="2173" w:type="dxa"/>
            <w:shd w:val="clear" w:color="auto" w:fill="FFFFFF" w:themeFill="background1"/>
            <w:tcMar/>
          </w:tcPr>
          <w:p w:rsidRPr="00453F92" w:rsidR="00C446D2" w:rsidP="00C446D2" w:rsidRDefault="00C446D2" w14:paraId="0E6DA463" w14:textId="70D60D5A">
            <w:pPr>
              <w:spacing w:line="300" w:lineRule="exact"/>
              <w:rPr>
                <w:bCs/>
                <w:color w:val="000000" w:themeColor="text1"/>
                <w:lang w:val="en-GB"/>
              </w:rPr>
            </w:pPr>
            <w:r w:rsidRPr="00453F92">
              <w:rPr>
                <w:bCs/>
                <w:color w:val="000000" w:themeColor="text1"/>
                <w:lang w:val="en-GB"/>
              </w:rPr>
              <w:t>Service Delivery</w:t>
            </w:r>
          </w:p>
        </w:tc>
        <w:tc>
          <w:tcPr>
            <w:tcW w:w="3857" w:type="dxa"/>
            <w:shd w:val="clear" w:color="auto" w:fill="FFFFFF" w:themeFill="background1"/>
            <w:tcMar/>
          </w:tcPr>
          <w:p w:rsidRPr="00453F92" w:rsidR="00C446D2" w:rsidP="00C446D2" w:rsidRDefault="00C446D2" w14:paraId="1C0DF702" w14:textId="77777777">
            <w:pPr>
              <w:spacing w:line="300" w:lineRule="exact"/>
              <w:rPr>
                <w:bCs/>
                <w:color w:val="000000" w:themeColor="text1"/>
                <w:lang w:val="en-GB"/>
              </w:rPr>
            </w:pPr>
            <w:r w:rsidRPr="00453F92">
              <w:rPr>
                <w:bCs/>
                <w:color w:val="000000" w:themeColor="text1"/>
                <w:lang w:val="en-GB"/>
              </w:rPr>
              <w:t>Service delivery-related barriers of missed communities to access immunisation services identified and prioritised</w:t>
            </w:r>
          </w:p>
          <w:p w:rsidRPr="00453F92" w:rsidR="00C446D2" w:rsidP="00C446D2" w:rsidRDefault="00C446D2" w14:paraId="5EC9B9B4" w14:textId="77777777">
            <w:pPr>
              <w:spacing w:line="300" w:lineRule="exact"/>
              <w:rPr>
                <w:bCs/>
                <w:color w:val="000000" w:themeColor="text1"/>
                <w:lang w:val="en-GB"/>
              </w:rPr>
            </w:pPr>
          </w:p>
          <w:p w:rsidRPr="00453F92" w:rsidR="00C446D2" w:rsidP="00C446D2" w:rsidRDefault="00C446D2" w14:paraId="7BE60E25" w14:textId="77777777">
            <w:pPr>
              <w:spacing w:line="300" w:lineRule="exact"/>
              <w:rPr>
                <w:bCs/>
                <w:color w:val="000000" w:themeColor="text1"/>
                <w:lang w:val="en-GB"/>
              </w:rPr>
            </w:pPr>
            <w:r w:rsidRPr="00453F92">
              <w:rPr>
                <w:bCs/>
                <w:color w:val="000000" w:themeColor="text1"/>
                <w:lang w:val="en-GB"/>
              </w:rPr>
              <w:t>Roadmap for improved integration of EPI with other PHC services</w:t>
            </w:r>
          </w:p>
          <w:p w:rsidRPr="00453F92" w:rsidR="00C446D2" w:rsidP="00C446D2" w:rsidRDefault="00C446D2" w14:paraId="43B9A6E4" w14:textId="77777777">
            <w:pPr>
              <w:spacing w:line="300" w:lineRule="exact"/>
              <w:rPr>
                <w:bCs/>
                <w:color w:val="000000" w:themeColor="text1"/>
                <w:lang w:val="en-GB"/>
              </w:rPr>
            </w:pPr>
          </w:p>
          <w:p w:rsidRPr="00453F92" w:rsidR="00C446D2" w:rsidP="00C446D2" w:rsidRDefault="00C446D2" w14:paraId="44443FA3" w14:textId="2A35315C">
            <w:pPr>
              <w:spacing w:line="300" w:lineRule="exact"/>
              <w:rPr>
                <w:bCs/>
                <w:color w:val="000000" w:themeColor="text1"/>
                <w:lang w:val="en-GB"/>
              </w:rPr>
            </w:pPr>
            <w:r w:rsidRPr="00453F92">
              <w:rPr>
                <w:bCs/>
                <w:color w:val="000000" w:themeColor="text1"/>
                <w:lang w:val="en-GB"/>
              </w:rPr>
              <w:t>Microplanning conducte</w:t>
            </w:r>
            <w:r w:rsidRPr="00453F92" w:rsidR="00632B2E">
              <w:rPr>
                <w:bCs/>
                <w:color w:val="000000" w:themeColor="text1"/>
                <w:lang w:val="en-GB"/>
              </w:rPr>
              <w:t>d</w:t>
            </w:r>
          </w:p>
          <w:p w:rsidRPr="00453F92" w:rsidR="00C446D2" w:rsidP="00C446D2" w:rsidRDefault="00C446D2" w14:paraId="094A1CA5" w14:textId="77777777">
            <w:pPr>
              <w:spacing w:line="300" w:lineRule="exact"/>
              <w:rPr>
                <w:bCs/>
                <w:color w:val="000000" w:themeColor="text1"/>
                <w:lang w:val="en-GB"/>
              </w:rPr>
            </w:pPr>
          </w:p>
          <w:p w:rsidRPr="00453F92" w:rsidR="00C446D2" w:rsidP="00C446D2" w:rsidRDefault="00C446D2" w14:paraId="7B39A3E7" w14:textId="77777777">
            <w:pPr>
              <w:spacing w:line="300" w:lineRule="exact"/>
              <w:rPr>
                <w:bCs/>
                <w:color w:val="000000" w:themeColor="text1"/>
                <w:lang w:val="en-GB"/>
              </w:rPr>
            </w:pPr>
            <w:r w:rsidRPr="00453F92">
              <w:rPr>
                <w:bCs/>
                <w:color w:val="000000" w:themeColor="text1"/>
                <w:lang w:val="en-GB"/>
              </w:rPr>
              <w:t>Supportive supervision conducted</w:t>
            </w:r>
          </w:p>
          <w:p w:rsidRPr="00453F92" w:rsidR="00C446D2" w:rsidP="00C446D2" w:rsidRDefault="00C446D2" w14:paraId="6D51DD6F" w14:textId="77777777">
            <w:pPr>
              <w:spacing w:line="300" w:lineRule="exact"/>
              <w:rPr>
                <w:bCs/>
                <w:color w:val="000000" w:themeColor="text1"/>
                <w:lang w:val="en-GB"/>
              </w:rPr>
            </w:pPr>
          </w:p>
          <w:p w:rsidRPr="00453F92" w:rsidR="00C446D2" w:rsidP="00C446D2" w:rsidRDefault="00C446D2" w14:paraId="1F48101B" w14:textId="78A8E9BA">
            <w:pPr>
              <w:spacing w:line="300" w:lineRule="exact"/>
              <w:rPr>
                <w:bCs/>
                <w:color w:val="000000" w:themeColor="text1"/>
                <w:lang w:val="en-GB"/>
              </w:rPr>
            </w:pPr>
            <w:r w:rsidRPr="00453F92">
              <w:rPr>
                <w:bCs/>
                <w:color w:val="000000" w:themeColor="text1"/>
                <w:lang w:val="en-GB"/>
              </w:rPr>
              <w:t>Second year of life (2YL) platform established and 2YL activities implemented</w:t>
            </w:r>
          </w:p>
        </w:tc>
        <w:tc>
          <w:tcPr>
            <w:tcW w:w="1952" w:type="dxa"/>
            <w:shd w:val="clear" w:color="auto" w:fill="FFFFFF" w:themeFill="background1"/>
            <w:tcMar/>
          </w:tcPr>
          <w:p w:rsidRPr="00453F92" w:rsidR="00C446D2" w:rsidP="00C446D2" w:rsidRDefault="00332D7E" w14:paraId="2A9EA0BF" w14:textId="359F1F48">
            <w:pPr>
              <w:spacing w:line="300" w:lineRule="exact"/>
              <w:jc w:val="right"/>
              <w:rPr>
                <w:bCs/>
                <w:color w:val="000000" w:themeColor="text1"/>
                <w:lang w:val="en-GB"/>
              </w:rPr>
            </w:pPr>
            <w:r w:rsidRPr="00453F92">
              <w:rPr>
                <w:bCs/>
                <w:color w:val="000000" w:themeColor="text1"/>
                <w:lang w:val="en-GB"/>
              </w:rPr>
              <w:lastRenderedPageBreak/>
              <w:t>2</w:t>
            </w:r>
            <w:r w:rsidRPr="00453F92" w:rsidR="009340A3">
              <w:rPr>
                <w:bCs/>
                <w:color w:val="000000" w:themeColor="text1"/>
                <w:lang w:val="en-GB"/>
              </w:rPr>
              <w:t>00</w:t>
            </w:r>
            <w:r w:rsidRPr="00453F92" w:rsidR="00632B2E">
              <w:rPr>
                <w:bCs/>
                <w:color w:val="000000" w:themeColor="text1"/>
                <w:lang w:val="en-GB"/>
              </w:rPr>
              <w:t>,</w:t>
            </w:r>
            <w:r w:rsidRPr="00453F92" w:rsidR="009340A3">
              <w:rPr>
                <w:bCs/>
                <w:color w:val="000000" w:themeColor="text1"/>
                <w:lang w:val="en-GB"/>
              </w:rPr>
              <w:t>000</w:t>
            </w:r>
          </w:p>
        </w:tc>
        <w:tc>
          <w:tcPr>
            <w:tcW w:w="1090" w:type="dxa"/>
            <w:shd w:val="clear" w:color="auto" w:fill="FFFFFF" w:themeFill="background1"/>
            <w:tcMar/>
          </w:tcPr>
          <w:p w:rsidRPr="00453F92" w:rsidR="00C446D2" w:rsidP="00C446D2" w:rsidRDefault="00C67704" w14:paraId="6F1D7982" w14:textId="40859ED9">
            <w:pPr>
              <w:spacing w:line="300" w:lineRule="exact"/>
              <w:jc w:val="right"/>
              <w:rPr>
                <w:bCs/>
                <w:color w:val="000000" w:themeColor="text1"/>
                <w:lang w:val="en-GB"/>
              </w:rPr>
            </w:pPr>
            <w:r w:rsidRPr="00453F92">
              <w:rPr>
                <w:bCs/>
                <w:color w:val="000000" w:themeColor="text1"/>
                <w:lang w:val="en-GB"/>
              </w:rPr>
              <w:t>28</w:t>
            </w:r>
            <w:r w:rsidRPr="00453F92" w:rsidR="00632B2E">
              <w:rPr>
                <w:bCs/>
                <w:color w:val="000000" w:themeColor="text1"/>
                <w:lang w:val="en-GB"/>
              </w:rPr>
              <w:t>%</w:t>
            </w:r>
          </w:p>
        </w:tc>
      </w:tr>
      <w:tr w:rsidR="004D0C16" w:rsidTr="6B9B85CA" w14:paraId="15111CCA" w14:textId="23068779">
        <w:tc>
          <w:tcPr>
            <w:tcW w:w="2173" w:type="dxa"/>
            <w:shd w:val="clear" w:color="auto" w:fill="FFFFFF" w:themeFill="background1"/>
            <w:tcMar/>
          </w:tcPr>
          <w:p w:rsidRPr="00453F92" w:rsidR="00F60FD6" w:rsidP="00F60FD6" w:rsidRDefault="00F60FD6" w14:paraId="780E9190" w14:textId="77777777">
            <w:pPr>
              <w:spacing w:line="300" w:lineRule="exact"/>
              <w:rPr>
                <w:bCs/>
                <w:color w:val="000000" w:themeColor="text1"/>
                <w:lang w:val="en-GB"/>
              </w:rPr>
            </w:pPr>
            <w:r w:rsidRPr="00453F92">
              <w:rPr>
                <w:bCs/>
                <w:color w:val="000000" w:themeColor="text1"/>
                <w:lang w:val="en-GB"/>
              </w:rPr>
              <w:t xml:space="preserve">Human </w:t>
            </w:r>
          </w:p>
          <w:p w:rsidRPr="00453F92" w:rsidR="004D0C16" w:rsidP="00F60FD6" w:rsidRDefault="00F60FD6" w14:paraId="0EA952B8" w14:textId="61F32F3B">
            <w:pPr>
              <w:spacing w:line="300" w:lineRule="exact"/>
              <w:rPr>
                <w:bCs/>
                <w:color w:val="000000" w:themeColor="text1"/>
                <w:lang w:val="en-GB"/>
              </w:rPr>
            </w:pPr>
            <w:r w:rsidRPr="00453F92">
              <w:rPr>
                <w:bCs/>
                <w:color w:val="000000" w:themeColor="text1"/>
                <w:lang w:val="en-GB"/>
              </w:rPr>
              <w:t>resources for health</w:t>
            </w:r>
          </w:p>
        </w:tc>
        <w:tc>
          <w:tcPr>
            <w:tcW w:w="3857" w:type="dxa"/>
            <w:shd w:val="clear" w:color="auto" w:fill="FFFFFF" w:themeFill="background1"/>
            <w:tcMar/>
          </w:tcPr>
          <w:p w:rsidRPr="00453F92" w:rsidR="00C446D2" w:rsidP="00C446D2" w:rsidRDefault="00C446D2" w14:paraId="3F407F1A" w14:textId="77777777">
            <w:pPr>
              <w:spacing w:line="300" w:lineRule="exact"/>
              <w:rPr>
                <w:bCs/>
                <w:color w:val="000000" w:themeColor="text1"/>
                <w:lang w:val="en-GB"/>
              </w:rPr>
            </w:pPr>
            <w:r w:rsidRPr="00453F92">
              <w:rPr>
                <w:bCs/>
                <w:color w:val="000000" w:themeColor="text1"/>
                <w:lang w:val="en-GB"/>
              </w:rPr>
              <w:t>System for regular supportive supervision of vaccinators/FHWs in priority areas is in place, allowing for assessing trend in performance</w:t>
            </w:r>
          </w:p>
          <w:p w:rsidRPr="00453F92" w:rsidR="00C446D2" w:rsidP="00C446D2" w:rsidRDefault="00C446D2" w14:paraId="2858CB6F" w14:textId="77777777">
            <w:pPr>
              <w:spacing w:line="300" w:lineRule="exact"/>
              <w:rPr>
                <w:bCs/>
                <w:color w:val="000000" w:themeColor="text1"/>
                <w:lang w:val="en-GB"/>
              </w:rPr>
            </w:pPr>
          </w:p>
          <w:p w:rsidRPr="00453F92" w:rsidR="004D0C16" w:rsidP="00C446D2" w:rsidRDefault="00C446D2" w14:paraId="10D70F46" w14:textId="718123A2">
            <w:pPr>
              <w:spacing w:line="300" w:lineRule="exact"/>
              <w:rPr>
                <w:bCs/>
                <w:color w:val="000000" w:themeColor="text1"/>
                <w:lang w:val="en-GB"/>
              </w:rPr>
            </w:pPr>
            <w:r w:rsidRPr="00453F92">
              <w:rPr>
                <w:bCs/>
                <w:color w:val="000000" w:themeColor="text1"/>
                <w:lang w:val="en-GB"/>
              </w:rPr>
              <w:t>Increased knowledge of vaccination and its benefits</w:t>
            </w:r>
          </w:p>
        </w:tc>
        <w:tc>
          <w:tcPr>
            <w:tcW w:w="1952" w:type="dxa"/>
            <w:shd w:val="clear" w:color="auto" w:fill="FFFFFF" w:themeFill="background1"/>
            <w:tcMar/>
          </w:tcPr>
          <w:p w:rsidRPr="00453F92" w:rsidR="004D0C16" w:rsidP="003E44A7" w:rsidRDefault="003E44A7" w14:paraId="2571AD46" w14:textId="5F7C519B">
            <w:pPr>
              <w:spacing w:line="300" w:lineRule="exact"/>
              <w:jc w:val="right"/>
              <w:rPr>
                <w:bCs/>
                <w:color w:val="000000" w:themeColor="text1"/>
                <w:lang w:val="en-GB"/>
              </w:rPr>
            </w:pPr>
            <w:r w:rsidRPr="00453F92">
              <w:rPr>
                <w:bCs/>
                <w:color w:val="000000" w:themeColor="text1"/>
                <w:lang w:val="en-GB"/>
              </w:rPr>
              <w:t>35</w:t>
            </w:r>
            <w:r w:rsidRPr="00453F92" w:rsidR="00F459F9">
              <w:rPr>
                <w:bCs/>
                <w:color w:val="000000" w:themeColor="text1"/>
                <w:lang w:val="en-GB"/>
              </w:rPr>
              <w:t>,</w:t>
            </w:r>
            <w:r w:rsidRPr="00453F92">
              <w:rPr>
                <w:bCs/>
                <w:color w:val="000000" w:themeColor="text1"/>
                <w:lang w:val="en-GB"/>
              </w:rPr>
              <w:t>392</w:t>
            </w:r>
          </w:p>
        </w:tc>
        <w:tc>
          <w:tcPr>
            <w:tcW w:w="1090" w:type="dxa"/>
            <w:shd w:val="clear" w:color="auto" w:fill="FFFFFF" w:themeFill="background1"/>
            <w:tcMar/>
          </w:tcPr>
          <w:p w:rsidRPr="00453F92" w:rsidR="004D0C16" w:rsidP="00BD0046" w:rsidRDefault="00CC102A" w14:paraId="4C87F1AA" w14:textId="02BFB121">
            <w:pPr>
              <w:spacing w:line="300" w:lineRule="exact"/>
              <w:jc w:val="right"/>
              <w:rPr>
                <w:bCs/>
                <w:color w:val="000000" w:themeColor="text1"/>
                <w:lang w:val="en-GB"/>
              </w:rPr>
            </w:pPr>
            <w:r w:rsidRPr="00453F92">
              <w:rPr>
                <w:bCs/>
                <w:color w:val="000000" w:themeColor="text1"/>
                <w:lang w:val="en-GB"/>
              </w:rPr>
              <w:t>5</w:t>
            </w:r>
            <w:r w:rsidRPr="00453F92" w:rsidR="00A71038">
              <w:rPr>
                <w:bCs/>
                <w:color w:val="000000" w:themeColor="text1"/>
                <w:lang w:val="en-GB"/>
              </w:rPr>
              <w:t>%</w:t>
            </w:r>
          </w:p>
        </w:tc>
      </w:tr>
      <w:tr w:rsidR="00C446D2" w:rsidTr="6B9B85CA" w14:paraId="36A20421" w14:textId="77777777">
        <w:tc>
          <w:tcPr>
            <w:tcW w:w="2173" w:type="dxa"/>
            <w:shd w:val="clear" w:color="auto" w:fill="FFFFFF" w:themeFill="background1"/>
            <w:tcMar/>
          </w:tcPr>
          <w:p w:rsidRPr="00453F92" w:rsidR="00C446D2" w:rsidP="00C446D2" w:rsidRDefault="00C446D2" w14:paraId="408D9E68" w14:textId="3A3FFFC5">
            <w:pPr>
              <w:spacing w:line="300" w:lineRule="exact"/>
              <w:rPr>
                <w:bCs/>
                <w:color w:val="000000" w:themeColor="text1"/>
                <w:lang w:val="en-GB"/>
              </w:rPr>
            </w:pPr>
            <w:r w:rsidRPr="00453F92">
              <w:rPr>
                <w:bCs/>
                <w:color w:val="000000" w:themeColor="text1"/>
                <w:lang w:val="en-GB"/>
              </w:rPr>
              <w:t>Supply Chain</w:t>
            </w:r>
          </w:p>
        </w:tc>
        <w:tc>
          <w:tcPr>
            <w:tcW w:w="3857" w:type="dxa"/>
            <w:shd w:val="clear" w:color="auto" w:fill="FFFFFF" w:themeFill="background1"/>
            <w:tcMar/>
          </w:tcPr>
          <w:p w:rsidRPr="00453F92" w:rsidR="00C446D2" w:rsidP="00C446D2" w:rsidRDefault="00C446D2" w14:paraId="1639A15F" w14:textId="77777777">
            <w:pPr>
              <w:spacing w:line="300" w:lineRule="exact"/>
              <w:rPr>
                <w:bCs/>
                <w:color w:val="000000" w:themeColor="text1"/>
                <w:lang w:val="en-GB"/>
              </w:rPr>
            </w:pPr>
            <w:r w:rsidRPr="00453F92">
              <w:rPr>
                <w:bCs/>
                <w:color w:val="000000" w:themeColor="text1"/>
                <w:lang w:val="en-GB"/>
              </w:rPr>
              <w:t xml:space="preserve">Evaluation (e.g. EVMA, CCI, system redesign) completed and submitted to MOH, including supporting analysis of VfM and zero-dose considerations (as </w:t>
            </w:r>
          </w:p>
          <w:p w:rsidRPr="00453F92" w:rsidR="00C446D2" w:rsidP="00C446D2" w:rsidRDefault="00C446D2" w14:paraId="3BF0742E" w14:textId="77777777">
            <w:pPr>
              <w:spacing w:line="300" w:lineRule="exact"/>
              <w:rPr>
                <w:bCs/>
                <w:color w:val="000000" w:themeColor="text1"/>
                <w:lang w:val="en-GB"/>
              </w:rPr>
            </w:pPr>
            <w:r w:rsidRPr="00453F92">
              <w:rPr>
                <w:bCs/>
                <w:color w:val="000000" w:themeColor="text1"/>
                <w:lang w:val="en-GB"/>
              </w:rPr>
              <w:t>applicable)</w:t>
            </w:r>
          </w:p>
          <w:p w:rsidRPr="00453F92" w:rsidR="00C446D2" w:rsidP="00C446D2" w:rsidRDefault="00C446D2" w14:paraId="12A5EB2B" w14:textId="77777777">
            <w:pPr>
              <w:spacing w:line="300" w:lineRule="exact"/>
              <w:rPr>
                <w:bCs/>
                <w:color w:val="000000" w:themeColor="text1"/>
                <w:lang w:val="en-GB"/>
              </w:rPr>
            </w:pPr>
          </w:p>
          <w:p w:rsidRPr="00453F92" w:rsidR="00C446D2" w:rsidP="00C446D2" w:rsidRDefault="00C446D2" w14:paraId="023B9E07" w14:textId="77777777">
            <w:pPr>
              <w:spacing w:line="300" w:lineRule="exact"/>
              <w:rPr>
                <w:bCs/>
                <w:color w:val="000000" w:themeColor="text1"/>
                <w:lang w:val="en-GB"/>
              </w:rPr>
            </w:pPr>
            <w:r w:rsidRPr="00453F92">
              <w:rPr>
                <w:bCs/>
                <w:color w:val="000000" w:themeColor="text1"/>
                <w:lang w:val="en-GB"/>
              </w:rPr>
              <w:t xml:space="preserve">% </w:t>
            </w:r>
            <w:proofErr w:type="gramStart"/>
            <w:r w:rsidRPr="00453F92">
              <w:rPr>
                <w:bCs/>
                <w:color w:val="000000" w:themeColor="text1"/>
                <w:lang w:val="en-GB"/>
              </w:rPr>
              <w:t>of</w:t>
            </w:r>
            <w:proofErr w:type="gramEnd"/>
            <w:r w:rsidRPr="00453F92">
              <w:rPr>
                <w:bCs/>
                <w:color w:val="000000" w:themeColor="text1"/>
                <w:lang w:val="en-GB"/>
              </w:rPr>
              <w:t xml:space="preserve"> target sites (provinces/districts) that have updated CCE management documents – for example, CCE inventory, Operational Deployment Plan (ODP) or Cold Chain Expansion and Rehabilitation Plan, CCE maintenance strategy, </w:t>
            </w:r>
          </w:p>
          <w:p w:rsidRPr="00453F92" w:rsidR="00C446D2" w:rsidP="00C446D2" w:rsidRDefault="00C446D2" w14:paraId="442A1802" w14:textId="77777777">
            <w:pPr>
              <w:spacing w:line="300" w:lineRule="exact"/>
              <w:rPr>
                <w:bCs/>
                <w:color w:val="000000" w:themeColor="text1"/>
                <w:lang w:val="en-GB"/>
              </w:rPr>
            </w:pPr>
            <w:r w:rsidRPr="00453F92">
              <w:rPr>
                <w:bCs/>
                <w:color w:val="000000" w:themeColor="text1"/>
                <w:lang w:val="en-GB"/>
              </w:rPr>
              <w:t>etc.</w:t>
            </w:r>
          </w:p>
          <w:p w:rsidRPr="00453F92" w:rsidR="00C446D2" w:rsidP="00C446D2" w:rsidRDefault="00C446D2" w14:paraId="1DE7D7AD" w14:textId="77777777">
            <w:pPr>
              <w:spacing w:line="300" w:lineRule="exact"/>
              <w:rPr>
                <w:bCs/>
                <w:color w:val="000000" w:themeColor="text1"/>
                <w:lang w:val="en-GB"/>
              </w:rPr>
            </w:pPr>
          </w:p>
          <w:p w:rsidRPr="00453F92" w:rsidR="00C446D2" w:rsidP="00C446D2" w:rsidRDefault="00C446D2" w14:paraId="6249D53F" w14:textId="77777777">
            <w:pPr>
              <w:spacing w:line="300" w:lineRule="exact"/>
              <w:rPr>
                <w:bCs/>
                <w:color w:val="000000" w:themeColor="text1"/>
                <w:lang w:val="en-GB"/>
              </w:rPr>
            </w:pPr>
            <w:r w:rsidRPr="00453F92">
              <w:rPr>
                <w:bCs/>
                <w:color w:val="000000" w:themeColor="text1"/>
                <w:lang w:val="en-GB"/>
              </w:rPr>
              <w:t xml:space="preserve">% </w:t>
            </w:r>
            <w:proofErr w:type="gramStart"/>
            <w:r w:rsidRPr="00453F92">
              <w:rPr>
                <w:bCs/>
                <w:color w:val="000000" w:themeColor="text1"/>
                <w:lang w:val="en-GB"/>
              </w:rPr>
              <w:t>of</w:t>
            </w:r>
            <w:proofErr w:type="gramEnd"/>
            <w:r w:rsidRPr="00453F92">
              <w:rPr>
                <w:bCs/>
                <w:color w:val="000000" w:themeColor="text1"/>
                <w:lang w:val="en-GB"/>
              </w:rPr>
              <w:t xml:space="preserve"> target sites (provinces/districts) that have updated CCE management </w:t>
            </w:r>
          </w:p>
          <w:p w:rsidRPr="00453F92" w:rsidR="00C446D2" w:rsidP="00C446D2" w:rsidRDefault="00C446D2" w14:paraId="4586C414" w14:textId="77777777">
            <w:pPr>
              <w:spacing w:line="300" w:lineRule="exact"/>
              <w:rPr>
                <w:bCs/>
                <w:color w:val="000000" w:themeColor="text1"/>
                <w:lang w:val="en-GB"/>
              </w:rPr>
            </w:pPr>
            <w:r w:rsidRPr="00453F92">
              <w:rPr>
                <w:bCs/>
                <w:color w:val="000000" w:themeColor="text1"/>
                <w:lang w:val="en-GB"/>
              </w:rPr>
              <w:t xml:space="preserve">documents – for example, CCE inventory, Operational Deployment Plan (ODP) or Cold Chain Expansion and Rehabilitation Plan, CCE maintenance strategy, </w:t>
            </w:r>
          </w:p>
          <w:p w:rsidRPr="00453F92" w:rsidR="00C446D2" w:rsidP="00C446D2" w:rsidRDefault="00C446D2" w14:paraId="5E1D0636" w14:textId="77777777">
            <w:pPr>
              <w:spacing w:line="300" w:lineRule="exact"/>
              <w:rPr>
                <w:bCs/>
                <w:color w:val="000000" w:themeColor="text1"/>
                <w:lang w:val="en-GB"/>
              </w:rPr>
            </w:pPr>
            <w:r w:rsidRPr="00453F92">
              <w:rPr>
                <w:bCs/>
                <w:color w:val="000000" w:themeColor="text1"/>
                <w:lang w:val="en-GB"/>
              </w:rPr>
              <w:t>etc.</w:t>
            </w:r>
          </w:p>
          <w:p w:rsidRPr="00453F92" w:rsidR="00C446D2" w:rsidP="00C446D2" w:rsidRDefault="00C446D2" w14:paraId="1A842262" w14:textId="77777777">
            <w:pPr>
              <w:spacing w:line="300" w:lineRule="exact"/>
              <w:rPr>
                <w:bCs/>
                <w:color w:val="000000" w:themeColor="text1"/>
                <w:lang w:val="en-GB"/>
              </w:rPr>
            </w:pPr>
          </w:p>
          <w:p w:rsidRPr="00453F92" w:rsidR="00C446D2" w:rsidP="00C446D2" w:rsidRDefault="00C446D2" w14:paraId="5A27B821" w14:textId="77777777">
            <w:pPr>
              <w:spacing w:line="300" w:lineRule="exact"/>
              <w:rPr>
                <w:bCs/>
                <w:color w:val="000000" w:themeColor="text1"/>
                <w:lang w:val="en-GB"/>
              </w:rPr>
            </w:pPr>
            <w:r w:rsidRPr="00453F92">
              <w:rPr>
                <w:bCs/>
                <w:color w:val="000000" w:themeColor="text1"/>
                <w:lang w:val="en-GB"/>
              </w:rPr>
              <w:lastRenderedPageBreak/>
              <w:t xml:space="preserve">% </w:t>
            </w:r>
            <w:proofErr w:type="gramStart"/>
            <w:r w:rsidRPr="00453F92">
              <w:rPr>
                <w:bCs/>
                <w:color w:val="000000" w:themeColor="text1"/>
                <w:lang w:val="en-GB"/>
              </w:rPr>
              <w:t>of</w:t>
            </w:r>
            <w:proofErr w:type="gramEnd"/>
            <w:r w:rsidRPr="00453F92">
              <w:rPr>
                <w:bCs/>
                <w:color w:val="000000" w:themeColor="text1"/>
                <w:lang w:val="en-GB"/>
              </w:rPr>
              <w:t xml:space="preserve"> sites with supply chain data platform (e.g. RTM, </w:t>
            </w:r>
            <w:proofErr w:type="spellStart"/>
            <w:r w:rsidRPr="00453F92">
              <w:rPr>
                <w:bCs/>
                <w:color w:val="000000" w:themeColor="text1"/>
                <w:lang w:val="en-GB"/>
              </w:rPr>
              <w:t>eLMIS</w:t>
            </w:r>
            <w:proofErr w:type="spellEnd"/>
            <w:r w:rsidRPr="00453F92">
              <w:rPr>
                <w:bCs/>
                <w:color w:val="000000" w:themeColor="text1"/>
                <w:lang w:val="en-GB"/>
              </w:rPr>
              <w:t xml:space="preserve">) users </w:t>
            </w:r>
          </w:p>
          <w:p w:rsidRPr="00453F92" w:rsidR="00C446D2" w:rsidP="00C446D2" w:rsidRDefault="00C446D2" w14:paraId="1402CB6F" w14:textId="40CFC279">
            <w:pPr>
              <w:spacing w:line="300" w:lineRule="exact"/>
              <w:rPr>
                <w:bCs/>
                <w:color w:val="000000" w:themeColor="text1"/>
                <w:lang w:val="en-GB"/>
              </w:rPr>
            </w:pPr>
            <w:r w:rsidRPr="00453F92">
              <w:rPr>
                <w:bCs/>
                <w:color w:val="000000" w:themeColor="text1"/>
                <w:lang w:val="en-GB"/>
              </w:rPr>
              <w:t>demonstrating regular and independent use of platform in preceding [X] months</w:t>
            </w:r>
          </w:p>
        </w:tc>
        <w:tc>
          <w:tcPr>
            <w:tcW w:w="1952" w:type="dxa"/>
            <w:shd w:val="clear" w:color="auto" w:fill="FFFFFF" w:themeFill="background1"/>
            <w:tcMar/>
          </w:tcPr>
          <w:p w:rsidRPr="00453F92" w:rsidR="00C446D2" w:rsidP="00C446D2" w:rsidRDefault="00F459F9" w14:paraId="4A431806" w14:textId="3BECDACF">
            <w:pPr>
              <w:spacing w:line="300" w:lineRule="exact"/>
              <w:jc w:val="right"/>
              <w:rPr>
                <w:bCs/>
                <w:color w:val="000000" w:themeColor="text1"/>
                <w:lang w:val="en-GB"/>
              </w:rPr>
            </w:pPr>
            <w:r w:rsidRPr="00453F92">
              <w:rPr>
                <w:bCs/>
                <w:color w:val="000000" w:themeColor="text1"/>
                <w:lang w:val="en-GB"/>
              </w:rPr>
              <w:lastRenderedPageBreak/>
              <w:t>1</w:t>
            </w:r>
            <w:r w:rsidRPr="00453F92" w:rsidR="009340A3">
              <w:rPr>
                <w:bCs/>
                <w:color w:val="000000" w:themeColor="text1"/>
                <w:lang w:val="en-GB"/>
              </w:rPr>
              <w:t>89</w:t>
            </w:r>
            <w:r w:rsidRPr="00453F92">
              <w:rPr>
                <w:bCs/>
                <w:color w:val="000000" w:themeColor="text1"/>
                <w:lang w:val="en-GB"/>
              </w:rPr>
              <w:t>,</w:t>
            </w:r>
            <w:r w:rsidRPr="00453F92" w:rsidR="009340A3">
              <w:rPr>
                <w:bCs/>
                <w:color w:val="000000" w:themeColor="text1"/>
                <w:lang w:val="en-GB"/>
              </w:rPr>
              <w:t>489</w:t>
            </w:r>
          </w:p>
        </w:tc>
        <w:tc>
          <w:tcPr>
            <w:tcW w:w="1090" w:type="dxa"/>
            <w:shd w:val="clear" w:color="auto" w:fill="FFFFFF" w:themeFill="background1"/>
            <w:tcMar/>
          </w:tcPr>
          <w:p w:rsidRPr="00453F92" w:rsidR="00C446D2" w:rsidP="00C446D2" w:rsidRDefault="00CC102A" w14:paraId="0AFD6896" w14:textId="565714F5">
            <w:pPr>
              <w:spacing w:line="300" w:lineRule="exact"/>
              <w:jc w:val="right"/>
              <w:rPr>
                <w:bCs/>
                <w:color w:val="000000" w:themeColor="text1"/>
                <w:lang w:val="en-GB"/>
              </w:rPr>
            </w:pPr>
            <w:r w:rsidRPr="00453F92">
              <w:rPr>
                <w:bCs/>
                <w:color w:val="000000" w:themeColor="text1"/>
                <w:lang w:val="en-GB"/>
              </w:rPr>
              <w:t>27</w:t>
            </w:r>
            <w:r w:rsidRPr="00453F92" w:rsidR="00F459F9">
              <w:rPr>
                <w:bCs/>
                <w:color w:val="000000" w:themeColor="text1"/>
                <w:lang w:val="en-GB"/>
              </w:rPr>
              <w:t>%</w:t>
            </w:r>
          </w:p>
        </w:tc>
      </w:tr>
      <w:tr w:rsidR="00C446D2" w:rsidTr="6B9B85CA" w14:paraId="3A4D0DBE" w14:textId="77777777">
        <w:tc>
          <w:tcPr>
            <w:tcW w:w="2173" w:type="dxa"/>
            <w:shd w:val="clear" w:color="auto" w:fill="FFFFFF" w:themeFill="background1"/>
            <w:tcMar/>
          </w:tcPr>
          <w:p w:rsidRPr="00453F92" w:rsidR="00C446D2" w:rsidP="00C446D2" w:rsidRDefault="00C446D2" w14:paraId="3F95D392" w14:textId="77777777">
            <w:pPr>
              <w:spacing w:line="300" w:lineRule="exact"/>
              <w:rPr>
                <w:bCs/>
                <w:color w:val="000000" w:themeColor="text1"/>
                <w:lang w:val="en-GB"/>
              </w:rPr>
            </w:pPr>
            <w:r w:rsidRPr="00453F92">
              <w:rPr>
                <w:bCs/>
                <w:color w:val="000000" w:themeColor="text1"/>
                <w:lang w:val="en-GB"/>
              </w:rPr>
              <w:t xml:space="preserve">Health </w:t>
            </w:r>
          </w:p>
          <w:p w:rsidRPr="00453F92" w:rsidR="00C446D2" w:rsidP="00C446D2" w:rsidRDefault="00C446D2" w14:paraId="71E26F10" w14:textId="77777777">
            <w:pPr>
              <w:spacing w:line="300" w:lineRule="exact"/>
              <w:rPr>
                <w:bCs/>
                <w:color w:val="000000" w:themeColor="text1"/>
                <w:lang w:val="en-GB"/>
              </w:rPr>
            </w:pPr>
            <w:r w:rsidRPr="00453F92">
              <w:rPr>
                <w:bCs/>
                <w:color w:val="000000" w:themeColor="text1"/>
                <w:lang w:val="en-GB"/>
              </w:rPr>
              <w:t xml:space="preserve">Information </w:t>
            </w:r>
          </w:p>
          <w:p w:rsidRPr="00453F92" w:rsidR="00C446D2" w:rsidP="00C446D2" w:rsidRDefault="00C446D2" w14:paraId="16CBAFA7" w14:textId="77777777">
            <w:pPr>
              <w:spacing w:line="300" w:lineRule="exact"/>
              <w:rPr>
                <w:bCs/>
                <w:color w:val="000000" w:themeColor="text1"/>
                <w:lang w:val="en-GB"/>
              </w:rPr>
            </w:pPr>
            <w:r w:rsidRPr="00453F92">
              <w:rPr>
                <w:bCs/>
                <w:color w:val="000000" w:themeColor="text1"/>
                <w:lang w:val="en-GB"/>
              </w:rPr>
              <w:t xml:space="preserve">Systems and </w:t>
            </w:r>
          </w:p>
          <w:p w:rsidRPr="00453F92" w:rsidR="00C446D2" w:rsidP="00C446D2" w:rsidRDefault="00C446D2" w14:paraId="1F1E5071" w14:textId="77777777">
            <w:pPr>
              <w:spacing w:line="300" w:lineRule="exact"/>
              <w:rPr>
                <w:bCs/>
                <w:color w:val="000000" w:themeColor="text1"/>
                <w:lang w:val="en-GB"/>
              </w:rPr>
            </w:pPr>
            <w:r w:rsidRPr="00453F92">
              <w:rPr>
                <w:bCs/>
                <w:color w:val="000000" w:themeColor="text1"/>
                <w:lang w:val="en-GB"/>
              </w:rPr>
              <w:t xml:space="preserve">Monitoring &amp; </w:t>
            </w:r>
          </w:p>
          <w:p w:rsidRPr="00453F92" w:rsidR="00C446D2" w:rsidP="00C446D2" w:rsidRDefault="00C446D2" w14:paraId="310B3818" w14:textId="6900D06C">
            <w:pPr>
              <w:spacing w:line="300" w:lineRule="exact"/>
              <w:rPr>
                <w:bCs/>
                <w:color w:val="000000" w:themeColor="text1"/>
                <w:lang w:val="en-GB"/>
              </w:rPr>
            </w:pPr>
            <w:r w:rsidRPr="00453F92">
              <w:rPr>
                <w:bCs/>
                <w:color w:val="000000" w:themeColor="text1"/>
                <w:lang w:val="en-GB"/>
              </w:rPr>
              <w:t>Learning</w:t>
            </w:r>
          </w:p>
        </w:tc>
        <w:tc>
          <w:tcPr>
            <w:tcW w:w="3857" w:type="dxa"/>
            <w:shd w:val="clear" w:color="auto" w:fill="FFFFFF" w:themeFill="background1"/>
            <w:tcMar/>
          </w:tcPr>
          <w:p w:rsidRPr="00453F92" w:rsidR="00C446D2" w:rsidP="00C446D2" w:rsidRDefault="00C446D2" w14:paraId="1673CC82" w14:textId="77777777">
            <w:pPr>
              <w:spacing w:line="300" w:lineRule="exact"/>
              <w:rPr>
                <w:bCs/>
                <w:color w:val="000000" w:themeColor="text1"/>
                <w:lang w:val="en-GB"/>
              </w:rPr>
            </w:pPr>
          </w:p>
        </w:tc>
        <w:tc>
          <w:tcPr>
            <w:tcW w:w="1952" w:type="dxa"/>
            <w:shd w:val="clear" w:color="auto" w:fill="FFFFFF" w:themeFill="background1"/>
            <w:tcMar/>
          </w:tcPr>
          <w:p w:rsidRPr="00453F92" w:rsidR="00C446D2" w:rsidP="00C446D2" w:rsidRDefault="00C446D2" w14:paraId="73795E41" w14:textId="77777777">
            <w:pPr>
              <w:spacing w:line="300" w:lineRule="exact"/>
              <w:jc w:val="right"/>
              <w:rPr>
                <w:bCs/>
                <w:color w:val="000000" w:themeColor="text1"/>
                <w:lang w:val="en-GB"/>
              </w:rPr>
            </w:pPr>
          </w:p>
        </w:tc>
        <w:tc>
          <w:tcPr>
            <w:tcW w:w="1090" w:type="dxa"/>
            <w:shd w:val="clear" w:color="auto" w:fill="FFFFFF" w:themeFill="background1"/>
            <w:tcMar/>
          </w:tcPr>
          <w:p w:rsidRPr="00453F92" w:rsidR="00C446D2" w:rsidP="00C446D2" w:rsidRDefault="00C446D2" w14:paraId="1221EB50" w14:textId="77777777">
            <w:pPr>
              <w:spacing w:line="300" w:lineRule="exact"/>
              <w:jc w:val="right"/>
              <w:rPr>
                <w:bCs/>
                <w:color w:val="000000" w:themeColor="text1"/>
                <w:lang w:val="en-GB"/>
              </w:rPr>
            </w:pPr>
          </w:p>
        </w:tc>
      </w:tr>
      <w:tr w:rsidR="00C446D2" w:rsidTr="6B9B85CA" w14:paraId="5A877D6C" w14:textId="77777777">
        <w:tc>
          <w:tcPr>
            <w:tcW w:w="2173" w:type="dxa"/>
            <w:shd w:val="clear" w:color="auto" w:fill="FFFFFF" w:themeFill="background1"/>
            <w:tcMar/>
          </w:tcPr>
          <w:p w:rsidRPr="00453F92" w:rsidR="00C446D2" w:rsidP="00C446D2" w:rsidRDefault="00C446D2" w14:paraId="7F993D43" w14:textId="77777777">
            <w:pPr>
              <w:spacing w:line="300" w:lineRule="exact"/>
              <w:rPr>
                <w:bCs/>
                <w:color w:val="000000" w:themeColor="text1"/>
                <w:lang w:val="en-GB"/>
              </w:rPr>
            </w:pPr>
            <w:proofErr w:type="spellStart"/>
            <w:r w:rsidRPr="00453F92">
              <w:rPr>
                <w:bCs/>
                <w:color w:val="000000" w:themeColor="text1"/>
                <w:lang w:val="en-GB"/>
              </w:rPr>
              <w:t>VaccinePreventable</w:t>
            </w:r>
            <w:proofErr w:type="spellEnd"/>
            <w:r w:rsidRPr="00453F92">
              <w:rPr>
                <w:bCs/>
                <w:color w:val="000000" w:themeColor="text1"/>
                <w:lang w:val="en-GB"/>
              </w:rPr>
              <w:t xml:space="preserve"> </w:t>
            </w:r>
          </w:p>
          <w:p w:rsidRPr="00453F92" w:rsidR="00C446D2" w:rsidP="00C446D2" w:rsidRDefault="00C446D2" w14:paraId="34D033C5" w14:textId="77777777">
            <w:pPr>
              <w:spacing w:line="300" w:lineRule="exact"/>
              <w:rPr>
                <w:bCs/>
                <w:color w:val="000000" w:themeColor="text1"/>
                <w:lang w:val="en-GB"/>
              </w:rPr>
            </w:pPr>
            <w:r w:rsidRPr="00453F92">
              <w:rPr>
                <w:bCs/>
                <w:color w:val="000000" w:themeColor="text1"/>
                <w:lang w:val="en-GB"/>
              </w:rPr>
              <w:t xml:space="preserve">Disease (VPD) </w:t>
            </w:r>
          </w:p>
          <w:p w:rsidRPr="00453F92" w:rsidR="00C446D2" w:rsidP="00C446D2" w:rsidRDefault="00C446D2" w14:paraId="0C40B329" w14:textId="325ECCEE">
            <w:pPr>
              <w:spacing w:line="300" w:lineRule="exact"/>
              <w:rPr>
                <w:bCs/>
                <w:color w:val="000000" w:themeColor="text1"/>
                <w:lang w:val="en-GB"/>
              </w:rPr>
            </w:pPr>
            <w:r w:rsidRPr="00453F92">
              <w:rPr>
                <w:bCs/>
                <w:color w:val="000000" w:themeColor="text1"/>
                <w:lang w:val="en-GB"/>
              </w:rPr>
              <w:t>Surveillance</w:t>
            </w:r>
          </w:p>
        </w:tc>
        <w:tc>
          <w:tcPr>
            <w:tcW w:w="3857" w:type="dxa"/>
            <w:shd w:val="clear" w:color="auto" w:fill="FFFFFF" w:themeFill="background1"/>
            <w:tcMar/>
          </w:tcPr>
          <w:p w:rsidRPr="00453F92" w:rsidR="00C446D2" w:rsidP="00C446D2" w:rsidRDefault="00FC3961" w14:paraId="2925E135" w14:textId="4889CD74">
            <w:pPr>
              <w:spacing w:line="300" w:lineRule="exact"/>
              <w:rPr>
                <w:bCs/>
                <w:color w:val="000000" w:themeColor="text1"/>
                <w:lang w:val="en-GB"/>
              </w:rPr>
            </w:pPr>
            <w:r w:rsidRPr="00453F92">
              <w:rPr>
                <w:bCs/>
                <w:color w:val="000000" w:themeColor="text1"/>
                <w:lang w:val="en-GB"/>
              </w:rPr>
              <w:t>X % of samples for X collected within X days</w:t>
            </w:r>
          </w:p>
        </w:tc>
        <w:tc>
          <w:tcPr>
            <w:tcW w:w="1952" w:type="dxa"/>
            <w:shd w:val="clear" w:color="auto" w:fill="FFFFFF" w:themeFill="background1"/>
            <w:tcMar/>
          </w:tcPr>
          <w:p w:rsidRPr="00453F92" w:rsidR="00C446D2" w:rsidP="00C446D2" w:rsidRDefault="003E44A7" w14:paraId="2D3D7E04" w14:textId="6E643BF5">
            <w:pPr>
              <w:spacing w:line="300" w:lineRule="exact"/>
              <w:jc w:val="right"/>
              <w:rPr>
                <w:bCs/>
                <w:color w:val="000000" w:themeColor="text1"/>
                <w:lang w:val="en-GB"/>
              </w:rPr>
            </w:pPr>
            <w:r w:rsidRPr="00453F92">
              <w:rPr>
                <w:bCs/>
                <w:color w:val="000000" w:themeColor="text1"/>
                <w:lang w:val="en-GB"/>
              </w:rPr>
              <w:t>80</w:t>
            </w:r>
            <w:r w:rsidRPr="00453F92" w:rsidR="00FC3961">
              <w:rPr>
                <w:bCs/>
                <w:color w:val="000000" w:themeColor="text1"/>
                <w:lang w:val="en-GB"/>
              </w:rPr>
              <w:t>,000</w:t>
            </w:r>
          </w:p>
        </w:tc>
        <w:tc>
          <w:tcPr>
            <w:tcW w:w="1090" w:type="dxa"/>
            <w:shd w:val="clear" w:color="auto" w:fill="FFFFFF" w:themeFill="background1"/>
            <w:tcMar/>
          </w:tcPr>
          <w:p w:rsidRPr="00453F92" w:rsidR="00C446D2" w:rsidP="00C446D2" w:rsidRDefault="003E44A7" w14:paraId="2B1833C9" w14:textId="58C80798">
            <w:pPr>
              <w:spacing w:line="300" w:lineRule="exact"/>
              <w:jc w:val="right"/>
              <w:rPr>
                <w:bCs/>
                <w:color w:val="000000" w:themeColor="text1"/>
                <w:lang w:val="en-GB"/>
              </w:rPr>
            </w:pPr>
            <w:r w:rsidRPr="00453F92">
              <w:rPr>
                <w:bCs/>
                <w:color w:val="000000" w:themeColor="text1"/>
                <w:lang w:val="en-GB"/>
              </w:rPr>
              <w:t>1</w:t>
            </w:r>
            <w:r w:rsidRPr="00453F92" w:rsidR="00CC102A">
              <w:rPr>
                <w:bCs/>
                <w:color w:val="000000" w:themeColor="text1"/>
                <w:lang w:val="en-GB"/>
              </w:rPr>
              <w:t>1</w:t>
            </w:r>
            <w:r w:rsidRPr="00453F92">
              <w:rPr>
                <w:bCs/>
                <w:color w:val="000000" w:themeColor="text1"/>
                <w:lang w:val="en-GB"/>
              </w:rPr>
              <w:t>%</w:t>
            </w:r>
          </w:p>
        </w:tc>
      </w:tr>
      <w:tr w:rsidR="00C446D2" w:rsidTr="6B9B85CA" w14:paraId="0D9070EC" w14:textId="77777777">
        <w:tc>
          <w:tcPr>
            <w:tcW w:w="2173" w:type="dxa"/>
            <w:shd w:val="clear" w:color="auto" w:fill="FFFFFF" w:themeFill="background1"/>
            <w:tcMar/>
          </w:tcPr>
          <w:p w:rsidRPr="00453F92" w:rsidR="00C446D2" w:rsidP="00C446D2" w:rsidRDefault="00C446D2" w14:paraId="57063B74" w14:textId="77777777">
            <w:pPr>
              <w:spacing w:line="300" w:lineRule="exact"/>
              <w:rPr>
                <w:bCs/>
                <w:color w:val="000000" w:themeColor="text1"/>
                <w:lang w:val="en-GB"/>
              </w:rPr>
            </w:pPr>
            <w:r w:rsidRPr="00453F92">
              <w:rPr>
                <w:bCs/>
                <w:color w:val="000000" w:themeColor="text1"/>
                <w:lang w:val="en-GB"/>
              </w:rPr>
              <w:t xml:space="preserve">Demand </w:t>
            </w:r>
          </w:p>
          <w:p w:rsidRPr="00453F92" w:rsidR="00C446D2" w:rsidP="00C446D2" w:rsidRDefault="00C446D2" w14:paraId="2523AAFB" w14:textId="77777777">
            <w:pPr>
              <w:spacing w:line="300" w:lineRule="exact"/>
              <w:rPr>
                <w:bCs/>
                <w:color w:val="000000" w:themeColor="text1"/>
                <w:lang w:val="en-GB"/>
              </w:rPr>
            </w:pPr>
            <w:r w:rsidRPr="00453F92">
              <w:rPr>
                <w:bCs/>
                <w:color w:val="000000" w:themeColor="text1"/>
                <w:lang w:val="en-GB"/>
              </w:rPr>
              <w:t xml:space="preserve">Generation and </w:t>
            </w:r>
          </w:p>
          <w:p w:rsidRPr="00453F92" w:rsidR="00C446D2" w:rsidP="00C446D2" w:rsidRDefault="00C446D2" w14:paraId="646330DB" w14:textId="77777777">
            <w:pPr>
              <w:spacing w:line="300" w:lineRule="exact"/>
              <w:rPr>
                <w:bCs/>
                <w:color w:val="000000" w:themeColor="text1"/>
                <w:lang w:val="en-GB"/>
              </w:rPr>
            </w:pPr>
            <w:r w:rsidRPr="00453F92">
              <w:rPr>
                <w:bCs/>
                <w:color w:val="000000" w:themeColor="text1"/>
                <w:lang w:val="en-GB"/>
              </w:rPr>
              <w:t xml:space="preserve">Community </w:t>
            </w:r>
          </w:p>
          <w:p w:rsidRPr="00453F92" w:rsidR="00C446D2" w:rsidP="00C446D2" w:rsidRDefault="00C446D2" w14:paraId="799410DB" w14:textId="4C561AF3">
            <w:pPr>
              <w:spacing w:line="300" w:lineRule="exact"/>
              <w:rPr>
                <w:bCs/>
                <w:color w:val="000000" w:themeColor="text1"/>
                <w:lang w:val="en-GB"/>
              </w:rPr>
            </w:pPr>
            <w:r w:rsidRPr="00453F92">
              <w:rPr>
                <w:bCs/>
                <w:color w:val="000000" w:themeColor="text1"/>
                <w:lang w:val="en-GB"/>
              </w:rPr>
              <w:t>Engagement</w:t>
            </w:r>
          </w:p>
        </w:tc>
        <w:tc>
          <w:tcPr>
            <w:tcW w:w="3857" w:type="dxa"/>
            <w:shd w:val="clear" w:color="auto" w:fill="FFFFFF" w:themeFill="background1"/>
            <w:tcMar/>
          </w:tcPr>
          <w:p w:rsidRPr="00453F92" w:rsidR="00F56C54" w:rsidP="00F56C54" w:rsidRDefault="00F56C54" w14:paraId="294B34BB" w14:textId="77777777">
            <w:pPr>
              <w:spacing w:line="300" w:lineRule="exact"/>
              <w:rPr>
                <w:bCs/>
                <w:color w:val="000000" w:themeColor="text1"/>
                <w:lang w:val="en-GB"/>
              </w:rPr>
            </w:pPr>
            <w:r w:rsidRPr="00453F92">
              <w:rPr>
                <w:bCs/>
                <w:color w:val="000000" w:themeColor="text1"/>
                <w:lang w:val="en-GB"/>
              </w:rPr>
              <w:t>KAP survey implemented</w:t>
            </w:r>
          </w:p>
          <w:p w:rsidRPr="00453F92" w:rsidR="00F56C54" w:rsidP="00F56C54" w:rsidRDefault="00F56C54" w14:paraId="4532AFEB" w14:textId="77777777">
            <w:pPr>
              <w:spacing w:line="300" w:lineRule="exact"/>
              <w:rPr>
                <w:bCs/>
                <w:color w:val="000000" w:themeColor="text1"/>
                <w:lang w:val="en-GB"/>
              </w:rPr>
            </w:pPr>
          </w:p>
          <w:p w:rsidRPr="00453F92" w:rsidR="00F56C54" w:rsidP="00F56C54" w:rsidRDefault="00F56C54" w14:paraId="449396DF" w14:textId="77777777">
            <w:pPr>
              <w:spacing w:line="300" w:lineRule="exact"/>
              <w:rPr>
                <w:bCs/>
                <w:color w:val="000000" w:themeColor="text1"/>
                <w:lang w:val="en-GB"/>
              </w:rPr>
            </w:pPr>
            <w:r w:rsidRPr="00453F92">
              <w:rPr>
                <w:bCs/>
                <w:color w:val="000000" w:themeColor="text1"/>
                <w:lang w:val="en-GB"/>
              </w:rPr>
              <w:t>Human-Centred Design approach used for planning of service quality/design or community engagement interventions</w:t>
            </w:r>
          </w:p>
          <w:p w:rsidRPr="00453F92" w:rsidR="00F56C54" w:rsidP="00F56C54" w:rsidRDefault="00F56C54" w14:paraId="6D0FD44E" w14:textId="77777777">
            <w:pPr>
              <w:spacing w:line="300" w:lineRule="exact"/>
              <w:rPr>
                <w:bCs/>
                <w:color w:val="000000" w:themeColor="text1"/>
                <w:lang w:val="en-GB"/>
              </w:rPr>
            </w:pPr>
          </w:p>
          <w:p w:rsidRPr="00453F92" w:rsidR="00F56C54" w:rsidP="00F56C54" w:rsidRDefault="00F56C54" w14:paraId="1350B8BD" w14:textId="77777777">
            <w:pPr>
              <w:spacing w:line="300" w:lineRule="exact"/>
              <w:rPr>
                <w:bCs/>
                <w:color w:val="000000" w:themeColor="text1"/>
                <w:lang w:val="en-GB"/>
              </w:rPr>
            </w:pPr>
            <w:r w:rsidRPr="00453F92">
              <w:rPr>
                <w:bCs/>
                <w:color w:val="000000" w:themeColor="text1"/>
                <w:lang w:val="en-GB"/>
              </w:rPr>
              <w:t>Social Listening &amp; Engagement approach to track, assess and address misinformation and rumours on immunisation as well as COVID-19, generating analytical reports</w:t>
            </w:r>
          </w:p>
          <w:p w:rsidRPr="00453F92" w:rsidR="00F56C54" w:rsidP="00F56C54" w:rsidRDefault="00F56C54" w14:paraId="1ACBDCA4" w14:textId="77777777">
            <w:pPr>
              <w:spacing w:line="300" w:lineRule="exact"/>
              <w:rPr>
                <w:bCs/>
                <w:color w:val="000000" w:themeColor="text1"/>
                <w:lang w:val="en-GB"/>
              </w:rPr>
            </w:pPr>
          </w:p>
          <w:p w:rsidRPr="00453F92" w:rsidR="00F56C54" w:rsidP="00F56C54" w:rsidRDefault="00F56C54" w14:paraId="19DC38FA" w14:textId="77777777">
            <w:pPr>
              <w:spacing w:line="300" w:lineRule="exact"/>
              <w:rPr>
                <w:bCs/>
                <w:color w:val="000000" w:themeColor="text1"/>
                <w:lang w:val="en-GB"/>
              </w:rPr>
            </w:pPr>
            <w:r w:rsidRPr="00453F92">
              <w:rPr>
                <w:bCs/>
                <w:color w:val="000000" w:themeColor="text1"/>
                <w:lang w:val="en-GB"/>
              </w:rPr>
              <w:t>Social mobilisation approach planned and implemented</w:t>
            </w:r>
          </w:p>
          <w:p w:rsidRPr="00453F92" w:rsidR="00F56C54" w:rsidP="00F56C54" w:rsidRDefault="00F56C54" w14:paraId="3082878B" w14:textId="77777777">
            <w:pPr>
              <w:spacing w:line="300" w:lineRule="exact"/>
              <w:rPr>
                <w:bCs/>
                <w:color w:val="000000" w:themeColor="text1"/>
                <w:lang w:val="en-GB"/>
              </w:rPr>
            </w:pPr>
          </w:p>
          <w:p w:rsidRPr="00453F92" w:rsidR="00C446D2" w:rsidP="00C446D2" w:rsidRDefault="00F56C54" w14:paraId="40578DFB" w14:textId="1A071548">
            <w:pPr>
              <w:spacing w:line="300" w:lineRule="exact"/>
              <w:rPr>
                <w:bCs/>
                <w:color w:val="000000" w:themeColor="text1"/>
                <w:lang w:val="en-GB"/>
              </w:rPr>
            </w:pPr>
            <w:r w:rsidRPr="00453F92">
              <w:rPr>
                <w:bCs/>
                <w:color w:val="000000" w:themeColor="text1"/>
                <w:lang w:val="en-GB"/>
              </w:rPr>
              <w:t>High-level advocacy mission conducted</w:t>
            </w:r>
          </w:p>
        </w:tc>
        <w:tc>
          <w:tcPr>
            <w:tcW w:w="1952" w:type="dxa"/>
            <w:shd w:val="clear" w:color="auto" w:fill="FFFFFF" w:themeFill="background1"/>
            <w:tcMar/>
          </w:tcPr>
          <w:p w:rsidRPr="00453F92" w:rsidR="00C446D2" w:rsidP="00C446D2" w:rsidRDefault="00332D7E" w14:paraId="79EEA9BA" w14:textId="6F0C1E3C">
            <w:pPr>
              <w:spacing w:line="300" w:lineRule="exact"/>
              <w:jc w:val="right"/>
              <w:rPr>
                <w:bCs/>
                <w:color w:val="000000" w:themeColor="text1"/>
                <w:lang w:val="en-GB"/>
              </w:rPr>
            </w:pPr>
            <w:r w:rsidRPr="00453F92">
              <w:rPr>
                <w:bCs/>
                <w:color w:val="000000" w:themeColor="text1"/>
                <w:lang w:val="en-GB"/>
              </w:rPr>
              <w:t>2</w:t>
            </w:r>
            <w:r w:rsidRPr="00453F92" w:rsidR="003E44A7">
              <w:rPr>
                <w:bCs/>
                <w:color w:val="000000" w:themeColor="text1"/>
                <w:lang w:val="en-GB"/>
              </w:rPr>
              <w:t>00,000</w:t>
            </w:r>
          </w:p>
        </w:tc>
        <w:tc>
          <w:tcPr>
            <w:tcW w:w="1090" w:type="dxa"/>
            <w:shd w:val="clear" w:color="auto" w:fill="FFFFFF" w:themeFill="background1"/>
            <w:tcMar/>
          </w:tcPr>
          <w:p w:rsidRPr="00453F92" w:rsidR="00C446D2" w:rsidP="00C446D2" w:rsidRDefault="00CC102A" w14:paraId="53F232B7" w14:textId="5F63877C">
            <w:pPr>
              <w:spacing w:line="300" w:lineRule="exact"/>
              <w:jc w:val="right"/>
              <w:rPr>
                <w:bCs/>
                <w:color w:val="000000" w:themeColor="text1"/>
                <w:lang w:val="en-GB"/>
              </w:rPr>
            </w:pPr>
            <w:r w:rsidRPr="00453F92">
              <w:rPr>
                <w:bCs/>
                <w:color w:val="000000" w:themeColor="text1"/>
                <w:lang w:val="en-GB"/>
              </w:rPr>
              <w:t>2</w:t>
            </w:r>
            <w:r w:rsidRPr="00453F92" w:rsidR="003E44A7">
              <w:rPr>
                <w:bCs/>
                <w:color w:val="000000" w:themeColor="text1"/>
                <w:lang w:val="en-GB"/>
              </w:rPr>
              <w:t>8%</w:t>
            </w:r>
          </w:p>
        </w:tc>
      </w:tr>
    </w:tbl>
    <w:p w:rsidR="00372D1F" w:rsidRDefault="00372D1F" w14:paraId="62A44A29" w14:textId="77777777"/>
    <w:tbl>
      <w:tblPr>
        <w:tblStyle w:val="TableGrid"/>
        <w:tblW w:w="9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372D1F" w:rsidTr="00EF03AD" w14:paraId="42B6E5C8" w14:textId="77777777">
        <w:tc>
          <w:tcPr>
            <w:tcW w:w="9192" w:type="dxa"/>
            <w:tcBorders>
              <w:bottom w:val="single" w:color="auto" w:sz="4" w:space="0"/>
            </w:tcBorders>
            <w:shd w:val="clear" w:color="auto" w:fill="F2F2F2" w:themeFill="background1" w:themeFillShade="F2"/>
          </w:tcPr>
          <w:p w:rsidRPr="00B614D7" w:rsidR="00372D1F" w:rsidP="00372D1F" w:rsidRDefault="00372D1F" w14:paraId="5594A626" w14:textId="06689130">
            <w:pPr>
              <w:spacing w:line="300" w:lineRule="exact"/>
              <w:rPr>
                <w:b/>
                <w:bCs/>
                <w:i/>
                <w:iCs/>
                <w:sz w:val="20"/>
                <w:szCs w:val="20"/>
              </w:rPr>
            </w:pPr>
            <w:r>
              <w:rPr>
                <w:b/>
                <w:bCs/>
                <w:i/>
                <w:iCs/>
                <w:sz w:val="20"/>
                <w:szCs w:val="20"/>
              </w:rPr>
              <w:t xml:space="preserve">2.1 </w:t>
            </w:r>
            <w:r w:rsidRPr="00B614D7">
              <w:rPr>
                <w:b/>
                <w:bCs/>
                <w:i/>
                <w:iCs/>
                <w:sz w:val="20"/>
                <w:szCs w:val="20"/>
              </w:rPr>
              <w:t>Please reflect and describe your immunisation system</w:t>
            </w:r>
            <w:r w:rsidR="008447E6">
              <w:rPr>
                <w:b/>
                <w:bCs/>
                <w:i/>
                <w:iCs/>
                <w:sz w:val="20"/>
                <w:szCs w:val="20"/>
              </w:rPr>
              <w:t>'</w:t>
            </w:r>
            <w:r w:rsidRPr="00B614D7">
              <w:rPr>
                <w:b/>
                <w:bCs/>
                <w:i/>
                <w:iCs/>
                <w:sz w:val="20"/>
                <w:szCs w:val="20"/>
              </w:rPr>
              <w:t>s current TA needs</w:t>
            </w:r>
            <w:r>
              <w:rPr>
                <w:b/>
                <w:bCs/>
                <w:i/>
                <w:iCs/>
                <w:sz w:val="20"/>
                <w:szCs w:val="20"/>
              </w:rPr>
              <w:t xml:space="preserve"> as they are</w:t>
            </w:r>
            <w:r w:rsidRPr="00B614D7">
              <w:rPr>
                <w:b/>
                <w:bCs/>
                <w:i/>
                <w:iCs/>
                <w:sz w:val="20"/>
                <w:szCs w:val="20"/>
              </w:rPr>
              <w:t xml:space="preserve"> aligned with investments made by Government, Gavi and bilateral/multilateral donors. Your answers shall provide the context of and rationale for </w:t>
            </w:r>
            <w:r w:rsidR="0076309A">
              <w:rPr>
                <w:b/>
                <w:bCs/>
                <w:i/>
                <w:iCs/>
                <w:sz w:val="20"/>
                <w:szCs w:val="20"/>
              </w:rPr>
              <w:t>the requeste</w:t>
            </w:r>
            <w:r w:rsidR="007203BA">
              <w:rPr>
                <w:b/>
                <w:bCs/>
                <w:i/>
                <w:iCs/>
                <w:sz w:val="20"/>
                <w:szCs w:val="20"/>
              </w:rPr>
              <w:t>d TCA support from Gavi.</w:t>
            </w:r>
            <w:r w:rsidRPr="00B614D7">
              <w:rPr>
                <w:b/>
                <w:bCs/>
                <w:sz w:val="20"/>
                <w:szCs w:val="20"/>
              </w:rPr>
              <w:t xml:space="preserve"> </w:t>
            </w:r>
            <w:r w:rsidRPr="00B614D7">
              <w:rPr>
                <w:b/>
                <w:bCs/>
                <w:i/>
                <w:iCs/>
                <w:sz w:val="20"/>
                <w:szCs w:val="20"/>
              </w:rPr>
              <w:t xml:space="preserve">Please explicitly note the duration of </w:t>
            </w:r>
            <w:r w:rsidR="007203BA">
              <w:rPr>
                <w:b/>
                <w:bCs/>
                <w:i/>
                <w:iCs/>
                <w:sz w:val="20"/>
                <w:szCs w:val="20"/>
              </w:rPr>
              <w:t>the requested support</w:t>
            </w:r>
            <w:r w:rsidRPr="00B614D7">
              <w:rPr>
                <w:b/>
                <w:bCs/>
                <w:i/>
                <w:iCs/>
                <w:sz w:val="20"/>
                <w:szCs w:val="20"/>
              </w:rPr>
              <w:t>.</w:t>
            </w:r>
          </w:p>
        </w:tc>
      </w:tr>
      <w:tr w:rsidR="00372D1F" w:rsidTr="00EF03AD" w14:paraId="19BE42B7" w14:textId="77777777">
        <w:tc>
          <w:tcPr>
            <w:tcW w:w="9192" w:type="dxa"/>
            <w:tcBorders>
              <w:top w:val="single" w:color="auto" w:sz="4" w:space="0"/>
              <w:left w:val="single" w:color="auto" w:sz="4" w:space="0"/>
              <w:bottom w:val="single" w:color="auto" w:sz="4" w:space="0"/>
              <w:right w:val="single" w:color="auto" w:sz="4" w:space="0"/>
            </w:tcBorders>
          </w:tcPr>
          <w:p w:rsidRPr="00036F47" w:rsidR="00372D1F" w:rsidP="00C90385" w:rsidRDefault="006B5F4B" w14:paraId="6D397EBE" w14:textId="61C4ECC2">
            <w:pPr>
              <w:spacing w:line="300" w:lineRule="exact"/>
              <w:jc w:val="both"/>
              <w:rPr>
                <w:color w:val="000000" w:themeColor="text1"/>
                <w:lang w:val="en-GB"/>
              </w:rPr>
            </w:pPr>
            <w:r w:rsidRPr="00036F47">
              <w:rPr>
                <w:color w:val="000000" w:themeColor="text1"/>
                <w:lang w:val="en-GB"/>
              </w:rPr>
              <w:t xml:space="preserve">Ministry of Health and Child Care continues to forward to working with immunisation partners both core and expanded in delivering high quality immunisation services. The working with partners </w:t>
            </w:r>
            <w:r w:rsidR="00036F47">
              <w:rPr>
                <w:color w:val="000000" w:themeColor="text1"/>
                <w:lang w:val="en-GB"/>
              </w:rPr>
              <w:t xml:space="preserve">is </w:t>
            </w:r>
            <w:r w:rsidRPr="00036F47">
              <w:rPr>
                <w:color w:val="000000" w:themeColor="text1"/>
                <w:lang w:val="en-GB"/>
              </w:rPr>
              <w:t xml:space="preserve">more enhanced now in view of the outbreaks being experienced in the country and in the region. There are a number of response activities lined up to </w:t>
            </w:r>
            <w:proofErr w:type="spellStart"/>
            <w:r w:rsidRPr="00036F47">
              <w:rPr>
                <w:color w:val="000000" w:themeColor="text1"/>
                <w:lang w:val="en-GB"/>
              </w:rPr>
              <w:t>conatin</w:t>
            </w:r>
            <w:proofErr w:type="spellEnd"/>
            <w:r w:rsidRPr="00036F47">
              <w:rPr>
                <w:color w:val="000000" w:themeColor="text1"/>
                <w:lang w:val="en-GB"/>
              </w:rPr>
              <w:t xml:space="preserve"> the Covid-19 pandemic, the measles outbreak and the polio outbreaks in nearby countries and district. All this is coming against an already constrained routine immunization system both in terms of technical and financial support.</w:t>
            </w:r>
          </w:p>
          <w:p w:rsidR="006B5F4B" w:rsidP="00372D1F" w:rsidRDefault="006B5F4B" w14:paraId="56914DE3" w14:textId="77777777">
            <w:pPr>
              <w:spacing w:line="300" w:lineRule="exact"/>
              <w:rPr>
                <w:color w:val="92D050"/>
                <w:lang w:val="en-GB"/>
              </w:rPr>
            </w:pPr>
          </w:p>
          <w:p w:rsidRPr="00036F47" w:rsidR="006B5F4B" w:rsidP="00372D1F" w:rsidRDefault="006B5F4B" w14:paraId="1D9DF6B4" w14:textId="77777777">
            <w:pPr>
              <w:spacing w:line="300" w:lineRule="exact"/>
              <w:rPr>
                <w:color w:val="000000" w:themeColor="text1"/>
                <w:lang w:val="en-GB"/>
              </w:rPr>
            </w:pPr>
            <w:r w:rsidRPr="00036F47">
              <w:rPr>
                <w:color w:val="000000" w:themeColor="text1"/>
                <w:lang w:val="en-GB"/>
              </w:rPr>
              <w:lastRenderedPageBreak/>
              <w:t>The country is proposing to have TA in the following areas to mitigate the many arising challenges.</w:t>
            </w:r>
          </w:p>
          <w:p w:rsidRPr="00036F47" w:rsidR="00622135" w:rsidP="006B5F4B" w:rsidRDefault="00622135" w14:paraId="104A3DCC" w14:textId="77777777">
            <w:pPr>
              <w:pStyle w:val="ListParagraph"/>
              <w:numPr>
                <w:ilvl w:val="0"/>
                <w:numId w:val="8"/>
              </w:numPr>
              <w:spacing w:line="300" w:lineRule="exact"/>
              <w:rPr>
                <w:color w:val="000000" w:themeColor="text1"/>
                <w:lang w:val="en-GB"/>
              </w:rPr>
            </w:pPr>
            <w:r w:rsidRPr="00036F47">
              <w:rPr>
                <w:color w:val="000000" w:themeColor="text1"/>
                <w:lang w:val="en-GB"/>
              </w:rPr>
              <w:t>I</w:t>
            </w:r>
            <w:r w:rsidRPr="00036F47" w:rsidR="00C90385">
              <w:rPr>
                <w:color w:val="000000" w:themeColor="text1"/>
                <w:lang w:val="en-GB"/>
              </w:rPr>
              <w:t xml:space="preserve">mproving service delivery, </w:t>
            </w:r>
          </w:p>
          <w:p w:rsidRPr="00036F47" w:rsidR="00622135" w:rsidP="006B5F4B" w:rsidRDefault="00622135" w14:paraId="36DDA979" w14:textId="77777777">
            <w:pPr>
              <w:pStyle w:val="ListParagraph"/>
              <w:numPr>
                <w:ilvl w:val="0"/>
                <w:numId w:val="8"/>
              </w:numPr>
              <w:spacing w:line="300" w:lineRule="exact"/>
              <w:rPr>
                <w:color w:val="000000" w:themeColor="text1"/>
                <w:lang w:val="en-GB"/>
              </w:rPr>
            </w:pPr>
            <w:r w:rsidRPr="00036F47">
              <w:rPr>
                <w:color w:val="000000" w:themeColor="text1"/>
                <w:lang w:val="en-GB"/>
              </w:rPr>
              <w:t>V</w:t>
            </w:r>
            <w:r w:rsidRPr="00036F47" w:rsidR="00C90385">
              <w:rPr>
                <w:color w:val="000000" w:themeColor="text1"/>
                <w:lang w:val="en-GB"/>
              </w:rPr>
              <w:t>accine supply</w:t>
            </w:r>
            <w:r w:rsidRPr="00036F47">
              <w:rPr>
                <w:color w:val="000000" w:themeColor="text1"/>
                <w:lang w:val="en-GB"/>
              </w:rPr>
              <w:t xml:space="preserve">, Logistics </w:t>
            </w:r>
            <w:r w:rsidRPr="00036F47" w:rsidR="00C90385">
              <w:rPr>
                <w:color w:val="000000" w:themeColor="text1"/>
                <w:lang w:val="en-GB"/>
              </w:rPr>
              <w:t xml:space="preserve">and quality, </w:t>
            </w:r>
          </w:p>
          <w:p w:rsidRPr="00036F47" w:rsidR="00622135" w:rsidP="006B5F4B" w:rsidRDefault="00622135" w14:paraId="575A6049" w14:textId="77777777">
            <w:pPr>
              <w:pStyle w:val="ListParagraph"/>
              <w:numPr>
                <w:ilvl w:val="0"/>
                <w:numId w:val="8"/>
              </w:numPr>
              <w:spacing w:line="300" w:lineRule="exact"/>
              <w:rPr>
                <w:color w:val="000000" w:themeColor="text1"/>
                <w:lang w:val="en-GB"/>
              </w:rPr>
            </w:pPr>
            <w:r w:rsidRPr="00036F47">
              <w:rPr>
                <w:color w:val="000000" w:themeColor="text1"/>
                <w:lang w:val="en-GB"/>
              </w:rPr>
              <w:t>D</w:t>
            </w:r>
            <w:r w:rsidRPr="00036F47" w:rsidR="00C90385">
              <w:rPr>
                <w:color w:val="000000" w:themeColor="text1"/>
                <w:lang w:val="en-GB"/>
              </w:rPr>
              <w:t xml:space="preserve">emand generation, </w:t>
            </w:r>
          </w:p>
          <w:p w:rsidRPr="00036F47" w:rsidR="00622135" w:rsidP="006B5F4B" w:rsidRDefault="00622135" w14:paraId="677071FC" w14:textId="77777777">
            <w:pPr>
              <w:pStyle w:val="ListParagraph"/>
              <w:numPr>
                <w:ilvl w:val="0"/>
                <w:numId w:val="8"/>
              </w:numPr>
              <w:spacing w:line="300" w:lineRule="exact"/>
              <w:rPr>
                <w:color w:val="000000" w:themeColor="text1"/>
                <w:lang w:val="en-GB"/>
              </w:rPr>
            </w:pPr>
            <w:r w:rsidRPr="00036F47">
              <w:rPr>
                <w:color w:val="000000" w:themeColor="text1"/>
                <w:lang w:val="en-GB"/>
              </w:rPr>
              <w:t>S</w:t>
            </w:r>
            <w:r w:rsidRPr="00036F47" w:rsidR="00C90385">
              <w:rPr>
                <w:color w:val="000000" w:themeColor="text1"/>
                <w:lang w:val="en-GB"/>
              </w:rPr>
              <w:t>urveillance</w:t>
            </w:r>
          </w:p>
          <w:p w:rsidRPr="006B5F4B" w:rsidR="006B5F4B" w:rsidP="006B5F4B" w:rsidRDefault="00622135" w14:paraId="7D9A0BA9" w14:textId="0EA9CE48">
            <w:pPr>
              <w:pStyle w:val="ListParagraph"/>
              <w:numPr>
                <w:ilvl w:val="0"/>
                <w:numId w:val="8"/>
              </w:numPr>
              <w:spacing w:line="300" w:lineRule="exact"/>
              <w:rPr>
                <w:color w:val="92D050"/>
                <w:lang w:val="en-GB"/>
              </w:rPr>
            </w:pPr>
            <w:r w:rsidRPr="00036F47">
              <w:rPr>
                <w:color w:val="000000" w:themeColor="text1"/>
                <w:lang w:val="en-GB"/>
              </w:rPr>
              <w:t>P</w:t>
            </w:r>
            <w:r w:rsidRPr="00036F47" w:rsidR="00C90385">
              <w:rPr>
                <w:color w:val="000000" w:themeColor="text1"/>
                <w:lang w:val="en-GB"/>
              </w:rPr>
              <w:t>rogramme management.</w:t>
            </w:r>
          </w:p>
        </w:tc>
      </w:tr>
      <w:tr w:rsidR="0071439C" w:rsidTr="007B53D1" w14:paraId="0D9AF231" w14:textId="77777777">
        <w:tc>
          <w:tcPr>
            <w:tcW w:w="9192" w:type="dxa"/>
            <w:tcBorders>
              <w:top w:val="single" w:color="auto" w:sz="4" w:space="0"/>
              <w:bottom w:val="single" w:color="auto" w:sz="4" w:space="0"/>
            </w:tcBorders>
            <w:shd w:val="clear" w:color="auto" w:fill="F2F2F2" w:themeFill="background1" w:themeFillShade="F2"/>
          </w:tcPr>
          <w:p w:rsidR="00E165B4" w:rsidP="00CE1F57" w:rsidRDefault="0071439C" w14:paraId="14533925" w14:textId="50C71BD7">
            <w:pPr>
              <w:pStyle w:val="ListParagraph"/>
              <w:numPr>
                <w:ilvl w:val="1"/>
                <w:numId w:val="4"/>
              </w:numPr>
              <w:spacing w:line="300" w:lineRule="exact"/>
              <w:ind w:left="316" w:hanging="316"/>
              <w:rPr>
                <w:b/>
                <w:bCs/>
                <w:i/>
                <w:iCs/>
                <w:sz w:val="20"/>
                <w:szCs w:val="20"/>
              </w:rPr>
            </w:pPr>
            <w:r w:rsidRPr="00CF3BC4">
              <w:rPr>
                <w:b/>
                <w:bCs/>
                <w:i/>
                <w:iCs/>
                <w:sz w:val="20"/>
                <w:szCs w:val="20"/>
              </w:rPr>
              <w:lastRenderedPageBreak/>
              <w:t xml:space="preserve">How </w:t>
            </w:r>
            <w:r w:rsidR="00BE4270">
              <w:rPr>
                <w:b/>
                <w:bCs/>
                <w:i/>
                <w:iCs/>
                <w:sz w:val="20"/>
                <w:szCs w:val="20"/>
              </w:rPr>
              <w:t xml:space="preserve">will </w:t>
            </w:r>
            <w:r w:rsidR="00120AAE">
              <w:rPr>
                <w:b/>
                <w:bCs/>
                <w:i/>
                <w:iCs/>
                <w:sz w:val="20"/>
                <w:szCs w:val="20"/>
              </w:rPr>
              <w:t>the requested TCA support advance</w:t>
            </w:r>
            <w:r w:rsidR="00257A1B">
              <w:rPr>
                <w:b/>
                <w:bCs/>
                <w:i/>
                <w:iCs/>
                <w:sz w:val="20"/>
                <w:szCs w:val="20"/>
              </w:rPr>
              <w:t xml:space="preserve"> </w:t>
            </w:r>
            <w:r w:rsidRPr="00393D45" w:rsidR="00393D45">
              <w:rPr>
                <w:b/>
                <w:bCs/>
                <w:i/>
                <w:iCs/>
                <w:sz w:val="20"/>
                <w:szCs w:val="20"/>
              </w:rPr>
              <w:t xml:space="preserve">Gavi's 5.0 mission </w:t>
            </w:r>
            <w:r w:rsidR="00A95F01">
              <w:rPr>
                <w:b/>
                <w:bCs/>
                <w:i/>
                <w:iCs/>
                <w:sz w:val="20"/>
                <w:szCs w:val="20"/>
              </w:rPr>
              <w:t>per the</w:t>
            </w:r>
            <w:r w:rsidRPr="00393D45" w:rsidR="00A95F01">
              <w:rPr>
                <w:b/>
                <w:bCs/>
                <w:i/>
                <w:iCs/>
                <w:sz w:val="20"/>
                <w:szCs w:val="20"/>
              </w:rPr>
              <w:t xml:space="preserve"> country</w:t>
            </w:r>
            <w:r w:rsidR="008447E6">
              <w:rPr>
                <w:b/>
                <w:bCs/>
                <w:i/>
                <w:iCs/>
                <w:sz w:val="20"/>
                <w:szCs w:val="20"/>
              </w:rPr>
              <w:t>'</w:t>
            </w:r>
            <w:r w:rsidRPr="00393D45" w:rsidR="00A95F01">
              <w:rPr>
                <w:b/>
                <w:bCs/>
                <w:i/>
                <w:iCs/>
                <w:sz w:val="20"/>
                <w:szCs w:val="20"/>
              </w:rPr>
              <w:t xml:space="preserve">s context </w:t>
            </w:r>
            <w:r w:rsidR="00296E78">
              <w:rPr>
                <w:b/>
                <w:bCs/>
                <w:i/>
                <w:iCs/>
                <w:sz w:val="20"/>
                <w:szCs w:val="20"/>
              </w:rPr>
              <w:t>with focus</w:t>
            </w:r>
            <w:r w:rsidR="004435AF">
              <w:rPr>
                <w:b/>
                <w:bCs/>
                <w:i/>
                <w:iCs/>
                <w:sz w:val="20"/>
                <w:szCs w:val="20"/>
              </w:rPr>
              <w:t xml:space="preserve"> on</w:t>
            </w:r>
            <w:r w:rsidR="00E165B4">
              <w:rPr>
                <w:b/>
                <w:bCs/>
                <w:i/>
                <w:iCs/>
                <w:sz w:val="20"/>
                <w:szCs w:val="20"/>
              </w:rPr>
              <w:t>:</w:t>
            </w:r>
          </w:p>
          <w:p w:rsidRPr="00544D9B" w:rsidR="00544D9B" w:rsidP="00CE1F57" w:rsidRDefault="00544D9B" w14:paraId="2112DA8C" w14:textId="427D12AB">
            <w:pPr>
              <w:pStyle w:val="ListParagraph"/>
              <w:numPr>
                <w:ilvl w:val="0"/>
                <w:numId w:val="5"/>
              </w:numPr>
              <w:spacing w:line="300" w:lineRule="exact"/>
              <w:ind w:left="741"/>
              <w:rPr>
                <w:b/>
                <w:bCs/>
                <w:i/>
                <w:iCs/>
                <w:sz w:val="20"/>
                <w:szCs w:val="20"/>
              </w:rPr>
            </w:pPr>
            <w:r w:rsidRPr="00544D9B">
              <w:rPr>
                <w:b/>
                <w:bCs/>
                <w:i/>
                <w:iCs/>
                <w:sz w:val="20"/>
                <w:szCs w:val="20"/>
              </w:rPr>
              <w:t xml:space="preserve">identifying </w:t>
            </w:r>
            <w:r w:rsidRPr="00393D45" w:rsidR="00393D45">
              <w:rPr>
                <w:b/>
                <w:bCs/>
                <w:i/>
                <w:iCs/>
                <w:sz w:val="20"/>
                <w:szCs w:val="20"/>
              </w:rPr>
              <w:t xml:space="preserve">and reaching zero-dose </w:t>
            </w:r>
            <w:r w:rsidRPr="00CF3BC4" w:rsidR="00A95F01">
              <w:rPr>
                <w:b/>
                <w:bCs/>
                <w:i/>
                <w:iCs/>
                <w:sz w:val="20"/>
                <w:szCs w:val="20"/>
              </w:rPr>
              <w:t xml:space="preserve">and </w:t>
            </w:r>
            <w:r w:rsidRPr="00544D9B">
              <w:rPr>
                <w:b/>
                <w:bCs/>
                <w:i/>
                <w:iCs/>
                <w:sz w:val="20"/>
                <w:szCs w:val="20"/>
              </w:rPr>
              <w:t xml:space="preserve">consistently </w:t>
            </w:r>
            <w:r w:rsidRPr="00CF3BC4" w:rsidR="00A95F01">
              <w:rPr>
                <w:b/>
                <w:bCs/>
                <w:i/>
                <w:iCs/>
                <w:sz w:val="20"/>
                <w:szCs w:val="20"/>
              </w:rPr>
              <w:t xml:space="preserve">missed </w:t>
            </w:r>
            <w:r w:rsidRPr="00544D9B">
              <w:rPr>
                <w:b/>
                <w:bCs/>
                <w:i/>
                <w:iCs/>
                <w:sz w:val="20"/>
                <w:szCs w:val="20"/>
              </w:rPr>
              <w:t xml:space="preserve">children </w:t>
            </w:r>
            <w:r w:rsidR="002C0185">
              <w:rPr>
                <w:b/>
                <w:bCs/>
                <w:i/>
                <w:iCs/>
                <w:sz w:val="20"/>
                <w:szCs w:val="20"/>
              </w:rPr>
              <w:t>and communities</w:t>
            </w:r>
            <w:r w:rsidRPr="00544D9B">
              <w:rPr>
                <w:b/>
                <w:bCs/>
                <w:i/>
                <w:iCs/>
                <w:sz w:val="20"/>
                <w:szCs w:val="20"/>
              </w:rPr>
              <w:t>;</w:t>
            </w:r>
          </w:p>
          <w:p w:rsidRPr="00544D9B" w:rsidR="00544D9B" w:rsidP="00CE1F57" w:rsidRDefault="00544D9B" w14:paraId="6B56EB6C" w14:textId="77777777">
            <w:pPr>
              <w:pStyle w:val="ListParagraph"/>
              <w:numPr>
                <w:ilvl w:val="0"/>
                <w:numId w:val="5"/>
              </w:numPr>
              <w:spacing w:line="300" w:lineRule="exact"/>
              <w:ind w:left="741"/>
              <w:rPr>
                <w:b/>
                <w:bCs/>
                <w:i/>
                <w:iCs/>
                <w:sz w:val="20"/>
                <w:szCs w:val="20"/>
              </w:rPr>
            </w:pPr>
            <w:r w:rsidRPr="00544D9B">
              <w:rPr>
                <w:b/>
                <w:bCs/>
                <w:i/>
                <w:iCs/>
                <w:sz w:val="20"/>
                <w:szCs w:val="20"/>
              </w:rPr>
              <w:t>improving</w:t>
            </w:r>
            <w:r w:rsidR="001B19F2">
              <w:rPr>
                <w:b/>
                <w:bCs/>
                <w:i/>
                <w:iCs/>
                <w:sz w:val="20"/>
                <w:szCs w:val="20"/>
              </w:rPr>
              <w:t xml:space="preserve"> </w:t>
            </w:r>
            <w:r w:rsidR="00316DE0">
              <w:rPr>
                <w:b/>
                <w:bCs/>
                <w:i/>
                <w:iCs/>
                <w:sz w:val="20"/>
                <w:szCs w:val="20"/>
              </w:rPr>
              <w:t>stock reporting and vaccine management at sub-national level</w:t>
            </w:r>
            <w:r w:rsidRPr="00544D9B">
              <w:rPr>
                <w:b/>
                <w:bCs/>
                <w:i/>
                <w:iCs/>
                <w:sz w:val="20"/>
                <w:szCs w:val="20"/>
              </w:rPr>
              <w:t>;</w:t>
            </w:r>
          </w:p>
          <w:p w:rsidRPr="00544D9B" w:rsidR="00544D9B" w:rsidP="00CE1F57" w:rsidRDefault="00544D9B" w14:paraId="009281C7" w14:textId="77777777">
            <w:pPr>
              <w:pStyle w:val="ListParagraph"/>
              <w:numPr>
                <w:ilvl w:val="0"/>
                <w:numId w:val="5"/>
              </w:numPr>
              <w:spacing w:line="300" w:lineRule="exact"/>
              <w:ind w:left="741"/>
              <w:rPr>
                <w:b/>
                <w:bCs/>
                <w:i/>
                <w:iCs/>
                <w:sz w:val="20"/>
                <w:szCs w:val="20"/>
              </w:rPr>
            </w:pPr>
            <w:r w:rsidRPr="00544D9B">
              <w:rPr>
                <w:b/>
                <w:bCs/>
                <w:i/>
                <w:iCs/>
                <w:sz w:val="20"/>
                <w:szCs w:val="20"/>
              </w:rPr>
              <w:t>enhancing</w:t>
            </w:r>
            <w:r w:rsidR="00316DE0">
              <w:rPr>
                <w:b/>
                <w:bCs/>
                <w:i/>
                <w:iCs/>
                <w:sz w:val="20"/>
                <w:szCs w:val="20"/>
              </w:rPr>
              <w:t xml:space="preserve"> stron</w:t>
            </w:r>
            <w:r w:rsidR="00F45522">
              <w:rPr>
                <w:b/>
                <w:bCs/>
                <w:i/>
                <w:iCs/>
                <w:sz w:val="20"/>
                <w:szCs w:val="20"/>
              </w:rPr>
              <w:t>g leadership, management and coordination</w:t>
            </w:r>
            <w:r w:rsidRPr="00544D9B">
              <w:rPr>
                <w:b/>
                <w:bCs/>
                <w:i/>
                <w:iCs/>
                <w:sz w:val="20"/>
                <w:szCs w:val="20"/>
              </w:rPr>
              <w:t>, including use of data for decision-making;</w:t>
            </w:r>
          </w:p>
          <w:p w:rsidRPr="00532C23" w:rsidR="00532C23" w:rsidP="00CE1F57" w:rsidRDefault="009912B7" w14:paraId="35EE3F38" w14:textId="2426627E">
            <w:pPr>
              <w:pStyle w:val="ListParagraph"/>
              <w:numPr>
                <w:ilvl w:val="0"/>
                <w:numId w:val="5"/>
              </w:numPr>
              <w:spacing w:line="300" w:lineRule="exact"/>
              <w:ind w:left="741"/>
              <w:rPr>
                <w:b/>
                <w:i/>
                <w:sz w:val="20"/>
                <w:szCs w:val="20"/>
              </w:rPr>
            </w:pPr>
            <w:r>
              <w:rPr>
                <w:b/>
                <w:bCs/>
                <w:i/>
                <w:iCs/>
                <w:sz w:val="20"/>
                <w:szCs w:val="20"/>
              </w:rPr>
              <w:t>introduction and scale up of</w:t>
            </w:r>
            <w:r w:rsidRPr="00544D9B">
              <w:rPr>
                <w:b/>
                <w:bCs/>
                <w:i/>
                <w:iCs/>
                <w:sz w:val="20"/>
                <w:szCs w:val="20"/>
              </w:rPr>
              <w:t xml:space="preserve"> </w:t>
            </w:r>
            <w:proofErr w:type="spellStart"/>
            <w:r w:rsidRPr="00544D9B" w:rsidR="00544D9B">
              <w:rPr>
                <w:b/>
                <w:bCs/>
                <w:i/>
                <w:iCs/>
                <w:sz w:val="20"/>
                <w:szCs w:val="20"/>
              </w:rPr>
              <w:t>vaccine</w:t>
            </w:r>
            <w:r>
              <w:rPr>
                <w:b/>
                <w:bCs/>
                <w:i/>
                <w:iCs/>
                <w:sz w:val="20"/>
                <w:szCs w:val="20"/>
              </w:rPr>
              <w:t>s</w:t>
            </w:r>
            <w:r w:rsidRPr="00544D9B" w:rsidR="00544D9B">
              <w:rPr>
                <w:b/>
                <w:bCs/>
                <w:i/>
                <w:iCs/>
                <w:sz w:val="20"/>
                <w:szCs w:val="20"/>
              </w:rPr>
              <w:t>s</w:t>
            </w:r>
            <w:proofErr w:type="spellEnd"/>
            <w:r w:rsidR="001708D2">
              <w:rPr>
                <w:b/>
                <w:bCs/>
                <w:i/>
                <w:iCs/>
                <w:sz w:val="20"/>
                <w:szCs w:val="20"/>
              </w:rPr>
              <w:t>;</w:t>
            </w:r>
          </w:p>
          <w:p w:rsidRPr="00544D9B" w:rsidR="0071439C" w:rsidP="00CE1F57" w:rsidRDefault="00532C23" w14:paraId="1DC79B3B" w14:textId="2E55360D">
            <w:pPr>
              <w:pStyle w:val="ListParagraph"/>
              <w:numPr>
                <w:ilvl w:val="0"/>
                <w:numId w:val="5"/>
              </w:numPr>
              <w:spacing w:line="300" w:lineRule="exact"/>
              <w:ind w:left="741"/>
              <w:rPr>
                <w:b/>
                <w:i/>
                <w:sz w:val="20"/>
                <w:szCs w:val="20"/>
              </w:rPr>
            </w:pPr>
            <w:r>
              <w:rPr>
                <w:b/>
                <w:bCs/>
                <w:i/>
                <w:iCs/>
                <w:sz w:val="20"/>
                <w:szCs w:val="20"/>
              </w:rPr>
              <w:t>programm</w:t>
            </w:r>
            <w:r w:rsidR="00D740FF">
              <w:rPr>
                <w:b/>
                <w:bCs/>
                <w:i/>
                <w:iCs/>
                <w:sz w:val="20"/>
                <w:szCs w:val="20"/>
              </w:rPr>
              <w:t>a</w:t>
            </w:r>
            <w:r w:rsidR="0034188F">
              <w:rPr>
                <w:b/>
                <w:bCs/>
                <w:i/>
                <w:iCs/>
                <w:sz w:val="20"/>
                <w:szCs w:val="20"/>
              </w:rPr>
              <w:t>tic sustainability</w:t>
            </w:r>
            <w:r w:rsidRPr="00544D9B" w:rsidR="00544D9B">
              <w:rPr>
                <w:b/>
                <w:bCs/>
                <w:i/>
                <w:iCs/>
                <w:sz w:val="20"/>
                <w:szCs w:val="20"/>
              </w:rPr>
              <w:t>.</w:t>
            </w:r>
          </w:p>
        </w:tc>
      </w:tr>
      <w:tr w:rsidRPr="006A272B" w:rsidR="0071439C" w:rsidTr="007B53D1" w14:paraId="0A3FAE65" w14:textId="77777777">
        <w:tc>
          <w:tcPr>
            <w:tcW w:w="9192" w:type="dxa"/>
            <w:tcBorders>
              <w:top w:val="single" w:color="auto" w:sz="4" w:space="0"/>
              <w:left w:val="single" w:color="auto" w:sz="4" w:space="0"/>
              <w:bottom w:val="single" w:color="auto" w:sz="4" w:space="0"/>
              <w:right w:val="single" w:color="auto" w:sz="4" w:space="0"/>
            </w:tcBorders>
          </w:tcPr>
          <w:p w:rsidRPr="008A13AF" w:rsidR="006B4E86" w:rsidP="006B4E86" w:rsidRDefault="006B4E86" w14:paraId="5C025B37" w14:textId="0FC07C75">
            <w:pPr>
              <w:pStyle w:val="ListParagraph"/>
              <w:numPr>
                <w:ilvl w:val="0"/>
                <w:numId w:val="9"/>
              </w:numPr>
              <w:spacing w:line="300" w:lineRule="exact"/>
              <w:rPr>
                <w:b/>
                <w:bCs/>
                <w:lang w:val="en-GB"/>
              </w:rPr>
            </w:pPr>
            <w:r w:rsidRPr="008A13AF">
              <w:rPr>
                <w:b/>
                <w:bCs/>
                <w:lang w:val="en-GB"/>
              </w:rPr>
              <w:t>Identifying and reaching zero-dose and consistently missed children and communities;</w:t>
            </w:r>
          </w:p>
          <w:p w:rsidR="006B4E86" w:rsidP="00AE29C9" w:rsidRDefault="00355023" w14:paraId="66733D1D" w14:textId="54ECB1BA">
            <w:pPr>
              <w:pStyle w:val="ListParagraph"/>
              <w:spacing w:line="300" w:lineRule="exact"/>
              <w:jc w:val="both"/>
              <w:rPr>
                <w:lang w:val="en-GB"/>
              </w:rPr>
            </w:pPr>
            <w:r>
              <w:rPr>
                <w:lang w:val="en-GB"/>
              </w:rPr>
              <w:t xml:space="preserve">Implementation of the TA will support the </w:t>
            </w:r>
            <w:r w:rsidRPr="00355023">
              <w:rPr>
                <w:lang w:val="en-GB"/>
              </w:rPr>
              <w:t>Zero dose strategy focus</w:t>
            </w:r>
            <w:r>
              <w:rPr>
                <w:lang w:val="en-GB"/>
              </w:rPr>
              <w:t>ing</w:t>
            </w:r>
            <w:r w:rsidRPr="00355023">
              <w:rPr>
                <w:lang w:val="en-GB"/>
              </w:rPr>
              <w:t xml:space="preserve"> on  districts </w:t>
            </w:r>
            <w:r w:rsidR="008A277A">
              <w:rPr>
                <w:lang w:val="en-GB"/>
              </w:rPr>
              <w:t xml:space="preserve">and areas </w:t>
            </w:r>
            <w:r w:rsidRPr="00355023">
              <w:rPr>
                <w:lang w:val="en-GB"/>
              </w:rPr>
              <w:t>with high numbers of unvaccinated and under vaccinated children. Th</w:t>
            </w:r>
            <w:r w:rsidR="008A277A">
              <w:rPr>
                <w:lang w:val="en-GB"/>
              </w:rPr>
              <w:t xml:space="preserve">is will </w:t>
            </w:r>
            <w:r w:rsidRPr="00355023">
              <w:rPr>
                <w:lang w:val="en-GB"/>
              </w:rPr>
              <w:t>in</w:t>
            </w:r>
            <w:r w:rsidR="008A277A">
              <w:rPr>
                <w:lang w:val="en-GB"/>
              </w:rPr>
              <w:t>clude</w:t>
            </w:r>
            <w:r w:rsidRPr="00355023">
              <w:rPr>
                <w:lang w:val="en-GB"/>
              </w:rPr>
              <w:t xml:space="preserve"> </w:t>
            </w:r>
            <w:r w:rsidR="008A277A">
              <w:rPr>
                <w:lang w:val="en-GB"/>
              </w:rPr>
              <w:t xml:space="preserve">poor </w:t>
            </w:r>
            <w:r w:rsidRPr="00355023">
              <w:rPr>
                <w:lang w:val="en-GB"/>
              </w:rPr>
              <w:t xml:space="preserve">urban </w:t>
            </w:r>
            <w:r w:rsidR="008A277A">
              <w:rPr>
                <w:lang w:val="en-GB"/>
              </w:rPr>
              <w:t>settlements</w:t>
            </w:r>
            <w:r w:rsidRPr="00355023">
              <w:rPr>
                <w:lang w:val="en-GB"/>
              </w:rPr>
              <w:t>, new settlements, informal settlements, per</w:t>
            </w:r>
            <w:r w:rsidR="008A277A">
              <w:rPr>
                <w:lang w:val="en-GB"/>
              </w:rPr>
              <w:t>i</w:t>
            </w:r>
            <w:r w:rsidRPr="00355023">
              <w:rPr>
                <w:lang w:val="en-GB"/>
              </w:rPr>
              <w:t>-urban and remote rural areas</w:t>
            </w:r>
            <w:r w:rsidR="008A277A">
              <w:rPr>
                <w:lang w:val="en-GB"/>
              </w:rPr>
              <w:t xml:space="preserve"> without health </w:t>
            </w:r>
            <w:proofErr w:type="spellStart"/>
            <w:r w:rsidR="008A277A">
              <w:rPr>
                <w:lang w:val="en-GB"/>
              </w:rPr>
              <w:t>infructructure</w:t>
            </w:r>
            <w:proofErr w:type="spellEnd"/>
            <w:r w:rsidR="008A277A">
              <w:rPr>
                <w:lang w:val="en-GB"/>
              </w:rPr>
              <w:t xml:space="preserve"> near them. </w:t>
            </w:r>
            <w:r w:rsidRPr="00355023">
              <w:rPr>
                <w:lang w:val="en-GB"/>
              </w:rPr>
              <w:t>Efforts will be made to map and identify  communities with the zero dose children.</w:t>
            </w:r>
            <w:r w:rsidR="00FD551C">
              <w:rPr>
                <w:lang w:val="en-GB"/>
              </w:rPr>
              <w:t xml:space="preserve"> The RED/REC strategy will also be strengthened at district and service delivery levels to ensure equitable access to immunization services.</w:t>
            </w:r>
            <w:r w:rsidR="0099055B">
              <w:rPr>
                <w:lang w:val="en-GB"/>
              </w:rPr>
              <w:t xml:space="preserve"> The country aims to improve on planning and management of available resources, service delivery and monitoring to sustainably and equitably increase access to and u</w:t>
            </w:r>
            <w:r w:rsidR="00290B0E">
              <w:rPr>
                <w:lang w:val="en-GB"/>
              </w:rPr>
              <w:t>tilization</w:t>
            </w:r>
            <w:r w:rsidR="0099055B">
              <w:rPr>
                <w:lang w:val="en-GB"/>
              </w:rPr>
              <w:t xml:space="preserve"> of vaccination services.</w:t>
            </w:r>
          </w:p>
          <w:p w:rsidR="00290B0E" w:rsidP="00AE29C9" w:rsidRDefault="00290B0E" w14:paraId="176B0656" w14:textId="7FDEDBF1">
            <w:pPr>
              <w:pStyle w:val="ListParagraph"/>
              <w:spacing w:line="300" w:lineRule="exact"/>
              <w:jc w:val="both"/>
              <w:rPr>
                <w:lang w:val="en-GB"/>
              </w:rPr>
            </w:pPr>
          </w:p>
          <w:p w:rsidR="00290B0E" w:rsidP="00AE29C9" w:rsidRDefault="00087CE4" w14:paraId="23A8B06D" w14:textId="1C4B26BC">
            <w:pPr>
              <w:pStyle w:val="ListParagraph"/>
              <w:spacing w:line="300" w:lineRule="exact"/>
              <w:jc w:val="both"/>
              <w:rPr>
                <w:lang w:val="en-GB"/>
              </w:rPr>
            </w:pPr>
            <w:r>
              <w:rPr>
                <w:lang w:val="en-GB"/>
              </w:rPr>
              <w:t>This will require further technical support from both core and extended partners.</w:t>
            </w:r>
          </w:p>
          <w:p w:rsidR="00087CE4" w:rsidP="00AE29C9" w:rsidRDefault="00087CE4" w14:paraId="0A19C3F4" w14:textId="77777777">
            <w:pPr>
              <w:pStyle w:val="ListParagraph"/>
              <w:spacing w:line="300" w:lineRule="exact"/>
              <w:jc w:val="both"/>
              <w:rPr>
                <w:lang w:val="en-GB"/>
              </w:rPr>
            </w:pPr>
          </w:p>
          <w:p w:rsidRPr="0062647E" w:rsidR="006B4E86" w:rsidP="006B4E86" w:rsidRDefault="006B4E86" w14:paraId="1EF1EB46" w14:textId="6DFC6C9B">
            <w:pPr>
              <w:pStyle w:val="ListParagraph"/>
              <w:numPr>
                <w:ilvl w:val="0"/>
                <w:numId w:val="9"/>
              </w:numPr>
              <w:spacing w:line="300" w:lineRule="exact"/>
              <w:rPr>
                <w:b/>
                <w:bCs/>
                <w:lang w:val="en-GB"/>
              </w:rPr>
            </w:pPr>
            <w:r w:rsidRPr="0062647E">
              <w:rPr>
                <w:b/>
                <w:bCs/>
                <w:lang w:val="en-GB"/>
              </w:rPr>
              <w:t>Improving stock reporting and vaccine management at sub-national level;</w:t>
            </w:r>
          </w:p>
          <w:p w:rsidR="006B4E86" w:rsidP="0062647E" w:rsidRDefault="0062647E" w14:paraId="07DF65CE" w14:textId="55EBE145">
            <w:pPr>
              <w:pStyle w:val="ListParagraph"/>
              <w:spacing w:line="300" w:lineRule="exact"/>
              <w:jc w:val="both"/>
              <w:rPr>
                <w:lang w:val="en-GB"/>
              </w:rPr>
            </w:pPr>
            <w:r>
              <w:rPr>
                <w:lang w:val="en-GB"/>
              </w:rPr>
              <w:t xml:space="preserve">The country conducted an effective vaccine management assessment in 2020 and went on to develop a comprehensive improvement plan to attend to the issues raised. Most of the activities in the improvement </w:t>
            </w:r>
            <w:proofErr w:type="spellStart"/>
            <w:r>
              <w:rPr>
                <w:lang w:val="en-GB"/>
              </w:rPr>
              <w:t>pla</w:t>
            </w:r>
            <w:proofErr w:type="spellEnd"/>
            <w:r>
              <w:rPr>
                <w:lang w:val="en-GB"/>
              </w:rPr>
              <w:t xml:space="preserve"> could be implemented because of the Covid-19 pandemic and the country </w:t>
            </w:r>
            <w:proofErr w:type="spellStart"/>
            <w:r>
              <w:rPr>
                <w:lang w:val="en-GB"/>
              </w:rPr>
              <w:t>feeils</w:t>
            </w:r>
            <w:proofErr w:type="spellEnd"/>
            <w:r>
              <w:rPr>
                <w:lang w:val="en-GB"/>
              </w:rPr>
              <w:t xml:space="preserve"> its high time that those recommendations be implemented. These recommendations cannot be implemented without technical support from WHO and UNICEF. Furthermore, the ongoing Covid-19 </w:t>
            </w:r>
            <w:proofErr w:type="spellStart"/>
            <w:r>
              <w:rPr>
                <w:lang w:val="en-GB"/>
              </w:rPr>
              <w:t>vaccinationd</w:t>
            </w:r>
            <w:proofErr w:type="spellEnd"/>
            <w:r>
              <w:rPr>
                <w:lang w:val="en-GB"/>
              </w:rPr>
              <w:t xml:space="preserve"> and the upcoming measles and polio campaigns require lots of logistics support logistically. So our core partners will be </w:t>
            </w:r>
            <w:proofErr w:type="spellStart"/>
            <w:r>
              <w:rPr>
                <w:lang w:val="en-GB"/>
              </w:rPr>
              <w:t>ropped</w:t>
            </w:r>
            <w:proofErr w:type="spellEnd"/>
            <w:r>
              <w:rPr>
                <w:lang w:val="en-GB"/>
              </w:rPr>
              <w:t xml:space="preserve"> in to support these activities.</w:t>
            </w:r>
          </w:p>
          <w:p w:rsidR="0062647E" w:rsidP="0062647E" w:rsidRDefault="0062647E" w14:paraId="552DF7DF" w14:textId="5F8AFDC0">
            <w:pPr>
              <w:pStyle w:val="ListParagraph"/>
              <w:spacing w:line="300" w:lineRule="exact"/>
              <w:jc w:val="both"/>
              <w:rPr>
                <w:lang w:val="en-GB"/>
              </w:rPr>
            </w:pPr>
          </w:p>
          <w:p w:rsidR="0062647E" w:rsidP="0062647E" w:rsidRDefault="0062647E" w14:paraId="7235A37C" w14:textId="19134CF8">
            <w:pPr>
              <w:pStyle w:val="ListParagraph"/>
              <w:spacing w:line="300" w:lineRule="exact"/>
              <w:jc w:val="both"/>
              <w:rPr>
                <w:lang w:val="en-GB"/>
              </w:rPr>
            </w:pPr>
            <w:r>
              <w:rPr>
                <w:lang w:val="en-GB"/>
              </w:rPr>
              <w:t>Stock management tool will require continued core partners support in terms periodic analysis, attending to technical issues and the general support of vaccine management.</w:t>
            </w:r>
          </w:p>
          <w:p w:rsidR="008A13AF" w:rsidP="0062647E" w:rsidRDefault="008A13AF" w14:paraId="147C84D0" w14:textId="07FFD451">
            <w:pPr>
              <w:pStyle w:val="ListParagraph"/>
              <w:spacing w:line="300" w:lineRule="exact"/>
              <w:jc w:val="both"/>
              <w:rPr>
                <w:lang w:val="en-GB"/>
              </w:rPr>
            </w:pPr>
          </w:p>
          <w:p w:rsidR="008A13AF" w:rsidP="0062647E" w:rsidRDefault="008A13AF" w14:paraId="7C80D61A" w14:textId="53F17D16">
            <w:pPr>
              <w:pStyle w:val="ListParagraph"/>
              <w:spacing w:line="300" w:lineRule="exact"/>
              <w:jc w:val="both"/>
              <w:rPr>
                <w:lang w:val="en-GB"/>
              </w:rPr>
            </w:pPr>
            <w:r>
              <w:rPr>
                <w:lang w:val="en-GB"/>
              </w:rPr>
              <w:lastRenderedPageBreak/>
              <w:t xml:space="preserve">The country is due for cold chain inventory to </w:t>
            </w:r>
            <w:proofErr w:type="spellStart"/>
            <w:r>
              <w:rPr>
                <w:lang w:val="en-GB"/>
              </w:rPr>
              <w:t>acertain</w:t>
            </w:r>
            <w:proofErr w:type="spellEnd"/>
            <w:r>
              <w:rPr>
                <w:lang w:val="en-GB"/>
              </w:rPr>
              <w:t xml:space="preserve"> the status and capacity of cold chain equipment in the field with a view to coming up mitigatory measures to </w:t>
            </w:r>
            <w:proofErr w:type="spellStart"/>
            <w:r>
              <w:rPr>
                <w:lang w:val="en-GB"/>
              </w:rPr>
              <w:t>addres</w:t>
            </w:r>
            <w:proofErr w:type="spellEnd"/>
            <w:r>
              <w:rPr>
                <w:lang w:val="en-GB"/>
              </w:rPr>
              <w:t xml:space="preserve"> the identified gaps. The last cold chain assessment was carried out in 2015. </w:t>
            </w:r>
          </w:p>
          <w:p w:rsidR="00F1146C" w:rsidP="0062647E" w:rsidRDefault="00F1146C" w14:paraId="0E8ECE5F" w14:textId="178FDA98">
            <w:pPr>
              <w:pStyle w:val="ListParagraph"/>
              <w:spacing w:line="300" w:lineRule="exact"/>
              <w:jc w:val="both"/>
              <w:rPr>
                <w:lang w:val="en-GB"/>
              </w:rPr>
            </w:pPr>
          </w:p>
          <w:p w:rsidR="00F1146C" w:rsidP="0062647E" w:rsidRDefault="00F1146C" w14:paraId="04C1C905" w14:textId="324BE01F">
            <w:pPr>
              <w:pStyle w:val="ListParagraph"/>
              <w:spacing w:line="300" w:lineRule="exact"/>
              <w:jc w:val="both"/>
              <w:rPr>
                <w:lang w:val="en-GB"/>
              </w:rPr>
            </w:pPr>
            <w:r>
              <w:rPr>
                <w:lang w:val="en-GB"/>
              </w:rPr>
              <w:t xml:space="preserve">All these technical support </w:t>
            </w:r>
            <w:proofErr w:type="spellStart"/>
            <w:r>
              <w:rPr>
                <w:lang w:val="en-GB"/>
              </w:rPr>
              <w:t>actities</w:t>
            </w:r>
            <w:proofErr w:type="spellEnd"/>
            <w:r>
              <w:rPr>
                <w:lang w:val="en-GB"/>
              </w:rPr>
              <w:t xml:space="preserve"> will result in improved vaccine management and general availability of vaccines and supplies at all levels. There will be no chances of missing zero doses because of stock unavailability.</w:t>
            </w:r>
          </w:p>
          <w:p w:rsidRPr="006B4E86" w:rsidR="004027E9" w:rsidP="0062647E" w:rsidRDefault="004027E9" w14:paraId="2E3A5347" w14:textId="77777777">
            <w:pPr>
              <w:pStyle w:val="ListParagraph"/>
              <w:spacing w:line="300" w:lineRule="exact"/>
              <w:jc w:val="both"/>
              <w:rPr>
                <w:lang w:val="en-GB"/>
              </w:rPr>
            </w:pPr>
          </w:p>
          <w:p w:rsidRPr="002C2B4D" w:rsidR="006B4E86" w:rsidP="006B4E86" w:rsidRDefault="006B4E86" w14:paraId="2A4BB603" w14:textId="7F65F334">
            <w:pPr>
              <w:pStyle w:val="ListParagraph"/>
              <w:numPr>
                <w:ilvl w:val="0"/>
                <w:numId w:val="9"/>
              </w:numPr>
              <w:spacing w:line="300" w:lineRule="exact"/>
              <w:rPr>
                <w:b/>
                <w:bCs/>
                <w:lang w:val="en-GB"/>
              </w:rPr>
            </w:pPr>
            <w:r w:rsidRPr="002C2B4D">
              <w:rPr>
                <w:b/>
                <w:bCs/>
                <w:lang w:val="en-GB"/>
              </w:rPr>
              <w:t>Enhancing strong leadership, management and coordination, including use of data for decision-making;</w:t>
            </w:r>
          </w:p>
          <w:p w:rsidRPr="006B4E86" w:rsidR="006B4E86" w:rsidP="006B4E86" w:rsidRDefault="006B4E86" w14:paraId="05300835" w14:textId="77777777">
            <w:pPr>
              <w:spacing w:line="300" w:lineRule="exact"/>
              <w:rPr>
                <w:lang w:val="en-GB"/>
              </w:rPr>
            </w:pPr>
          </w:p>
          <w:p w:rsidR="006B4E86" w:rsidP="006B4E86" w:rsidRDefault="006B4E86" w14:paraId="63889065" w14:textId="53404A85">
            <w:pPr>
              <w:pStyle w:val="ListParagraph"/>
              <w:numPr>
                <w:ilvl w:val="0"/>
                <w:numId w:val="9"/>
              </w:numPr>
              <w:spacing w:line="300" w:lineRule="exact"/>
              <w:rPr>
                <w:lang w:val="en-GB"/>
              </w:rPr>
            </w:pPr>
            <w:r w:rsidRPr="00615702">
              <w:rPr>
                <w:b/>
                <w:bCs/>
                <w:lang w:val="en-GB"/>
              </w:rPr>
              <w:t>Introduction and scale up of vaccines</w:t>
            </w:r>
            <w:r w:rsidRPr="006B4E86">
              <w:rPr>
                <w:lang w:val="en-GB"/>
              </w:rPr>
              <w:t>;</w:t>
            </w:r>
          </w:p>
          <w:p w:rsidRPr="006B4E86" w:rsidR="006B4E86" w:rsidP="008C237F" w:rsidRDefault="002C2B4D" w14:paraId="2F886AC2" w14:textId="65B7FDC9">
            <w:pPr>
              <w:pStyle w:val="ListParagraph"/>
              <w:spacing w:line="300" w:lineRule="exact"/>
              <w:jc w:val="both"/>
              <w:rPr>
                <w:lang w:val="en-GB"/>
              </w:rPr>
            </w:pPr>
            <w:r>
              <w:rPr>
                <w:lang w:val="en-GB"/>
              </w:rPr>
              <w:t xml:space="preserve">The ongoing Covid-19 vaccination has brought with it some challenges that would require good partner coordination and collaboration to harness resources from other partners. The Ministry has noted they </w:t>
            </w:r>
            <w:proofErr w:type="spellStart"/>
            <w:r>
              <w:rPr>
                <w:lang w:val="en-GB"/>
              </w:rPr>
              <w:t>can not</w:t>
            </w:r>
            <w:proofErr w:type="spellEnd"/>
            <w:r>
              <w:rPr>
                <w:lang w:val="en-GB"/>
              </w:rPr>
              <w:t xml:space="preserve"> do it alone hence the need for technical support in attending to assist in attending to some of the challenges. The measles and polio vaccination campaigns would also need technical support in the form of</w:t>
            </w:r>
            <w:r w:rsidR="004D5FF3">
              <w:rPr>
                <w:lang w:val="en-GB"/>
              </w:rPr>
              <w:t xml:space="preserve"> conducting of readiness assessment, performance monitoring</w:t>
            </w:r>
            <w:r w:rsidR="007A3506">
              <w:rPr>
                <w:lang w:val="en-GB"/>
              </w:rPr>
              <w:t>,</w:t>
            </w:r>
            <w:r>
              <w:rPr>
                <w:lang w:val="en-GB"/>
              </w:rPr>
              <w:t xml:space="preserve"> post campaign coverage evaluations and other </w:t>
            </w:r>
            <w:proofErr w:type="spellStart"/>
            <w:r>
              <w:rPr>
                <w:lang w:val="en-GB"/>
              </w:rPr>
              <w:t>ancili</w:t>
            </w:r>
            <w:r w:rsidR="008C237F">
              <w:rPr>
                <w:lang w:val="en-GB"/>
              </w:rPr>
              <w:t>a</w:t>
            </w:r>
            <w:r>
              <w:rPr>
                <w:lang w:val="en-GB"/>
              </w:rPr>
              <w:t>ry</w:t>
            </w:r>
            <w:proofErr w:type="spellEnd"/>
            <w:r>
              <w:rPr>
                <w:lang w:val="en-GB"/>
              </w:rPr>
              <w:t xml:space="preserve"> services.</w:t>
            </w:r>
          </w:p>
          <w:p w:rsidRPr="00615702" w:rsidR="0071439C" w:rsidP="006B4E86" w:rsidRDefault="006B4E86" w14:paraId="0BDDDAF4" w14:textId="77777777">
            <w:pPr>
              <w:pStyle w:val="ListParagraph"/>
              <w:numPr>
                <w:ilvl w:val="0"/>
                <w:numId w:val="9"/>
              </w:numPr>
              <w:spacing w:line="300" w:lineRule="exact"/>
              <w:rPr>
                <w:b/>
                <w:bCs/>
                <w:lang w:val="en-GB"/>
              </w:rPr>
            </w:pPr>
            <w:r w:rsidRPr="00615702">
              <w:rPr>
                <w:b/>
                <w:bCs/>
                <w:lang w:val="en-GB"/>
              </w:rPr>
              <w:t>Programmatic sustainability</w:t>
            </w:r>
          </w:p>
          <w:p w:rsidR="003B111E" w:rsidP="00615702" w:rsidRDefault="00615702" w14:paraId="748501C3" w14:textId="32236902">
            <w:pPr>
              <w:pStyle w:val="ListParagraph"/>
              <w:spacing w:line="300" w:lineRule="exact"/>
              <w:jc w:val="both"/>
              <w:rPr>
                <w:lang w:val="en-GB"/>
              </w:rPr>
            </w:pPr>
            <w:r>
              <w:rPr>
                <w:lang w:val="en-GB"/>
              </w:rPr>
              <w:t xml:space="preserve">The Government of Zimbabwe has already taken over funding of traditional </w:t>
            </w:r>
            <w:proofErr w:type="spellStart"/>
            <w:r>
              <w:rPr>
                <w:lang w:val="en-GB"/>
              </w:rPr>
              <w:t>vaccnes</w:t>
            </w:r>
            <w:proofErr w:type="spellEnd"/>
            <w:r>
              <w:rPr>
                <w:lang w:val="en-GB"/>
              </w:rPr>
              <w:t xml:space="preserve"> and supplies since 2020. The country is not in default for payment of its co-financing obligations for Gavi funded new and underutilized vaccines. The country has even gone further to procure own Covid-19 vaccine, supplies and largely funding Covid-19 vaccination operational costs. All this is in an effort to</w:t>
            </w:r>
            <w:r w:rsidRPr="00615702">
              <w:rPr>
                <w:lang w:val="en-GB"/>
              </w:rPr>
              <w:t xml:space="preserve"> </w:t>
            </w:r>
            <w:r w:rsidR="003B111E">
              <w:rPr>
                <w:lang w:val="en-GB"/>
              </w:rPr>
              <w:t xml:space="preserve">ensure programme sustainability in case Gavi and other partners support is phased out. </w:t>
            </w:r>
          </w:p>
          <w:p w:rsidR="003B111E" w:rsidP="00615702" w:rsidRDefault="003B111E" w14:paraId="13803C0F" w14:textId="398CC61E">
            <w:pPr>
              <w:pStyle w:val="ListParagraph"/>
              <w:spacing w:line="300" w:lineRule="exact"/>
              <w:jc w:val="both"/>
              <w:rPr>
                <w:lang w:val="en-GB"/>
              </w:rPr>
            </w:pPr>
          </w:p>
          <w:p w:rsidR="003B111E" w:rsidP="00615702" w:rsidRDefault="003B111E" w14:paraId="349B9539" w14:textId="77777777">
            <w:pPr>
              <w:pStyle w:val="ListParagraph"/>
              <w:spacing w:line="300" w:lineRule="exact"/>
              <w:jc w:val="both"/>
              <w:rPr>
                <w:lang w:val="en-GB"/>
              </w:rPr>
            </w:pPr>
            <w:r>
              <w:rPr>
                <w:lang w:val="en-GB"/>
              </w:rPr>
              <w:t xml:space="preserve">The </w:t>
            </w:r>
            <w:r w:rsidRPr="003B111E">
              <w:rPr>
                <w:lang w:val="en-GB"/>
              </w:rPr>
              <w:t xml:space="preserve">Government pledges its commitment to create the enabling environment for immunization service delivery.  This include increasing domestic funding, providing adequate human resources for health and other supporting resources.  </w:t>
            </w:r>
          </w:p>
          <w:p w:rsidR="003B111E" w:rsidP="00615702" w:rsidRDefault="003B111E" w14:paraId="75275AAF" w14:textId="77777777">
            <w:pPr>
              <w:pStyle w:val="ListParagraph"/>
              <w:spacing w:line="300" w:lineRule="exact"/>
              <w:jc w:val="both"/>
              <w:rPr>
                <w:lang w:val="en-GB"/>
              </w:rPr>
            </w:pPr>
          </w:p>
          <w:p w:rsidR="003B111E" w:rsidP="00615702" w:rsidRDefault="003B111E" w14:paraId="0370662E" w14:textId="0ECBF535">
            <w:pPr>
              <w:pStyle w:val="ListParagraph"/>
              <w:spacing w:line="300" w:lineRule="exact"/>
              <w:jc w:val="both"/>
              <w:rPr>
                <w:lang w:val="en-GB"/>
              </w:rPr>
            </w:pPr>
            <w:r>
              <w:rPr>
                <w:lang w:val="en-GB"/>
              </w:rPr>
              <w:t xml:space="preserve">However, partner support will be required in all operational areas of the immunization programme for country to realize sustainability. TA will be required in enhancing personnel skills </w:t>
            </w:r>
            <w:r w:rsidR="001471C5">
              <w:rPr>
                <w:lang w:val="en-GB"/>
              </w:rPr>
              <w:t xml:space="preserve">in immunisation supply chain, demand creation and service delivery. </w:t>
            </w:r>
          </w:p>
          <w:p w:rsidRPr="001471C5" w:rsidR="00615702" w:rsidP="001471C5" w:rsidRDefault="00615702" w14:paraId="0C49E76B" w14:textId="4959D71E">
            <w:pPr>
              <w:spacing w:line="300" w:lineRule="exact"/>
              <w:jc w:val="both"/>
              <w:rPr>
                <w:lang w:val="en-GB"/>
              </w:rPr>
            </w:pPr>
          </w:p>
        </w:tc>
      </w:tr>
      <w:tr w:rsidR="002E0882" w:rsidTr="007B53D1" w14:paraId="733DCE72" w14:textId="77777777">
        <w:tc>
          <w:tcPr>
            <w:tcW w:w="9192" w:type="dxa"/>
            <w:tcBorders>
              <w:top w:val="single" w:color="auto" w:sz="4" w:space="0"/>
              <w:bottom w:val="single" w:color="auto" w:sz="4" w:space="0"/>
            </w:tcBorders>
            <w:shd w:val="clear" w:color="auto" w:fill="F2F2F2" w:themeFill="background1" w:themeFillShade="F2"/>
          </w:tcPr>
          <w:p w:rsidRPr="00CF3BC4" w:rsidR="002E0882" w:rsidP="007B53D1" w:rsidRDefault="002E0882" w14:paraId="39970F96" w14:textId="5B7ADA76">
            <w:pPr>
              <w:pStyle w:val="ListParagraph"/>
              <w:spacing w:line="300" w:lineRule="exact"/>
              <w:ind w:left="0"/>
              <w:rPr>
                <w:b/>
                <w:bCs/>
                <w:i/>
                <w:iCs/>
                <w:color w:val="000000" w:themeColor="text1"/>
                <w:sz w:val="20"/>
                <w:szCs w:val="20"/>
              </w:rPr>
            </w:pPr>
            <w:r>
              <w:rPr>
                <w:b/>
                <w:bCs/>
                <w:i/>
                <w:iCs/>
                <w:sz w:val="20"/>
                <w:szCs w:val="20"/>
              </w:rPr>
              <w:lastRenderedPageBreak/>
              <w:t xml:space="preserve">2.3 </w:t>
            </w:r>
            <w:r w:rsidRPr="00CF3BC4">
              <w:rPr>
                <w:b/>
                <w:bCs/>
                <w:i/>
                <w:iCs/>
                <w:sz w:val="20"/>
                <w:szCs w:val="20"/>
              </w:rPr>
              <w:t xml:space="preserve">How will you use new vaccine introductions and campaigns planned during this period to further </w:t>
            </w:r>
            <w:r w:rsidR="00BE66F8">
              <w:rPr>
                <w:b/>
                <w:bCs/>
                <w:i/>
                <w:iCs/>
                <w:sz w:val="20"/>
                <w:szCs w:val="20"/>
              </w:rPr>
              <w:t>stre</w:t>
            </w:r>
            <w:r w:rsidR="00AF4BE7">
              <w:rPr>
                <w:b/>
                <w:bCs/>
                <w:i/>
                <w:iCs/>
                <w:sz w:val="20"/>
                <w:szCs w:val="20"/>
              </w:rPr>
              <w:t>ngthen the areas indicated under question 2.2?</w:t>
            </w:r>
            <w:r w:rsidR="00BE66F8">
              <w:rPr>
                <w:b/>
                <w:bCs/>
                <w:i/>
                <w:iCs/>
                <w:sz w:val="20"/>
                <w:szCs w:val="20"/>
              </w:rPr>
              <w:t xml:space="preserve"> </w:t>
            </w:r>
          </w:p>
        </w:tc>
      </w:tr>
      <w:tr w:rsidRPr="006A272B" w:rsidR="002E0882" w:rsidTr="007B53D1" w14:paraId="3B0C1B4D" w14:textId="77777777">
        <w:tc>
          <w:tcPr>
            <w:tcW w:w="9192" w:type="dxa"/>
            <w:tcBorders>
              <w:top w:val="single" w:color="auto" w:sz="4" w:space="0"/>
              <w:left w:val="single" w:color="auto" w:sz="4" w:space="0"/>
              <w:bottom w:val="single" w:color="auto" w:sz="4" w:space="0"/>
              <w:right w:val="single" w:color="auto" w:sz="4" w:space="0"/>
            </w:tcBorders>
          </w:tcPr>
          <w:p w:rsidRPr="006A272B" w:rsidR="002E0882" w:rsidP="00CF0B49" w:rsidRDefault="00B6330E" w14:paraId="2525ED44" w14:textId="5F699E47">
            <w:pPr>
              <w:spacing w:line="300" w:lineRule="exact"/>
              <w:jc w:val="both"/>
              <w:rPr>
                <w:lang w:val="en-GB"/>
              </w:rPr>
            </w:pPr>
            <w:r>
              <w:rPr>
                <w:lang w:val="en-GB"/>
              </w:rPr>
              <w:t>The country will take advantage of additional resources brought for campaign</w:t>
            </w:r>
            <w:r w:rsidR="001F4388">
              <w:rPr>
                <w:lang w:val="en-GB"/>
              </w:rPr>
              <w:t>s</w:t>
            </w:r>
            <w:r>
              <w:rPr>
                <w:lang w:val="en-GB"/>
              </w:rPr>
              <w:t xml:space="preserve"> to enhance routine vaccination services. </w:t>
            </w:r>
            <w:r w:rsidR="001F4388">
              <w:rPr>
                <w:lang w:val="en-GB"/>
              </w:rPr>
              <w:t>Immunisation services will be implemented in an integrated approach to efficient use of available resources. Routine vaccination topics will be included during campaign microplanning and training meetings. Micro plans will be developed in such a way that they also ca</w:t>
            </w:r>
            <w:r w:rsidR="00022C0C">
              <w:rPr>
                <w:lang w:val="en-GB"/>
              </w:rPr>
              <w:t>ptu</w:t>
            </w:r>
            <w:r w:rsidR="001F4388">
              <w:rPr>
                <w:lang w:val="en-GB"/>
              </w:rPr>
              <w:t>re the zero doses and missed communities. Supportive visits for campaigns will be integrated with routine vaccination.</w:t>
            </w:r>
          </w:p>
        </w:tc>
      </w:tr>
      <w:tr w:rsidR="00D353AF" w:rsidTr="007B53D1" w14:paraId="124CC764" w14:textId="77777777">
        <w:tc>
          <w:tcPr>
            <w:tcW w:w="9192" w:type="dxa"/>
            <w:tcBorders>
              <w:top w:val="single" w:color="auto" w:sz="4" w:space="0"/>
              <w:bottom w:val="single" w:color="auto" w:sz="4" w:space="0"/>
            </w:tcBorders>
            <w:shd w:val="clear" w:color="auto" w:fill="F2F2F2" w:themeFill="background1" w:themeFillShade="F2"/>
          </w:tcPr>
          <w:p w:rsidR="00D353AF" w:rsidP="007B53D1" w:rsidRDefault="00D353AF" w14:paraId="374B434F" w14:textId="56886AD9">
            <w:pPr>
              <w:spacing w:line="300" w:lineRule="exact"/>
              <w:rPr>
                <w:b/>
                <w:i/>
                <w:iCs/>
                <w:color w:val="000000" w:themeColor="text1"/>
                <w:sz w:val="20"/>
                <w:szCs w:val="20"/>
                <w:lang w:val="en-GB"/>
              </w:rPr>
            </w:pPr>
            <w:r>
              <w:rPr>
                <w:b/>
                <w:i/>
                <w:iCs/>
                <w:color w:val="000000" w:themeColor="text1"/>
                <w:sz w:val="20"/>
                <w:szCs w:val="20"/>
                <w:lang w:val="en-GB"/>
              </w:rPr>
              <w:lastRenderedPageBreak/>
              <w:t xml:space="preserve">2.4 </w:t>
            </w:r>
            <w:r w:rsidRPr="00EC7215">
              <w:rPr>
                <w:b/>
                <w:i/>
                <w:iCs/>
                <w:color w:val="000000" w:themeColor="text1"/>
                <w:sz w:val="20"/>
                <w:szCs w:val="20"/>
                <w:lang w:val="en-GB"/>
              </w:rPr>
              <w:t>Describe how the T</w:t>
            </w:r>
            <w:r>
              <w:rPr>
                <w:b/>
                <w:i/>
                <w:iCs/>
                <w:color w:val="000000" w:themeColor="text1"/>
                <w:sz w:val="20"/>
                <w:szCs w:val="20"/>
                <w:lang w:val="en-GB"/>
              </w:rPr>
              <w:t>C</w:t>
            </w:r>
            <w:r w:rsidRPr="00EC7215">
              <w:rPr>
                <w:b/>
                <w:i/>
                <w:iCs/>
                <w:color w:val="000000" w:themeColor="text1"/>
                <w:sz w:val="20"/>
                <w:szCs w:val="20"/>
                <w:lang w:val="en-GB"/>
              </w:rPr>
              <w:t xml:space="preserve">A </w:t>
            </w:r>
            <w:r w:rsidR="00C21E0A">
              <w:rPr>
                <w:b/>
                <w:i/>
                <w:iCs/>
                <w:color w:val="000000" w:themeColor="text1"/>
                <w:sz w:val="20"/>
                <w:szCs w:val="20"/>
                <w:lang w:val="en-GB"/>
              </w:rPr>
              <w:t>support</w:t>
            </w:r>
            <w:r w:rsidRPr="00EC7215">
              <w:rPr>
                <w:b/>
                <w:i/>
                <w:iCs/>
                <w:color w:val="000000" w:themeColor="text1"/>
                <w:sz w:val="20"/>
                <w:szCs w:val="20"/>
                <w:lang w:val="en-GB"/>
              </w:rPr>
              <w:t xml:space="preserve"> will help re-establish routine immunisation services and any other COVID-19 related recovery activities. </w:t>
            </w:r>
          </w:p>
          <w:p w:rsidRPr="0041751A" w:rsidR="00D353AF" w:rsidP="007B53D1" w:rsidRDefault="00D353AF" w14:paraId="5D61F6FA" w14:textId="77777777">
            <w:pPr>
              <w:spacing w:line="300" w:lineRule="exact"/>
              <w:rPr>
                <w:b/>
                <w:bCs/>
                <w:i/>
                <w:iCs/>
                <w:color w:val="70AD47" w:themeColor="accent6"/>
                <w:sz w:val="20"/>
                <w:szCs w:val="20"/>
                <w:lang w:val="en-GB"/>
              </w:rPr>
            </w:pPr>
            <w:r w:rsidRPr="006C01EA">
              <w:rPr>
                <w:bCs/>
                <w:i/>
                <w:iCs/>
                <w:color w:val="000000" w:themeColor="text1"/>
                <w:sz w:val="20"/>
                <w:szCs w:val="20"/>
                <w:lang w:val="en-GB"/>
              </w:rPr>
              <w:t>P</w:t>
            </w:r>
            <w:r w:rsidRPr="006C01EA">
              <w:rPr>
                <w:bCs/>
                <w:i/>
                <w:iCs/>
                <w:sz w:val="20"/>
                <w:szCs w:val="20"/>
                <w:lang w:val="en-GB"/>
              </w:rPr>
              <w:t>lease indicate any COVID-19 related reallocation that may have occurred for previous TCA funds (if applicable); does this reallocation remain relevant for this proposal.</w:t>
            </w:r>
          </w:p>
        </w:tc>
      </w:tr>
      <w:tr w:rsidR="00D353AF" w:rsidTr="007B53D1" w14:paraId="14D7F47D" w14:textId="77777777">
        <w:tc>
          <w:tcPr>
            <w:tcW w:w="9192" w:type="dxa"/>
            <w:tcBorders>
              <w:top w:val="single" w:color="auto" w:sz="4" w:space="0"/>
              <w:left w:val="single" w:color="auto" w:sz="4" w:space="0"/>
              <w:bottom w:val="single" w:color="auto" w:sz="4" w:space="0"/>
              <w:right w:val="single" w:color="auto" w:sz="4" w:space="0"/>
            </w:tcBorders>
          </w:tcPr>
          <w:p w:rsidRPr="004027E9" w:rsidR="00D353AF" w:rsidP="005E4EBE" w:rsidRDefault="00CF0B49" w14:paraId="2689F064" w14:textId="2CF13A46">
            <w:pPr>
              <w:spacing w:line="300" w:lineRule="exact"/>
              <w:jc w:val="both"/>
              <w:rPr>
                <w:color w:val="000000" w:themeColor="text1"/>
                <w:lang w:val="en-GB"/>
              </w:rPr>
            </w:pPr>
            <w:r w:rsidRPr="004027E9">
              <w:rPr>
                <w:color w:val="000000" w:themeColor="text1"/>
                <w:lang w:val="en-GB"/>
              </w:rPr>
              <w:t xml:space="preserve">It is quite evident that the Covid-19 vaccination had a toll on </w:t>
            </w:r>
            <w:proofErr w:type="spellStart"/>
            <w:r w:rsidRPr="004027E9">
              <w:rPr>
                <w:color w:val="000000" w:themeColor="text1"/>
                <w:lang w:val="en-GB"/>
              </w:rPr>
              <w:t>routive</w:t>
            </w:r>
            <w:proofErr w:type="spellEnd"/>
            <w:r w:rsidRPr="004027E9">
              <w:rPr>
                <w:color w:val="000000" w:themeColor="text1"/>
                <w:lang w:val="en-GB"/>
              </w:rPr>
              <w:t xml:space="preserve"> vaccination as it did with other </w:t>
            </w:r>
            <w:proofErr w:type="spellStart"/>
            <w:r w:rsidRPr="004027E9">
              <w:rPr>
                <w:color w:val="000000" w:themeColor="text1"/>
                <w:lang w:val="en-GB"/>
              </w:rPr>
              <w:t>routive</w:t>
            </w:r>
            <w:proofErr w:type="spellEnd"/>
            <w:r w:rsidRPr="004027E9">
              <w:rPr>
                <w:color w:val="000000" w:themeColor="text1"/>
                <w:lang w:val="en-GB"/>
              </w:rPr>
              <w:t xml:space="preserve"> health service delivery items. This TCA will </w:t>
            </w:r>
            <w:proofErr w:type="spellStart"/>
            <w:r w:rsidRPr="004027E9">
              <w:rPr>
                <w:color w:val="000000" w:themeColor="text1"/>
                <w:lang w:val="en-GB"/>
              </w:rPr>
              <w:t>aupport</w:t>
            </w:r>
            <w:proofErr w:type="spellEnd"/>
            <w:r w:rsidRPr="004027E9">
              <w:rPr>
                <w:color w:val="000000" w:themeColor="text1"/>
                <w:lang w:val="en-GB"/>
              </w:rPr>
              <w:t xml:space="preserve"> revitali</w:t>
            </w:r>
            <w:r w:rsidR="005C65FB">
              <w:rPr>
                <w:color w:val="000000" w:themeColor="text1"/>
                <w:lang w:val="en-GB"/>
              </w:rPr>
              <w:t>s</w:t>
            </w:r>
            <w:r w:rsidRPr="004027E9">
              <w:rPr>
                <w:color w:val="000000" w:themeColor="text1"/>
                <w:lang w:val="en-GB"/>
              </w:rPr>
              <w:t>ation of the immunisation programme in that it will strengthen micro planning at district and service delivery level by facilitating identification of the underserved individuals and communities.</w:t>
            </w:r>
            <w:r w:rsidRPr="004027E9" w:rsidR="00CB10BE">
              <w:rPr>
                <w:color w:val="000000" w:themeColor="text1"/>
                <w:lang w:val="en-GB"/>
              </w:rPr>
              <w:t xml:space="preserve"> It will also facilitate an improvement in vaccine availability by identifying cold chain equipment gaps, plugging up the gaps, improving cold chain equipment </w:t>
            </w:r>
            <w:proofErr w:type="spellStart"/>
            <w:r w:rsidRPr="004027E9" w:rsidR="00CB10BE">
              <w:rPr>
                <w:color w:val="000000" w:themeColor="text1"/>
                <w:lang w:val="en-GB"/>
              </w:rPr>
              <w:t>meintence</w:t>
            </w:r>
            <w:proofErr w:type="spellEnd"/>
            <w:r w:rsidRPr="004027E9" w:rsidR="00CB10BE">
              <w:rPr>
                <w:color w:val="000000" w:themeColor="text1"/>
                <w:lang w:val="en-GB"/>
              </w:rPr>
              <w:t xml:space="preserve"> and enhancing vaccine management practices at all levels. The TA will also support in addressing religious, cultural and </w:t>
            </w:r>
            <w:proofErr w:type="spellStart"/>
            <w:r w:rsidRPr="004027E9" w:rsidR="00CB10BE">
              <w:rPr>
                <w:color w:val="000000" w:themeColor="text1"/>
                <w:lang w:val="en-GB"/>
              </w:rPr>
              <w:t>beiefs</w:t>
            </w:r>
            <w:proofErr w:type="spellEnd"/>
            <w:r w:rsidRPr="004027E9" w:rsidR="00CB10BE">
              <w:rPr>
                <w:color w:val="000000" w:themeColor="text1"/>
                <w:lang w:val="en-GB"/>
              </w:rPr>
              <w:t xml:space="preserve"> that are negatively affecting utilisation of immunisation services..</w:t>
            </w:r>
          </w:p>
        </w:tc>
      </w:tr>
      <w:tr w:rsidR="00D353AF" w:rsidTr="007B53D1" w14:paraId="7CB90E66" w14:textId="77777777">
        <w:tc>
          <w:tcPr>
            <w:tcW w:w="9192" w:type="dxa"/>
            <w:tcBorders>
              <w:top w:val="single" w:color="auto" w:sz="4" w:space="0"/>
              <w:bottom w:val="single" w:color="auto" w:sz="4" w:space="0"/>
            </w:tcBorders>
            <w:shd w:val="clear" w:color="auto" w:fill="F2F2F2" w:themeFill="background1" w:themeFillShade="F2"/>
          </w:tcPr>
          <w:p w:rsidRPr="00777960" w:rsidR="00D353AF" w:rsidP="007B53D1" w:rsidRDefault="00D353AF" w14:paraId="341DF7D2" w14:textId="20697518">
            <w:pPr>
              <w:spacing w:line="300" w:lineRule="exact"/>
              <w:rPr>
                <w:bCs/>
                <w:i/>
                <w:iCs/>
                <w:sz w:val="20"/>
                <w:szCs w:val="20"/>
                <w:lang w:val="en-GB"/>
              </w:rPr>
            </w:pPr>
            <w:r>
              <w:rPr>
                <w:b/>
                <w:i/>
                <w:iCs/>
                <w:color w:val="000000" w:themeColor="text1"/>
                <w:sz w:val="20"/>
                <w:szCs w:val="20"/>
                <w:lang w:val="en-GB"/>
              </w:rPr>
              <w:t xml:space="preserve">2.5 </w:t>
            </w:r>
            <w:r w:rsidRPr="00777960">
              <w:rPr>
                <w:b/>
                <w:i/>
                <w:iCs/>
                <w:color w:val="000000" w:themeColor="text1"/>
                <w:sz w:val="20"/>
                <w:szCs w:val="20"/>
                <w:lang w:val="en-GB"/>
              </w:rPr>
              <w:t xml:space="preserve">Describe how the </w:t>
            </w:r>
            <w:r>
              <w:rPr>
                <w:b/>
                <w:i/>
                <w:iCs/>
                <w:color w:val="000000" w:themeColor="text1"/>
                <w:sz w:val="20"/>
                <w:szCs w:val="20"/>
                <w:lang w:val="en-GB"/>
              </w:rPr>
              <w:t>TCA</w:t>
            </w:r>
            <w:r w:rsidRPr="00777960">
              <w:rPr>
                <w:b/>
                <w:i/>
                <w:iCs/>
                <w:color w:val="000000" w:themeColor="text1"/>
                <w:sz w:val="20"/>
                <w:szCs w:val="20"/>
                <w:lang w:val="en-GB"/>
              </w:rPr>
              <w:t xml:space="preserve"> </w:t>
            </w:r>
            <w:r w:rsidR="00630A26">
              <w:rPr>
                <w:b/>
                <w:i/>
                <w:iCs/>
                <w:color w:val="000000" w:themeColor="text1"/>
                <w:sz w:val="20"/>
                <w:szCs w:val="20"/>
                <w:lang w:val="en-GB"/>
              </w:rPr>
              <w:t>support will</w:t>
            </w:r>
            <w:r w:rsidRPr="00777960">
              <w:rPr>
                <w:b/>
                <w:i/>
                <w:iCs/>
                <w:color w:val="000000" w:themeColor="text1"/>
                <w:sz w:val="20"/>
                <w:szCs w:val="20"/>
                <w:lang w:val="en-GB"/>
              </w:rPr>
              <w:t xml:space="preserve"> identif</w:t>
            </w:r>
            <w:r w:rsidR="00630A26">
              <w:rPr>
                <w:b/>
                <w:i/>
                <w:iCs/>
                <w:color w:val="000000" w:themeColor="text1"/>
                <w:sz w:val="20"/>
                <w:szCs w:val="20"/>
                <w:lang w:val="en-GB"/>
              </w:rPr>
              <w:t>y</w:t>
            </w:r>
            <w:r w:rsidRPr="00777960">
              <w:rPr>
                <w:b/>
                <w:i/>
                <w:iCs/>
                <w:color w:val="000000" w:themeColor="text1"/>
                <w:sz w:val="20"/>
                <w:szCs w:val="20"/>
                <w:lang w:val="en-GB"/>
              </w:rPr>
              <w:t xml:space="preserve"> and/or overcome already known gender-related </w:t>
            </w:r>
            <w:r>
              <w:rPr>
                <w:b/>
                <w:i/>
                <w:iCs/>
                <w:color w:val="000000" w:themeColor="text1"/>
                <w:sz w:val="20"/>
                <w:szCs w:val="20"/>
                <w:lang w:val="en-GB"/>
              </w:rPr>
              <w:t xml:space="preserve">or other </w:t>
            </w:r>
            <w:r w:rsidRPr="00777960">
              <w:rPr>
                <w:b/>
                <w:i/>
                <w:iCs/>
                <w:color w:val="000000" w:themeColor="text1"/>
                <w:sz w:val="20"/>
                <w:szCs w:val="20"/>
                <w:lang w:val="en-GB"/>
              </w:rPr>
              <w:t xml:space="preserve">barriers to immunisation activities. Please respond </w:t>
            </w:r>
            <w:r w:rsidR="00A733BF">
              <w:rPr>
                <w:b/>
                <w:i/>
                <w:iCs/>
                <w:color w:val="000000" w:themeColor="text1"/>
                <w:sz w:val="20"/>
                <w:szCs w:val="20"/>
                <w:lang w:val="en-GB"/>
              </w:rPr>
              <w:t xml:space="preserve">to </w:t>
            </w:r>
            <w:r w:rsidRPr="00777960">
              <w:rPr>
                <w:b/>
                <w:i/>
                <w:iCs/>
                <w:color w:val="000000" w:themeColor="text1"/>
                <w:sz w:val="20"/>
                <w:szCs w:val="20"/>
                <w:lang w:val="en-GB"/>
              </w:rPr>
              <w:t>how each partner can help address this.</w:t>
            </w:r>
          </w:p>
        </w:tc>
      </w:tr>
      <w:tr w:rsidR="00D353AF" w:rsidTr="007B53D1" w14:paraId="251D4101" w14:textId="77777777">
        <w:trPr>
          <w:trHeight w:val="103"/>
        </w:trPr>
        <w:tc>
          <w:tcPr>
            <w:tcW w:w="9192" w:type="dxa"/>
            <w:tcBorders>
              <w:top w:val="single" w:color="auto" w:sz="4" w:space="0"/>
              <w:left w:val="single" w:color="auto" w:sz="4" w:space="0"/>
              <w:bottom w:val="single" w:color="auto" w:sz="4" w:space="0"/>
              <w:right w:val="single" w:color="auto" w:sz="4" w:space="0"/>
            </w:tcBorders>
            <w:shd w:val="clear" w:color="auto" w:fill="auto"/>
          </w:tcPr>
          <w:p w:rsidRPr="004027E9" w:rsidR="00B35B6D" w:rsidP="00B35B6D" w:rsidRDefault="00B35B6D" w14:paraId="50A221B5" w14:textId="65BB5313">
            <w:pPr>
              <w:spacing w:line="300" w:lineRule="exact"/>
              <w:jc w:val="both"/>
            </w:pPr>
            <w:r w:rsidRPr="004027E9">
              <w:t>Understanding how gender roles, norms and relations and gender inequality influence access to, and demand for, vaccines in different contexts is critical for expanding reach. Gender-related barriers must be addressed in the planning and rollout of vaccine distribution to reach everyone, especially those most marginalised. Women and gender-diverse groups are often at risk of experiencing sexual harassment and other forms of gender-based violence when seeking health services, including vaccination.</w:t>
            </w:r>
          </w:p>
          <w:p w:rsidRPr="004027E9" w:rsidR="00B35B6D" w:rsidP="00B35B6D" w:rsidRDefault="00B35B6D" w14:paraId="0AF6F7FC" w14:textId="77777777">
            <w:pPr>
              <w:spacing w:line="300" w:lineRule="exact"/>
            </w:pPr>
          </w:p>
          <w:p w:rsidRPr="004027E9" w:rsidR="00D353AF" w:rsidP="00B35B6D" w:rsidRDefault="00D80879" w14:paraId="35E40180" w14:textId="4BAA4600">
            <w:pPr>
              <w:spacing w:line="300" w:lineRule="exact"/>
            </w:pPr>
            <w:r w:rsidRPr="004027E9">
              <w:t>The TCA will assi</w:t>
            </w:r>
            <w:r w:rsidR="004027E9">
              <w:t>s</w:t>
            </w:r>
            <w:r w:rsidRPr="004027E9">
              <w:t>t in regular communication about gender-related barriers to immunization and progress in overcoming them. It will a</w:t>
            </w:r>
            <w:r w:rsidR="004027E9">
              <w:t>ls</w:t>
            </w:r>
            <w:r w:rsidRPr="004027E9">
              <w:t>o aim at increase female representation in co-creating interventions, applying a gender lens to design activities to reduce zero-dose and under-immunized children.</w:t>
            </w:r>
          </w:p>
          <w:p w:rsidRPr="004027E9" w:rsidR="00B35B6D" w:rsidP="00B35B6D" w:rsidRDefault="00B35B6D" w14:paraId="491C6526" w14:textId="77777777">
            <w:pPr>
              <w:spacing w:line="300" w:lineRule="exact"/>
              <w:jc w:val="both"/>
            </w:pPr>
          </w:p>
          <w:p w:rsidRPr="004027E9" w:rsidR="00FD53C5" w:rsidP="00B35B6D" w:rsidRDefault="00FD53C5" w14:paraId="626A5A76" w14:textId="1C2793CA">
            <w:pPr>
              <w:spacing w:line="300" w:lineRule="exact"/>
              <w:jc w:val="both"/>
            </w:pPr>
            <w:r w:rsidRPr="004027E9">
              <w:t>Partners allocated demand generation TA (UNICEF, Crown Agents) will support engagement of stakeholder to identify gender related barriers to vaccination at the same time striving to address them.</w:t>
            </w:r>
          </w:p>
        </w:tc>
      </w:tr>
      <w:tr w:rsidR="00D353AF" w:rsidTr="007B53D1" w14:paraId="2605CFC3" w14:textId="77777777">
        <w:tc>
          <w:tcPr>
            <w:tcW w:w="9192" w:type="dxa"/>
            <w:tcBorders>
              <w:top w:val="single" w:color="auto" w:sz="4" w:space="0"/>
              <w:bottom w:val="single" w:color="auto" w:sz="4" w:space="0"/>
            </w:tcBorders>
            <w:shd w:val="clear" w:color="auto" w:fill="F2F2F2" w:themeFill="background1" w:themeFillShade="F2"/>
          </w:tcPr>
          <w:p w:rsidRPr="008C7464" w:rsidR="00D353AF" w:rsidP="007B53D1" w:rsidRDefault="00D353AF" w14:paraId="71D225EC" w14:textId="23CD8FD6">
            <w:pPr>
              <w:spacing w:line="300" w:lineRule="exact"/>
              <w:rPr>
                <w:b/>
                <w:bCs/>
                <w:color w:val="92D050"/>
                <w:lang w:val="en-GB"/>
              </w:rPr>
            </w:pPr>
            <w:r>
              <w:rPr>
                <w:b/>
                <w:bCs/>
                <w:i/>
                <w:iCs/>
                <w:sz w:val="20"/>
                <w:szCs w:val="20"/>
              </w:rPr>
              <w:t xml:space="preserve">2.6 </w:t>
            </w:r>
            <w:r w:rsidRPr="00CF3BC4">
              <w:rPr>
                <w:b/>
                <w:bCs/>
                <w:i/>
                <w:iCs/>
                <w:sz w:val="20"/>
                <w:szCs w:val="20"/>
              </w:rPr>
              <w:t xml:space="preserve">Describe </w:t>
            </w:r>
            <w:r>
              <w:rPr>
                <w:b/>
                <w:bCs/>
                <w:i/>
                <w:iCs/>
                <w:sz w:val="20"/>
                <w:szCs w:val="20"/>
              </w:rPr>
              <w:t xml:space="preserve">how </w:t>
            </w:r>
            <w:r w:rsidRPr="00CF3BC4">
              <w:rPr>
                <w:b/>
                <w:bCs/>
                <w:i/>
                <w:iCs/>
                <w:sz w:val="20"/>
                <w:szCs w:val="20"/>
              </w:rPr>
              <w:t>you prioritise</w:t>
            </w:r>
            <w:r>
              <w:rPr>
                <w:b/>
                <w:bCs/>
                <w:i/>
                <w:iCs/>
                <w:sz w:val="20"/>
                <w:szCs w:val="20"/>
              </w:rPr>
              <w:t>d</w:t>
            </w:r>
            <w:r w:rsidRPr="00CF3BC4">
              <w:rPr>
                <w:b/>
                <w:bCs/>
                <w:i/>
                <w:iCs/>
                <w:sz w:val="20"/>
                <w:szCs w:val="20"/>
              </w:rPr>
              <w:t xml:space="preserve"> the interventions to be supported by Gavi</w:t>
            </w:r>
            <w:r w:rsidR="008839F8">
              <w:rPr>
                <w:b/>
                <w:bCs/>
                <w:i/>
                <w:iCs/>
                <w:sz w:val="20"/>
                <w:szCs w:val="20"/>
              </w:rPr>
              <w:t xml:space="preserve"> under requested TCA support</w:t>
            </w:r>
            <w:r>
              <w:rPr>
                <w:b/>
                <w:bCs/>
                <w:i/>
                <w:iCs/>
                <w:sz w:val="20"/>
                <w:szCs w:val="20"/>
              </w:rPr>
              <w:t>.</w:t>
            </w:r>
          </w:p>
        </w:tc>
      </w:tr>
      <w:tr w:rsidR="00D353AF" w:rsidTr="007B53D1" w14:paraId="4C4783D9" w14:textId="77777777">
        <w:tc>
          <w:tcPr>
            <w:tcW w:w="9192" w:type="dxa"/>
            <w:tcBorders>
              <w:top w:val="single" w:color="auto" w:sz="4" w:space="0"/>
              <w:left w:val="single" w:color="auto" w:sz="4" w:space="0"/>
              <w:bottom w:val="single" w:color="auto" w:sz="4" w:space="0"/>
              <w:right w:val="single" w:color="auto" w:sz="4" w:space="0"/>
            </w:tcBorders>
          </w:tcPr>
          <w:p w:rsidRPr="004027E9" w:rsidR="00D353AF" w:rsidP="00E22899" w:rsidRDefault="00E22899" w14:paraId="48003D96" w14:textId="367CA4CE">
            <w:pPr>
              <w:spacing w:line="300" w:lineRule="exact"/>
              <w:jc w:val="both"/>
              <w:rPr>
                <w:color w:val="000000" w:themeColor="text1"/>
                <w:lang w:val="en-GB"/>
              </w:rPr>
            </w:pPr>
            <w:r w:rsidRPr="004027E9">
              <w:rPr>
                <w:color w:val="000000" w:themeColor="text1"/>
                <w:lang w:val="en-GB"/>
              </w:rPr>
              <w:t xml:space="preserve">The Ministry looked at the current settings in terms of </w:t>
            </w:r>
            <w:r w:rsidRPr="004027E9" w:rsidR="00E4490D">
              <w:rPr>
                <w:color w:val="000000" w:themeColor="text1"/>
                <w:lang w:val="en-GB"/>
              </w:rPr>
              <w:t xml:space="preserve">available </w:t>
            </w:r>
            <w:r w:rsidRPr="004027E9">
              <w:rPr>
                <w:color w:val="000000" w:themeColor="text1"/>
                <w:lang w:val="en-GB"/>
              </w:rPr>
              <w:t>resource</w:t>
            </w:r>
            <w:r w:rsidRPr="004027E9" w:rsidR="00E4490D">
              <w:rPr>
                <w:color w:val="000000" w:themeColor="text1"/>
                <w:lang w:val="en-GB"/>
              </w:rPr>
              <w:t>s</w:t>
            </w:r>
            <w:r w:rsidRPr="004027E9">
              <w:rPr>
                <w:color w:val="000000" w:themeColor="text1"/>
                <w:lang w:val="en-GB"/>
              </w:rPr>
              <w:t xml:space="preserve"> versus planned activities as outlined in the draft National Immunisation Strategy and current programme requirements, and drew up activities that </w:t>
            </w:r>
            <w:r w:rsidRPr="004027E9" w:rsidR="00E4490D">
              <w:rPr>
                <w:color w:val="000000" w:themeColor="text1"/>
                <w:lang w:val="en-GB"/>
              </w:rPr>
              <w:t>required technical support</w:t>
            </w:r>
            <w:r w:rsidRPr="004027E9">
              <w:rPr>
                <w:color w:val="000000" w:themeColor="text1"/>
                <w:lang w:val="en-GB"/>
              </w:rPr>
              <w:t>. These were discussed with partners for possible inclusion in the TCA hence th</w:t>
            </w:r>
            <w:r w:rsidRPr="004027E9" w:rsidR="00E4490D">
              <w:rPr>
                <w:color w:val="000000" w:themeColor="text1"/>
                <w:lang w:val="en-GB"/>
              </w:rPr>
              <w:t xml:space="preserve">e submission of </w:t>
            </w:r>
            <w:r w:rsidRPr="004027E9">
              <w:rPr>
                <w:color w:val="000000" w:themeColor="text1"/>
                <w:lang w:val="en-GB"/>
              </w:rPr>
              <w:t>this application.</w:t>
            </w:r>
          </w:p>
        </w:tc>
      </w:tr>
    </w:tbl>
    <w:p w:rsidR="007172E8" w:rsidRDefault="007172E8" w14:paraId="4DAF51E8" w14:textId="0B86255A"/>
    <w:p w:rsidRPr="00264FC1" w:rsidR="007172E8" w:rsidP="00CE1F57" w:rsidRDefault="007172E8" w14:paraId="058C1B7B" w14:textId="4CE56EFB">
      <w:pPr>
        <w:pStyle w:val="ListParagraph"/>
        <w:numPr>
          <w:ilvl w:val="0"/>
          <w:numId w:val="4"/>
        </w:numPr>
        <w:spacing w:line="300" w:lineRule="exact"/>
        <w:ind w:left="426"/>
        <w:rPr>
          <w:b/>
          <w:bCs/>
          <w:color w:val="70AD47" w:themeColor="accent6"/>
          <w:sz w:val="26"/>
          <w:szCs w:val="26"/>
          <w:lang w:val="en-GB"/>
        </w:rPr>
      </w:pPr>
      <w:r w:rsidRPr="00264FC1">
        <w:rPr>
          <w:b/>
          <w:bCs/>
          <w:color w:val="70AD47" w:themeColor="accent6"/>
          <w:sz w:val="26"/>
          <w:szCs w:val="26"/>
          <w:lang w:val="en-GB"/>
        </w:rPr>
        <w:t>Partner di</w:t>
      </w:r>
      <w:r w:rsidRPr="00264FC1" w:rsidR="00067D86">
        <w:rPr>
          <w:b/>
          <w:bCs/>
          <w:color w:val="70AD47" w:themeColor="accent6"/>
          <w:sz w:val="26"/>
          <w:szCs w:val="26"/>
          <w:lang w:val="en-GB"/>
        </w:rPr>
        <w:t>versification</w:t>
      </w:r>
      <w:r w:rsidR="0033192A">
        <w:rPr>
          <w:b/>
          <w:bCs/>
          <w:color w:val="70AD47" w:themeColor="accent6"/>
          <w:sz w:val="26"/>
          <w:szCs w:val="26"/>
          <w:lang w:val="en-GB"/>
        </w:rPr>
        <w:t xml:space="preserve"> (0.5 page)</w:t>
      </w:r>
    </w:p>
    <w:tbl>
      <w:tblPr>
        <w:tblStyle w:val="TableGrid"/>
        <w:tblW w:w="9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70"/>
        <w:gridCol w:w="22"/>
      </w:tblGrid>
      <w:tr w:rsidR="00E80A44" w:rsidTr="00553C62" w14:paraId="3D086D68" w14:textId="77777777">
        <w:trPr>
          <w:gridAfter w:val="1"/>
          <w:wAfter w:w="22" w:type="dxa"/>
          <w:trHeight w:val="846"/>
        </w:trPr>
        <w:tc>
          <w:tcPr>
            <w:tcW w:w="9170" w:type="dxa"/>
            <w:shd w:val="clear" w:color="auto" w:fill="F2F2F2" w:themeFill="background1" w:themeFillShade="F2"/>
          </w:tcPr>
          <w:p w:rsidR="00E80A44" w:rsidP="00E80A44" w:rsidRDefault="006D3657" w14:paraId="642D6855" w14:textId="3D377B16">
            <w:pPr>
              <w:spacing w:line="300" w:lineRule="exact"/>
              <w:rPr>
                <w:color w:val="92D050"/>
                <w:lang w:val="en-GB"/>
              </w:rPr>
            </w:pPr>
            <w:r>
              <w:rPr>
                <w:b/>
                <w:i/>
                <w:iCs/>
                <w:color w:val="000000" w:themeColor="text1"/>
                <w:sz w:val="20"/>
                <w:szCs w:val="20"/>
                <w:lang w:val="en-GB"/>
              </w:rPr>
              <w:t>3.1</w:t>
            </w:r>
            <w:r w:rsidR="00E80A44">
              <w:rPr>
                <w:b/>
                <w:i/>
                <w:iCs/>
                <w:color w:val="000000" w:themeColor="text1"/>
                <w:sz w:val="20"/>
                <w:szCs w:val="20"/>
                <w:lang w:val="en-GB"/>
              </w:rPr>
              <w:t xml:space="preserve"> </w:t>
            </w:r>
            <w:r w:rsidRPr="0067359C" w:rsidR="00E80A44">
              <w:rPr>
                <w:b/>
                <w:i/>
                <w:iCs/>
                <w:color w:val="000000" w:themeColor="text1"/>
                <w:sz w:val="20"/>
                <w:szCs w:val="20"/>
                <w:lang w:val="en-GB"/>
              </w:rPr>
              <w:t xml:space="preserve">Describe which partners you have already </w:t>
            </w:r>
            <w:r w:rsidR="005E728F">
              <w:rPr>
                <w:b/>
                <w:i/>
                <w:iCs/>
                <w:color w:val="000000" w:themeColor="text1"/>
                <w:sz w:val="20"/>
                <w:szCs w:val="20"/>
                <w:lang w:val="en-GB"/>
              </w:rPr>
              <w:t>mapped</w:t>
            </w:r>
            <w:r w:rsidRPr="0067359C" w:rsidR="00E80A44">
              <w:rPr>
                <w:b/>
                <w:i/>
                <w:iCs/>
                <w:color w:val="000000" w:themeColor="text1"/>
                <w:sz w:val="20"/>
                <w:szCs w:val="20"/>
                <w:lang w:val="en-GB"/>
              </w:rPr>
              <w:t xml:space="preserve">, including Alliance and </w:t>
            </w:r>
            <w:r w:rsidRPr="57C08CD4" w:rsidR="00E80A44">
              <w:rPr>
                <w:b/>
                <w:bCs/>
                <w:i/>
                <w:iCs/>
                <w:color w:val="000000" w:themeColor="text1"/>
                <w:sz w:val="20"/>
                <w:szCs w:val="20"/>
                <w:lang w:val="en-GB"/>
              </w:rPr>
              <w:t>Expanded</w:t>
            </w:r>
            <w:r w:rsidRPr="0067359C" w:rsidR="00E80A44">
              <w:rPr>
                <w:b/>
                <w:i/>
                <w:iCs/>
                <w:color w:val="000000" w:themeColor="text1"/>
                <w:sz w:val="20"/>
                <w:szCs w:val="20"/>
                <w:lang w:val="en-GB"/>
              </w:rPr>
              <w:t xml:space="preserve"> partners </w:t>
            </w:r>
            <w:r w:rsidR="00FD6F4C">
              <w:rPr>
                <w:b/>
                <w:bCs/>
                <w:i/>
                <w:iCs/>
                <w:color w:val="000000" w:themeColor="text1"/>
                <w:sz w:val="20"/>
                <w:szCs w:val="20"/>
                <w:lang w:val="en-GB"/>
              </w:rPr>
              <w:t xml:space="preserve">(including </w:t>
            </w:r>
            <w:r w:rsidR="009A2D50">
              <w:rPr>
                <w:b/>
                <w:bCs/>
                <w:i/>
                <w:iCs/>
                <w:color w:val="000000" w:themeColor="text1"/>
                <w:sz w:val="20"/>
                <w:szCs w:val="20"/>
                <w:lang w:val="en-GB"/>
              </w:rPr>
              <w:t>Global Partners,</w:t>
            </w:r>
            <w:r w:rsidR="00FD6F4C">
              <w:rPr>
                <w:b/>
                <w:bCs/>
                <w:i/>
                <w:iCs/>
                <w:color w:val="000000" w:themeColor="text1"/>
                <w:sz w:val="20"/>
                <w:szCs w:val="20"/>
                <w:lang w:val="en-GB"/>
              </w:rPr>
              <w:t xml:space="preserve"> </w:t>
            </w:r>
            <w:r w:rsidRPr="57C08CD4" w:rsidR="00E80A44">
              <w:rPr>
                <w:b/>
                <w:bCs/>
                <w:i/>
                <w:iCs/>
                <w:color w:val="000000" w:themeColor="text1"/>
                <w:sz w:val="20"/>
                <w:szCs w:val="20"/>
                <w:lang w:val="en-GB"/>
              </w:rPr>
              <w:t>Local Partners</w:t>
            </w:r>
            <w:r w:rsidR="00FD6F4C">
              <w:rPr>
                <w:b/>
                <w:bCs/>
                <w:i/>
                <w:iCs/>
                <w:color w:val="000000" w:themeColor="text1"/>
                <w:sz w:val="20"/>
                <w:szCs w:val="20"/>
                <w:lang w:val="en-GB"/>
              </w:rPr>
              <w:t xml:space="preserve"> and</w:t>
            </w:r>
            <w:r w:rsidRPr="0067359C" w:rsidR="00E80A44">
              <w:rPr>
                <w:b/>
                <w:i/>
                <w:iCs/>
                <w:color w:val="000000" w:themeColor="text1"/>
                <w:sz w:val="20"/>
                <w:szCs w:val="20"/>
                <w:lang w:val="en-GB"/>
              </w:rPr>
              <w:t xml:space="preserve"> CSOs</w:t>
            </w:r>
            <w:r w:rsidR="00FD6F4C">
              <w:rPr>
                <w:b/>
                <w:i/>
                <w:iCs/>
                <w:color w:val="000000" w:themeColor="text1"/>
                <w:sz w:val="20"/>
                <w:szCs w:val="20"/>
                <w:lang w:val="en-GB"/>
              </w:rPr>
              <w:t>)</w:t>
            </w:r>
            <w:r w:rsidRPr="0067359C" w:rsidR="00E80A44">
              <w:rPr>
                <w:b/>
                <w:i/>
                <w:iCs/>
                <w:color w:val="000000" w:themeColor="text1"/>
                <w:sz w:val="20"/>
                <w:szCs w:val="20"/>
                <w:lang w:val="en-GB"/>
              </w:rPr>
              <w:t xml:space="preserve"> to support the activit</w:t>
            </w:r>
            <w:r w:rsidR="00EB769C">
              <w:rPr>
                <w:b/>
                <w:i/>
                <w:iCs/>
                <w:color w:val="000000" w:themeColor="text1"/>
                <w:sz w:val="20"/>
                <w:szCs w:val="20"/>
                <w:lang w:val="en-GB"/>
              </w:rPr>
              <w:t>ies</w:t>
            </w:r>
            <w:r w:rsidRPr="0067359C" w:rsidR="00E80A44">
              <w:rPr>
                <w:b/>
                <w:i/>
                <w:iCs/>
                <w:color w:val="000000" w:themeColor="text1"/>
                <w:sz w:val="20"/>
                <w:szCs w:val="20"/>
                <w:lang w:val="en-GB"/>
              </w:rPr>
              <w:t xml:space="preserve"> implementation?</w:t>
            </w:r>
            <w:r w:rsidR="005D0F9E">
              <w:rPr>
                <w:b/>
                <w:bCs/>
                <w:i/>
                <w:iCs/>
                <w:sz w:val="20"/>
                <w:szCs w:val="20"/>
                <w:lang w:val="en-GB"/>
              </w:rPr>
              <w:t xml:space="preserve"> (Refer to the</w:t>
            </w:r>
            <w:r w:rsidR="007F2F8B">
              <w:rPr>
                <w:b/>
                <w:bCs/>
                <w:i/>
                <w:iCs/>
                <w:sz w:val="20"/>
                <w:szCs w:val="20"/>
                <w:lang w:val="en-GB"/>
              </w:rPr>
              <w:t xml:space="preserve"> </w:t>
            </w:r>
            <w:hyperlink w:history="1" r:id="rId14">
              <w:r w:rsidRPr="007F2F8B" w:rsidR="007F2F8B">
                <w:rPr>
                  <w:rStyle w:val="Hyperlink"/>
                  <w:b/>
                  <w:bCs/>
                  <w:i/>
                  <w:iCs/>
                  <w:sz w:val="20"/>
                  <w:szCs w:val="20"/>
                  <w:lang w:val="en-GB"/>
                </w:rPr>
                <w:t>PEF Targeted Country Assistance (TCA) Guidance for 2022-2025 Multi-Year Planning</w:t>
              </w:r>
            </w:hyperlink>
            <w:r w:rsidR="005D0F9E">
              <w:rPr>
                <w:b/>
                <w:bCs/>
                <w:i/>
                <w:iCs/>
                <w:sz w:val="20"/>
                <w:szCs w:val="20"/>
                <w:lang w:val="en-GB"/>
              </w:rPr>
              <w:t xml:space="preserve"> for the type of institutions considered global versus local partners and CSOs.)</w:t>
            </w:r>
          </w:p>
        </w:tc>
      </w:tr>
      <w:tr w:rsidR="00520598" w:rsidTr="004B632A" w14:paraId="62BDF2A5" w14:textId="77777777">
        <w:tc>
          <w:tcPr>
            <w:tcW w:w="9170" w:type="dxa"/>
            <w:gridSpan w:val="2"/>
            <w:tcBorders>
              <w:top w:val="single" w:color="auto" w:sz="4" w:space="0"/>
              <w:left w:val="single" w:color="auto" w:sz="4" w:space="0"/>
              <w:bottom w:val="single" w:color="auto" w:sz="4" w:space="0"/>
              <w:right w:val="single" w:color="auto" w:sz="4" w:space="0"/>
            </w:tcBorders>
          </w:tcPr>
          <w:p w:rsidRPr="004027E9" w:rsidR="00520598" w:rsidP="001E6276" w:rsidRDefault="001E6276" w14:paraId="432F36FB" w14:textId="77777777">
            <w:pPr>
              <w:pStyle w:val="ListParagraph"/>
              <w:numPr>
                <w:ilvl w:val="0"/>
                <w:numId w:val="11"/>
              </w:numPr>
              <w:spacing w:line="300" w:lineRule="exact"/>
              <w:rPr>
                <w:color w:val="000000" w:themeColor="text1"/>
                <w:lang w:val="en-GB"/>
              </w:rPr>
            </w:pPr>
            <w:r w:rsidRPr="004027E9">
              <w:rPr>
                <w:color w:val="000000" w:themeColor="text1"/>
                <w:lang w:val="en-GB"/>
              </w:rPr>
              <w:lastRenderedPageBreak/>
              <w:t>WHO</w:t>
            </w:r>
          </w:p>
          <w:p w:rsidRPr="004027E9" w:rsidR="001E6276" w:rsidP="001E6276" w:rsidRDefault="001E6276" w14:paraId="3797585B" w14:textId="77777777">
            <w:pPr>
              <w:pStyle w:val="ListParagraph"/>
              <w:numPr>
                <w:ilvl w:val="0"/>
                <w:numId w:val="11"/>
              </w:numPr>
              <w:spacing w:line="300" w:lineRule="exact"/>
              <w:rPr>
                <w:color w:val="000000" w:themeColor="text1"/>
                <w:lang w:val="en-GB"/>
              </w:rPr>
            </w:pPr>
            <w:r w:rsidRPr="004027E9">
              <w:rPr>
                <w:color w:val="000000" w:themeColor="text1"/>
                <w:lang w:val="en-GB"/>
              </w:rPr>
              <w:t>UNICEF</w:t>
            </w:r>
          </w:p>
          <w:p w:rsidRPr="004027E9" w:rsidR="001E6276" w:rsidP="001E6276" w:rsidRDefault="001E6276" w14:paraId="1913EE7E" w14:textId="77777777">
            <w:pPr>
              <w:pStyle w:val="ListParagraph"/>
              <w:numPr>
                <w:ilvl w:val="0"/>
                <w:numId w:val="11"/>
              </w:numPr>
              <w:spacing w:line="300" w:lineRule="exact"/>
              <w:rPr>
                <w:color w:val="000000" w:themeColor="text1"/>
                <w:lang w:val="en-GB"/>
              </w:rPr>
            </w:pPr>
            <w:r w:rsidRPr="004027E9">
              <w:rPr>
                <w:color w:val="000000" w:themeColor="text1"/>
                <w:lang w:val="en-GB"/>
              </w:rPr>
              <w:t>JSI</w:t>
            </w:r>
          </w:p>
          <w:p w:rsidRPr="004027E9" w:rsidR="001E6276" w:rsidP="001E6276" w:rsidRDefault="001E6276" w14:paraId="4B09182A" w14:textId="77777777">
            <w:pPr>
              <w:pStyle w:val="ListParagraph"/>
              <w:numPr>
                <w:ilvl w:val="0"/>
                <w:numId w:val="11"/>
              </w:numPr>
              <w:spacing w:line="300" w:lineRule="exact"/>
              <w:rPr>
                <w:color w:val="000000" w:themeColor="text1"/>
                <w:lang w:val="en-GB"/>
              </w:rPr>
            </w:pPr>
            <w:r w:rsidRPr="004027E9">
              <w:rPr>
                <w:color w:val="000000" w:themeColor="text1"/>
                <w:lang w:val="en-GB"/>
              </w:rPr>
              <w:t>Crown Agents</w:t>
            </w:r>
          </w:p>
          <w:p w:rsidRPr="001E6276" w:rsidR="001E6276" w:rsidP="001E6276" w:rsidRDefault="001E6276" w14:paraId="18AA925F" w14:textId="24CBD786">
            <w:pPr>
              <w:pStyle w:val="ListParagraph"/>
              <w:numPr>
                <w:ilvl w:val="0"/>
                <w:numId w:val="11"/>
              </w:numPr>
              <w:spacing w:line="300" w:lineRule="exact"/>
              <w:rPr>
                <w:color w:val="92D050"/>
                <w:lang w:val="en-GB"/>
              </w:rPr>
            </w:pPr>
            <w:r w:rsidRPr="004027E9">
              <w:rPr>
                <w:color w:val="000000" w:themeColor="text1"/>
                <w:lang w:val="en-GB"/>
              </w:rPr>
              <w:t>CHAI</w:t>
            </w:r>
          </w:p>
        </w:tc>
      </w:tr>
      <w:tr w:rsidR="00520598" w:rsidTr="00553C62" w14:paraId="72481A8B" w14:textId="77777777">
        <w:trPr>
          <w:trHeight w:val="845"/>
        </w:trPr>
        <w:tc>
          <w:tcPr>
            <w:tcW w:w="9170" w:type="dxa"/>
            <w:gridSpan w:val="2"/>
            <w:shd w:val="clear" w:color="auto" w:fill="F2F2F2" w:themeFill="background1" w:themeFillShade="F2"/>
          </w:tcPr>
          <w:p w:rsidRPr="00520598" w:rsidR="00520598" w:rsidP="57C08CD4" w:rsidRDefault="00520598" w14:paraId="29991F07" w14:textId="4A1E98CD">
            <w:pPr>
              <w:spacing w:line="300" w:lineRule="exact"/>
              <w:rPr>
                <w:b/>
                <w:bCs/>
                <w:i/>
                <w:iCs/>
                <w:color w:val="000000" w:themeColor="text1"/>
                <w:sz w:val="20"/>
                <w:szCs w:val="20"/>
                <w:lang w:val="en-GB"/>
              </w:rPr>
            </w:pPr>
            <w:r w:rsidRPr="007B693C">
              <w:rPr>
                <w:b/>
                <w:bCs/>
                <w:i/>
                <w:iCs/>
                <w:sz w:val="20"/>
                <w:szCs w:val="20"/>
                <w:lang w:val="en-GB"/>
              </w:rPr>
              <w:t>3.2 Please indicate how exactly you plan to collaborate with Local</w:t>
            </w:r>
            <w:r w:rsidR="00FD2CED">
              <w:rPr>
                <w:b/>
                <w:bCs/>
                <w:i/>
                <w:iCs/>
                <w:sz w:val="20"/>
                <w:szCs w:val="20"/>
                <w:lang w:val="en-GB"/>
              </w:rPr>
              <w:t xml:space="preserve"> Partners</w:t>
            </w:r>
            <w:r w:rsidR="0008622F">
              <w:rPr>
                <w:b/>
                <w:bCs/>
                <w:i/>
                <w:iCs/>
                <w:sz w:val="20"/>
                <w:szCs w:val="20"/>
                <w:lang w:val="en-GB"/>
              </w:rPr>
              <w:t>.</w:t>
            </w:r>
          </w:p>
        </w:tc>
      </w:tr>
      <w:tr w:rsidR="00E80A44" w:rsidTr="00D353AF" w14:paraId="5B4D7083" w14:textId="77777777">
        <w:trPr>
          <w:gridAfter w:val="1"/>
          <w:wAfter w:w="22" w:type="dxa"/>
        </w:trPr>
        <w:tc>
          <w:tcPr>
            <w:tcW w:w="9170" w:type="dxa"/>
            <w:tcBorders>
              <w:top w:val="single" w:color="auto" w:sz="4" w:space="0"/>
              <w:left w:val="single" w:color="auto" w:sz="4" w:space="0"/>
              <w:bottom w:val="single" w:color="auto" w:sz="4" w:space="0"/>
              <w:right w:val="single" w:color="auto" w:sz="4" w:space="0"/>
            </w:tcBorders>
          </w:tcPr>
          <w:p w:rsidRPr="00526AF5" w:rsidR="00E80A44" w:rsidP="00E80A44" w:rsidRDefault="00242B60" w14:paraId="6420D9B9" w14:textId="2F95D066">
            <w:pPr>
              <w:spacing w:line="300" w:lineRule="exact"/>
              <w:rPr>
                <w:color w:val="000000" w:themeColor="text1"/>
                <w:lang w:val="en-GB"/>
              </w:rPr>
            </w:pPr>
            <w:r w:rsidRPr="00526AF5">
              <w:rPr>
                <w:color w:val="000000" w:themeColor="text1"/>
                <w:lang w:val="en-GB"/>
              </w:rPr>
              <w:t xml:space="preserve">Local partners have been selected based on their comparative advantage and as such, the Ministry will take a leadership role in ensuring that each partner performs to requirements. This will be done through conducting of regular meetings to evaluate performance, physical monitoring of implementation of approved activities, periodic reports of performance by individual local partners and joint </w:t>
            </w:r>
            <w:proofErr w:type="spellStart"/>
            <w:r w:rsidRPr="00526AF5">
              <w:rPr>
                <w:color w:val="000000" w:themeColor="text1"/>
                <w:lang w:val="en-GB"/>
              </w:rPr>
              <w:t>promme</w:t>
            </w:r>
            <w:proofErr w:type="spellEnd"/>
            <w:r w:rsidRPr="00526AF5">
              <w:rPr>
                <w:color w:val="000000" w:themeColor="text1"/>
                <w:lang w:val="en-GB"/>
              </w:rPr>
              <w:t xml:space="preserve"> evaluations.</w:t>
            </w:r>
          </w:p>
        </w:tc>
      </w:tr>
      <w:tr w:rsidR="38F5364C" w:rsidTr="00D353AF" w14:paraId="5D1DCA18" w14:textId="77777777">
        <w:tc>
          <w:tcPr>
            <w:tcW w:w="9192" w:type="dxa"/>
            <w:gridSpan w:val="2"/>
            <w:tcBorders>
              <w:top w:val="single" w:color="FFFFFF" w:themeColor="background1" w:sz="4" w:space="0"/>
              <w:left w:val="none" w:color="FFFFFF" w:themeColor="background1" w:sz="4" w:space="0"/>
              <w:bottom w:val="single" w:color="auto" w:sz="4" w:space="0"/>
              <w:right w:val="none" w:color="FFFFFF" w:themeColor="background1" w:sz="4" w:space="0"/>
            </w:tcBorders>
            <w:shd w:val="clear" w:color="auto" w:fill="F2F2F2" w:themeFill="background1" w:themeFillShade="F2"/>
          </w:tcPr>
          <w:p w:rsidR="2F92698C" w:rsidP="704B32F1" w:rsidRDefault="3D5C2947" w14:paraId="59D43D0B" w14:textId="2AE6E4DA">
            <w:pPr>
              <w:spacing w:line="300" w:lineRule="exact"/>
              <w:rPr>
                <w:b/>
                <w:bCs/>
                <w:i/>
                <w:iCs/>
                <w:color w:val="000000" w:themeColor="text1"/>
                <w:sz w:val="20"/>
                <w:szCs w:val="20"/>
              </w:rPr>
            </w:pPr>
            <w:r w:rsidRPr="704B32F1">
              <w:rPr>
                <w:b/>
                <w:bCs/>
                <w:i/>
                <w:iCs/>
                <w:color w:val="000000" w:themeColor="text1"/>
                <w:sz w:val="20"/>
                <w:szCs w:val="20"/>
              </w:rPr>
              <w:t>3.</w:t>
            </w:r>
            <w:r w:rsidR="00520598">
              <w:rPr>
                <w:b/>
                <w:bCs/>
                <w:i/>
                <w:iCs/>
                <w:color w:val="000000" w:themeColor="text1"/>
                <w:sz w:val="20"/>
                <w:szCs w:val="20"/>
              </w:rPr>
              <w:t>3</w:t>
            </w:r>
            <w:r w:rsidRPr="704B32F1">
              <w:rPr>
                <w:b/>
                <w:bCs/>
                <w:i/>
                <w:iCs/>
                <w:color w:val="000000" w:themeColor="text1"/>
                <w:sz w:val="20"/>
                <w:szCs w:val="20"/>
              </w:rPr>
              <w:t xml:space="preserve"> </w:t>
            </w:r>
            <w:r w:rsidRPr="704B32F1" w:rsidR="64431148">
              <w:rPr>
                <w:b/>
                <w:bCs/>
                <w:i/>
                <w:iCs/>
                <w:color w:val="000000" w:themeColor="text1"/>
                <w:sz w:val="20"/>
                <w:szCs w:val="20"/>
              </w:rPr>
              <w:t xml:space="preserve">Please note the allocation of TCA to </w:t>
            </w:r>
            <w:r w:rsidR="009F19F8">
              <w:rPr>
                <w:b/>
                <w:bCs/>
                <w:i/>
                <w:iCs/>
                <w:color w:val="000000" w:themeColor="text1"/>
                <w:sz w:val="20"/>
                <w:szCs w:val="20"/>
              </w:rPr>
              <w:t>Local Partners</w:t>
            </w:r>
            <w:r w:rsidR="00B664EF">
              <w:rPr>
                <w:b/>
                <w:bCs/>
                <w:i/>
                <w:iCs/>
                <w:color w:val="000000" w:themeColor="text1"/>
                <w:sz w:val="20"/>
                <w:szCs w:val="20"/>
              </w:rPr>
              <w:t xml:space="preserve"> (only)</w:t>
            </w:r>
            <w:r w:rsidRPr="704B32F1" w:rsidR="64431148">
              <w:rPr>
                <w:b/>
                <w:bCs/>
                <w:i/>
                <w:iCs/>
                <w:color w:val="000000" w:themeColor="text1"/>
                <w:sz w:val="20"/>
                <w:szCs w:val="20"/>
              </w:rPr>
              <w:t xml:space="preserve"> and describe the approach you will use to comply with the </w:t>
            </w:r>
            <w:r w:rsidR="004E2955">
              <w:rPr>
                <w:b/>
                <w:bCs/>
                <w:i/>
                <w:iCs/>
                <w:color w:val="000000" w:themeColor="text1"/>
                <w:sz w:val="20"/>
                <w:szCs w:val="20"/>
              </w:rPr>
              <w:t>recommendation</w:t>
            </w:r>
            <w:r w:rsidRPr="704B32F1" w:rsidR="64431148">
              <w:rPr>
                <w:b/>
                <w:bCs/>
                <w:i/>
                <w:iCs/>
                <w:color w:val="000000" w:themeColor="text1"/>
                <w:sz w:val="20"/>
                <w:szCs w:val="20"/>
              </w:rPr>
              <w:t xml:space="preserve"> of allocating </w:t>
            </w:r>
            <w:r w:rsidR="004E2955">
              <w:rPr>
                <w:b/>
                <w:bCs/>
                <w:i/>
                <w:iCs/>
                <w:color w:val="000000" w:themeColor="text1"/>
                <w:sz w:val="20"/>
                <w:szCs w:val="20"/>
              </w:rPr>
              <w:t>30</w:t>
            </w:r>
            <w:r w:rsidRPr="704B32F1" w:rsidR="64431148">
              <w:rPr>
                <w:b/>
                <w:bCs/>
                <w:i/>
                <w:iCs/>
                <w:color w:val="000000" w:themeColor="text1"/>
                <w:sz w:val="20"/>
                <w:szCs w:val="20"/>
              </w:rPr>
              <w:t xml:space="preserve">% of TCA </w:t>
            </w:r>
            <w:r w:rsidR="004E2955">
              <w:rPr>
                <w:b/>
                <w:bCs/>
                <w:i/>
                <w:iCs/>
                <w:color w:val="000000" w:themeColor="text1"/>
                <w:sz w:val="20"/>
                <w:szCs w:val="20"/>
              </w:rPr>
              <w:t>to Local Partners</w:t>
            </w:r>
            <w:r w:rsidR="00D603BC">
              <w:rPr>
                <w:b/>
                <w:bCs/>
                <w:i/>
                <w:iCs/>
                <w:color w:val="000000" w:themeColor="text1"/>
                <w:sz w:val="20"/>
                <w:szCs w:val="20"/>
              </w:rPr>
              <w:t xml:space="preserve"> over the course of 2022-25</w:t>
            </w:r>
            <w:r w:rsidR="00704813">
              <w:rPr>
                <w:b/>
                <w:bCs/>
                <w:i/>
                <w:iCs/>
                <w:color w:val="000000" w:themeColor="text1"/>
                <w:sz w:val="20"/>
                <w:szCs w:val="20"/>
              </w:rPr>
              <w:t>.</w:t>
            </w:r>
            <w:r w:rsidR="00025BBE">
              <w:rPr>
                <w:b/>
                <w:bCs/>
                <w:i/>
                <w:iCs/>
                <w:color w:val="000000" w:themeColor="text1"/>
                <w:sz w:val="20"/>
                <w:szCs w:val="20"/>
              </w:rPr>
              <w:t xml:space="preserve"> </w:t>
            </w:r>
            <w:r w:rsidRPr="002C42E8" w:rsidR="00025BBE">
              <w:rPr>
                <w:i/>
                <w:sz w:val="20"/>
                <w:szCs w:val="20"/>
                <w:lang w:val="en-GB"/>
              </w:rPr>
              <w:t>Please refer to section 2.3 (3. Partner Mapping) of the PEF TCA Planning Guidelines for more information.</w:t>
            </w:r>
          </w:p>
        </w:tc>
      </w:tr>
      <w:tr w:rsidR="38F5364C" w:rsidTr="00D353AF" w14:paraId="094E7639" w14:textId="77777777">
        <w:tc>
          <w:tcPr>
            <w:tcW w:w="9192" w:type="dxa"/>
            <w:gridSpan w:val="2"/>
            <w:tcBorders>
              <w:top w:val="single" w:color="auto" w:sz="4" w:space="0"/>
              <w:left w:val="single" w:color="auto" w:sz="4" w:space="0"/>
              <w:bottom w:val="single" w:color="auto" w:sz="4" w:space="0"/>
              <w:right w:val="single" w:color="auto" w:sz="4" w:space="0"/>
            </w:tcBorders>
          </w:tcPr>
          <w:p w:rsidR="38F5364C" w:rsidP="38F5364C" w:rsidRDefault="00146DCC" w14:paraId="64958F87" w14:textId="24AA3673">
            <w:pPr>
              <w:spacing w:line="300" w:lineRule="exact"/>
              <w:rPr>
                <w:lang w:val="en-GB"/>
              </w:rPr>
            </w:pPr>
            <w:r>
              <w:rPr>
                <w:lang w:val="en-GB"/>
              </w:rPr>
              <w:t>The country will comply with the 30% allocation to local partners as required by Gavi. The engagement of partners will be done in accordance to Gavi guidelines and in consultation with Gavi.</w:t>
            </w:r>
          </w:p>
        </w:tc>
      </w:tr>
      <w:tr w:rsidR="009F19F8" w:rsidTr="00D353AF" w14:paraId="3821C077" w14:textId="77777777">
        <w:tc>
          <w:tcPr>
            <w:tcW w:w="9192" w:type="dxa"/>
            <w:gridSpan w:val="2"/>
            <w:tcBorders>
              <w:top w:val="single" w:color="FFFFFF" w:themeColor="background1" w:sz="4" w:space="0"/>
              <w:left w:val="none" w:color="FFFFFF" w:themeColor="background1" w:sz="4" w:space="0"/>
              <w:bottom w:val="single" w:color="auto" w:sz="4" w:space="0"/>
              <w:right w:val="none" w:color="FFFFFF" w:themeColor="background1" w:sz="4" w:space="0"/>
            </w:tcBorders>
            <w:shd w:val="clear" w:color="auto" w:fill="F2F2F2" w:themeFill="background1" w:themeFillShade="F2"/>
          </w:tcPr>
          <w:p w:rsidR="009F19F8" w:rsidP="00752CEA" w:rsidRDefault="009F19F8" w14:paraId="7F609ADB" w14:textId="799CFD5C">
            <w:pPr>
              <w:spacing w:line="300" w:lineRule="exact"/>
              <w:rPr>
                <w:b/>
                <w:bCs/>
                <w:i/>
                <w:iCs/>
                <w:color w:val="000000" w:themeColor="text1"/>
                <w:sz w:val="20"/>
                <w:szCs w:val="20"/>
              </w:rPr>
            </w:pPr>
            <w:r w:rsidRPr="704B32F1">
              <w:rPr>
                <w:b/>
                <w:bCs/>
                <w:i/>
                <w:iCs/>
                <w:color w:val="000000" w:themeColor="text1"/>
                <w:sz w:val="20"/>
                <w:szCs w:val="20"/>
              </w:rPr>
              <w:t>3.</w:t>
            </w:r>
            <w:r w:rsidR="00520598">
              <w:rPr>
                <w:b/>
                <w:bCs/>
                <w:i/>
                <w:iCs/>
                <w:color w:val="000000" w:themeColor="text1"/>
                <w:sz w:val="20"/>
                <w:szCs w:val="20"/>
              </w:rPr>
              <w:t>4</w:t>
            </w:r>
            <w:r w:rsidRPr="704B32F1">
              <w:rPr>
                <w:b/>
                <w:bCs/>
                <w:i/>
                <w:iCs/>
                <w:color w:val="000000" w:themeColor="text1"/>
                <w:sz w:val="20"/>
                <w:szCs w:val="20"/>
              </w:rPr>
              <w:t xml:space="preserve"> Please note the allocation of TCA to CSOs</w:t>
            </w:r>
            <w:r w:rsidR="008F50F8">
              <w:rPr>
                <w:b/>
                <w:bCs/>
                <w:i/>
                <w:iCs/>
                <w:color w:val="000000" w:themeColor="text1"/>
                <w:sz w:val="20"/>
                <w:szCs w:val="20"/>
              </w:rPr>
              <w:t xml:space="preserve"> only</w:t>
            </w:r>
            <w:r w:rsidRPr="704B32F1">
              <w:rPr>
                <w:b/>
                <w:bCs/>
                <w:i/>
                <w:iCs/>
                <w:color w:val="000000" w:themeColor="text1"/>
                <w:sz w:val="20"/>
                <w:szCs w:val="20"/>
              </w:rPr>
              <w:t xml:space="preserve"> (either Global or Local Expanded Partners) and describe the approach you will use to comply with the requirement of allocating 10% of combined TCA, EAF and HSS ceilings for CSO implementation (e.g</w:t>
            </w:r>
            <w:r w:rsidR="00A733BF">
              <w:rPr>
                <w:b/>
                <w:bCs/>
                <w:i/>
                <w:iCs/>
                <w:color w:val="000000" w:themeColor="text1"/>
                <w:sz w:val="20"/>
                <w:szCs w:val="20"/>
              </w:rPr>
              <w:t>.</w:t>
            </w:r>
            <w:r w:rsidRPr="704B32F1">
              <w:rPr>
                <w:b/>
                <w:bCs/>
                <w:i/>
                <w:iCs/>
                <w:color w:val="000000" w:themeColor="text1"/>
                <w:sz w:val="20"/>
                <w:szCs w:val="20"/>
              </w:rPr>
              <w:t xml:space="preserve"> if less than 10% of TCA funding is allocated to CSOs, please indicate how this will be compensated through </w:t>
            </w:r>
            <w:r w:rsidR="00A733BF">
              <w:rPr>
                <w:b/>
                <w:bCs/>
                <w:i/>
                <w:iCs/>
                <w:color w:val="000000" w:themeColor="text1"/>
                <w:sz w:val="20"/>
                <w:szCs w:val="20"/>
              </w:rPr>
              <w:t xml:space="preserve">the </w:t>
            </w:r>
            <w:r w:rsidRPr="704B32F1">
              <w:rPr>
                <w:b/>
                <w:bCs/>
                <w:i/>
                <w:iCs/>
                <w:color w:val="000000" w:themeColor="text1"/>
                <w:sz w:val="20"/>
                <w:szCs w:val="20"/>
              </w:rPr>
              <w:t>allocation of HSS and EAF funding to CSOs).</w:t>
            </w:r>
            <w:r w:rsidR="00025BBE">
              <w:rPr>
                <w:b/>
                <w:bCs/>
                <w:i/>
                <w:iCs/>
                <w:color w:val="000000" w:themeColor="text1"/>
                <w:sz w:val="20"/>
                <w:szCs w:val="20"/>
              </w:rPr>
              <w:t xml:space="preserve"> </w:t>
            </w:r>
            <w:r w:rsidRPr="002C42E8" w:rsidR="00025BBE">
              <w:rPr>
                <w:i/>
                <w:sz w:val="20"/>
                <w:szCs w:val="20"/>
                <w:lang w:val="en-GB"/>
              </w:rPr>
              <w:t>Please refer to section 2.3 (3. Partner Mapping) of the PEF TCA Planning Guidelines for more information.</w:t>
            </w:r>
          </w:p>
        </w:tc>
      </w:tr>
      <w:tr w:rsidR="009F19F8" w:rsidTr="00D353AF" w14:paraId="3F43E4A9" w14:textId="77777777">
        <w:tc>
          <w:tcPr>
            <w:tcW w:w="9192" w:type="dxa"/>
            <w:gridSpan w:val="2"/>
            <w:tcBorders>
              <w:top w:val="single" w:color="auto" w:sz="4" w:space="0"/>
              <w:left w:val="single" w:color="auto" w:sz="4" w:space="0"/>
              <w:bottom w:val="single" w:color="auto" w:sz="4" w:space="0"/>
              <w:right w:val="single" w:color="auto" w:sz="4" w:space="0"/>
            </w:tcBorders>
          </w:tcPr>
          <w:p w:rsidR="009F19F8" w:rsidP="00752CEA" w:rsidRDefault="002F3A20" w14:paraId="01E16748" w14:textId="4D8BED89">
            <w:pPr>
              <w:spacing w:line="300" w:lineRule="exact"/>
              <w:rPr>
                <w:lang w:val="en-GB"/>
              </w:rPr>
            </w:pPr>
            <w:r>
              <w:rPr>
                <w:lang w:val="en-GB"/>
              </w:rPr>
              <w:t>The Ministry is still consulting on engagement of CSOs in immunisation, but will make sure the 10% allocation them is reserved.</w:t>
            </w:r>
          </w:p>
        </w:tc>
      </w:tr>
    </w:tbl>
    <w:p w:rsidRPr="009F19F8" w:rsidR="00372D1F" w:rsidP="00372D1F" w:rsidRDefault="00372D1F" w14:paraId="0FF1AB89" w14:textId="77777777">
      <w:pPr>
        <w:pStyle w:val="ListParagraph"/>
        <w:spacing w:line="300" w:lineRule="exact"/>
        <w:ind w:left="0"/>
        <w:jc w:val="right"/>
        <w:rPr>
          <w:b/>
          <w:color w:val="70AD47" w:themeColor="accent6"/>
          <w:sz w:val="26"/>
          <w:szCs w:val="26"/>
        </w:rPr>
      </w:pPr>
    </w:p>
    <w:p w:rsidRPr="0033192A" w:rsidR="009F0292" w:rsidP="00CE1F57" w:rsidRDefault="009F0292" w14:paraId="79848434" w14:textId="5CA61DE4">
      <w:pPr>
        <w:pStyle w:val="ListParagraph"/>
        <w:numPr>
          <w:ilvl w:val="0"/>
          <w:numId w:val="4"/>
        </w:numPr>
        <w:spacing w:line="300" w:lineRule="exact"/>
        <w:rPr>
          <w:b/>
          <w:color w:val="84C650"/>
          <w:sz w:val="26"/>
          <w:szCs w:val="26"/>
          <w:lang w:val="en-GB"/>
        </w:rPr>
      </w:pPr>
      <w:r w:rsidRPr="0033192A">
        <w:rPr>
          <w:b/>
          <w:color w:val="70AD47" w:themeColor="accent6"/>
          <w:sz w:val="26"/>
          <w:szCs w:val="26"/>
          <w:lang w:val="en-GB"/>
        </w:rPr>
        <w:t>Lessons learnt from past TA experience (0.5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9F0292" w:rsidTr="00DD391A" w14:paraId="3F8B0CB5" w14:textId="77777777">
        <w:tc>
          <w:tcPr>
            <w:tcW w:w="9192" w:type="dxa"/>
            <w:tcBorders>
              <w:bottom w:val="single" w:color="auto" w:sz="4" w:space="0"/>
            </w:tcBorders>
            <w:shd w:val="clear" w:color="auto" w:fill="F2F2F2" w:themeFill="background1" w:themeFillShade="F2"/>
          </w:tcPr>
          <w:p w:rsidRPr="00B614D7" w:rsidR="009F0292" w:rsidP="00871FCF" w:rsidRDefault="0033192A" w14:paraId="6BD0AD08" w14:textId="376F045C">
            <w:pPr>
              <w:spacing w:line="300" w:lineRule="exact"/>
              <w:rPr>
                <w:b/>
                <w:bCs/>
                <w:color w:val="92D050"/>
                <w:lang w:val="en-GB"/>
              </w:rPr>
            </w:pPr>
            <w:r>
              <w:rPr>
                <w:b/>
                <w:bCs/>
                <w:i/>
                <w:iCs/>
                <w:color w:val="000000" w:themeColor="text1"/>
                <w:sz w:val="20"/>
                <w:szCs w:val="20"/>
                <w:lang w:val="en-GB"/>
              </w:rPr>
              <w:t>4.</w:t>
            </w:r>
            <w:r w:rsidR="009F0292">
              <w:rPr>
                <w:b/>
                <w:bCs/>
                <w:i/>
                <w:iCs/>
                <w:color w:val="000000" w:themeColor="text1"/>
                <w:sz w:val="20"/>
                <w:szCs w:val="20"/>
                <w:lang w:val="en-GB"/>
              </w:rPr>
              <w:t xml:space="preserve">1 </w:t>
            </w:r>
            <w:r w:rsidRPr="00B614D7" w:rsidR="009F0292">
              <w:rPr>
                <w:b/>
                <w:bCs/>
                <w:i/>
                <w:iCs/>
                <w:color w:val="000000" w:themeColor="text1"/>
                <w:sz w:val="20"/>
                <w:szCs w:val="20"/>
                <w:lang w:val="en-GB"/>
              </w:rPr>
              <w:t xml:space="preserve">Please explain how the </w:t>
            </w:r>
            <w:r w:rsidR="009F0292">
              <w:rPr>
                <w:b/>
                <w:bCs/>
                <w:i/>
                <w:iCs/>
                <w:color w:val="000000" w:themeColor="text1"/>
                <w:sz w:val="20"/>
                <w:szCs w:val="20"/>
                <w:lang w:val="en-GB"/>
              </w:rPr>
              <w:t>TCA</w:t>
            </w:r>
            <w:r w:rsidRPr="00B614D7" w:rsidR="009F0292">
              <w:rPr>
                <w:b/>
                <w:bCs/>
                <w:i/>
                <w:iCs/>
                <w:color w:val="000000" w:themeColor="text1"/>
                <w:sz w:val="20"/>
                <w:szCs w:val="20"/>
                <w:lang w:val="en-GB"/>
              </w:rPr>
              <w:t xml:space="preserve"> plan will build on previous performance, lessons learned, and best practices of TCA activities from your previous </w:t>
            </w:r>
            <w:r w:rsidR="009F0292">
              <w:rPr>
                <w:b/>
                <w:bCs/>
                <w:i/>
                <w:iCs/>
                <w:color w:val="000000" w:themeColor="text1"/>
                <w:sz w:val="20"/>
                <w:szCs w:val="20"/>
                <w:lang w:val="en-GB"/>
              </w:rPr>
              <w:t>T</w:t>
            </w:r>
            <w:r w:rsidRPr="00B614D7" w:rsidR="009F0292">
              <w:rPr>
                <w:b/>
                <w:bCs/>
                <w:i/>
                <w:iCs/>
                <w:color w:val="000000" w:themeColor="text1"/>
                <w:sz w:val="20"/>
                <w:szCs w:val="20"/>
                <w:lang w:val="en-GB"/>
              </w:rPr>
              <w:t>CA plan</w:t>
            </w:r>
            <w:r w:rsidR="0048676E">
              <w:rPr>
                <w:b/>
                <w:bCs/>
                <w:i/>
                <w:iCs/>
                <w:color w:val="000000" w:themeColor="text1"/>
                <w:sz w:val="20"/>
                <w:szCs w:val="20"/>
                <w:lang w:val="en-GB"/>
              </w:rPr>
              <w:t>, including</w:t>
            </w:r>
            <w:r w:rsidR="009D07BA">
              <w:rPr>
                <w:b/>
                <w:bCs/>
                <w:i/>
                <w:iCs/>
                <w:color w:val="000000" w:themeColor="text1"/>
                <w:sz w:val="20"/>
                <w:szCs w:val="20"/>
                <w:lang w:val="en-GB"/>
              </w:rPr>
              <w:t xml:space="preserve"> </w:t>
            </w:r>
            <w:r w:rsidR="006E0314">
              <w:rPr>
                <w:b/>
                <w:bCs/>
                <w:i/>
                <w:iCs/>
                <w:color w:val="000000" w:themeColor="text1"/>
                <w:sz w:val="20"/>
                <w:szCs w:val="20"/>
                <w:lang w:val="en-GB"/>
              </w:rPr>
              <w:t xml:space="preserve">contributions to the national programme and </w:t>
            </w:r>
            <w:r w:rsidR="00C9453B">
              <w:rPr>
                <w:b/>
                <w:bCs/>
                <w:i/>
                <w:iCs/>
                <w:color w:val="000000" w:themeColor="text1"/>
                <w:sz w:val="20"/>
                <w:szCs w:val="20"/>
                <w:lang w:val="en-GB"/>
              </w:rPr>
              <w:t xml:space="preserve">knowledge/skill </w:t>
            </w:r>
            <w:r w:rsidR="009C20B6">
              <w:rPr>
                <w:b/>
                <w:bCs/>
                <w:i/>
                <w:iCs/>
                <w:color w:val="000000" w:themeColor="text1"/>
                <w:sz w:val="20"/>
                <w:szCs w:val="20"/>
                <w:lang w:val="en-GB"/>
              </w:rPr>
              <w:t>building,</w:t>
            </w:r>
            <w:r w:rsidR="00652E87">
              <w:rPr>
                <w:b/>
                <w:bCs/>
                <w:i/>
                <w:iCs/>
                <w:color w:val="000000" w:themeColor="text1"/>
                <w:sz w:val="20"/>
                <w:szCs w:val="20"/>
                <w:lang w:val="en-GB"/>
              </w:rPr>
              <w:t xml:space="preserve"> and how this has been taken into account in </w:t>
            </w:r>
            <w:r w:rsidR="00FA04B1">
              <w:rPr>
                <w:b/>
                <w:bCs/>
                <w:i/>
                <w:iCs/>
                <w:color w:val="000000" w:themeColor="text1"/>
                <w:sz w:val="20"/>
                <w:szCs w:val="20"/>
                <w:lang w:val="en-GB"/>
              </w:rPr>
              <w:t>this TCA planning and prioritisation</w:t>
            </w:r>
            <w:r w:rsidRPr="00B614D7" w:rsidR="009F0292">
              <w:rPr>
                <w:b/>
                <w:bCs/>
                <w:i/>
                <w:iCs/>
                <w:color w:val="000000" w:themeColor="text1"/>
                <w:sz w:val="20"/>
                <w:szCs w:val="20"/>
                <w:lang w:val="en-GB"/>
              </w:rPr>
              <w:t xml:space="preserve">. </w:t>
            </w:r>
            <w:r w:rsidRPr="00B614D7" w:rsidR="009F0292">
              <w:rPr>
                <w:b/>
                <w:bCs/>
                <w:i/>
                <w:iCs/>
                <w:sz w:val="20"/>
                <w:szCs w:val="20"/>
              </w:rPr>
              <w:t xml:space="preserve"> </w:t>
            </w:r>
          </w:p>
        </w:tc>
      </w:tr>
      <w:tr w:rsidR="009F0292" w:rsidTr="00DD391A" w14:paraId="690BE9DA" w14:textId="77777777">
        <w:tc>
          <w:tcPr>
            <w:tcW w:w="9192" w:type="dxa"/>
            <w:tcBorders>
              <w:top w:val="single" w:color="auto" w:sz="4" w:space="0"/>
              <w:left w:val="single" w:color="auto" w:sz="4" w:space="0"/>
              <w:bottom w:val="single" w:color="auto" w:sz="4" w:space="0"/>
              <w:right w:val="single" w:color="auto" w:sz="4" w:space="0"/>
            </w:tcBorders>
          </w:tcPr>
          <w:p w:rsidRPr="00526AF5" w:rsidR="00E80375" w:rsidP="00871FCF" w:rsidRDefault="00C30C82" w14:paraId="55E943C9" w14:textId="77777777">
            <w:pPr>
              <w:spacing w:line="300" w:lineRule="exact"/>
              <w:rPr>
                <w:color w:val="000000" w:themeColor="text1"/>
                <w:lang w:val="en-GB"/>
              </w:rPr>
            </w:pPr>
            <w:r w:rsidRPr="00526AF5">
              <w:rPr>
                <w:color w:val="000000" w:themeColor="text1"/>
                <w:lang w:val="en-GB"/>
              </w:rPr>
              <w:t xml:space="preserve">The Ministry of Health and Child Care, Head office changed management during the course </w:t>
            </w:r>
            <w:r w:rsidRPr="00526AF5" w:rsidR="00DE1549">
              <w:rPr>
                <w:color w:val="000000" w:themeColor="text1"/>
                <w:lang w:val="en-GB"/>
              </w:rPr>
              <w:t xml:space="preserve">the TCA with new Chief Directors and Chief Nursing </w:t>
            </w:r>
            <w:proofErr w:type="spellStart"/>
            <w:r w:rsidRPr="00526AF5" w:rsidR="00DE1549">
              <w:rPr>
                <w:color w:val="000000" w:themeColor="text1"/>
                <w:lang w:val="en-GB"/>
              </w:rPr>
              <w:t>Oficer</w:t>
            </w:r>
            <w:proofErr w:type="spellEnd"/>
            <w:r w:rsidRPr="00526AF5" w:rsidR="00DE1549">
              <w:rPr>
                <w:color w:val="000000" w:themeColor="text1"/>
                <w:lang w:val="en-GB"/>
              </w:rPr>
              <w:t xml:space="preserve"> joining the Ministry. Coupled the Covid-19 response activities there were some delays in implementing some of the planned activities planned under the TCA. However, with passage of time and relaxation of some of the Covid-19 restrictions most the planned activities were implemented. Two activities (</w:t>
            </w:r>
            <w:proofErr w:type="spellStart"/>
            <w:r w:rsidRPr="00526AF5" w:rsidR="00DE1549">
              <w:rPr>
                <w:color w:val="000000" w:themeColor="text1"/>
                <w:lang w:val="en-GB"/>
              </w:rPr>
              <w:t>Leadreship</w:t>
            </w:r>
            <w:proofErr w:type="spellEnd"/>
            <w:r w:rsidRPr="00526AF5" w:rsidR="00DE1549">
              <w:rPr>
                <w:color w:val="000000" w:themeColor="text1"/>
                <w:lang w:val="en-GB"/>
              </w:rPr>
              <w:t xml:space="preserve">, Management and Coordination training and the Post TCV campaign coverage survey) were not implemented due to some administrative challenges. Othe activities were implemented </w:t>
            </w:r>
            <w:proofErr w:type="spellStart"/>
            <w:r w:rsidRPr="00526AF5" w:rsidR="00DE1549">
              <w:rPr>
                <w:color w:val="000000" w:themeColor="text1"/>
                <w:lang w:val="en-GB"/>
              </w:rPr>
              <w:t>successifully</w:t>
            </w:r>
            <w:proofErr w:type="spellEnd"/>
            <w:r w:rsidRPr="00526AF5" w:rsidR="00DE1549">
              <w:rPr>
                <w:color w:val="000000" w:themeColor="text1"/>
                <w:lang w:val="en-GB"/>
              </w:rPr>
              <w:t xml:space="preserve"> to the satisfaction of the Ministry.</w:t>
            </w:r>
          </w:p>
          <w:p w:rsidRPr="00526AF5" w:rsidR="00E80375" w:rsidP="00871FCF" w:rsidRDefault="00E80375" w14:paraId="05BD13FD" w14:textId="77777777">
            <w:pPr>
              <w:spacing w:line="300" w:lineRule="exact"/>
              <w:rPr>
                <w:color w:val="000000" w:themeColor="text1"/>
                <w:lang w:val="en-GB"/>
              </w:rPr>
            </w:pPr>
          </w:p>
          <w:p w:rsidRPr="00526AF5" w:rsidR="009F0292" w:rsidP="00DF13F8" w:rsidRDefault="00E80375" w14:paraId="67FFF2B7" w14:textId="06A4BBC1">
            <w:pPr>
              <w:spacing w:line="300" w:lineRule="exact"/>
              <w:jc w:val="both"/>
              <w:rPr>
                <w:color w:val="000000" w:themeColor="text1"/>
                <w:lang w:val="en-GB"/>
              </w:rPr>
            </w:pPr>
            <w:r w:rsidRPr="00526AF5">
              <w:rPr>
                <w:color w:val="000000" w:themeColor="text1"/>
                <w:lang w:val="en-GB"/>
              </w:rPr>
              <w:lastRenderedPageBreak/>
              <w:t>The country man</w:t>
            </w:r>
            <w:r w:rsidRPr="00526AF5" w:rsidR="000B325C">
              <w:rPr>
                <w:color w:val="000000" w:themeColor="text1"/>
                <w:lang w:val="en-GB"/>
              </w:rPr>
              <w:t>a</w:t>
            </w:r>
            <w:r w:rsidRPr="00526AF5">
              <w:rPr>
                <w:color w:val="000000" w:themeColor="text1"/>
                <w:lang w:val="en-GB"/>
              </w:rPr>
              <w:t xml:space="preserve">ged to </w:t>
            </w:r>
            <w:proofErr w:type="spellStart"/>
            <w:r w:rsidRPr="00526AF5">
              <w:rPr>
                <w:color w:val="000000" w:themeColor="text1"/>
                <w:lang w:val="en-GB"/>
              </w:rPr>
              <w:t>successifully</w:t>
            </w:r>
            <w:proofErr w:type="spellEnd"/>
            <w:r w:rsidRPr="00526AF5">
              <w:rPr>
                <w:color w:val="000000" w:themeColor="text1"/>
                <w:lang w:val="en-GB"/>
              </w:rPr>
              <w:t xml:space="preserve"> develop a comprehensive improvement plan quarter 4 2021 </w:t>
            </w:r>
            <w:proofErr w:type="spellStart"/>
            <w:r w:rsidRPr="00526AF5">
              <w:rPr>
                <w:color w:val="000000" w:themeColor="text1"/>
                <w:lang w:val="en-GB"/>
              </w:rPr>
              <w:t>followith</w:t>
            </w:r>
            <w:proofErr w:type="spellEnd"/>
            <w:r w:rsidRPr="00526AF5">
              <w:rPr>
                <w:color w:val="000000" w:themeColor="text1"/>
                <w:lang w:val="en-GB"/>
              </w:rPr>
              <w:t xml:space="preserve"> the 2020 Effective Vaccine Management assessment. These </w:t>
            </w:r>
            <w:proofErr w:type="spellStart"/>
            <w:r w:rsidRPr="00526AF5">
              <w:rPr>
                <w:color w:val="000000" w:themeColor="text1"/>
                <w:lang w:val="en-GB"/>
              </w:rPr>
              <w:t>wre</w:t>
            </w:r>
            <w:proofErr w:type="spellEnd"/>
            <w:r w:rsidRPr="00526AF5">
              <w:rPr>
                <w:color w:val="000000" w:themeColor="text1"/>
                <w:lang w:val="en-GB"/>
              </w:rPr>
              <w:t xml:space="preserve"> all done with technical support from WHO and UNICEF. An urban situation analysis was </w:t>
            </w:r>
            <w:proofErr w:type="spellStart"/>
            <w:r w:rsidRPr="00526AF5">
              <w:rPr>
                <w:color w:val="000000" w:themeColor="text1"/>
                <w:lang w:val="en-GB"/>
              </w:rPr>
              <w:t>successifully</w:t>
            </w:r>
            <w:proofErr w:type="spellEnd"/>
            <w:r w:rsidRPr="00526AF5">
              <w:rPr>
                <w:color w:val="000000" w:themeColor="text1"/>
                <w:lang w:val="en-GB"/>
              </w:rPr>
              <w:t xml:space="preserve"> carried out in selected urban areas with TCA support that came through JSI. In addition, human centred design approach was </w:t>
            </w:r>
            <w:proofErr w:type="spellStart"/>
            <w:r w:rsidRPr="00526AF5">
              <w:rPr>
                <w:color w:val="000000" w:themeColor="text1"/>
                <w:lang w:val="en-GB"/>
              </w:rPr>
              <w:t>successifully</w:t>
            </w:r>
            <w:proofErr w:type="spellEnd"/>
            <w:r w:rsidRPr="00526AF5">
              <w:rPr>
                <w:color w:val="000000" w:themeColor="text1"/>
                <w:lang w:val="en-GB"/>
              </w:rPr>
              <w:t xml:space="preserve"> used for planning and implementing community engagement interventions on addressing vaccine hesitancy in low </w:t>
            </w:r>
            <w:proofErr w:type="spellStart"/>
            <w:r w:rsidRPr="00526AF5">
              <w:rPr>
                <w:color w:val="000000" w:themeColor="text1"/>
                <w:lang w:val="en-GB"/>
              </w:rPr>
              <w:t>perfoming</w:t>
            </w:r>
            <w:proofErr w:type="spellEnd"/>
            <w:r w:rsidRPr="00526AF5">
              <w:rPr>
                <w:color w:val="000000" w:themeColor="text1"/>
                <w:lang w:val="en-GB"/>
              </w:rPr>
              <w:t xml:space="preserve"> districts.</w:t>
            </w:r>
            <w:r w:rsidRPr="00526AF5" w:rsidR="00DF13F8">
              <w:rPr>
                <w:color w:val="000000" w:themeColor="text1"/>
                <w:lang w:val="en-GB"/>
              </w:rPr>
              <w:t xml:space="preserve"> </w:t>
            </w:r>
            <w:r w:rsidRPr="00526AF5">
              <w:rPr>
                <w:color w:val="000000" w:themeColor="text1"/>
                <w:lang w:val="en-GB"/>
              </w:rPr>
              <w:t xml:space="preserve"> </w:t>
            </w:r>
            <w:r w:rsidRPr="00526AF5" w:rsidR="00CF224A">
              <w:rPr>
                <w:color w:val="000000" w:themeColor="text1"/>
                <w:lang w:val="en-GB"/>
              </w:rPr>
              <w:t>All these activities had elements of immunization sustainability through skills transfer to Ministry of Health and Child Care personnel at all levels of the health delivery.</w:t>
            </w:r>
            <w:r w:rsidRPr="00526AF5" w:rsidR="00DE1549">
              <w:rPr>
                <w:color w:val="000000" w:themeColor="text1"/>
                <w:lang w:val="en-GB"/>
              </w:rPr>
              <w:t xml:space="preserve"> </w:t>
            </w:r>
          </w:p>
          <w:p w:rsidRPr="00526AF5" w:rsidR="00DF13F8" w:rsidP="00DF13F8" w:rsidRDefault="00DF13F8" w14:paraId="22CB3CC7" w14:textId="77777777">
            <w:pPr>
              <w:spacing w:line="300" w:lineRule="exact"/>
              <w:jc w:val="both"/>
              <w:rPr>
                <w:color w:val="000000" w:themeColor="text1"/>
                <w:lang w:val="en-GB"/>
              </w:rPr>
            </w:pPr>
          </w:p>
          <w:p w:rsidRPr="00526AF5" w:rsidR="00DF13F8" w:rsidP="00DF13F8" w:rsidRDefault="00DF13F8" w14:paraId="54735EE2" w14:textId="4AD90E1D">
            <w:pPr>
              <w:spacing w:line="300" w:lineRule="exact"/>
              <w:jc w:val="both"/>
              <w:rPr>
                <w:color w:val="000000" w:themeColor="text1"/>
                <w:lang w:val="en-GB"/>
              </w:rPr>
            </w:pPr>
            <w:r w:rsidRPr="00526AF5">
              <w:rPr>
                <w:color w:val="000000" w:themeColor="text1"/>
                <w:lang w:val="en-GB"/>
              </w:rPr>
              <w:t>Building on the above experiences of working with TCA partners, the Ministry looks forward to strengthening implementation planned TCA activities to sustain the noted gains.</w:t>
            </w:r>
          </w:p>
        </w:tc>
      </w:tr>
    </w:tbl>
    <w:p w:rsidR="009F0292" w:rsidP="00372D1F" w:rsidRDefault="009F0292" w14:paraId="4B96F6BD" w14:textId="77777777">
      <w:pPr>
        <w:pStyle w:val="ListParagraph"/>
        <w:spacing w:line="300" w:lineRule="exact"/>
        <w:ind w:left="0"/>
        <w:jc w:val="right"/>
        <w:rPr>
          <w:b/>
          <w:color w:val="70AD47" w:themeColor="accent6"/>
          <w:sz w:val="26"/>
          <w:szCs w:val="26"/>
          <w:lang w:val="en-GB"/>
        </w:rPr>
      </w:pPr>
    </w:p>
    <w:p w:rsidRPr="00A957C9" w:rsidR="00610D71" w:rsidP="00CE1F57" w:rsidRDefault="003F0221" w14:paraId="11BFC6A9" w14:textId="753345FA">
      <w:pPr>
        <w:pStyle w:val="ListParagraph"/>
        <w:numPr>
          <w:ilvl w:val="0"/>
          <w:numId w:val="4"/>
        </w:numPr>
        <w:spacing w:line="300" w:lineRule="exact"/>
        <w:rPr>
          <w:b/>
          <w:bCs/>
          <w:color w:val="84C650"/>
          <w:sz w:val="26"/>
          <w:szCs w:val="26"/>
          <w:lang w:val="en-GB"/>
        </w:rPr>
      </w:pPr>
      <w:r w:rsidRPr="08473C56">
        <w:rPr>
          <w:b/>
          <w:bCs/>
          <w:color w:val="70AD47" w:themeColor="accent6"/>
          <w:sz w:val="26"/>
          <w:szCs w:val="26"/>
          <w:lang w:val="en-GB"/>
        </w:rPr>
        <w:t>Align</w:t>
      </w:r>
      <w:r w:rsidRPr="08473C56" w:rsidR="000A3F37">
        <w:rPr>
          <w:b/>
          <w:bCs/>
          <w:color w:val="70AD47" w:themeColor="accent6"/>
          <w:sz w:val="26"/>
          <w:szCs w:val="26"/>
          <w:lang w:val="en-GB"/>
        </w:rPr>
        <w:t xml:space="preserve">ment of </w:t>
      </w:r>
      <w:r w:rsidRPr="08473C56" w:rsidR="000A6AC3">
        <w:rPr>
          <w:b/>
          <w:bCs/>
          <w:color w:val="70AD47" w:themeColor="accent6"/>
          <w:sz w:val="26"/>
          <w:szCs w:val="26"/>
          <w:lang w:val="en-GB"/>
        </w:rPr>
        <w:t>the</w:t>
      </w:r>
      <w:r w:rsidRPr="08473C56" w:rsidR="000A3F37">
        <w:rPr>
          <w:b/>
          <w:bCs/>
          <w:color w:val="70AD47" w:themeColor="accent6"/>
          <w:sz w:val="26"/>
          <w:szCs w:val="26"/>
          <w:lang w:val="en-GB"/>
        </w:rPr>
        <w:t xml:space="preserve"> One T</w:t>
      </w:r>
      <w:r w:rsidRPr="08473C56" w:rsidR="002510AA">
        <w:rPr>
          <w:b/>
          <w:bCs/>
          <w:color w:val="70AD47" w:themeColor="accent6"/>
          <w:sz w:val="26"/>
          <w:szCs w:val="26"/>
          <w:lang w:val="en-GB"/>
        </w:rPr>
        <w:t>C</w:t>
      </w:r>
      <w:r w:rsidRPr="08473C56" w:rsidR="000A3F37">
        <w:rPr>
          <w:b/>
          <w:bCs/>
          <w:color w:val="70AD47" w:themeColor="accent6"/>
          <w:sz w:val="26"/>
          <w:szCs w:val="26"/>
          <w:lang w:val="en-GB"/>
        </w:rPr>
        <w:t xml:space="preserve">A plan with </w:t>
      </w:r>
      <w:r w:rsidRPr="08473C56" w:rsidR="00106608">
        <w:rPr>
          <w:b/>
          <w:bCs/>
          <w:color w:val="70AD47" w:themeColor="accent6"/>
          <w:sz w:val="26"/>
          <w:szCs w:val="26"/>
          <w:lang w:val="en-GB"/>
        </w:rPr>
        <w:t xml:space="preserve">future </w:t>
      </w:r>
      <w:r w:rsidR="00600378">
        <w:rPr>
          <w:b/>
          <w:bCs/>
          <w:color w:val="70AD47" w:themeColor="accent6"/>
          <w:sz w:val="26"/>
          <w:szCs w:val="26"/>
          <w:lang w:val="en-GB"/>
        </w:rPr>
        <w:t xml:space="preserve">Gavi </w:t>
      </w:r>
      <w:r w:rsidRPr="08473C56" w:rsidR="00106608">
        <w:rPr>
          <w:b/>
          <w:bCs/>
          <w:color w:val="70AD47" w:themeColor="accent6"/>
          <w:sz w:val="26"/>
          <w:szCs w:val="26"/>
          <w:lang w:val="en-GB"/>
        </w:rPr>
        <w:t>planned investments</w:t>
      </w:r>
      <w:r w:rsidRPr="08473C56" w:rsidR="005747F6">
        <w:rPr>
          <w:b/>
          <w:bCs/>
          <w:color w:val="70AD47" w:themeColor="accent6"/>
          <w:sz w:val="26"/>
          <w:szCs w:val="26"/>
          <w:lang w:val="en-GB"/>
        </w:rPr>
        <w:t xml:space="preserve"> (0.5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A957C9" w:rsidTr="005F26FC" w14:paraId="3F6BA8B3" w14:textId="77777777">
        <w:tc>
          <w:tcPr>
            <w:tcW w:w="9192" w:type="dxa"/>
            <w:tcBorders>
              <w:bottom w:val="single" w:color="auto" w:sz="4" w:space="0"/>
            </w:tcBorders>
            <w:shd w:val="clear" w:color="auto" w:fill="F2F2F2" w:themeFill="background1" w:themeFillShade="F2"/>
          </w:tcPr>
          <w:p w:rsidRPr="00CF3BC4" w:rsidR="00A957C9" w:rsidP="00FC4A11" w:rsidRDefault="007476F9" w14:paraId="518A3DA4" w14:textId="2C18AF85">
            <w:pPr>
              <w:pStyle w:val="ListParagraph"/>
              <w:spacing w:line="300" w:lineRule="exact"/>
              <w:ind w:left="0"/>
              <w:rPr>
                <w:b/>
                <w:bCs/>
                <w:i/>
                <w:iCs/>
                <w:color w:val="84C650"/>
                <w:sz w:val="26"/>
                <w:szCs w:val="26"/>
                <w:lang w:val="en-GB"/>
              </w:rPr>
            </w:pPr>
            <w:r>
              <w:rPr>
                <w:b/>
                <w:bCs/>
                <w:i/>
                <w:iCs/>
                <w:sz w:val="20"/>
                <w:szCs w:val="20"/>
              </w:rPr>
              <w:t>5</w:t>
            </w:r>
            <w:r w:rsidR="00B80406">
              <w:rPr>
                <w:b/>
                <w:bCs/>
                <w:i/>
                <w:iCs/>
                <w:sz w:val="20"/>
                <w:szCs w:val="20"/>
              </w:rPr>
              <w:t xml:space="preserve">.1 </w:t>
            </w:r>
            <w:r w:rsidRPr="00CF3BC4" w:rsidR="00A957C9">
              <w:rPr>
                <w:b/>
                <w:bCs/>
                <w:i/>
                <w:iCs/>
                <w:sz w:val="20"/>
                <w:szCs w:val="20"/>
              </w:rPr>
              <w:t xml:space="preserve">Please list all planned upcoming Gavi investments (e.g.  </w:t>
            </w:r>
            <w:r w:rsidR="00016A9B">
              <w:rPr>
                <w:b/>
                <w:bCs/>
                <w:i/>
                <w:iCs/>
                <w:sz w:val="20"/>
                <w:szCs w:val="20"/>
              </w:rPr>
              <w:t>new vaccine support</w:t>
            </w:r>
            <w:r w:rsidRPr="00CF3BC4" w:rsidR="00A957C9">
              <w:rPr>
                <w:b/>
                <w:bCs/>
                <w:i/>
                <w:iCs/>
                <w:sz w:val="20"/>
                <w:szCs w:val="20"/>
              </w:rPr>
              <w:t xml:space="preserve">, CCEOP) that would require TA support within the planned period, including Full Portfolio Planning process and describe how the </w:t>
            </w:r>
            <w:r w:rsidR="00372D1F">
              <w:rPr>
                <w:b/>
                <w:bCs/>
                <w:i/>
                <w:iCs/>
                <w:sz w:val="20"/>
                <w:szCs w:val="20"/>
              </w:rPr>
              <w:t>TCA</w:t>
            </w:r>
            <w:r w:rsidRPr="00CF3BC4" w:rsidR="00A957C9">
              <w:rPr>
                <w:b/>
                <w:bCs/>
                <w:i/>
                <w:iCs/>
                <w:sz w:val="20"/>
                <w:szCs w:val="20"/>
              </w:rPr>
              <w:t xml:space="preserve"> plan will be aligned with the ongoing and/or planned investments made by Gavi</w:t>
            </w:r>
            <w:r w:rsidR="005F6AD5">
              <w:rPr>
                <w:b/>
                <w:bCs/>
                <w:i/>
                <w:iCs/>
                <w:sz w:val="20"/>
                <w:szCs w:val="20"/>
              </w:rPr>
              <w:t>.</w:t>
            </w:r>
          </w:p>
        </w:tc>
      </w:tr>
      <w:tr w:rsidRPr="006A272B" w:rsidR="00A957C9" w:rsidTr="005F26FC" w14:paraId="7B4C9334" w14:textId="77777777">
        <w:trPr>
          <w:trHeight w:val="50"/>
        </w:trPr>
        <w:tc>
          <w:tcPr>
            <w:tcW w:w="9192" w:type="dxa"/>
            <w:tcBorders>
              <w:top w:val="single" w:color="auto" w:sz="4" w:space="0"/>
              <w:left w:val="single" w:color="auto" w:sz="4" w:space="0"/>
              <w:bottom w:val="single" w:color="auto" w:sz="4" w:space="0"/>
              <w:right w:val="single" w:color="auto" w:sz="4" w:space="0"/>
            </w:tcBorders>
          </w:tcPr>
          <w:p w:rsidR="008C273D" w:rsidP="008E50DD" w:rsidRDefault="008C273D" w14:paraId="05860C8E" w14:textId="61F64528">
            <w:pPr>
              <w:pStyle w:val="ListParagraph"/>
              <w:numPr>
                <w:ilvl w:val="0"/>
                <w:numId w:val="10"/>
              </w:numPr>
              <w:spacing w:line="300" w:lineRule="exact"/>
              <w:jc w:val="both"/>
              <w:rPr>
                <w:lang w:val="en-GB"/>
              </w:rPr>
            </w:pPr>
            <w:r w:rsidRPr="008C273D">
              <w:rPr>
                <w:lang w:val="en-GB"/>
              </w:rPr>
              <w:t>Measles campaign</w:t>
            </w:r>
            <w:r w:rsidR="008E50DD">
              <w:rPr>
                <w:lang w:val="en-GB"/>
              </w:rPr>
              <w:t xml:space="preserve"> – the country successfully applied for support to conduct measles SIAs this 2022. Planning for the SIA are in progress with a full scale planning awaiting disbursement of </w:t>
            </w:r>
            <w:proofErr w:type="spellStart"/>
            <w:r w:rsidR="008E50DD">
              <w:rPr>
                <w:lang w:val="en-GB"/>
              </w:rPr>
              <w:t>operartional</w:t>
            </w:r>
            <w:proofErr w:type="spellEnd"/>
            <w:r w:rsidR="008E50DD">
              <w:rPr>
                <w:lang w:val="en-GB"/>
              </w:rPr>
              <w:t xml:space="preserve"> funds from Gavi.</w:t>
            </w:r>
            <w:r w:rsidRPr="008C273D">
              <w:rPr>
                <w:lang w:val="en-GB"/>
              </w:rPr>
              <w:t xml:space="preserve"> </w:t>
            </w:r>
            <w:r w:rsidR="008E50DD">
              <w:rPr>
                <w:lang w:val="en-GB"/>
              </w:rPr>
              <w:t>The country is planning to bring the period of the campaign forward from the original plan of September, 2022 to June or July 2022. This is in view of the measles outbreak currently ongoing in the country.</w:t>
            </w:r>
          </w:p>
          <w:p w:rsidR="008C273D" w:rsidP="007D795B" w:rsidRDefault="008C273D" w14:paraId="410FE624" w14:textId="2FBE7561">
            <w:pPr>
              <w:pStyle w:val="ListParagraph"/>
              <w:numPr>
                <w:ilvl w:val="0"/>
                <w:numId w:val="10"/>
              </w:numPr>
              <w:spacing w:line="300" w:lineRule="exact"/>
              <w:jc w:val="both"/>
              <w:rPr>
                <w:lang w:val="en-GB"/>
              </w:rPr>
            </w:pPr>
            <w:r w:rsidRPr="008C273D">
              <w:rPr>
                <w:lang w:val="en-GB"/>
              </w:rPr>
              <w:t>Polio campaign</w:t>
            </w:r>
            <w:r w:rsidR="008E50DD">
              <w:rPr>
                <w:lang w:val="en-GB"/>
              </w:rPr>
              <w:t xml:space="preserve"> – this campaign is coming in as a follow up to the Malawi and Mozambique polio outbreaks in which the WHO Regional office </w:t>
            </w:r>
            <w:proofErr w:type="spellStart"/>
            <w:r w:rsidR="008E50DD">
              <w:rPr>
                <w:lang w:val="en-GB"/>
              </w:rPr>
              <w:t>recommented</w:t>
            </w:r>
            <w:proofErr w:type="spellEnd"/>
            <w:r w:rsidR="008E50DD">
              <w:rPr>
                <w:lang w:val="en-GB"/>
              </w:rPr>
              <w:t xml:space="preserve"> block country response involving 5 countries </w:t>
            </w:r>
            <w:r w:rsidR="00E1756E">
              <w:rPr>
                <w:lang w:val="en-GB"/>
              </w:rPr>
              <w:t>(</w:t>
            </w:r>
            <w:r w:rsidR="008E50DD">
              <w:rPr>
                <w:lang w:val="en-GB"/>
              </w:rPr>
              <w:t>Malawi, Mo</w:t>
            </w:r>
            <w:r w:rsidR="00E1756E">
              <w:rPr>
                <w:lang w:val="en-GB"/>
              </w:rPr>
              <w:t>zambique, Tanzania, Zambia and Zimbabwe). Zimbabwe is joining the 3</w:t>
            </w:r>
            <w:r w:rsidRPr="00E1756E" w:rsidR="00E1756E">
              <w:rPr>
                <w:vertAlign w:val="superscript"/>
                <w:lang w:val="en-GB"/>
              </w:rPr>
              <w:t>rd</w:t>
            </w:r>
            <w:r w:rsidR="00E1756E">
              <w:rPr>
                <w:lang w:val="en-GB"/>
              </w:rPr>
              <w:t xml:space="preserve"> and 4</w:t>
            </w:r>
            <w:r w:rsidRPr="00E1756E" w:rsidR="00E1756E">
              <w:rPr>
                <w:vertAlign w:val="superscript"/>
                <w:lang w:val="en-GB"/>
              </w:rPr>
              <w:t>th</w:t>
            </w:r>
            <w:r w:rsidR="00E1756E">
              <w:rPr>
                <w:lang w:val="en-GB"/>
              </w:rPr>
              <w:t xml:space="preserve"> rounds to conducted July and August 2022.</w:t>
            </w:r>
          </w:p>
          <w:p w:rsidR="008C273D" w:rsidP="008C273D" w:rsidRDefault="008C273D" w14:paraId="141FE719" w14:textId="4861A00E">
            <w:pPr>
              <w:pStyle w:val="ListParagraph"/>
              <w:numPr>
                <w:ilvl w:val="0"/>
                <w:numId w:val="10"/>
              </w:numPr>
              <w:spacing w:line="300" w:lineRule="exact"/>
              <w:rPr>
                <w:lang w:val="en-GB"/>
              </w:rPr>
            </w:pPr>
            <w:r w:rsidRPr="008C273D">
              <w:rPr>
                <w:lang w:val="en-GB"/>
              </w:rPr>
              <w:t>Post measles and polio campaign coverage surveys</w:t>
            </w:r>
            <w:r w:rsidR="00F8496F">
              <w:rPr>
                <w:lang w:val="en-GB"/>
              </w:rPr>
              <w:t xml:space="preserve"> – the country </w:t>
            </w:r>
            <w:proofErr w:type="spellStart"/>
            <w:r w:rsidR="00F8496F">
              <w:rPr>
                <w:lang w:val="en-GB"/>
              </w:rPr>
              <w:t>lans</w:t>
            </w:r>
            <w:proofErr w:type="spellEnd"/>
            <w:r w:rsidR="00F8496F">
              <w:rPr>
                <w:lang w:val="en-GB"/>
              </w:rPr>
              <w:t xml:space="preserve"> to conduct post campaign coverage surveys in line with WHO recommendations.</w:t>
            </w:r>
            <w:r w:rsidRPr="008C273D">
              <w:rPr>
                <w:lang w:val="en-GB"/>
              </w:rPr>
              <w:t xml:space="preserve"> </w:t>
            </w:r>
          </w:p>
          <w:p w:rsidR="008C273D" w:rsidP="0088328B" w:rsidRDefault="008C273D" w14:paraId="4934DBB0" w14:textId="22A1C375">
            <w:pPr>
              <w:pStyle w:val="ListParagraph"/>
              <w:numPr>
                <w:ilvl w:val="0"/>
                <w:numId w:val="10"/>
              </w:numPr>
              <w:spacing w:line="300" w:lineRule="exact"/>
              <w:jc w:val="both"/>
              <w:rPr>
                <w:lang w:val="en-GB"/>
              </w:rPr>
            </w:pPr>
            <w:r>
              <w:rPr>
                <w:lang w:val="en-GB"/>
              </w:rPr>
              <w:t>C</w:t>
            </w:r>
            <w:r w:rsidRPr="008C273D">
              <w:rPr>
                <w:lang w:val="en-GB"/>
              </w:rPr>
              <w:t>old chain assessment</w:t>
            </w:r>
            <w:r w:rsidR="00F8496F">
              <w:rPr>
                <w:lang w:val="en-GB"/>
              </w:rPr>
              <w:t xml:space="preserve"> – this will be conducted in line with WHO recommendations that require a cold chain assessment to be conducted once every 5 years. This will be followed up with development of CCE replacement plan, a document that facilitates mobilisation of resources to rehabilitate the </w:t>
            </w:r>
            <w:proofErr w:type="spellStart"/>
            <w:r w:rsidR="00F8496F">
              <w:rPr>
                <w:lang w:val="en-GB"/>
              </w:rPr>
              <w:t>country’cold</w:t>
            </w:r>
            <w:proofErr w:type="spellEnd"/>
            <w:r w:rsidR="00F8496F">
              <w:rPr>
                <w:lang w:val="en-GB"/>
              </w:rPr>
              <w:t xml:space="preserve"> chain equipment.</w:t>
            </w:r>
            <w:r w:rsidRPr="008C273D">
              <w:rPr>
                <w:lang w:val="en-GB"/>
              </w:rPr>
              <w:t xml:space="preserve"> </w:t>
            </w:r>
            <w:r w:rsidR="00F8496F">
              <w:rPr>
                <w:lang w:val="en-GB"/>
              </w:rPr>
              <w:t>The last assessment was conducted in 2015.</w:t>
            </w:r>
          </w:p>
          <w:p w:rsidR="00A957C9" w:rsidP="0088328B" w:rsidRDefault="008C273D" w14:paraId="3211E45F" w14:textId="5766D4CB">
            <w:pPr>
              <w:pStyle w:val="ListParagraph"/>
              <w:numPr>
                <w:ilvl w:val="0"/>
                <w:numId w:val="10"/>
              </w:numPr>
              <w:spacing w:line="300" w:lineRule="exact"/>
              <w:jc w:val="both"/>
              <w:rPr>
                <w:lang w:val="en-GB"/>
              </w:rPr>
            </w:pPr>
            <w:r>
              <w:rPr>
                <w:lang w:val="en-GB"/>
              </w:rPr>
              <w:t>T</w:t>
            </w:r>
            <w:r w:rsidRPr="008C273D">
              <w:rPr>
                <w:lang w:val="en-GB"/>
              </w:rPr>
              <w:t>emperature mapping</w:t>
            </w:r>
            <w:r w:rsidR="00F8496F">
              <w:rPr>
                <w:lang w:val="en-GB"/>
              </w:rPr>
              <w:t xml:space="preserve"> – this is again another WHO standard requirement for effective vaccine management. A temperature mapping is to be conducted once every 3 years. The last </w:t>
            </w:r>
            <w:proofErr w:type="spellStart"/>
            <w:r w:rsidR="00F8496F">
              <w:rPr>
                <w:lang w:val="en-GB"/>
              </w:rPr>
              <w:t>assement</w:t>
            </w:r>
            <w:proofErr w:type="spellEnd"/>
            <w:r w:rsidR="00F8496F">
              <w:rPr>
                <w:lang w:val="en-GB"/>
              </w:rPr>
              <w:t xml:space="preserve"> was conducted in 2019 </w:t>
            </w:r>
          </w:p>
          <w:p w:rsidR="008C273D" w:rsidP="0088328B" w:rsidRDefault="008C273D" w14:paraId="3D6C220C" w14:textId="6663B398">
            <w:pPr>
              <w:pStyle w:val="ListParagraph"/>
              <w:numPr>
                <w:ilvl w:val="0"/>
                <w:numId w:val="10"/>
              </w:numPr>
              <w:spacing w:line="300" w:lineRule="exact"/>
              <w:jc w:val="both"/>
              <w:rPr>
                <w:lang w:val="en-GB"/>
              </w:rPr>
            </w:pPr>
            <w:r>
              <w:rPr>
                <w:lang w:val="en-GB"/>
              </w:rPr>
              <w:t>Vaccine management training</w:t>
            </w:r>
            <w:r w:rsidR="007B2B03">
              <w:rPr>
                <w:lang w:val="en-GB"/>
              </w:rPr>
              <w:t xml:space="preserve"> – this will be a follow to one of the recommendations of the 2020 cold chain assessment that found some health workers’ knowledge inadequate for effective vaccine management.</w:t>
            </w:r>
          </w:p>
          <w:p w:rsidR="006D5467" w:rsidP="0088328B" w:rsidRDefault="006D5467" w14:paraId="4B295120" w14:textId="1AA69B91">
            <w:pPr>
              <w:pStyle w:val="ListParagraph"/>
              <w:numPr>
                <w:ilvl w:val="0"/>
                <w:numId w:val="10"/>
              </w:numPr>
              <w:spacing w:line="300" w:lineRule="exact"/>
              <w:jc w:val="both"/>
              <w:rPr>
                <w:lang w:val="en-GB"/>
              </w:rPr>
            </w:pPr>
            <w:r>
              <w:rPr>
                <w:lang w:val="en-GB"/>
              </w:rPr>
              <w:t>Leadership, management and coordination</w:t>
            </w:r>
            <w:r w:rsidR="007B2B03">
              <w:rPr>
                <w:lang w:val="en-GB"/>
              </w:rPr>
              <w:t xml:space="preserve"> – an allocation was made by Gavi for this activity, but it was not implemented due to some administrative issues</w:t>
            </w:r>
            <w:r w:rsidR="00CC658E">
              <w:rPr>
                <w:lang w:val="en-GB"/>
              </w:rPr>
              <w:t xml:space="preserve">. This is an </w:t>
            </w:r>
            <w:proofErr w:type="spellStart"/>
            <w:r w:rsidR="00CC658E">
              <w:rPr>
                <w:lang w:val="en-GB"/>
              </w:rPr>
              <w:lastRenderedPageBreak/>
              <w:t>impartant</w:t>
            </w:r>
            <w:proofErr w:type="spellEnd"/>
            <w:r w:rsidR="00CC658E">
              <w:rPr>
                <w:lang w:val="en-GB"/>
              </w:rPr>
              <w:t xml:space="preserve"> activity to enhance management capacity at some identified subnational levels.</w:t>
            </w:r>
          </w:p>
          <w:p w:rsidR="008E50DD" w:rsidP="0088328B" w:rsidRDefault="008E50DD" w14:paraId="5970F1B0" w14:textId="77777777">
            <w:pPr>
              <w:pStyle w:val="ListParagraph"/>
              <w:numPr>
                <w:ilvl w:val="0"/>
                <w:numId w:val="10"/>
              </w:numPr>
              <w:spacing w:line="300" w:lineRule="exact"/>
              <w:jc w:val="both"/>
              <w:rPr>
                <w:lang w:val="en-GB"/>
              </w:rPr>
            </w:pPr>
            <w:r>
              <w:rPr>
                <w:lang w:val="en-GB"/>
              </w:rPr>
              <w:t>Covid-19 vaccination</w:t>
            </w:r>
            <w:r w:rsidR="00CC658E">
              <w:rPr>
                <w:lang w:val="en-GB"/>
              </w:rPr>
              <w:t xml:space="preserve"> – this activity is ongoing with the country having vaccinated over 50% of the target population. The country has adequate vaccines and supplies to cover the target population with at 2 doses per person.</w:t>
            </w:r>
          </w:p>
          <w:p w:rsidRPr="00CC658E" w:rsidR="00CC658E" w:rsidP="0088328B" w:rsidRDefault="00CC658E" w14:paraId="2033B8FD" w14:textId="76DE2FAC">
            <w:pPr>
              <w:spacing w:line="300" w:lineRule="exact"/>
              <w:jc w:val="both"/>
              <w:rPr>
                <w:lang w:val="en-GB"/>
              </w:rPr>
            </w:pPr>
            <w:r>
              <w:rPr>
                <w:lang w:val="en-GB"/>
              </w:rPr>
              <w:t xml:space="preserve">All the above TA </w:t>
            </w:r>
            <w:proofErr w:type="spellStart"/>
            <w:r>
              <w:rPr>
                <w:lang w:val="en-GB"/>
              </w:rPr>
              <w:t>activites</w:t>
            </w:r>
            <w:proofErr w:type="spellEnd"/>
            <w:r>
              <w:rPr>
                <w:lang w:val="en-GB"/>
              </w:rPr>
              <w:t xml:space="preserve"> are well aligned with other ongoing Gavi supported </w:t>
            </w:r>
            <w:proofErr w:type="spellStart"/>
            <w:r>
              <w:rPr>
                <w:lang w:val="en-GB"/>
              </w:rPr>
              <w:t>investiments</w:t>
            </w:r>
            <w:proofErr w:type="spellEnd"/>
            <w:r>
              <w:rPr>
                <w:lang w:val="en-GB"/>
              </w:rPr>
              <w:t xml:space="preserve">, and are mainly targeted at </w:t>
            </w:r>
            <w:proofErr w:type="spellStart"/>
            <w:r>
              <w:rPr>
                <w:lang w:val="en-GB"/>
              </w:rPr>
              <w:t>enhancind</w:t>
            </w:r>
            <w:proofErr w:type="spellEnd"/>
            <w:r>
              <w:rPr>
                <w:lang w:val="en-GB"/>
              </w:rPr>
              <w:t xml:space="preserve"> routine </w:t>
            </w:r>
            <w:proofErr w:type="spellStart"/>
            <w:r>
              <w:rPr>
                <w:lang w:val="en-GB"/>
              </w:rPr>
              <w:t>routine</w:t>
            </w:r>
            <w:proofErr w:type="spellEnd"/>
            <w:r>
              <w:rPr>
                <w:lang w:val="en-GB"/>
              </w:rPr>
              <w:t xml:space="preserve"> immunisation. </w:t>
            </w:r>
          </w:p>
        </w:tc>
      </w:tr>
    </w:tbl>
    <w:p w:rsidR="0090123D" w:rsidP="00FC4A11" w:rsidRDefault="0090123D" w14:paraId="658606AB" w14:textId="77777777">
      <w:pPr>
        <w:spacing w:line="300" w:lineRule="exact"/>
        <w:rPr>
          <w:b/>
          <w:color w:val="70AD47" w:themeColor="accent6"/>
          <w:sz w:val="26"/>
          <w:szCs w:val="26"/>
          <w:lang w:val="en-GB"/>
        </w:rPr>
      </w:pPr>
    </w:p>
    <w:p w:rsidRPr="0090123D" w:rsidR="00603CB9" w:rsidP="00CE1F57" w:rsidRDefault="00672E21" w14:paraId="1A7FCC98" w14:textId="47F91448">
      <w:pPr>
        <w:pStyle w:val="ListParagraph"/>
        <w:numPr>
          <w:ilvl w:val="0"/>
          <w:numId w:val="4"/>
        </w:numPr>
        <w:spacing w:line="300" w:lineRule="exact"/>
        <w:ind w:left="426"/>
        <w:rPr>
          <w:lang w:val="en-GB"/>
        </w:rPr>
      </w:pPr>
      <w:r>
        <w:rPr>
          <w:b/>
          <w:bCs/>
          <w:color w:val="70AD47" w:themeColor="accent6"/>
          <w:sz w:val="26"/>
          <w:szCs w:val="26"/>
          <w:lang w:val="en-GB"/>
        </w:rPr>
        <w:t>TCA Monitoring</w:t>
      </w:r>
      <w:r w:rsidRPr="08473C56" w:rsidR="00D14702">
        <w:rPr>
          <w:b/>
          <w:bCs/>
          <w:color w:val="70AD47" w:themeColor="accent6"/>
          <w:sz w:val="26"/>
          <w:szCs w:val="26"/>
          <w:lang w:val="en-GB"/>
        </w:rPr>
        <w:t xml:space="preserve"> (</w:t>
      </w:r>
      <w:r w:rsidR="0023395F">
        <w:rPr>
          <w:b/>
          <w:bCs/>
          <w:color w:val="70AD47" w:themeColor="accent6"/>
          <w:sz w:val="26"/>
          <w:szCs w:val="26"/>
          <w:lang w:val="en-GB"/>
        </w:rPr>
        <w:t>1</w:t>
      </w:r>
      <w:r w:rsidRPr="08473C56" w:rsidR="00D14702">
        <w:rPr>
          <w:b/>
          <w:bCs/>
          <w:color w:val="70AD47" w:themeColor="accent6"/>
          <w:sz w:val="26"/>
          <w:szCs w:val="26"/>
          <w:lang w:val="en-GB"/>
        </w:rPr>
        <w:t xml:space="preserve"> page)</w:t>
      </w:r>
    </w:p>
    <w:p w:rsidRPr="00A26F75" w:rsidR="00AB4B2D" w:rsidP="00FC4A11" w:rsidRDefault="00AB4B2D" w14:paraId="603C9386" w14:textId="77777777">
      <w:pPr>
        <w:pStyle w:val="ListParagraph"/>
        <w:spacing w:line="300" w:lineRule="exact"/>
        <w:ind w:left="0"/>
        <w:rPr>
          <w:lang w:val="en-GB"/>
        </w:rPr>
      </w:pPr>
    </w:p>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14"/>
      </w:tblGrid>
      <w:tr w:rsidRPr="00A957C9" w:rsidR="00A957C9" w:rsidTr="007612C6" w14:paraId="4BFA7B74" w14:textId="77777777">
        <w:tc>
          <w:tcPr>
            <w:tcW w:w="9214" w:type="dxa"/>
            <w:tcBorders>
              <w:bottom w:val="single" w:color="auto" w:sz="4" w:space="0"/>
            </w:tcBorders>
            <w:shd w:val="clear" w:color="auto" w:fill="F2F2F2" w:themeFill="background1" w:themeFillShade="F2"/>
          </w:tcPr>
          <w:p w:rsidRPr="00A957C9" w:rsidR="00AB4B2D" w:rsidP="00FC4A11" w:rsidRDefault="0023395F" w14:paraId="4522328F" w14:textId="19D81915">
            <w:pPr>
              <w:pStyle w:val="ListParagraph"/>
              <w:spacing w:line="300" w:lineRule="exact"/>
              <w:ind w:left="0"/>
              <w:rPr>
                <w:b/>
                <w:sz w:val="26"/>
                <w:szCs w:val="26"/>
              </w:rPr>
            </w:pPr>
            <w:r>
              <w:rPr>
                <w:b/>
                <w:bCs/>
                <w:i/>
                <w:iCs/>
                <w:sz w:val="20"/>
                <w:szCs w:val="20"/>
              </w:rPr>
              <w:t>6</w:t>
            </w:r>
            <w:r w:rsidR="005876B5">
              <w:rPr>
                <w:b/>
                <w:bCs/>
                <w:i/>
                <w:iCs/>
                <w:sz w:val="20"/>
                <w:szCs w:val="20"/>
              </w:rPr>
              <w:t xml:space="preserve">.1 </w:t>
            </w:r>
            <w:r w:rsidRPr="00A957C9" w:rsidR="00C47384">
              <w:rPr>
                <w:b/>
                <w:bCs/>
                <w:i/>
                <w:iCs/>
                <w:sz w:val="20"/>
                <w:szCs w:val="20"/>
              </w:rPr>
              <w:t>Please provide an outline of the TCA</w:t>
            </w:r>
            <w:r w:rsidR="0023057A">
              <w:rPr>
                <w:b/>
                <w:bCs/>
                <w:i/>
                <w:iCs/>
                <w:sz w:val="20"/>
                <w:szCs w:val="20"/>
              </w:rPr>
              <w:t xml:space="preserve">  in-country</w:t>
            </w:r>
            <w:r w:rsidRPr="00A957C9" w:rsidR="00C47384">
              <w:rPr>
                <w:b/>
                <w:bCs/>
                <w:i/>
                <w:iCs/>
                <w:sz w:val="20"/>
                <w:szCs w:val="20"/>
              </w:rPr>
              <w:t xml:space="preserve"> </w:t>
            </w:r>
            <w:r w:rsidR="00D57494">
              <w:rPr>
                <w:b/>
                <w:bCs/>
                <w:i/>
                <w:iCs/>
                <w:sz w:val="20"/>
                <w:szCs w:val="20"/>
              </w:rPr>
              <w:t xml:space="preserve">mechanism </w:t>
            </w:r>
            <w:r w:rsidRPr="00A957C9" w:rsidR="00C47384">
              <w:rPr>
                <w:b/>
                <w:bCs/>
                <w:i/>
                <w:iCs/>
                <w:sz w:val="20"/>
                <w:szCs w:val="20"/>
              </w:rPr>
              <w:t xml:space="preserve">to jointly monitor and track implementation progress and generation of results of the </w:t>
            </w:r>
            <w:r w:rsidR="00372D1F">
              <w:rPr>
                <w:b/>
                <w:bCs/>
                <w:i/>
                <w:iCs/>
                <w:sz w:val="20"/>
                <w:szCs w:val="20"/>
              </w:rPr>
              <w:t>TCA</w:t>
            </w:r>
            <w:r w:rsidRPr="00A957C9" w:rsidR="00C47384">
              <w:rPr>
                <w:b/>
                <w:bCs/>
                <w:i/>
                <w:iCs/>
                <w:sz w:val="20"/>
                <w:szCs w:val="20"/>
              </w:rPr>
              <w:t xml:space="preserve"> plan as a whole</w:t>
            </w:r>
            <w:r w:rsidR="00564856">
              <w:rPr>
                <w:b/>
                <w:bCs/>
                <w:i/>
                <w:iCs/>
                <w:sz w:val="20"/>
                <w:szCs w:val="20"/>
              </w:rPr>
              <w:t xml:space="preserve">. </w:t>
            </w:r>
            <w:r w:rsidRPr="00A957C9" w:rsidR="00564856">
              <w:rPr>
                <w:b/>
                <w:bCs/>
                <w:i/>
                <w:iCs/>
                <w:sz w:val="20"/>
                <w:szCs w:val="20"/>
              </w:rPr>
              <w:t>How will that information be used to adjust and improve programme implementation?</w:t>
            </w:r>
            <w:r w:rsidRPr="00A957C9" w:rsidR="00DD391A">
              <w:rPr>
                <w:b/>
                <w:bCs/>
                <w:i/>
                <w:iCs/>
                <w:sz w:val="20"/>
                <w:szCs w:val="20"/>
              </w:rPr>
              <w:t xml:space="preserve"> How frequently are data reviewed and used and who will be responsible to ensure that review and learning occurs?</w:t>
            </w:r>
          </w:p>
        </w:tc>
      </w:tr>
      <w:tr w:rsidRPr="00526AF5" w:rsidR="00C77D99" w:rsidTr="007612C6" w14:paraId="4CAB625F" w14:textId="77777777">
        <w:tc>
          <w:tcPr>
            <w:tcW w:w="9214" w:type="dxa"/>
            <w:tcBorders>
              <w:top w:val="single" w:color="auto" w:sz="4" w:space="0"/>
              <w:left w:val="single" w:color="auto" w:sz="4" w:space="0"/>
              <w:bottom w:val="single" w:color="auto" w:sz="4" w:space="0"/>
              <w:right w:val="single" w:color="auto" w:sz="4" w:space="0"/>
            </w:tcBorders>
          </w:tcPr>
          <w:p w:rsidRPr="00526AF5" w:rsidR="00EB22C2" w:rsidP="00C77D99" w:rsidRDefault="00C77D99" w14:paraId="584DC3D8" w14:textId="3360E220">
            <w:pPr>
              <w:spacing w:line="300" w:lineRule="exact"/>
              <w:jc w:val="both"/>
              <w:rPr>
                <w:color w:val="000000" w:themeColor="text1"/>
                <w:lang w:val="en-GB"/>
              </w:rPr>
            </w:pPr>
            <w:r w:rsidRPr="00526AF5">
              <w:rPr>
                <w:color w:val="000000" w:themeColor="text1"/>
                <w:lang w:val="en-GB"/>
              </w:rPr>
              <w:t xml:space="preserve">The Ministry has an established integrated Ministry of Health </w:t>
            </w:r>
            <w:proofErr w:type="spellStart"/>
            <w:r w:rsidRPr="00526AF5">
              <w:rPr>
                <w:color w:val="000000" w:themeColor="text1"/>
                <w:lang w:val="en-GB"/>
              </w:rPr>
              <w:t>informationa</w:t>
            </w:r>
            <w:proofErr w:type="spellEnd"/>
            <w:r w:rsidRPr="00526AF5">
              <w:rPr>
                <w:color w:val="000000" w:themeColor="text1"/>
                <w:lang w:val="en-GB"/>
              </w:rPr>
              <w:t xml:space="preserve"> management system, the DHIS2. Data is generated from service delivery daily and summary reports including </w:t>
            </w:r>
            <w:proofErr w:type="spellStart"/>
            <w:r w:rsidRPr="00526AF5">
              <w:rPr>
                <w:color w:val="000000" w:themeColor="text1"/>
                <w:lang w:val="en-GB"/>
              </w:rPr>
              <w:t>vaccinationa</w:t>
            </w:r>
            <w:proofErr w:type="spellEnd"/>
            <w:r w:rsidRPr="00526AF5">
              <w:rPr>
                <w:color w:val="000000" w:themeColor="text1"/>
                <w:lang w:val="en-GB"/>
              </w:rPr>
              <w:t xml:space="preserve"> data forwarded to district level monthly. The data is captured into the DHIS2 and available at levels as </w:t>
            </w:r>
            <w:proofErr w:type="spellStart"/>
            <w:r w:rsidRPr="00526AF5">
              <w:rPr>
                <w:color w:val="000000" w:themeColor="text1"/>
                <w:lang w:val="en-GB"/>
              </w:rPr>
              <w:t>soos</w:t>
            </w:r>
            <w:proofErr w:type="spellEnd"/>
            <w:r w:rsidRPr="00526AF5">
              <w:rPr>
                <w:color w:val="000000" w:themeColor="text1"/>
                <w:lang w:val="en-GB"/>
              </w:rPr>
              <w:t xml:space="preserve"> as captured at district level. Accredited stakeholders and users access data the as needed.  </w:t>
            </w:r>
            <w:r w:rsidRPr="00526AF5" w:rsidR="00EB22C2">
              <w:rPr>
                <w:color w:val="000000" w:themeColor="text1"/>
                <w:lang w:val="en-GB"/>
              </w:rPr>
              <w:t>The immunisation programme will review vaccination data on monthly basis and take corrective action as needed.</w:t>
            </w:r>
            <w:r w:rsidRPr="00526AF5" w:rsidR="00EF2BFF">
              <w:rPr>
                <w:color w:val="000000" w:themeColor="text1"/>
                <w:lang w:val="en-GB"/>
              </w:rPr>
              <w:t xml:space="preserve"> The prog</w:t>
            </w:r>
            <w:r w:rsidRPr="00526AF5" w:rsidR="00466027">
              <w:rPr>
                <w:color w:val="000000" w:themeColor="text1"/>
                <w:lang w:val="en-GB"/>
              </w:rPr>
              <w:t>ram</w:t>
            </w:r>
            <w:r w:rsidRPr="00526AF5" w:rsidR="00EF2BFF">
              <w:rPr>
                <w:color w:val="000000" w:themeColor="text1"/>
                <w:lang w:val="en-GB"/>
              </w:rPr>
              <w:t>me will populate the grant performance framework based on data extracted from the DHIS2.</w:t>
            </w:r>
            <w:r w:rsidRPr="00526AF5" w:rsidR="00831EAB">
              <w:rPr>
                <w:color w:val="000000" w:themeColor="text1"/>
                <w:lang w:val="en-GB"/>
              </w:rPr>
              <w:t xml:space="preserve"> The same data will be used to identify districts with high numbers of unvaccinated and zero dose children</w:t>
            </w:r>
            <w:r w:rsidRPr="00526AF5" w:rsidR="0069667C">
              <w:rPr>
                <w:color w:val="000000" w:themeColor="text1"/>
                <w:lang w:val="en-GB"/>
              </w:rPr>
              <w:t>.</w:t>
            </w:r>
            <w:r w:rsidRPr="00526AF5" w:rsidR="00831EAB">
              <w:rPr>
                <w:color w:val="000000" w:themeColor="text1"/>
                <w:lang w:val="en-GB"/>
              </w:rPr>
              <w:t xml:space="preserve"> </w:t>
            </w:r>
          </w:p>
          <w:p w:rsidRPr="00526AF5" w:rsidR="00216E20" w:rsidP="00C77D99" w:rsidRDefault="00216E20" w14:paraId="26CFAB9C" w14:textId="07F74C2D">
            <w:pPr>
              <w:spacing w:line="300" w:lineRule="exact"/>
              <w:jc w:val="both"/>
              <w:rPr>
                <w:color w:val="000000" w:themeColor="text1"/>
                <w:lang w:val="en-GB"/>
              </w:rPr>
            </w:pPr>
          </w:p>
          <w:p w:rsidRPr="00526AF5" w:rsidR="00EB22C2" w:rsidP="00C77D99" w:rsidRDefault="00216E20" w14:paraId="6FB22F24" w14:textId="0084984E">
            <w:pPr>
              <w:spacing w:line="300" w:lineRule="exact"/>
              <w:jc w:val="both"/>
              <w:rPr>
                <w:color w:val="000000" w:themeColor="text1"/>
                <w:lang w:val="en-GB"/>
              </w:rPr>
            </w:pPr>
            <w:r w:rsidRPr="00526AF5">
              <w:rPr>
                <w:color w:val="000000" w:themeColor="text1"/>
                <w:lang w:val="en-GB"/>
              </w:rPr>
              <w:t xml:space="preserve">For </w:t>
            </w:r>
            <w:proofErr w:type="spellStart"/>
            <w:r w:rsidRPr="00526AF5">
              <w:rPr>
                <w:color w:val="000000" w:themeColor="text1"/>
                <w:lang w:val="en-GB"/>
              </w:rPr>
              <w:t>demanad</w:t>
            </w:r>
            <w:proofErr w:type="spellEnd"/>
            <w:r w:rsidRPr="00526AF5">
              <w:rPr>
                <w:color w:val="000000" w:themeColor="text1"/>
                <w:lang w:val="en-GB"/>
              </w:rPr>
              <w:t xml:space="preserve"> generation, monthly monitoring output indicator data on reach will collected from partners through routine data reporting systems. Annual KAPB assessments to measure outcomes will be conducted. </w:t>
            </w:r>
            <w:r w:rsidRPr="00526AF5" w:rsidR="00400FD7">
              <w:rPr>
                <w:color w:val="000000" w:themeColor="text1"/>
                <w:lang w:val="en-GB"/>
              </w:rPr>
              <w:t xml:space="preserve">Indicators for monitoring other irregular TCA activities will be developed and these </w:t>
            </w:r>
            <w:proofErr w:type="spellStart"/>
            <w:r w:rsidRPr="00526AF5" w:rsidR="00400FD7">
              <w:rPr>
                <w:color w:val="000000" w:themeColor="text1"/>
                <w:lang w:val="en-GB"/>
              </w:rPr>
              <w:t>wil</w:t>
            </w:r>
            <w:proofErr w:type="spellEnd"/>
            <w:r w:rsidRPr="00526AF5" w:rsidR="00400FD7">
              <w:rPr>
                <w:color w:val="000000" w:themeColor="text1"/>
                <w:lang w:val="en-GB"/>
              </w:rPr>
              <w:t xml:space="preserve"> be reported and reviewed on quarterly basis together with other activities or as needed.</w:t>
            </w:r>
          </w:p>
          <w:p w:rsidRPr="00526AF5" w:rsidR="000B325C" w:rsidP="00C77D99" w:rsidRDefault="000B325C" w14:paraId="79D38960" w14:textId="434A2C0D">
            <w:pPr>
              <w:spacing w:line="300" w:lineRule="exact"/>
              <w:jc w:val="both"/>
              <w:rPr>
                <w:color w:val="000000" w:themeColor="text1"/>
                <w:lang w:val="en-GB"/>
              </w:rPr>
            </w:pPr>
          </w:p>
          <w:p w:rsidRPr="00526AF5" w:rsidR="00C77D99" w:rsidP="00C77D99" w:rsidRDefault="000B325C" w14:paraId="635EF35F" w14:textId="73AC778A">
            <w:pPr>
              <w:spacing w:line="300" w:lineRule="exact"/>
              <w:jc w:val="both"/>
              <w:rPr>
                <w:color w:val="000000" w:themeColor="text1"/>
                <w:lang w:val="en-GB"/>
              </w:rPr>
            </w:pPr>
            <w:r w:rsidRPr="00526AF5">
              <w:rPr>
                <w:color w:val="000000" w:themeColor="text1"/>
                <w:lang w:val="en-GB"/>
              </w:rPr>
              <w:t>In addition to the above, a performance framework will be developed for each TCA partner at the beginning of the TCA. This will be based on the Gavi performance framework and will be reviewed on quarterly basis as well. The country periodic review will be over and above the Gavi stipulated twice a year reporting.</w:t>
            </w:r>
          </w:p>
        </w:tc>
      </w:tr>
    </w:tbl>
    <w:p w:rsidRPr="00526AF5" w:rsidR="007612C6" w:rsidP="00FC4A11" w:rsidRDefault="007612C6" w14:paraId="146AE6CC" w14:textId="77777777">
      <w:pPr>
        <w:spacing w:line="300" w:lineRule="exact"/>
        <w:rPr>
          <w:color w:val="000000" w:themeColor="text1"/>
          <w:lang w:val="en-GB"/>
        </w:rPr>
      </w:pPr>
    </w:p>
    <w:sectPr w:rsidRPr="00526AF5" w:rsidR="007612C6" w:rsidSect="007612C6">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35B7" w:rsidP="00431CA9" w:rsidRDefault="002D35B7" w14:paraId="143BDC73" w14:textId="77777777">
      <w:pPr>
        <w:spacing w:line="240" w:lineRule="auto"/>
      </w:pPr>
      <w:r>
        <w:separator/>
      </w:r>
    </w:p>
  </w:endnote>
  <w:endnote w:type="continuationSeparator" w:id="0">
    <w:p w:rsidR="002D35B7" w:rsidP="00431CA9" w:rsidRDefault="002D35B7" w14:paraId="2120C42A" w14:textId="77777777">
      <w:pPr>
        <w:spacing w:line="240" w:lineRule="auto"/>
      </w:pPr>
      <w:r>
        <w:continuationSeparator/>
      </w:r>
    </w:p>
  </w:endnote>
  <w:endnote w:type="continuationNotice" w:id="1">
    <w:p w:rsidR="002D35B7" w:rsidRDefault="002D35B7" w14:paraId="33DA94D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7F9F" w:rsidRDefault="00AB7F9F" w14:paraId="3CCE24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rsidR="008A79C9" w:rsidRDefault="00356CDE" w14:paraId="25F050AA" w14:textId="59C85FE8">
        <w:pPr>
          <w:pStyle w:val="Footer"/>
        </w:pPr>
        <w:r w:rsidRPr="00DA777C">
          <w:rPr>
            <w:sz w:val="20"/>
            <w:szCs w:val="20"/>
          </w:rPr>
          <w:fldChar w:fldCharType="begin"/>
        </w:r>
        <w:r w:rsidRPr="00DA777C">
          <w:rPr>
            <w:sz w:val="20"/>
            <w:szCs w:val="20"/>
          </w:rPr>
          <w:instrText xml:space="preserve"> PAGE   \* MERGEFORMAT </w:instrText>
        </w:r>
        <w:r w:rsidRPr="00DA777C">
          <w:rPr>
            <w:sz w:val="20"/>
            <w:szCs w:val="20"/>
          </w:rPr>
          <w:fldChar w:fldCharType="separate"/>
        </w:r>
        <w:r w:rsidRPr="00DA777C">
          <w:rPr>
            <w:noProof/>
            <w:sz w:val="20"/>
            <w:szCs w:val="20"/>
          </w:rPr>
          <w:t>2</w:t>
        </w:r>
        <w:r w:rsidRPr="00DA777C">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7F9F" w:rsidRDefault="00AB7F9F" w14:paraId="17AAD5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35B7" w:rsidP="00431CA9" w:rsidRDefault="002D35B7" w14:paraId="0CFA6C20" w14:textId="77777777">
      <w:pPr>
        <w:spacing w:line="240" w:lineRule="auto"/>
      </w:pPr>
      <w:r>
        <w:separator/>
      </w:r>
    </w:p>
  </w:footnote>
  <w:footnote w:type="continuationSeparator" w:id="0">
    <w:p w:rsidR="002D35B7" w:rsidP="00431CA9" w:rsidRDefault="002D35B7" w14:paraId="30E57781" w14:textId="77777777">
      <w:pPr>
        <w:spacing w:line="240" w:lineRule="auto"/>
      </w:pPr>
      <w:r>
        <w:continuationSeparator/>
      </w:r>
    </w:p>
  </w:footnote>
  <w:footnote w:type="continuationNotice" w:id="1">
    <w:p w:rsidR="002D35B7" w:rsidRDefault="002D35B7" w14:paraId="51D779E4"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7F9F" w:rsidRDefault="00AB7F9F" w14:paraId="0C4F08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dec="http://schemas.microsoft.com/office/drawing/2017/decorative" xmlns:pic="http://schemas.openxmlformats.org/drawingml/2006/picture" mc:Ignorable="w14 w15 w16se w16cid w16 w16cex w16sdtdh wp14">
  <w:p w:rsidR="00431CA9" w:rsidRDefault="003A0D3A" w14:paraId="59757D54" w14:textId="6021F0DD">
    <w:pPr>
      <w:pStyle w:val="Header"/>
    </w:pPr>
    <w:r w:rsidRPr="00892432">
      <w:rPr>
        <w:noProof/>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rsidR="00BD1FEE" w:rsidP="00055BF9" w:rsidRDefault="004C6B53" w14:paraId="70F2D3FD" w14:textId="30B324B9">
                          <w:pPr>
                            <w:rPr>
                              <w:b/>
                              <w:bCs/>
                              <w:color w:val="0070C0"/>
                              <w:sz w:val="24"/>
                              <w:szCs w:val="24"/>
                              <w:lang w:val="en-US"/>
                            </w:rPr>
                          </w:pPr>
                          <w:r>
                            <w:rPr>
                              <w:b/>
                              <w:bCs/>
                              <w:color w:val="0070C0"/>
                              <w:sz w:val="24"/>
                              <w:szCs w:val="24"/>
                              <w:lang w:val="en-US"/>
                            </w:rPr>
                            <w:t xml:space="preserve">PEF </w:t>
                          </w:r>
                          <w:r w:rsidR="0019737F">
                            <w:rPr>
                              <w:b/>
                              <w:bCs/>
                              <w:color w:val="0070C0"/>
                              <w:sz w:val="24"/>
                              <w:szCs w:val="24"/>
                              <w:lang w:val="en-US"/>
                            </w:rPr>
                            <w:t>Target</w:t>
                          </w:r>
                          <w:r w:rsidR="009F7930">
                            <w:rPr>
                              <w:b/>
                              <w:bCs/>
                              <w:color w:val="0070C0"/>
                              <w:sz w:val="24"/>
                              <w:szCs w:val="24"/>
                              <w:lang w:val="en-US"/>
                            </w:rPr>
                            <w:t>ed</w:t>
                          </w:r>
                          <w:r w:rsidR="0019737F">
                            <w:rPr>
                              <w:b/>
                              <w:bCs/>
                              <w:color w:val="0070C0"/>
                              <w:sz w:val="24"/>
                              <w:szCs w:val="24"/>
                              <w:lang w:val="en-US"/>
                            </w:rPr>
                            <w:t xml:space="preserve"> Country Assistance Narrative</w:t>
                          </w:r>
                          <w:r w:rsidR="00EA4DE2">
                            <w:rPr>
                              <w:b/>
                              <w:bCs/>
                              <w:color w:val="0070C0"/>
                              <w:sz w:val="24"/>
                              <w:szCs w:val="24"/>
                              <w:lang w:val="en-US"/>
                            </w:rPr>
                            <w:t xml:space="preserve"> </w:t>
                          </w:r>
                          <w:r w:rsidR="00BD1FEE">
                            <w:rPr>
                              <w:b/>
                              <w:bCs/>
                              <w:color w:val="0070C0"/>
                              <w:sz w:val="24"/>
                              <w:szCs w:val="24"/>
                              <w:lang w:val="en-US"/>
                            </w:rPr>
                            <w:t xml:space="preserve"> </w:t>
                          </w:r>
                        </w:p>
                        <w:p w:rsidRPr="00C4436D" w:rsidR="00892432" w:rsidP="00055BF9" w:rsidRDefault="00F43296" w14:paraId="4599C1BA" w14:textId="1E37035E">
                          <w:pPr>
                            <w:rPr>
                              <w:color w:val="0070C0"/>
                            </w:rPr>
                          </w:pPr>
                          <w:r>
                            <w:rPr>
                              <w:color w:val="0070C0"/>
                            </w:rPr>
                            <w:t>April</w:t>
                          </w:r>
                          <w:r w:rsidRPr="00BD1FEE" w:rsidR="00BD1FEE">
                            <w:rPr>
                              <w:color w:val="0070C0"/>
                            </w:rPr>
                            <w:t xml:space="preserve"> </w:t>
                          </w:r>
                          <w:r w:rsidRPr="00C4436D" w:rsidR="00DC7614">
                            <w:rPr>
                              <w:color w:val="0070C0"/>
                            </w:rPr>
                            <w:t>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072E57">
              <v:stroke joinstyle="miter"/>
              <v:path gradientshapeok="t" o:connecttype="rect"/>
            </v:shapetype>
            <v:shape id="Text Box 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spid="_x0000_s1026" filled="f" stroked="f" strokecolor="#0070c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">
              <v:textbox>
                <w:txbxContent>
                  <w:p w:rsidR="00BD1FEE" w:rsidP="00055BF9" w:rsidRDefault="004C6B53" w14:paraId="70F2D3FD" w14:textId="30B324B9">
                    <w:pPr>
                      <w:rPr>
                        <w:b/>
                        <w:bCs/>
                        <w:color w:val="0070C0"/>
                        <w:sz w:val="24"/>
                        <w:szCs w:val="24"/>
                        <w:lang w:val="en-US"/>
                      </w:rPr>
                    </w:pPr>
                    <w:r>
                      <w:rPr>
                        <w:b/>
                        <w:bCs/>
                        <w:color w:val="0070C0"/>
                        <w:sz w:val="24"/>
                        <w:szCs w:val="24"/>
                        <w:lang w:val="en-US"/>
                      </w:rPr>
                      <w:t xml:space="preserve">PEF </w:t>
                    </w:r>
                    <w:r w:rsidR="0019737F">
                      <w:rPr>
                        <w:b/>
                        <w:bCs/>
                        <w:color w:val="0070C0"/>
                        <w:sz w:val="24"/>
                        <w:szCs w:val="24"/>
                        <w:lang w:val="en-US"/>
                      </w:rPr>
                      <w:t>Target</w:t>
                    </w:r>
                    <w:r w:rsidR="009F7930">
                      <w:rPr>
                        <w:b/>
                        <w:bCs/>
                        <w:color w:val="0070C0"/>
                        <w:sz w:val="24"/>
                        <w:szCs w:val="24"/>
                        <w:lang w:val="en-US"/>
                      </w:rPr>
                      <w:t>ed</w:t>
                    </w:r>
                    <w:r w:rsidR="0019737F">
                      <w:rPr>
                        <w:b/>
                        <w:bCs/>
                        <w:color w:val="0070C0"/>
                        <w:sz w:val="24"/>
                        <w:szCs w:val="24"/>
                        <w:lang w:val="en-US"/>
                      </w:rPr>
                      <w:t xml:space="preserve"> Country Assistance Narrative</w:t>
                    </w:r>
                    <w:r w:rsidR="00EA4DE2">
                      <w:rPr>
                        <w:b/>
                        <w:bCs/>
                        <w:color w:val="0070C0"/>
                        <w:sz w:val="24"/>
                        <w:szCs w:val="24"/>
                        <w:lang w:val="en-US"/>
                      </w:rPr>
                      <w:t xml:space="preserve"> </w:t>
                    </w:r>
                    <w:r w:rsidR="00BD1FEE">
                      <w:rPr>
                        <w:b/>
                        <w:bCs/>
                        <w:color w:val="0070C0"/>
                        <w:sz w:val="24"/>
                        <w:szCs w:val="24"/>
                        <w:lang w:val="en-US"/>
                      </w:rPr>
                      <w:t xml:space="preserve"> </w:t>
                    </w:r>
                  </w:p>
                  <w:p w:rsidRPr="00C4436D" w:rsidR="00892432" w:rsidP="00055BF9" w:rsidRDefault="00F43296" w14:paraId="4599C1BA" w14:textId="1E37035E">
                    <w:pPr>
                      <w:rPr>
                        <w:color w:val="0070C0"/>
                      </w:rPr>
                    </w:pPr>
                    <w:r>
                      <w:rPr>
                        <w:color w:val="0070C0"/>
                      </w:rPr>
                      <w:t>April</w:t>
                    </w:r>
                    <w:r w:rsidRPr="00BD1FEE" w:rsidR="00BD1FEE">
                      <w:rPr>
                        <w:color w:val="0070C0"/>
                      </w:rPr>
                      <w:t xml:space="preserve"> </w:t>
                    </w:r>
                    <w:r w:rsidRPr="00C4436D" w:rsidR="00DC7614">
                      <w:rPr>
                        <w:color w:val="0070C0"/>
                      </w:rPr>
                      <w:t>2022</w:t>
                    </w:r>
                  </w:p>
                </w:txbxContent>
              </v:textbox>
              <w10:wrap anchorx="page" anchory="margin"/>
            </v:shape>
          </w:pict>
        </mc:Fallback>
      </mc:AlternateContent>
    </w:r>
    <w:r w:rsidRPr="00892432" w:rsidR="00BD4EFD">
      <w:rPr>
        <w:noProof/>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dec="http://schemas.microsoft.com/office/drawing/2017/decorative" xmlns:a14="http://schemas.microsoft.com/office/drawing/2010/main" xmlns:a="http://schemas.openxmlformats.org/drawingml/2006/main">
          <w:pict>
            <v:line id="Straight Connector 14"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o:spid="_x0000_s1026" strokecolor="#5b9bd5 [3208]" from="43.4pt,15.55pt" to="43.4pt,50.15pt" w14:anchorId="15AA3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">
              <v:stroke joinstyle="miter"/>
              <o:lock v:ext="edit" shapetype="f"/>
              <w10:wrap anchory="page"/>
            </v:line>
          </w:pict>
        </mc:Fallback>
      </mc:AlternateContent>
    </w:r>
    <w:r w:rsidRPr="00892432" w:rsidR="004D1017">
      <w:rPr>
        <w:noProof/>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rsidR="00892432" w:rsidP="00892432" w:rsidRDefault="00892432" w14:paraId="3DB0E3A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spid="_x0000_s1027" fillcolor="#f2f2f1" stroked="f" strokeweight=".5pt" w14:anchorId="3333C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">
              <v:textbox>
                <w:txbxContent>
                  <w:p w:rsidR="00892432" w:rsidP="00892432" w:rsidRDefault="00892432" w14:paraId="3DB0E3A5" w14:textId="77777777">
                    <w:pPr>
                      <w:jc w:val="center"/>
                    </w:pPr>
                  </w:p>
                </w:txbxContent>
              </v:textbox>
              <w10:wrap anchorx="page" anchory="page"/>
            </v:rect>
          </w:pict>
        </mc:Fallback>
      </mc:AlternateContent>
    </w:r>
    <w:r w:rsidRPr="00892432" w:rsidR="001B6E82">
      <w:rPr>
        <w:noProof/>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7F9F" w:rsidRDefault="00AB7F9F" w14:paraId="2C8638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931F2"/>
    <w:multiLevelType w:val="hybridMultilevel"/>
    <w:tmpl w:val="C0287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763391"/>
    <w:multiLevelType w:val="hybridMultilevel"/>
    <w:tmpl w:val="151E9D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D0A43E9"/>
    <w:multiLevelType w:val="hybridMultilevel"/>
    <w:tmpl w:val="17D0EE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45947172"/>
    <w:multiLevelType w:val="hybridMultilevel"/>
    <w:tmpl w:val="F014E662"/>
    <w:lvl w:ilvl="0" w:tplc="04090001">
      <w:start w:val="1"/>
      <w:numFmt w:val="bullet"/>
      <w:lvlText w:val=""/>
      <w:lvlJc w:val="left"/>
      <w:pPr>
        <w:ind w:left="4897" w:hanging="360"/>
      </w:pPr>
      <w:rPr>
        <w:rFonts w:hint="default" w:ascii="Symbol" w:hAnsi="Symbol"/>
      </w:rPr>
    </w:lvl>
    <w:lvl w:ilvl="1" w:tplc="04090003" w:tentative="1">
      <w:start w:val="1"/>
      <w:numFmt w:val="bullet"/>
      <w:lvlText w:val="o"/>
      <w:lvlJc w:val="left"/>
      <w:pPr>
        <w:ind w:left="2000" w:hanging="360"/>
      </w:pPr>
      <w:rPr>
        <w:rFonts w:hint="default" w:ascii="Courier New" w:hAnsi="Courier New" w:cs="Courier New"/>
      </w:rPr>
    </w:lvl>
    <w:lvl w:ilvl="2" w:tplc="04090005" w:tentative="1">
      <w:start w:val="1"/>
      <w:numFmt w:val="bullet"/>
      <w:lvlText w:val=""/>
      <w:lvlJc w:val="left"/>
      <w:pPr>
        <w:ind w:left="2720" w:hanging="360"/>
      </w:pPr>
      <w:rPr>
        <w:rFonts w:hint="default" w:ascii="Wingdings" w:hAnsi="Wingdings"/>
      </w:rPr>
    </w:lvl>
    <w:lvl w:ilvl="3" w:tplc="04090001" w:tentative="1">
      <w:start w:val="1"/>
      <w:numFmt w:val="bullet"/>
      <w:lvlText w:val=""/>
      <w:lvlJc w:val="left"/>
      <w:pPr>
        <w:ind w:left="3440" w:hanging="360"/>
      </w:pPr>
      <w:rPr>
        <w:rFonts w:hint="default" w:ascii="Symbol" w:hAnsi="Symbol"/>
      </w:rPr>
    </w:lvl>
    <w:lvl w:ilvl="4" w:tplc="04090003" w:tentative="1">
      <w:start w:val="1"/>
      <w:numFmt w:val="bullet"/>
      <w:lvlText w:val="o"/>
      <w:lvlJc w:val="left"/>
      <w:pPr>
        <w:ind w:left="4160" w:hanging="360"/>
      </w:pPr>
      <w:rPr>
        <w:rFonts w:hint="default" w:ascii="Courier New" w:hAnsi="Courier New" w:cs="Courier New"/>
      </w:rPr>
    </w:lvl>
    <w:lvl w:ilvl="5" w:tplc="04090005" w:tentative="1">
      <w:start w:val="1"/>
      <w:numFmt w:val="bullet"/>
      <w:lvlText w:val=""/>
      <w:lvlJc w:val="left"/>
      <w:pPr>
        <w:ind w:left="4880" w:hanging="360"/>
      </w:pPr>
      <w:rPr>
        <w:rFonts w:hint="default" w:ascii="Wingdings" w:hAnsi="Wingdings"/>
      </w:rPr>
    </w:lvl>
    <w:lvl w:ilvl="6" w:tplc="04090001" w:tentative="1">
      <w:start w:val="1"/>
      <w:numFmt w:val="bullet"/>
      <w:lvlText w:val=""/>
      <w:lvlJc w:val="left"/>
      <w:pPr>
        <w:ind w:left="5600" w:hanging="360"/>
      </w:pPr>
      <w:rPr>
        <w:rFonts w:hint="default" w:ascii="Symbol" w:hAnsi="Symbol"/>
      </w:rPr>
    </w:lvl>
    <w:lvl w:ilvl="7" w:tplc="04090003" w:tentative="1">
      <w:start w:val="1"/>
      <w:numFmt w:val="bullet"/>
      <w:lvlText w:val="o"/>
      <w:lvlJc w:val="left"/>
      <w:pPr>
        <w:ind w:left="6320" w:hanging="360"/>
      </w:pPr>
      <w:rPr>
        <w:rFonts w:hint="default" w:ascii="Courier New" w:hAnsi="Courier New" w:cs="Courier New"/>
      </w:rPr>
    </w:lvl>
    <w:lvl w:ilvl="8" w:tplc="04090005" w:tentative="1">
      <w:start w:val="1"/>
      <w:numFmt w:val="bullet"/>
      <w:lvlText w:val=""/>
      <w:lvlJc w:val="left"/>
      <w:pPr>
        <w:ind w:left="7040" w:hanging="360"/>
      </w:pPr>
      <w:rPr>
        <w:rFonts w:hint="default" w:ascii="Wingdings" w:hAnsi="Wingdings"/>
      </w:rPr>
    </w:lvl>
  </w:abstractNum>
  <w:abstractNum w:abstractNumId="7" w15:restartNumberingAfterBreak="0">
    <w:nsid w:val="500D4904"/>
    <w:multiLevelType w:val="hybridMultilevel"/>
    <w:tmpl w:val="D88CF0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AC32991"/>
    <w:multiLevelType w:val="hybridMultilevel"/>
    <w:tmpl w:val="9DE26E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F6A2211"/>
    <w:multiLevelType w:val="hybridMultilevel"/>
    <w:tmpl w:val="0D3AE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7917165">
    <w:abstractNumId w:val="10"/>
  </w:num>
  <w:num w:numId="2" w16cid:durableId="204879962">
    <w:abstractNumId w:val="4"/>
  </w:num>
  <w:num w:numId="3" w16cid:durableId="2008557639">
    <w:abstractNumId w:val="3"/>
  </w:num>
  <w:num w:numId="4" w16cid:durableId="1108962095">
    <w:abstractNumId w:val="5"/>
  </w:num>
  <w:num w:numId="5" w16cid:durableId="1171064031">
    <w:abstractNumId w:val="6"/>
  </w:num>
  <w:num w:numId="6" w16cid:durableId="270548972">
    <w:abstractNumId w:val="0"/>
  </w:num>
  <w:num w:numId="7" w16cid:durableId="1971595669">
    <w:abstractNumId w:val="1"/>
  </w:num>
  <w:num w:numId="8" w16cid:durableId="98264044">
    <w:abstractNumId w:val="7"/>
  </w:num>
  <w:num w:numId="9" w16cid:durableId="812521849">
    <w:abstractNumId w:val="9"/>
  </w:num>
  <w:num w:numId="10" w16cid:durableId="949775843">
    <w:abstractNumId w:val="8"/>
  </w:num>
  <w:num w:numId="11" w16cid:durableId="5360917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szAwNQGSlqamlko6SsGpxcWZ+XkgBYaWtQC5HfxoLQAAAA=="/>
  </w:docVars>
  <w:rsids>
    <w:rsidRoot w:val="00BD4BCE"/>
    <w:rsid w:val="0000278E"/>
    <w:rsid w:val="00002CAE"/>
    <w:rsid w:val="00002D07"/>
    <w:rsid w:val="00003862"/>
    <w:rsid w:val="0000542A"/>
    <w:rsid w:val="0000599F"/>
    <w:rsid w:val="00005F0A"/>
    <w:rsid w:val="0000717A"/>
    <w:rsid w:val="00007EAE"/>
    <w:rsid w:val="0001063F"/>
    <w:rsid w:val="00011B02"/>
    <w:rsid w:val="00011B86"/>
    <w:rsid w:val="0001244B"/>
    <w:rsid w:val="00012FFC"/>
    <w:rsid w:val="00014AFF"/>
    <w:rsid w:val="00014F67"/>
    <w:rsid w:val="00015D31"/>
    <w:rsid w:val="00016A9B"/>
    <w:rsid w:val="00016C3F"/>
    <w:rsid w:val="00017FBF"/>
    <w:rsid w:val="00020272"/>
    <w:rsid w:val="00022C0C"/>
    <w:rsid w:val="00023D98"/>
    <w:rsid w:val="00024F57"/>
    <w:rsid w:val="000251A6"/>
    <w:rsid w:val="00025589"/>
    <w:rsid w:val="00025BBE"/>
    <w:rsid w:val="00025C70"/>
    <w:rsid w:val="00027322"/>
    <w:rsid w:val="00027D74"/>
    <w:rsid w:val="000301CD"/>
    <w:rsid w:val="00030751"/>
    <w:rsid w:val="000313E1"/>
    <w:rsid w:val="00031A36"/>
    <w:rsid w:val="0003251B"/>
    <w:rsid w:val="00034931"/>
    <w:rsid w:val="000357F6"/>
    <w:rsid w:val="000369C9"/>
    <w:rsid w:val="00036F47"/>
    <w:rsid w:val="00037694"/>
    <w:rsid w:val="000378BB"/>
    <w:rsid w:val="000400A6"/>
    <w:rsid w:val="00040A2E"/>
    <w:rsid w:val="00041E9B"/>
    <w:rsid w:val="00042592"/>
    <w:rsid w:val="0004304D"/>
    <w:rsid w:val="000439C4"/>
    <w:rsid w:val="00043A07"/>
    <w:rsid w:val="00044437"/>
    <w:rsid w:val="000449D1"/>
    <w:rsid w:val="000449DE"/>
    <w:rsid w:val="00051114"/>
    <w:rsid w:val="000511DA"/>
    <w:rsid w:val="0005232A"/>
    <w:rsid w:val="00052358"/>
    <w:rsid w:val="000529E3"/>
    <w:rsid w:val="000538E2"/>
    <w:rsid w:val="00053C8E"/>
    <w:rsid w:val="00054939"/>
    <w:rsid w:val="00054E05"/>
    <w:rsid w:val="00055A30"/>
    <w:rsid w:val="00055BF9"/>
    <w:rsid w:val="00056DDF"/>
    <w:rsid w:val="00060071"/>
    <w:rsid w:val="00060794"/>
    <w:rsid w:val="00061950"/>
    <w:rsid w:val="0006207D"/>
    <w:rsid w:val="000629D3"/>
    <w:rsid w:val="00063358"/>
    <w:rsid w:val="000660A3"/>
    <w:rsid w:val="0006633A"/>
    <w:rsid w:val="0006639D"/>
    <w:rsid w:val="000663B9"/>
    <w:rsid w:val="00066A17"/>
    <w:rsid w:val="00066E42"/>
    <w:rsid w:val="00067D86"/>
    <w:rsid w:val="00071836"/>
    <w:rsid w:val="00071E35"/>
    <w:rsid w:val="00071F17"/>
    <w:rsid w:val="000728A2"/>
    <w:rsid w:val="000728B2"/>
    <w:rsid w:val="00072D93"/>
    <w:rsid w:val="000731C0"/>
    <w:rsid w:val="000759BE"/>
    <w:rsid w:val="00076373"/>
    <w:rsid w:val="000779B1"/>
    <w:rsid w:val="00077FE0"/>
    <w:rsid w:val="0008165C"/>
    <w:rsid w:val="0008192A"/>
    <w:rsid w:val="000820EE"/>
    <w:rsid w:val="000840D7"/>
    <w:rsid w:val="0008474E"/>
    <w:rsid w:val="00085506"/>
    <w:rsid w:val="00085C9D"/>
    <w:rsid w:val="0008622F"/>
    <w:rsid w:val="0008793A"/>
    <w:rsid w:val="00087CE4"/>
    <w:rsid w:val="00090755"/>
    <w:rsid w:val="00091225"/>
    <w:rsid w:val="000915AC"/>
    <w:rsid w:val="0009314C"/>
    <w:rsid w:val="00094439"/>
    <w:rsid w:val="000954E4"/>
    <w:rsid w:val="000A0CBC"/>
    <w:rsid w:val="000A22D4"/>
    <w:rsid w:val="000A2FAE"/>
    <w:rsid w:val="000A3F37"/>
    <w:rsid w:val="000A4B39"/>
    <w:rsid w:val="000A5C09"/>
    <w:rsid w:val="000A6141"/>
    <w:rsid w:val="000A6514"/>
    <w:rsid w:val="000A6AC3"/>
    <w:rsid w:val="000A7C47"/>
    <w:rsid w:val="000B0314"/>
    <w:rsid w:val="000B1003"/>
    <w:rsid w:val="000B136D"/>
    <w:rsid w:val="000B179D"/>
    <w:rsid w:val="000B325C"/>
    <w:rsid w:val="000B4252"/>
    <w:rsid w:val="000B519F"/>
    <w:rsid w:val="000B57CE"/>
    <w:rsid w:val="000B6F36"/>
    <w:rsid w:val="000B7057"/>
    <w:rsid w:val="000B752A"/>
    <w:rsid w:val="000B7B44"/>
    <w:rsid w:val="000C00DA"/>
    <w:rsid w:val="000C1057"/>
    <w:rsid w:val="000C118A"/>
    <w:rsid w:val="000C25DD"/>
    <w:rsid w:val="000C25E7"/>
    <w:rsid w:val="000C5A6A"/>
    <w:rsid w:val="000C7FB1"/>
    <w:rsid w:val="000D0267"/>
    <w:rsid w:val="000D048D"/>
    <w:rsid w:val="000D3849"/>
    <w:rsid w:val="000D4A27"/>
    <w:rsid w:val="000D4C95"/>
    <w:rsid w:val="000D5DEA"/>
    <w:rsid w:val="000D5E7B"/>
    <w:rsid w:val="000D7667"/>
    <w:rsid w:val="000E08AF"/>
    <w:rsid w:val="000E092B"/>
    <w:rsid w:val="000E0FA6"/>
    <w:rsid w:val="000E16B2"/>
    <w:rsid w:val="000E28EF"/>
    <w:rsid w:val="000E2A0C"/>
    <w:rsid w:val="000E33B1"/>
    <w:rsid w:val="000E387E"/>
    <w:rsid w:val="000E45DD"/>
    <w:rsid w:val="000E5047"/>
    <w:rsid w:val="000E6346"/>
    <w:rsid w:val="000E68BF"/>
    <w:rsid w:val="000E69CF"/>
    <w:rsid w:val="000E6BC0"/>
    <w:rsid w:val="000F1AA4"/>
    <w:rsid w:val="000F309B"/>
    <w:rsid w:val="000F34D2"/>
    <w:rsid w:val="000F494D"/>
    <w:rsid w:val="000F4B25"/>
    <w:rsid w:val="000F51E0"/>
    <w:rsid w:val="000F62B5"/>
    <w:rsid w:val="000F7405"/>
    <w:rsid w:val="000F74FF"/>
    <w:rsid w:val="000F7CEA"/>
    <w:rsid w:val="0010039E"/>
    <w:rsid w:val="00100A48"/>
    <w:rsid w:val="00102D7C"/>
    <w:rsid w:val="001052BA"/>
    <w:rsid w:val="0010613E"/>
    <w:rsid w:val="00106608"/>
    <w:rsid w:val="00106CE4"/>
    <w:rsid w:val="001072A0"/>
    <w:rsid w:val="00107D9F"/>
    <w:rsid w:val="001117DD"/>
    <w:rsid w:val="00112041"/>
    <w:rsid w:val="00112228"/>
    <w:rsid w:val="00112852"/>
    <w:rsid w:val="0011324C"/>
    <w:rsid w:val="0011340A"/>
    <w:rsid w:val="001135FC"/>
    <w:rsid w:val="001151FB"/>
    <w:rsid w:val="00115DB0"/>
    <w:rsid w:val="00116509"/>
    <w:rsid w:val="00120084"/>
    <w:rsid w:val="00120220"/>
    <w:rsid w:val="00120AAE"/>
    <w:rsid w:val="0012478F"/>
    <w:rsid w:val="00125F79"/>
    <w:rsid w:val="00130CC4"/>
    <w:rsid w:val="00131FD5"/>
    <w:rsid w:val="00133193"/>
    <w:rsid w:val="001360DB"/>
    <w:rsid w:val="00136630"/>
    <w:rsid w:val="001409AB"/>
    <w:rsid w:val="00140BF0"/>
    <w:rsid w:val="001416C5"/>
    <w:rsid w:val="00142231"/>
    <w:rsid w:val="0014327F"/>
    <w:rsid w:val="001433DB"/>
    <w:rsid w:val="00143CCE"/>
    <w:rsid w:val="0014527F"/>
    <w:rsid w:val="00146789"/>
    <w:rsid w:val="00146DCC"/>
    <w:rsid w:val="001471C5"/>
    <w:rsid w:val="001472C1"/>
    <w:rsid w:val="001477C4"/>
    <w:rsid w:val="00147F9B"/>
    <w:rsid w:val="00150D82"/>
    <w:rsid w:val="0015170E"/>
    <w:rsid w:val="00151B12"/>
    <w:rsid w:val="001543AD"/>
    <w:rsid w:val="00155110"/>
    <w:rsid w:val="00160C34"/>
    <w:rsid w:val="00161593"/>
    <w:rsid w:val="00162C55"/>
    <w:rsid w:val="00162F02"/>
    <w:rsid w:val="001634CF"/>
    <w:rsid w:val="00163B04"/>
    <w:rsid w:val="00163F8E"/>
    <w:rsid w:val="0016435C"/>
    <w:rsid w:val="001651AF"/>
    <w:rsid w:val="001665A3"/>
    <w:rsid w:val="00166D25"/>
    <w:rsid w:val="001708D2"/>
    <w:rsid w:val="001711B8"/>
    <w:rsid w:val="0017125B"/>
    <w:rsid w:val="00171C81"/>
    <w:rsid w:val="00171FC5"/>
    <w:rsid w:val="0017292E"/>
    <w:rsid w:val="00173991"/>
    <w:rsid w:val="00174D23"/>
    <w:rsid w:val="00175B5E"/>
    <w:rsid w:val="00180F6B"/>
    <w:rsid w:val="00181B12"/>
    <w:rsid w:val="001821EA"/>
    <w:rsid w:val="001822DB"/>
    <w:rsid w:val="00182A64"/>
    <w:rsid w:val="00182F5F"/>
    <w:rsid w:val="00183082"/>
    <w:rsid w:val="00183CE0"/>
    <w:rsid w:val="00184FFA"/>
    <w:rsid w:val="00185093"/>
    <w:rsid w:val="001850E7"/>
    <w:rsid w:val="00185112"/>
    <w:rsid w:val="00185924"/>
    <w:rsid w:val="00186FF8"/>
    <w:rsid w:val="001903BE"/>
    <w:rsid w:val="0019040A"/>
    <w:rsid w:val="00190C9A"/>
    <w:rsid w:val="00190D29"/>
    <w:rsid w:val="00191568"/>
    <w:rsid w:val="00191597"/>
    <w:rsid w:val="001919B1"/>
    <w:rsid w:val="001921A9"/>
    <w:rsid w:val="001925CC"/>
    <w:rsid w:val="00192FE8"/>
    <w:rsid w:val="001930A7"/>
    <w:rsid w:val="00193633"/>
    <w:rsid w:val="00194067"/>
    <w:rsid w:val="00194786"/>
    <w:rsid w:val="0019681F"/>
    <w:rsid w:val="0019737F"/>
    <w:rsid w:val="00197BA9"/>
    <w:rsid w:val="001A1634"/>
    <w:rsid w:val="001A2B4F"/>
    <w:rsid w:val="001A2BBC"/>
    <w:rsid w:val="001A2C5C"/>
    <w:rsid w:val="001A378C"/>
    <w:rsid w:val="001A4060"/>
    <w:rsid w:val="001A42A3"/>
    <w:rsid w:val="001A6804"/>
    <w:rsid w:val="001A69D7"/>
    <w:rsid w:val="001A701E"/>
    <w:rsid w:val="001B0284"/>
    <w:rsid w:val="001B032E"/>
    <w:rsid w:val="001B0487"/>
    <w:rsid w:val="001B0F6A"/>
    <w:rsid w:val="001B12D7"/>
    <w:rsid w:val="001B197D"/>
    <w:rsid w:val="001B19F2"/>
    <w:rsid w:val="001B2DC5"/>
    <w:rsid w:val="001B31AC"/>
    <w:rsid w:val="001B6E82"/>
    <w:rsid w:val="001B7196"/>
    <w:rsid w:val="001B790D"/>
    <w:rsid w:val="001C1877"/>
    <w:rsid w:val="001C1D82"/>
    <w:rsid w:val="001C2586"/>
    <w:rsid w:val="001C259F"/>
    <w:rsid w:val="001C2745"/>
    <w:rsid w:val="001C3904"/>
    <w:rsid w:val="001C3A94"/>
    <w:rsid w:val="001C3D34"/>
    <w:rsid w:val="001C3EC1"/>
    <w:rsid w:val="001C406E"/>
    <w:rsid w:val="001C467D"/>
    <w:rsid w:val="001C4DB8"/>
    <w:rsid w:val="001C77D7"/>
    <w:rsid w:val="001D1572"/>
    <w:rsid w:val="001D18B0"/>
    <w:rsid w:val="001D1CFC"/>
    <w:rsid w:val="001D3CC6"/>
    <w:rsid w:val="001D4CBA"/>
    <w:rsid w:val="001D540C"/>
    <w:rsid w:val="001D591E"/>
    <w:rsid w:val="001D5ACA"/>
    <w:rsid w:val="001D5C6A"/>
    <w:rsid w:val="001D6E9E"/>
    <w:rsid w:val="001D70AF"/>
    <w:rsid w:val="001E1AB1"/>
    <w:rsid w:val="001E1B7F"/>
    <w:rsid w:val="001E1C11"/>
    <w:rsid w:val="001E1E64"/>
    <w:rsid w:val="001E3FED"/>
    <w:rsid w:val="001E6276"/>
    <w:rsid w:val="001E6363"/>
    <w:rsid w:val="001E63CE"/>
    <w:rsid w:val="001E7090"/>
    <w:rsid w:val="001E7F8D"/>
    <w:rsid w:val="001F1286"/>
    <w:rsid w:val="001F3298"/>
    <w:rsid w:val="001F4388"/>
    <w:rsid w:val="001F56B2"/>
    <w:rsid w:val="001F5945"/>
    <w:rsid w:val="001F7004"/>
    <w:rsid w:val="001F7E34"/>
    <w:rsid w:val="0020034E"/>
    <w:rsid w:val="00203B04"/>
    <w:rsid w:val="00204900"/>
    <w:rsid w:val="00206145"/>
    <w:rsid w:val="00206C09"/>
    <w:rsid w:val="002074A9"/>
    <w:rsid w:val="00207BBE"/>
    <w:rsid w:val="002101DE"/>
    <w:rsid w:val="002117C8"/>
    <w:rsid w:val="00212F37"/>
    <w:rsid w:val="00213F13"/>
    <w:rsid w:val="00214406"/>
    <w:rsid w:val="00214B69"/>
    <w:rsid w:val="00214CAA"/>
    <w:rsid w:val="002157CF"/>
    <w:rsid w:val="0021646F"/>
    <w:rsid w:val="00216E20"/>
    <w:rsid w:val="00217C23"/>
    <w:rsid w:val="002205D1"/>
    <w:rsid w:val="002214F0"/>
    <w:rsid w:val="0022163D"/>
    <w:rsid w:val="00222FD0"/>
    <w:rsid w:val="00224526"/>
    <w:rsid w:val="0022530F"/>
    <w:rsid w:val="00225EDA"/>
    <w:rsid w:val="002274E0"/>
    <w:rsid w:val="002279A5"/>
    <w:rsid w:val="00227BBB"/>
    <w:rsid w:val="0023057A"/>
    <w:rsid w:val="0023071D"/>
    <w:rsid w:val="00231950"/>
    <w:rsid w:val="002323E4"/>
    <w:rsid w:val="00232758"/>
    <w:rsid w:val="0023299A"/>
    <w:rsid w:val="0023395F"/>
    <w:rsid w:val="00235256"/>
    <w:rsid w:val="00235947"/>
    <w:rsid w:val="0023766B"/>
    <w:rsid w:val="00242B60"/>
    <w:rsid w:val="002430BB"/>
    <w:rsid w:val="00244787"/>
    <w:rsid w:val="00245E87"/>
    <w:rsid w:val="00246A98"/>
    <w:rsid w:val="002510AA"/>
    <w:rsid w:val="002518B4"/>
    <w:rsid w:val="00253B51"/>
    <w:rsid w:val="00254FF2"/>
    <w:rsid w:val="00255484"/>
    <w:rsid w:val="00255A57"/>
    <w:rsid w:val="002571F1"/>
    <w:rsid w:val="00257A1B"/>
    <w:rsid w:val="00260780"/>
    <w:rsid w:val="00261C06"/>
    <w:rsid w:val="00261E2E"/>
    <w:rsid w:val="00262241"/>
    <w:rsid w:val="002628C5"/>
    <w:rsid w:val="00262983"/>
    <w:rsid w:val="00263283"/>
    <w:rsid w:val="00263335"/>
    <w:rsid w:val="002639F3"/>
    <w:rsid w:val="00263D91"/>
    <w:rsid w:val="00264286"/>
    <w:rsid w:val="00264C96"/>
    <w:rsid w:val="00264FC1"/>
    <w:rsid w:val="00265146"/>
    <w:rsid w:val="002659D4"/>
    <w:rsid w:val="00267ABF"/>
    <w:rsid w:val="00267D2E"/>
    <w:rsid w:val="002703E1"/>
    <w:rsid w:val="00270AE6"/>
    <w:rsid w:val="00270FC9"/>
    <w:rsid w:val="002733FB"/>
    <w:rsid w:val="00273B72"/>
    <w:rsid w:val="00274298"/>
    <w:rsid w:val="00274F89"/>
    <w:rsid w:val="0027606E"/>
    <w:rsid w:val="002768B0"/>
    <w:rsid w:val="00276FD7"/>
    <w:rsid w:val="0028001A"/>
    <w:rsid w:val="00280B5B"/>
    <w:rsid w:val="00282C24"/>
    <w:rsid w:val="00282E76"/>
    <w:rsid w:val="002840C8"/>
    <w:rsid w:val="00284412"/>
    <w:rsid w:val="00284A22"/>
    <w:rsid w:val="002857C1"/>
    <w:rsid w:val="002859B6"/>
    <w:rsid w:val="00285A19"/>
    <w:rsid w:val="00285B59"/>
    <w:rsid w:val="00285B73"/>
    <w:rsid w:val="002901E0"/>
    <w:rsid w:val="00290B0E"/>
    <w:rsid w:val="00291921"/>
    <w:rsid w:val="00291E7D"/>
    <w:rsid w:val="00292233"/>
    <w:rsid w:val="00293BA5"/>
    <w:rsid w:val="00294171"/>
    <w:rsid w:val="00294306"/>
    <w:rsid w:val="00294C50"/>
    <w:rsid w:val="00296E78"/>
    <w:rsid w:val="00297346"/>
    <w:rsid w:val="002977CA"/>
    <w:rsid w:val="00297D0F"/>
    <w:rsid w:val="002A0F02"/>
    <w:rsid w:val="002A2C17"/>
    <w:rsid w:val="002A44A9"/>
    <w:rsid w:val="002A46AE"/>
    <w:rsid w:val="002A4F84"/>
    <w:rsid w:val="002A5CBE"/>
    <w:rsid w:val="002A5CE7"/>
    <w:rsid w:val="002A791F"/>
    <w:rsid w:val="002B0630"/>
    <w:rsid w:val="002B0C61"/>
    <w:rsid w:val="002B1AC5"/>
    <w:rsid w:val="002B1B80"/>
    <w:rsid w:val="002B3ECA"/>
    <w:rsid w:val="002B6243"/>
    <w:rsid w:val="002B63B0"/>
    <w:rsid w:val="002B6D64"/>
    <w:rsid w:val="002B6DCF"/>
    <w:rsid w:val="002C00AC"/>
    <w:rsid w:val="002C0185"/>
    <w:rsid w:val="002C0581"/>
    <w:rsid w:val="002C0F5F"/>
    <w:rsid w:val="002C1CAC"/>
    <w:rsid w:val="002C2B4D"/>
    <w:rsid w:val="002C2EF7"/>
    <w:rsid w:val="002C3C49"/>
    <w:rsid w:val="002C42E8"/>
    <w:rsid w:val="002C6AD3"/>
    <w:rsid w:val="002C6F61"/>
    <w:rsid w:val="002C728E"/>
    <w:rsid w:val="002C73F5"/>
    <w:rsid w:val="002D31D5"/>
    <w:rsid w:val="002D35B7"/>
    <w:rsid w:val="002D5862"/>
    <w:rsid w:val="002D6BED"/>
    <w:rsid w:val="002D7B91"/>
    <w:rsid w:val="002E03AD"/>
    <w:rsid w:val="002E0882"/>
    <w:rsid w:val="002E0983"/>
    <w:rsid w:val="002E0A55"/>
    <w:rsid w:val="002E3451"/>
    <w:rsid w:val="002E38C1"/>
    <w:rsid w:val="002E5FF8"/>
    <w:rsid w:val="002E652B"/>
    <w:rsid w:val="002E71FA"/>
    <w:rsid w:val="002F3A20"/>
    <w:rsid w:val="002F3B01"/>
    <w:rsid w:val="002F5CD9"/>
    <w:rsid w:val="002F61AD"/>
    <w:rsid w:val="002F62C0"/>
    <w:rsid w:val="002F736A"/>
    <w:rsid w:val="002F7947"/>
    <w:rsid w:val="002F799C"/>
    <w:rsid w:val="00301307"/>
    <w:rsid w:val="0030149C"/>
    <w:rsid w:val="003024B4"/>
    <w:rsid w:val="003036DC"/>
    <w:rsid w:val="003043B2"/>
    <w:rsid w:val="00304ACD"/>
    <w:rsid w:val="003060DE"/>
    <w:rsid w:val="00306D02"/>
    <w:rsid w:val="00306F64"/>
    <w:rsid w:val="00306F8D"/>
    <w:rsid w:val="00307D24"/>
    <w:rsid w:val="0031007B"/>
    <w:rsid w:val="0031009F"/>
    <w:rsid w:val="0031153A"/>
    <w:rsid w:val="003124F7"/>
    <w:rsid w:val="00314A20"/>
    <w:rsid w:val="00315E25"/>
    <w:rsid w:val="003161B5"/>
    <w:rsid w:val="00316220"/>
    <w:rsid w:val="00316DE0"/>
    <w:rsid w:val="00317A88"/>
    <w:rsid w:val="00317ECE"/>
    <w:rsid w:val="0032033D"/>
    <w:rsid w:val="00320689"/>
    <w:rsid w:val="00321652"/>
    <w:rsid w:val="00322A79"/>
    <w:rsid w:val="00322CE2"/>
    <w:rsid w:val="00322FAC"/>
    <w:rsid w:val="003239B9"/>
    <w:rsid w:val="0032454D"/>
    <w:rsid w:val="00325B21"/>
    <w:rsid w:val="003268D0"/>
    <w:rsid w:val="00330401"/>
    <w:rsid w:val="0033136F"/>
    <w:rsid w:val="00331590"/>
    <w:rsid w:val="0033192A"/>
    <w:rsid w:val="003325BE"/>
    <w:rsid w:val="0033266B"/>
    <w:rsid w:val="00332ACA"/>
    <w:rsid w:val="00332D7E"/>
    <w:rsid w:val="00332E3F"/>
    <w:rsid w:val="003333A3"/>
    <w:rsid w:val="00334629"/>
    <w:rsid w:val="00334887"/>
    <w:rsid w:val="00334BDE"/>
    <w:rsid w:val="00336291"/>
    <w:rsid w:val="0034188F"/>
    <w:rsid w:val="003427FA"/>
    <w:rsid w:val="00342EB5"/>
    <w:rsid w:val="00343A42"/>
    <w:rsid w:val="003449D6"/>
    <w:rsid w:val="00344FEB"/>
    <w:rsid w:val="003452F4"/>
    <w:rsid w:val="003454A5"/>
    <w:rsid w:val="00346234"/>
    <w:rsid w:val="00346802"/>
    <w:rsid w:val="0034776E"/>
    <w:rsid w:val="003503D1"/>
    <w:rsid w:val="00352AE9"/>
    <w:rsid w:val="00352FA5"/>
    <w:rsid w:val="003536EC"/>
    <w:rsid w:val="00353728"/>
    <w:rsid w:val="00355023"/>
    <w:rsid w:val="0035504E"/>
    <w:rsid w:val="00356B27"/>
    <w:rsid w:val="00356C0F"/>
    <w:rsid w:val="00356CDE"/>
    <w:rsid w:val="00357A29"/>
    <w:rsid w:val="00360703"/>
    <w:rsid w:val="00360B97"/>
    <w:rsid w:val="00364218"/>
    <w:rsid w:val="003649C6"/>
    <w:rsid w:val="00364C4B"/>
    <w:rsid w:val="003658FC"/>
    <w:rsid w:val="00367AE5"/>
    <w:rsid w:val="00367BF6"/>
    <w:rsid w:val="003707B5"/>
    <w:rsid w:val="00372C37"/>
    <w:rsid w:val="00372D1F"/>
    <w:rsid w:val="003741E6"/>
    <w:rsid w:val="0037484A"/>
    <w:rsid w:val="003753AB"/>
    <w:rsid w:val="0037595F"/>
    <w:rsid w:val="0037615E"/>
    <w:rsid w:val="003814E6"/>
    <w:rsid w:val="003816F7"/>
    <w:rsid w:val="00381F32"/>
    <w:rsid w:val="003822DF"/>
    <w:rsid w:val="00382DB2"/>
    <w:rsid w:val="00383F2B"/>
    <w:rsid w:val="00385206"/>
    <w:rsid w:val="003873AF"/>
    <w:rsid w:val="00387639"/>
    <w:rsid w:val="003901C3"/>
    <w:rsid w:val="003905D3"/>
    <w:rsid w:val="00390EC4"/>
    <w:rsid w:val="0039120B"/>
    <w:rsid w:val="003914E6"/>
    <w:rsid w:val="00392496"/>
    <w:rsid w:val="00393332"/>
    <w:rsid w:val="00393D45"/>
    <w:rsid w:val="00393E88"/>
    <w:rsid w:val="0039400D"/>
    <w:rsid w:val="003940CD"/>
    <w:rsid w:val="003954DD"/>
    <w:rsid w:val="003957C0"/>
    <w:rsid w:val="00395D29"/>
    <w:rsid w:val="00396A81"/>
    <w:rsid w:val="00397AF0"/>
    <w:rsid w:val="00397BD4"/>
    <w:rsid w:val="003A0D3A"/>
    <w:rsid w:val="003A1BAB"/>
    <w:rsid w:val="003A28B9"/>
    <w:rsid w:val="003A55C8"/>
    <w:rsid w:val="003A583B"/>
    <w:rsid w:val="003A678D"/>
    <w:rsid w:val="003A7036"/>
    <w:rsid w:val="003A7614"/>
    <w:rsid w:val="003B111E"/>
    <w:rsid w:val="003B1B93"/>
    <w:rsid w:val="003B1E3B"/>
    <w:rsid w:val="003B2284"/>
    <w:rsid w:val="003B2419"/>
    <w:rsid w:val="003B28B9"/>
    <w:rsid w:val="003B4433"/>
    <w:rsid w:val="003B4A72"/>
    <w:rsid w:val="003B5750"/>
    <w:rsid w:val="003B5C01"/>
    <w:rsid w:val="003B5FC8"/>
    <w:rsid w:val="003B66D3"/>
    <w:rsid w:val="003C048B"/>
    <w:rsid w:val="003C0914"/>
    <w:rsid w:val="003C1181"/>
    <w:rsid w:val="003C13C9"/>
    <w:rsid w:val="003C19A5"/>
    <w:rsid w:val="003C19FE"/>
    <w:rsid w:val="003C5E20"/>
    <w:rsid w:val="003C66EE"/>
    <w:rsid w:val="003C6773"/>
    <w:rsid w:val="003C77E0"/>
    <w:rsid w:val="003D0156"/>
    <w:rsid w:val="003D0473"/>
    <w:rsid w:val="003D0D8C"/>
    <w:rsid w:val="003D16BF"/>
    <w:rsid w:val="003D2384"/>
    <w:rsid w:val="003D2828"/>
    <w:rsid w:val="003D4323"/>
    <w:rsid w:val="003D545D"/>
    <w:rsid w:val="003E000F"/>
    <w:rsid w:val="003E289A"/>
    <w:rsid w:val="003E28A0"/>
    <w:rsid w:val="003E44A7"/>
    <w:rsid w:val="003E52F0"/>
    <w:rsid w:val="003F0221"/>
    <w:rsid w:val="003F0CF3"/>
    <w:rsid w:val="003F129C"/>
    <w:rsid w:val="003F1471"/>
    <w:rsid w:val="003F1888"/>
    <w:rsid w:val="003F27C4"/>
    <w:rsid w:val="003F29B4"/>
    <w:rsid w:val="003F3455"/>
    <w:rsid w:val="003F3D2A"/>
    <w:rsid w:val="003F3F50"/>
    <w:rsid w:val="003F54AE"/>
    <w:rsid w:val="003F62C8"/>
    <w:rsid w:val="00400FD7"/>
    <w:rsid w:val="004010B7"/>
    <w:rsid w:val="004023A3"/>
    <w:rsid w:val="0040248D"/>
    <w:rsid w:val="004027E9"/>
    <w:rsid w:val="004034F2"/>
    <w:rsid w:val="004039BD"/>
    <w:rsid w:val="00405DF3"/>
    <w:rsid w:val="00406338"/>
    <w:rsid w:val="00406DAA"/>
    <w:rsid w:val="0041092A"/>
    <w:rsid w:val="00412BE5"/>
    <w:rsid w:val="004145FE"/>
    <w:rsid w:val="00414627"/>
    <w:rsid w:val="004151A0"/>
    <w:rsid w:val="004161CC"/>
    <w:rsid w:val="0041751A"/>
    <w:rsid w:val="00420376"/>
    <w:rsid w:val="00421904"/>
    <w:rsid w:val="00423711"/>
    <w:rsid w:val="00423A70"/>
    <w:rsid w:val="00423DFC"/>
    <w:rsid w:val="004240CD"/>
    <w:rsid w:val="00424360"/>
    <w:rsid w:val="004249A7"/>
    <w:rsid w:val="00424A13"/>
    <w:rsid w:val="00425A3C"/>
    <w:rsid w:val="004264ED"/>
    <w:rsid w:val="00426861"/>
    <w:rsid w:val="00426D6B"/>
    <w:rsid w:val="00427165"/>
    <w:rsid w:val="0043175C"/>
    <w:rsid w:val="00431CA9"/>
    <w:rsid w:val="004327BC"/>
    <w:rsid w:val="004333D4"/>
    <w:rsid w:val="00433D48"/>
    <w:rsid w:val="00434C26"/>
    <w:rsid w:val="004400C8"/>
    <w:rsid w:val="004410AD"/>
    <w:rsid w:val="004435AF"/>
    <w:rsid w:val="00444495"/>
    <w:rsid w:val="00444F75"/>
    <w:rsid w:val="0044714D"/>
    <w:rsid w:val="00451FC2"/>
    <w:rsid w:val="00452761"/>
    <w:rsid w:val="00452C3B"/>
    <w:rsid w:val="00453430"/>
    <w:rsid w:val="004534BC"/>
    <w:rsid w:val="00453CB5"/>
    <w:rsid w:val="00453F92"/>
    <w:rsid w:val="00454285"/>
    <w:rsid w:val="0045525C"/>
    <w:rsid w:val="00455E02"/>
    <w:rsid w:val="0045621C"/>
    <w:rsid w:val="004574D6"/>
    <w:rsid w:val="0046030E"/>
    <w:rsid w:val="0046062C"/>
    <w:rsid w:val="00460674"/>
    <w:rsid w:val="00460A66"/>
    <w:rsid w:val="00463C66"/>
    <w:rsid w:val="00464113"/>
    <w:rsid w:val="00465598"/>
    <w:rsid w:val="00466027"/>
    <w:rsid w:val="00466DBC"/>
    <w:rsid w:val="00467632"/>
    <w:rsid w:val="00470005"/>
    <w:rsid w:val="004718A7"/>
    <w:rsid w:val="00471A7D"/>
    <w:rsid w:val="00471B91"/>
    <w:rsid w:val="00472199"/>
    <w:rsid w:val="00472667"/>
    <w:rsid w:val="00472FB1"/>
    <w:rsid w:val="004745FD"/>
    <w:rsid w:val="0047570D"/>
    <w:rsid w:val="00477627"/>
    <w:rsid w:val="00480B35"/>
    <w:rsid w:val="0048253E"/>
    <w:rsid w:val="00482A9D"/>
    <w:rsid w:val="00482E7C"/>
    <w:rsid w:val="0048306F"/>
    <w:rsid w:val="00483273"/>
    <w:rsid w:val="0048350E"/>
    <w:rsid w:val="004843BC"/>
    <w:rsid w:val="004849BD"/>
    <w:rsid w:val="00485F2C"/>
    <w:rsid w:val="00486519"/>
    <w:rsid w:val="0048676E"/>
    <w:rsid w:val="00486A4E"/>
    <w:rsid w:val="00486FE9"/>
    <w:rsid w:val="00487E95"/>
    <w:rsid w:val="004905F8"/>
    <w:rsid w:val="0049365E"/>
    <w:rsid w:val="00493B22"/>
    <w:rsid w:val="00493FAD"/>
    <w:rsid w:val="00494980"/>
    <w:rsid w:val="00495278"/>
    <w:rsid w:val="00495355"/>
    <w:rsid w:val="004954E9"/>
    <w:rsid w:val="00496961"/>
    <w:rsid w:val="00497815"/>
    <w:rsid w:val="004979CC"/>
    <w:rsid w:val="004A0005"/>
    <w:rsid w:val="004A0816"/>
    <w:rsid w:val="004A2F87"/>
    <w:rsid w:val="004A4825"/>
    <w:rsid w:val="004A4D76"/>
    <w:rsid w:val="004A6165"/>
    <w:rsid w:val="004B47C0"/>
    <w:rsid w:val="004B4BBC"/>
    <w:rsid w:val="004B632A"/>
    <w:rsid w:val="004B7F95"/>
    <w:rsid w:val="004C0594"/>
    <w:rsid w:val="004C0A98"/>
    <w:rsid w:val="004C158F"/>
    <w:rsid w:val="004C1E1C"/>
    <w:rsid w:val="004C5FEA"/>
    <w:rsid w:val="004C6B53"/>
    <w:rsid w:val="004C7286"/>
    <w:rsid w:val="004C728C"/>
    <w:rsid w:val="004D044B"/>
    <w:rsid w:val="004D0C16"/>
    <w:rsid w:val="004D1017"/>
    <w:rsid w:val="004D14AB"/>
    <w:rsid w:val="004D2D29"/>
    <w:rsid w:val="004D3289"/>
    <w:rsid w:val="004D3E3C"/>
    <w:rsid w:val="004D43C1"/>
    <w:rsid w:val="004D4AB2"/>
    <w:rsid w:val="004D4F17"/>
    <w:rsid w:val="004D4F34"/>
    <w:rsid w:val="004D5408"/>
    <w:rsid w:val="004D5FF3"/>
    <w:rsid w:val="004D6C66"/>
    <w:rsid w:val="004D7715"/>
    <w:rsid w:val="004D7AF2"/>
    <w:rsid w:val="004E088E"/>
    <w:rsid w:val="004E1A4F"/>
    <w:rsid w:val="004E2247"/>
    <w:rsid w:val="004E2955"/>
    <w:rsid w:val="004E2AE6"/>
    <w:rsid w:val="004E356B"/>
    <w:rsid w:val="004E4361"/>
    <w:rsid w:val="004E467F"/>
    <w:rsid w:val="004E4DD0"/>
    <w:rsid w:val="004E5A90"/>
    <w:rsid w:val="004E6249"/>
    <w:rsid w:val="004E6CFE"/>
    <w:rsid w:val="004E6E54"/>
    <w:rsid w:val="004E783B"/>
    <w:rsid w:val="004F0591"/>
    <w:rsid w:val="004F0A8F"/>
    <w:rsid w:val="004F1203"/>
    <w:rsid w:val="004F3B7A"/>
    <w:rsid w:val="004F3C18"/>
    <w:rsid w:val="004F42B6"/>
    <w:rsid w:val="004F450A"/>
    <w:rsid w:val="004F4B1C"/>
    <w:rsid w:val="004F5915"/>
    <w:rsid w:val="004F6829"/>
    <w:rsid w:val="00500509"/>
    <w:rsid w:val="00500E2A"/>
    <w:rsid w:val="0050279C"/>
    <w:rsid w:val="00504F79"/>
    <w:rsid w:val="00505896"/>
    <w:rsid w:val="005062C6"/>
    <w:rsid w:val="00506684"/>
    <w:rsid w:val="005067E6"/>
    <w:rsid w:val="00507313"/>
    <w:rsid w:val="005077A3"/>
    <w:rsid w:val="005101DC"/>
    <w:rsid w:val="005113A3"/>
    <w:rsid w:val="00511402"/>
    <w:rsid w:val="0051199B"/>
    <w:rsid w:val="005134D4"/>
    <w:rsid w:val="00513C55"/>
    <w:rsid w:val="0051581E"/>
    <w:rsid w:val="00516796"/>
    <w:rsid w:val="00516B63"/>
    <w:rsid w:val="0051704F"/>
    <w:rsid w:val="00520598"/>
    <w:rsid w:val="0052074C"/>
    <w:rsid w:val="00520D45"/>
    <w:rsid w:val="00522400"/>
    <w:rsid w:val="005224B0"/>
    <w:rsid w:val="005232B1"/>
    <w:rsid w:val="005243A8"/>
    <w:rsid w:val="005244E2"/>
    <w:rsid w:val="005248FE"/>
    <w:rsid w:val="00525F66"/>
    <w:rsid w:val="00526AF5"/>
    <w:rsid w:val="0053127B"/>
    <w:rsid w:val="005314B0"/>
    <w:rsid w:val="00531545"/>
    <w:rsid w:val="00532C21"/>
    <w:rsid w:val="00532C23"/>
    <w:rsid w:val="0053378F"/>
    <w:rsid w:val="00534259"/>
    <w:rsid w:val="00534F85"/>
    <w:rsid w:val="00535915"/>
    <w:rsid w:val="00535E76"/>
    <w:rsid w:val="005369FC"/>
    <w:rsid w:val="00536C3A"/>
    <w:rsid w:val="005374BC"/>
    <w:rsid w:val="0053755B"/>
    <w:rsid w:val="00540197"/>
    <w:rsid w:val="00540A06"/>
    <w:rsid w:val="00543846"/>
    <w:rsid w:val="00544D9B"/>
    <w:rsid w:val="00544DBF"/>
    <w:rsid w:val="00545688"/>
    <w:rsid w:val="005472AB"/>
    <w:rsid w:val="00547752"/>
    <w:rsid w:val="0054784D"/>
    <w:rsid w:val="00550B90"/>
    <w:rsid w:val="005516FE"/>
    <w:rsid w:val="00551D5F"/>
    <w:rsid w:val="00553C62"/>
    <w:rsid w:val="0055427F"/>
    <w:rsid w:val="00554377"/>
    <w:rsid w:val="00554633"/>
    <w:rsid w:val="00554C81"/>
    <w:rsid w:val="00555A71"/>
    <w:rsid w:val="0055632E"/>
    <w:rsid w:val="00557AFC"/>
    <w:rsid w:val="0056073B"/>
    <w:rsid w:val="005640D8"/>
    <w:rsid w:val="00564856"/>
    <w:rsid w:val="005654A4"/>
    <w:rsid w:val="005656E2"/>
    <w:rsid w:val="00565B2C"/>
    <w:rsid w:val="00565DD4"/>
    <w:rsid w:val="00565E37"/>
    <w:rsid w:val="005663CD"/>
    <w:rsid w:val="005672DA"/>
    <w:rsid w:val="0056779A"/>
    <w:rsid w:val="00571E26"/>
    <w:rsid w:val="00573627"/>
    <w:rsid w:val="00573C30"/>
    <w:rsid w:val="0057409D"/>
    <w:rsid w:val="005747C1"/>
    <w:rsid w:val="005747F6"/>
    <w:rsid w:val="005757FA"/>
    <w:rsid w:val="00577B41"/>
    <w:rsid w:val="00580063"/>
    <w:rsid w:val="00580F57"/>
    <w:rsid w:val="00581E16"/>
    <w:rsid w:val="0058345B"/>
    <w:rsid w:val="005838AC"/>
    <w:rsid w:val="00584D15"/>
    <w:rsid w:val="00584D47"/>
    <w:rsid w:val="005857FE"/>
    <w:rsid w:val="00585AE8"/>
    <w:rsid w:val="00585D4A"/>
    <w:rsid w:val="00585E34"/>
    <w:rsid w:val="0058636E"/>
    <w:rsid w:val="0058661C"/>
    <w:rsid w:val="005876B5"/>
    <w:rsid w:val="0059098F"/>
    <w:rsid w:val="00591EDA"/>
    <w:rsid w:val="00592554"/>
    <w:rsid w:val="00593006"/>
    <w:rsid w:val="005930E9"/>
    <w:rsid w:val="00593399"/>
    <w:rsid w:val="00593487"/>
    <w:rsid w:val="00593828"/>
    <w:rsid w:val="005939B8"/>
    <w:rsid w:val="00594771"/>
    <w:rsid w:val="00594DFE"/>
    <w:rsid w:val="005954F8"/>
    <w:rsid w:val="00596004"/>
    <w:rsid w:val="00596B8C"/>
    <w:rsid w:val="005A0AD4"/>
    <w:rsid w:val="005A0B38"/>
    <w:rsid w:val="005A108B"/>
    <w:rsid w:val="005A2CF2"/>
    <w:rsid w:val="005A341E"/>
    <w:rsid w:val="005A37E3"/>
    <w:rsid w:val="005A38B5"/>
    <w:rsid w:val="005A5036"/>
    <w:rsid w:val="005A53C2"/>
    <w:rsid w:val="005A5414"/>
    <w:rsid w:val="005A6518"/>
    <w:rsid w:val="005A6689"/>
    <w:rsid w:val="005B054F"/>
    <w:rsid w:val="005B0899"/>
    <w:rsid w:val="005B154B"/>
    <w:rsid w:val="005B2B1A"/>
    <w:rsid w:val="005B340A"/>
    <w:rsid w:val="005B3633"/>
    <w:rsid w:val="005B4481"/>
    <w:rsid w:val="005B46BB"/>
    <w:rsid w:val="005B5997"/>
    <w:rsid w:val="005C0DFC"/>
    <w:rsid w:val="005C0EB2"/>
    <w:rsid w:val="005C15CE"/>
    <w:rsid w:val="005C22EA"/>
    <w:rsid w:val="005C25AF"/>
    <w:rsid w:val="005C2A9E"/>
    <w:rsid w:val="005C3EFD"/>
    <w:rsid w:val="005C4118"/>
    <w:rsid w:val="005C4ADC"/>
    <w:rsid w:val="005C6289"/>
    <w:rsid w:val="005C65FB"/>
    <w:rsid w:val="005D02A2"/>
    <w:rsid w:val="005D0F9E"/>
    <w:rsid w:val="005D20D8"/>
    <w:rsid w:val="005D23B7"/>
    <w:rsid w:val="005D520B"/>
    <w:rsid w:val="005D6304"/>
    <w:rsid w:val="005D694A"/>
    <w:rsid w:val="005D752C"/>
    <w:rsid w:val="005E0072"/>
    <w:rsid w:val="005E0593"/>
    <w:rsid w:val="005E0C17"/>
    <w:rsid w:val="005E1B90"/>
    <w:rsid w:val="005E2A50"/>
    <w:rsid w:val="005E2B5E"/>
    <w:rsid w:val="005E4623"/>
    <w:rsid w:val="005E4B32"/>
    <w:rsid w:val="005E4EBE"/>
    <w:rsid w:val="005E54E1"/>
    <w:rsid w:val="005E55F4"/>
    <w:rsid w:val="005E5647"/>
    <w:rsid w:val="005E564C"/>
    <w:rsid w:val="005E639D"/>
    <w:rsid w:val="005E728F"/>
    <w:rsid w:val="005E77C8"/>
    <w:rsid w:val="005F0001"/>
    <w:rsid w:val="005F0401"/>
    <w:rsid w:val="005F0DDE"/>
    <w:rsid w:val="005F0F57"/>
    <w:rsid w:val="005F1B86"/>
    <w:rsid w:val="005F1E73"/>
    <w:rsid w:val="005F2060"/>
    <w:rsid w:val="005F26FC"/>
    <w:rsid w:val="005F478A"/>
    <w:rsid w:val="005F59D5"/>
    <w:rsid w:val="005F6264"/>
    <w:rsid w:val="005F644C"/>
    <w:rsid w:val="005F6AD5"/>
    <w:rsid w:val="005F77C5"/>
    <w:rsid w:val="005F793E"/>
    <w:rsid w:val="00600378"/>
    <w:rsid w:val="0060363A"/>
    <w:rsid w:val="00603CB9"/>
    <w:rsid w:val="00604DAC"/>
    <w:rsid w:val="006071F2"/>
    <w:rsid w:val="00607CB7"/>
    <w:rsid w:val="00610D71"/>
    <w:rsid w:val="00610E21"/>
    <w:rsid w:val="00610E68"/>
    <w:rsid w:val="00611995"/>
    <w:rsid w:val="00611D39"/>
    <w:rsid w:val="00611F92"/>
    <w:rsid w:val="00613368"/>
    <w:rsid w:val="00614F7D"/>
    <w:rsid w:val="00615702"/>
    <w:rsid w:val="0061573A"/>
    <w:rsid w:val="00615B5C"/>
    <w:rsid w:val="00617429"/>
    <w:rsid w:val="0061755D"/>
    <w:rsid w:val="00620417"/>
    <w:rsid w:val="0062156F"/>
    <w:rsid w:val="00621D99"/>
    <w:rsid w:val="00622135"/>
    <w:rsid w:val="00623B11"/>
    <w:rsid w:val="006251FE"/>
    <w:rsid w:val="006258BD"/>
    <w:rsid w:val="00625987"/>
    <w:rsid w:val="00625E52"/>
    <w:rsid w:val="0062647E"/>
    <w:rsid w:val="0062744B"/>
    <w:rsid w:val="00627F55"/>
    <w:rsid w:val="006303D1"/>
    <w:rsid w:val="00630859"/>
    <w:rsid w:val="00630A26"/>
    <w:rsid w:val="00632B2E"/>
    <w:rsid w:val="00632F5E"/>
    <w:rsid w:val="00634874"/>
    <w:rsid w:val="00635575"/>
    <w:rsid w:val="006361FF"/>
    <w:rsid w:val="00636C2A"/>
    <w:rsid w:val="00636D45"/>
    <w:rsid w:val="006371B7"/>
    <w:rsid w:val="00637A7A"/>
    <w:rsid w:val="00640091"/>
    <w:rsid w:val="0064099D"/>
    <w:rsid w:val="00641187"/>
    <w:rsid w:val="006412E7"/>
    <w:rsid w:val="00641B37"/>
    <w:rsid w:val="0064338F"/>
    <w:rsid w:val="0064386B"/>
    <w:rsid w:val="00643AAD"/>
    <w:rsid w:val="00643F51"/>
    <w:rsid w:val="00645F0B"/>
    <w:rsid w:val="00646BBB"/>
    <w:rsid w:val="00647236"/>
    <w:rsid w:val="00650576"/>
    <w:rsid w:val="00650EB6"/>
    <w:rsid w:val="00652197"/>
    <w:rsid w:val="00652297"/>
    <w:rsid w:val="00652E87"/>
    <w:rsid w:val="0065351E"/>
    <w:rsid w:val="00654BBD"/>
    <w:rsid w:val="00655D56"/>
    <w:rsid w:val="0065655B"/>
    <w:rsid w:val="00656ECA"/>
    <w:rsid w:val="006615C2"/>
    <w:rsid w:val="00661FAD"/>
    <w:rsid w:val="00662ACF"/>
    <w:rsid w:val="00664DD8"/>
    <w:rsid w:val="00665CC3"/>
    <w:rsid w:val="00667C35"/>
    <w:rsid w:val="00670384"/>
    <w:rsid w:val="00670738"/>
    <w:rsid w:val="00671D7C"/>
    <w:rsid w:val="00672E21"/>
    <w:rsid w:val="00672E58"/>
    <w:rsid w:val="0067359C"/>
    <w:rsid w:val="00673D74"/>
    <w:rsid w:val="00673E18"/>
    <w:rsid w:val="006753F3"/>
    <w:rsid w:val="00676509"/>
    <w:rsid w:val="006771AB"/>
    <w:rsid w:val="00680F5A"/>
    <w:rsid w:val="00682F34"/>
    <w:rsid w:val="00682FE0"/>
    <w:rsid w:val="006837CE"/>
    <w:rsid w:val="00684504"/>
    <w:rsid w:val="00685B65"/>
    <w:rsid w:val="006868B9"/>
    <w:rsid w:val="00687CD8"/>
    <w:rsid w:val="006904AE"/>
    <w:rsid w:val="00691302"/>
    <w:rsid w:val="00691486"/>
    <w:rsid w:val="00691A7C"/>
    <w:rsid w:val="00692022"/>
    <w:rsid w:val="00692D14"/>
    <w:rsid w:val="00694DE8"/>
    <w:rsid w:val="00695024"/>
    <w:rsid w:val="00695034"/>
    <w:rsid w:val="0069667C"/>
    <w:rsid w:val="006972FB"/>
    <w:rsid w:val="00697AD0"/>
    <w:rsid w:val="00697EED"/>
    <w:rsid w:val="006A0128"/>
    <w:rsid w:val="006A0DD8"/>
    <w:rsid w:val="006A1097"/>
    <w:rsid w:val="006A11FB"/>
    <w:rsid w:val="006A256E"/>
    <w:rsid w:val="006A272B"/>
    <w:rsid w:val="006A403F"/>
    <w:rsid w:val="006A458E"/>
    <w:rsid w:val="006A4C71"/>
    <w:rsid w:val="006A5757"/>
    <w:rsid w:val="006A5966"/>
    <w:rsid w:val="006A5CF1"/>
    <w:rsid w:val="006A659D"/>
    <w:rsid w:val="006A71AF"/>
    <w:rsid w:val="006A79C5"/>
    <w:rsid w:val="006B0876"/>
    <w:rsid w:val="006B090C"/>
    <w:rsid w:val="006B0F9B"/>
    <w:rsid w:val="006B1FBD"/>
    <w:rsid w:val="006B27C9"/>
    <w:rsid w:val="006B4E86"/>
    <w:rsid w:val="006B4EDC"/>
    <w:rsid w:val="006B4F8F"/>
    <w:rsid w:val="006B5F4B"/>
    <w:rsid w:val="006B7C73"/>
    <w:rsid w:val="006C01EA"/>
    <w:rsid w:val="006C10B8"/>
    <w:rsid w:val="006C1146"/>
    <w:rsid w:val="006C1ABF"/>
    <w:rsid w:val="006C1E0D"/>
    <w:rsid w:val="006C2E7C"/>
    <w:rsid w:val="006C39BF"/>
    <w:rsid w:val="006C41D0"/>
    <w:rsid w:val="006C47A8"/>
    <w:rsid w:val="006C566A"/>
    <w:rsid w:val="006C63B1"/>
    <w:rsid w:val="006C6B4C"/>
    <w:rsid w:val="006C700E"/>
    <w:rsid w:val="006D01E1"/>
    <w:rsid w:val="006D1F74"/>
    <w:rsid w:val="006D3657"/>
    <w:rsid w:val="006D37EB"/>
    <w:rsid w:val="006D4530"/>
    <w:rsid w:val="006D49D3"/>
    <w:rsid w:val="006D4F0A"/>
    <w:rsid w:val="006D5467"/>
    <w:rsid w:val="006D5892"/>
    <w:rsid w:val="006D647D"/>
    <w:rsid w:val="006D76FF"/>
    <w:rsid w:val="006E0314"/>
    <w:rsid w:val="006E0F0D"/>
    <w:rsid w:val="006E2714"/>
    <w:rsid w:val="006E3A34"/>
    <w:rsid w:val="006E44BE"/>
    <w:rsid w:val="006E52F6"/>
    <w:rsid w:val="006E7767"/>
    <w:rsid w:val="006E788B"/>
    <w:rsid w:val="006F3497"/>
    <w:rsid w:val="006F39D8"/>
    <w:rsid w:val="006F3C12"/>
    <w:rsid w:val="006F61B1"/>
    <w:rsid w:val="006F6339"/>
    <w:rsid w:val="00700CC3"/>
    <w:rsid w:val="0070125B"/>
    <w:rsid w:val="00702895"/>
    <w:rsid w:val="00704813"/>
    <w:rsid w:val="0070520E"/>
    <w:rsid w:val="007054E6"/>
    <w:rsid w:val="00706DEC"/>
    <w:rsid w:val="00711185"/>
    <w:rsid w:val="007122E8"/>
    <w:rsid w:val="007132AB"/>
    <w:rsid w:val="007134F7"/>
    <w:rsid w:val="0071439C"/>
    <w:rsid w:val="007172E8"/>
    <w:rsid w:val="00717EEB"/>
    <w:rsid w:val="007203BA"/>
    <w:rsid w:val="00722948"/>
    <w:rsid w:val="00722F56"/>
    <w:rsid w:val="00723F80"/>
    <w:rsid w:val="00725AA6"/>
    <w:rsid w:val="00727B9A"/>
    <w:rsid w:val="00727D92"/>
    <w:rsid w:val="007319F9"/>
    <w:rsid w:val="00731B29"/>
    <w:rsid w:val="007327EA"/>
    <w:rsid w:val="0073302E"/>
    <w:rsid w:val="007330BC"/>
    <w:rsid w:val="00734900"/>
    <w:rsid w:val="00734C99"/>
    <w:rsid w:val="007353BF"/>
    <w:rsid w:val="00735D79"/>
    <w:rsid w:val="00736B6D"/>
    <w:rsid w:val="0074043C"/>
    <w:rsid w:val="007419F1"/>
    <w:rsid w:val="00741EDB"/>
    <w:rsid w:val="00743B3F"/>
    <w:rsid w:val="00744BFB"/>
    <w:rsid w:val="007454E0"/>
    <w:rsid w:val="00746130"/>
    <w:rsid w:val="00746E5E"/>
    <w:rsid w:val="007476F9"/>
    <w:rsid w:val="00750687"/>
    <w:rsid w:val="00750C4F"/>
    <w:rsid w:val="00751093"/>
    <w:rsid w:val="00752561"/>
    <w:rsid w:val="00752CEA"/>
    <w:rsid w:val="007530C5"/>
    <w:rsid w:val="00753754"/>
    <w:rsid w:val="00753F43"/>
    <w:rsid w:val="007544B9"/>
    <w:rsid w:val="00754731"/>
    <w:rsid w:val="00755728"/>
    <w:rsid w:val="007557B1"/>
    <w:rsid w:val="00755F05"/>
    <w:rsid w:val="00756954"/>
    <w:rsid w:val="00756B11"/>
    <w:rsid w:val="00756C4E"/>
    <w:rsid w:val="00756F59"/>
    <w:rsid w:val="0075753A"/>
    <w:rsid w:val="00760AA6"/>
    <w:rsid w:val="00760FCB"/>
    <w:rsid w:val="00761232"/>
    <w:rsid w:val="007612C6"/>
    <w:rsid w:val="007612EC"/>
    <w:rsid w:val="00761962"/>
    <w:rsid w:val="0076309A"/>
    <w:rsid w:val="00764768"/>
    <w:rsid w:val="007663ED"/>
    <w:rsid w:val="00766585"/>
    <w:rsid w:val="007665AF"/>
    <w:rsid w:val="007711D9"/>
    <w:rsid w:val="00771DA0"/>
    <w:rsid w:val="00771FC9"/>
    <w:rsid w:val="00773AA4"/>
    <w:rsid w:val="00773F49"/>
    <w:rsid w:val="00773F9D"/>
    <w:rsid w:val="00775AC8"/>
    <w:rsid w:val="00775FA2"/>
    <w:rsid w:val="00776B79"/>
    <w:rsid w:val="007770F8"/>
    <w:rsid w:val="007771F1"/>
    <w:rsid w:val="00777596"/>
    <w:rsid w:val="00777960"/>
    <w:rsid w:val="00780382"/>
    <w:rsid w:val="00780650"/>
    <w:rsid w:val="007828C0"/>
    <w:rsid w:val="00785EC4"/>
    <w:rsid w:val="007860B6"/>
    <w:rsid w:val="00787014"/>
    <w:rsid w:val="007906EB"/>
    <w:rsid w:val="00791188"/>
    <w:rsid w:val="007920FE"/>
    <w:rsid w:val="0079410B"/>
    <w:rsid w:val="0079577C"/>
    <w:rsid w:val="00797CEE"/>
    <w:rsid w:val="007A01FE"/>
    <w:rsid w:val="007A03B7"/>
    <w:rsid w:val="007A0BE8"/>
    <w:rsid w:val="007A140D"/>
    <w:rsid w:val="007A286E"/>
    <w:rsid w:val="007A2907"/>
    <w:rsid w:val="007A3140"/>
    <w:rsid w:val="007A3506"/>
    <w:rsid w:val="007A3D9B"/>
    <w:rsid w:val="007A3FC1"/>
    <w:rsid w:val="007A5A29"/>
    <w:rsid w:val="007A68ED"/>
    <w:rsid w:val="007A7B07"/>
    <w:rsid w:val="007B008C"/>
    <w:rsid w:val="007B0489"/>
    <w:rsid w:val="007B0839"/>
    <w:rsid w:val="007B0B7F"/>
    <w:rsid w:val="007B138C"/>
    <w:rsid w:val="007B2B03"/>
    <w:rsid w:val="007B2DAD"/>
    <w:rsid w:val="007B3D50"/>
    <w:rsid w:val="007B42BF"/>
    <w:rsid w:val="007B4D35"/>
    <w:rsid w:val="007B53D1"/>
    <w:rsid w:val="007B57CE"/>
    <w:rsid w:val="007B6820"/>
    <w:rsid w:val="007B693C"/>
    <w:rsid w:val="007B6CDD"/>
    <w:rsid w:val="007C037E"/>
    <w:rsid w:val="007C0B45"/>
    <w:rsid w:val="007C1739"/>
    <w:rsid w:val="007C1FA0"/>
    <w:rsid w:val="007C4006"/>
    <w:rsid w:val="007C4268"/>
    <w:rsid w:val="007C5BD8"/>
    <w:rsid w:val="007C635F"/>
    <w:rsid w:val="007D092D"/>
    <w:rsid w:val="007D192B"/>
    <w:rsid w:val="007D22B4"/>
    <w:rsid w:val="007D28B7"/>
    <w:rsid w:val="007D3491"/>
    <w:rsid w:val="007D354C"/>
    <w:rsid w:val="007D3D6D"/>
    <w:rsid w:val="007D48DC"/>
    <w:rsid w:val="007D5474"/>
    <w:rsid w:val="007D795B"/>
    <w:rsid w:val="007E04D4"/>
    <w:rsid w:val="007E2A2A"/>
    <w:rsid w:val="007E38FB"/>
    <w:rsid w:val="007E45E5"/>
    <w:rsid w:val="007E5321"/>
    <w:rsid w:val="007F0C16"/>
    <w:rsid w:val="007F0EE6"/>
    <w:rsid w:val="007F1297"/>
    <w:rsid w:val="007F129C"/>
    <w:rsid w:val="007F2F8B"/>
    <w:rsid w:val="007F5746"/>
    <w:rsid w:val="007F67C7"/>
    <w:rsid w:val="007F6A25"/>
    <w:rsid w:val="007F6CEF"/>
    <w:rsid w:val="007F6E37"/>
    <w:rsid w:val="0080033A"/>
    <w:rsid w:val="00800B08"/>
    <w:rsid w:val="00801057"/>
    <w:rsid w:val="00801224"/>
    <w:rsid w:val="0080146B"/>
    <w:rsid w:val="0080167C"/>
    <w:rsid w:val="00801AFB"/>
    <w:rsid w:val="0080260C"/>
    <w:rsid w:val="00802DCD"/>
    <w:rsid w:val="00802ECA"/>
    <w:rsid w:val="0080377E"/>
    <w:rsid w:val="00803DC8"/>
    <w:rsid w:val="00804F18"/>
    <w:rsid w:val="00806832"/>
    <w:rsid w:val="008071BE"/>
    <w:rsid w:val="0080767E"/>
    <w:rsid w:val="0081033F"/>
    <w:rsid w:val="00810AF0"/>
    <w:rsid w:val="00813F4B"/>
    <w:rsid w:val="00814B4D"/>
    <w:rsid w:val="0081613E"/>
    <w:rsid w:val="00817047"/>
    <w:rsid w:val="008177A2"/>
    <w:rsid w:val="0082176F"/>
    <w:rsid w:val="0082199C"/>
    <w:rsid w:val="008237C2"/>
    <w:rsid w:val="00825A5E"/>
    <w:rsid w:val="00826985"/>
    <w:rsid w:val="00826D88"/>
    <w:rsid w:val="00830620"/>
    <w:rsid w:val="00830DDC"/>
    <w:rsid w:val="00831282"/>
    <w:rsid w:val="00831EAB"/>
    <w:rsid w:val="0083230A"/>
    <w:rsid w:val="008323B2"/>
    <w:rsid w:val="008341B6"/>
    <w:rsid w:val="00834E25"/>
    <w:rsid w:val="00834F37"/>
    <w:rsid w:val="008361E1"/>
    <w:rsid w:val="00836211"/>
    <w:rsid w:val="00836389"/>
    <w:rsid w:val="0084111C"/>
    <w:rsid w:val="0084226D"/>
    <w:rsid w:val="00843074"/>
    <w:rsid w:val="00844137"/>
    <w:rsid w:val="008447E6"/>
    <w:rsid w:val="00845548"/>
    <w:rsid w:val="00845CF8"/>
    <w:rsid w:val="0084686E"/>
    <w:rsid w:val="00846A75"/>
    <w:rsid w:val="00847933"/>
    <w:rsid w:val="0085019F"/>
    <w:rsid w:val="008502A9"/>
    <w:rsid w:val="0085070C"/>
    <w:rsid w:val="0085207D"/>
    <w:rsid w:val="00852796"/>
    <w:rsid w:val="0085341F"/>
    <w:rsid w:val="00853875"/>
    <w:rsid w:val="0085389A"/>
    <w:rsid w:val="00854111"/>
    <w:rsid w:val="00854489"/>
    <w:rsid w:val="008551A7"/>
    <w:rsid w:val="00855992"/>
    <w:rsid w:val="0085754C"/>
    <w:rsid w:val="00860039"/>
    <w:rsid w:val="008606B9"/>
    <w:rsid w:val="00861752"/>
    <w:rsid w:val="00861B69"/>
    <w:rsid w:val="00861D56"/>
    <w:rsid w:val="00862143"/>
    <w:rsid w:val="00863767"/>
    <w:rsid w:val="00863A24"/>
    <w:rsid w:val="00863A71"/>
    <w:rsid w:val="00865910"/>
    <w:rsid w:val="00865EE9"/>
    <w:rsid w:val="008660D4"/>
    <w:rsid w:val="00870E1D"/>
    <w:rsid w:val="00871DA2"/>
    <w:rsid w:val="00871FCF"/>
    <w:rsid w:val="008721B8"/>
    <w:rsid w:val="008750A5"/>
    <w:rsid w:val="00876030"/>
    <w:rsid w:val="008779D5"/>
    <w:rsid w:val="0088037D"/>
    <w:rsid w:val="00881023"/>
    <w:rsid w:val="008810FA"/>
    <w:rsid w:val="00881396"/>
    <w:rsid w:val="00881459"/>
    <w:rsid w:val="0088199F"/>
    <w:rsid w:val="0088328B"/>
    <w:rsid w:val="00883710"/>
    <w:rsid w:val="00883783"/>
    <w:rsid w:val="008837F3"/>
    <w:rsid w:val="008839F8"/>
    <w:rsid w:val="0088477E"/>
    <w:rsid w:val="008902E6"/>
    <w:rsid w:val="00890C73"/>
    <w:rsid w:val="00891051"/>
    <w:rsid w:val="00892432"/>
    <w:rsid w:val="00892829"/>
    <w:rsid w:val="008940AB"/>
    <w:rsid w:val="00894285"/>
    <w:rsid w:val="0089522A"/>
    <w:rsid w:val="008966DB"/>
    <w:rsid w:val="008975C2"/>
    <w:rsid w:val="008A13A1"/>
    <w:rsid w:val="008A13AF"/>
    <w:rsid w:val="008A277A"/>
    <w:rsid w:val="008A5244"/>
    <w:rsid w:val="008A79C9"/>
    <w:rsid w:val="008B2F8A"/>
    <w:rsid w:val="008B3B43"/>
    <w:rsid w:val="008B3BA6"/>
    <w:rsid w:val="008B3F7B"/>
    <w:rsid w:val="008B5064"/>
    <w:rsid w:val="008B5523"/>
    <w:rsid w:val="008C237F"/>
    <w:rsid w:val="008C273D"/>
    <w:rsid w:val="008C2F6D"/>
    <w:rsid w:val="008C343B"/>
    <w:rsid w:val="008C4702"/>
    <w:rsid w:val="008C50F9"/>
    <w:rsid w:val="008C5969"/>
    <w:rsid w:val="008C5B93"/>
    <w:rsid w:val="008C6A16"/>
    <w:rsid w:val="008C7464"/>
    <w:rsid w:val="008C753C"/>
    <w:rsid w:val="008C7E25"/>
    <w:rsid w:val="008D1187"/>
    <w:rsid w:val="008D13DC"/>
    <w:rsid w:val="008D19E6"/>
    <w:rsid w:val="008D24DC"/>
    <w:rsid w:val="008D2934"/>
    <w:rsid w:val="008D34C1"/>
    <w:rsid w:val="008D3F16"/>
    <w:rsid w:val="008D3F8B"/>
    <w:rsid w:val="008D4BE6"/>
    <w:rsid w:val="008D4C22"/>
    <w:rsid w:val="008D64C9"/>
    <w:rsid w:val="008D7F55"/>
    <w:rsid w:val="008E1249"/>
    <w:rsid w:val="008E14DB"/>
    <w:rsid w:val="008E1B0F"/>
    <w:rsid w:val="008E21D7"/>
    <w:rsid w:val="008E2600"/>
    <w:rsid w:val="008E29B9"/>
    <w:rsid w:val="008E30ED"/>
    <w:rsid w:val="008E3202"/>
    <w:rsid w:val="008E50DD"/>
    <w:rsid w:val="008E517E"/>
    <w:rsid w:val="008E6030"/>
    <w:rsid w:val="008E6274"/>
    <w:rsid w:val="008F3180"/>
    <w:rsid w:val="008F35C0"/>
    <w:rsid w:val="008F3634"/>
    <w:rsid w:val="008F421E"/>
    <w:rsid w:val="008F422C"/>
    <w:rsid w:val="008F50F8"/>
    <w:rsid w:val="008F56BC"/>
    <w:rsid w:val="008F6B3C"/>
    <w:rsid w:val="0090123D"/>
    <w:rsid w:val="009017D7"/>
    <w:rsid w:val="00903D2C"/>
    <w:rsid w:val="00905BB2"/>
    <w:rsid w:val="00906672"/>
    <w:rsid w:val="00906989"/>
    <w:rsid w:val="00907DB1"/>
    <w:rsid w:val="009102E2"/>
    <w:rsid w:val="00911E33"/>
    <w:rsid w:val="009133D1"/>
    <w:rsid w:val="00914FFD"/>
    <w:rsid w:val="00915114"/>
    <w:rsid w:val="009151C0"/>
    <w:rsid w:val="009213AB"/>
    <w:rsid w:val="0092449D"/>
    <w:rsid w:val="0092482D"/>
    <w:rsid w:val="00924B55"/>
    <w:rsid w:val="0092551E"/>
    <w:rsid w:val="00925949"/>
    <w:rsid w:val="00925F5B"/>
    <w:rsid w:val="00925F94"/>
    <w:rsid w:val="0092713F"/>
    <w:rsid w:val="009304BF"/>
    <w:rsid w:val="009307D7"/>
    <w:rsid w:val="00930E42"/>
    <w:rsid w:val="00930E5E"/>
    <w:rsid w:val="009311BA"/>
    <w:rsid w:val="00931DE6"/>
    <w:rsid w:val="009330ED"/>
    <w:rsid w:val="009340A3"/>
    <w:rsid w:val="009342E6"/>
    <w:rsid w:val="00934393"/>
    <w:rsid w:val="00934ACE"/>
    <w:rsid w:val="00935177"/>
    <w:rsid w:val="00936CAE"/>
    <w:rsid w:val="0094128B"/>
    <w:rsid w:val="009433FD"/>
    <w:rsid w:val="00943C34"/>
    <w:rsid w:val="00945993"/>
    <w:rsid w:val="0094628D"/>
    <w:rsid w:val="00946312"/>
    <w:rsid w:val="009469F4"/>
    <w:rsid w:val="00946C49"/>
    <w:rsid w:val="00947944"/>
    <w:rsid w:val="0095142E"/>
    <w:rsid w:val="0095370A"/>
    <w:rsid w:val="0095469D"/>
    <w:rsid w:val="00955158"/>
    <w:rsid w:val="009552CA"/>
    <w:rsid w:val="00955361"/>
    <w:rsid w:val="009569EF"/>
    <w:rsid w:val="00957085"/>
    <w:rsid w:val="00963AC6"/>
    <w:rsid w:val="0096492D"/>
    <w:rsid w:val="00964BBB"/>
    <w:rsid w:val="00964C87"/>
    <w:rsid w:val="00965030"/>
    <w:rsid w:val="00966312"/>
    <w:rsid w:val="0096631A"/>
    <w:rsid w:val="0096665F"/>
    <w:rsid w:val="009667C4"/>
    <w:rsid w:val="0096689D"/>
    <w:rsid w:val="00966ADA"/>
    <w:rsid w:val="00966BB1"/>
    <w:rsid w:val="00967CFF"/>
    <w:rsid w:val="009714C8"/>
    <w:rsid w:val="00971806"/>
    <w:rsid w:val="00971B8A"/>
    <w:rsid w:val="00972AF4"/>
    <w:rsid w:val="009731D8"/>
    <w:rsid w:val="00974727"/>
    <w:rsid w:val="0097530B"/>
    <w:rsid w:val="009756EF"/>
    <w:rsid w:val="00977070"/>
    <w:rsid w:val="009771ED"/>
    <w:rsid w:val="009772C9"/>
    <w:rsid w:val="009802A0"/>
    <w:rsid w:val="0098207C"/>
    <w:rsid w:val="009829EE"/>
    <w:rsid w:val="009834B5"/>
    <w:rsid w:val="0098415C"/>
    <w:rsid w:val="00984606"/>
    <w:rsid w:val="00984A76"/>
    <w:rsid w:val="00985BDE"/>
    <w:rsid w:val="00985D25"/>
    <w:rsid w:val="0099055B"/>
    <w:rsid w:val="009912B7"/>
    <w:rsid w:val="009924CF"/>
    <w:rsid w:val="00992659"/>
    <w:rsid w:val="009928DD"/>
    <w:rsid w:val="00993015"/>
    <w:rsid w:val="009933D1"/>
    <w:rsid w:val="0099431C"/>
    <w:rsid w:val="00994470"/>
    <w:rsid w:val="009948E5"/>
    <w:rsid w:val="00994D6A"/>
    <w:rsid w:val="00994E9B"/>
    <w:rsid w:val="009A0033"/>
    <w:rsid w:val="009A13B4"/>
    <w:rsid w:val="009A19DB"/>
    <w:rsid w:val="009A1E47"/>
    <w:rsid w:val="009A2150"/>
    <w:rsid w:val="009A2D50"/>
    <w:rsid w:val="009A3C28"/>
    <w:rsid w:val="009A49B5"/>
    <w:rsid w:val="009A5EFC"/>
    <w:rsid w:val="009A5F3B"/>
    <w:rsid w:val="009B07F0"/>
    <w:rsid w:val="009B1228"/>
    <w:rsid w:val="009B1FAA"/>
    <w:rsid w:val="009B21B5"/>
    <w:rsid w:val="009B3DBB"/>
    <w:rsid w:val="009B5438"/>
    <w:rsid w:val="009B5502"/>
    <w:rsid w:val="009B7A42"/>
    <w:rsid w:val="009B7CDD"/>
    <w:rsid w:val="009C08E7"/>
    <w:rsid w:val="009C0B87"/>
    <w:rsid w:val="009C17B0"/>
    <w:rsid w:val="009C1BB4"/>
    <w:rsid w:val="009C20B6"/>
    <w:rsid w:val="009C292C"/>
    <w:rsid w:val="009C2DB2"/>
    <w:rsid w:val="009C4A4F"/>
    <w:rsid w:val="009C62B6"/>
    <w:rsid w:val="009C7A68"/>
    <w:rsid w:val="009C7BFC"/>
    <w:rsid w:val="009D01A4"/>
    <w:rsid w:val="009D07BA"/>
    <w:rsid w:val="009D0A48"/>
    <w:rsid w:val="009D1051"/>
    <w:rsid w:val="009D1E3E"/>
    <w:rsid w:val="009D2454"/>
    <w:rsid w:val="009D263A"/>
    <w:rsid w:val="009D2DBE"/>
    <w:rsid w:val="009D46F1"/>
    <w:rsid w:val="009D4A7C"/>
    <w:rsid w:val="009D4A88"/>
    <w:rsid w:val="009D68F5"/>
    <w:rsid w:val="009D6E02"/>
    <w:rsid w:val="009D6E90"/>
    <w:rsid w:val="009D7988"/>
    <w:rsid w:val="009D7AE5"/>
    <w:rsid w:val="009E04F1"/>
    <w:rsid w:val="009E1A7E"/>
    <w:rsid w:val="009E251F"/>
    <w:rsid w:val="009E385D"/>
    <w:rsid w:val="009E57DA"/>
    <w:rsid w:val="009E5993"/>
    <w:rsid w:val="009E671B"/>
    <w:rsid w:val="009E67A7"/>
    <w:rsid w:val="009E78AA"/>
    <w:rsid w:val="009F0292"/>
    <w:rsid w:val="009F1795"/>
    <w:rsid w:val="009F19F8"/>
    <w:rsid w:val="009F3923"/>
    <w:rsid w:val="009F48DD"/>
    <w:rsid w:val="009F4958"/>
    <w:rsid w:val="009F6873"/>
    <w:rsid w:val="009F7930"/>
    <w:rsid w:val="00A00119"/>
    <w:rsid w:val="00A03A9E"/>
    <w:rsid w:val="00A03D2C"/>
    <w:rsid w:val="00A03E8B"/>
    <w:rsid w:val="00A04AAF"/>
    <w:rsid w:val="00A0555C"/>
    <w:rsid w:val="00A05A7D"/>
    <w:rsid w:val="00A06E5B"/>
    <w:rsid w:val="00A07150"/>
    <w:rsid w:val="00A0721C"/>
    <w:rsid w:val="00A074FF"/>
    <w:rsid w:val="00A107FA"/>
    <w:rsid w:val="00A1289D"/>
    <w:rsid w:val="00A13F0F"/>
    <w:rsid w:val="00A14542"/>
    <w:rsid w:val="00A1573C"/>
    <w:rsid w:val="00A204F4"/>
    <w:rsid w:val="00A213CA"/>
    <w:rsid w:val="00A22BA9"/>
    <w:rsid w:val="00A23E9F"/>
    <w:rsid w:val="00A26F75"/>
    <w:rsid w:val="00A27B13"/>
    <w:rsid w:val="00A3055C"/>
    <w:rsid w:val="00A30624"/>
    <w:rsid w:val="00A31D8E"/>
    <w:rsid w:val="00A31F0D"/>
    <w:rsid w:val="00A32072"/>
    <w:rsid w:val="00A334A7"/>
    <w:rsid w:val="00A33919"/>
    <w:rsid w:val="00A3485F"/>
    <w:rsid w:val="00A34FBD"/>
    <w:rsid w:val="00A362B8"/>
    <w:rsid w:val="00A36389"/>
    <w:rsid w:val="00A36B96"/>
    <w:rsid w:val="00A37A8C"/>
    <w:rsid w:val="00A4007B"/>
    <w:rsid w:val="00A40C69"/>
    <w:rsid w:val="00A42713"/>
    <w:rsid w:val="00A44774"/>
    <w:rsid w:val="00A47FCF"/>
    <w:rsid w:val="00A50132"/>
    <w:rsid w:val="00A5400A"/>
    <w:rsid w:val="00A5480B"/>
    <w:rsid w:val="00A5791E"/>
    <w:rsid w:val="00A61551"/>
    <w:rsid w:val="00A61D95"/>
    <w:rsid w:val="00A641D3"/>
    <w:rsid w:val="00A64E34"/>
    <w:rsid w:val="00A70C81"/>
    <w:rsid w:val="00A71038"/>
    <w:rsid w:val="00A7282C"/>
    <w:rsid w:val="00A73334"/>
    <w:rsid w:val="00A733BF"/>
    <w:rsid w:val="00A77372"/>
    <w:rsid w:val="00A80397"/>
    <w:rsid w:val="00A81F6C"/>
    <w:rsid w:val="00A82597"/>
    <w:rsid w:val="00A82901"/>
    <w:rsid w:val="00A8339B"/>
    <w:rsid w:val="00A8620B"/>
    <w:rsid w:val="00A90E6D"/>
    <w:rsid w:val="00A9157A"/>
    <w:rsid w:val="00A919E9"/>
    <w:rsid w:val="00A93EDB"/>
    <w:rsid w:val="00A94C10"/>
    <w:rsid w:val="00A95102"/>
    <w:rsid w:val="00A957C9"/>
    <w:rsid w:val="00A95F01"/>
    <w:rsid w:val="00A971D1"/>
    <w:rsid w:val="00A97226"/>
    <w:rsid w:val="00A9737C"/>
    <w:rsid w:val="00AA12AB"/>
    <w:rsid w:val="00AA1505"/>
    <w:rsid w:val="00AA22E2"/>
    <w:rsid w:val="00AA32F8"/>
    <w:rsid w:val="00AA39CC"/>
    <w:rsid w:val="00AA41A0"/>
    <w:rsid w:val="00AA543E"/>
    <w:rsid w:val="00AA5E54"/>
    <w:rsid w:val="00AA6EB5"/>
    <w:rsid w:val="00AB3458"/>
    <w:rsid w:val="00AB4AEE"/>
    <w:rsid w:val="00AB4B2D"/>
    <w:rsid w:val="00AB5B93"/>
    <w:rsid w:val="00AB6B19"/>
    <w:rsid w:val="00AB7056"/>
    <w:rsid w:val="00AB7F9F"/>
    <w:rsid w:val="00AC1D96"/>
    <w:rsid w:val="00AC1F31"/>
    <w:rsid w:val="00AC3BD9"/>
    <w:rsid w:val="00AC55EB"/>
    <w:rsid w:val="00AC7583"/>
    <w:rsid w:val="00AC783B"/>
    <w:rsid w:val="00AD0A42"/>
    <w:rsid w:val="00AD10CE"/>
    <w:rsid w:val="00AD17F8"/>
    <w:rsid w:val="00AD2EDF"/>
    <w:rsid w:val="00AD4720"/>
    <w:rsid w:val="00AD5447"/>
    <w:rsid w:val="00AD656C"/>
    <w:rsid w:val="00AE07B9"/>
    <w:rsid w:val="00AE2304"/>
    <w:rsid w:val="00AE241B"/>
    <w:rsid w:val="00AE29C9"/>
    <w:rsid w:val="00AE2D4D"/>
    <w:rsid w:val="00AE43EB"/>
    <w:rsid w:val="00AF0472"/>
    <w:rsid w:val="00AF0863"/>
    <w:rsid w:val="00AF103C"/>
    <w:rsid w:val="00AF226A"/>
    <w:rsid w:val="00AF4BE7"/>
    <w:rsid w:val="00AF78DB"/>
    <w:rsid w:val="00B00A2A"/>
    <w:rsid w:val="00B00E22"/>
    <w:rsid w:val="00B00F4C"/>
    <w:rsid w:val="00B015EE"/>
    <w:rsid w:val="00B01B27"/>
    <w:rsid w:val="00B0235E"/>
    <w:rsid w:val="00B037E3"/>
    <w:rsid w:val="00B040AC"/>
    <w:rsid w:val="00B05758"/>
    <w:rsid w:val="00B0585F"/>
    <w:rsid w:val="00B05E8E"/>
    <w:rsid w:val="00B06122"/>
    <w:rsid w:val="00B07323"/>
    <w:rsid w:val="00B07701"/>
    <w:rsid w:val="00B07B94"/>
    <w:rsid w:val="00B10AB6"/>
    <w:rsid w:val="00B10FF1"/>
    <w:rsid w:val="00B127C8"/>
    <w:rsid w:val="00B13769"/>
    <w:rsid w:val="00B1393A"/>
    <w:rsid w:val="00B1418A"/>
    <w:rsid w:val="00B153E5"/>
    <w:rsid w:val="00B16600"/>
    <w:rsid w:val="00B177EC"/>
    <w:rsid w:val="00B224F9"/>
    <w:rsid w:val="00B22F29"/>
    <w:rsid w:val="00B247AA"/>
    <w:rsid w:val="00B276DA"/>
    <w:rsid w:val="00B27A76"/>
    <w:rsid w:val="00B27DEC"/>
    <w:rsid w:val="00B29BBB"/>
    <w:rsid w:val="00B30348"/>
    <w:rsid w:val="00B315AD"/>
    <w:rsid w:val="00B330AE"/>
    <w:rsid w:val="00B3364C"/>
    <w:rsid w:val="00B33C79"/>
    <w:rsid w:val="00B34599"/>
    <w:rsid w:val="00B35B6D"/>
    <w:rsid w:val="00B36B73"/>
    <w:rsid w:val="00B4070C"/>
    <w:rsid w:val="00B41597"/>
    <w:rsid w:val="00B42E72"/>
    <w:rsid w:val="00B43CE1"/>
    <w:rsid w:val="00B43DEC"/>
    <w:rsid w:val="00B43F39"/>
    <w:rsid w:val="00B45BEE"/>
    <w:rsid w:val="00B47A21"/>
    <w:rsid w:val="00B519E1"/>
    <w:rsid w:val="00B5279A"/>
    <w:rsid w:val="00B5323A"/>
    <w:rsid w:val="00B53AA3"/>
    <w:rsid w:val="00B56B46"/>
    <w:rsid w:val="00B56D41"/>
    <w:rsid w:val="00B57375"/>
    <w:rsid w:val="00B57E22"/>
    <w:rsid w:val="00B60765"/>
    <w:rsid w:val="00B614D7"/>
    <w:rsid w:val="00B615F6"/>
    <w:rsid w:val="00B61754"/>
    <w:rsid w:val="00B628BF"/>
    <w:rsid w:val="00B629E6"/>
    <w:rsid w:val="00B62D27"/>
    <w:rsid w:val="00B631B0"/>
    <w:rsid w:val="00B6330E"/>
    <w:rsid w:val="00B64A9D"/>
    <w:rsid w:val="00B664EF"/>
    <w:rsid w:val="00B70E7E"/>
    <w:rsid w:val="00B735BA"/>
    <w:rsid w:val="00B7388D"/>
    <w:rsid w:val="00B738B0"/>
    <w:rsid w:val="00B741D0"/>
    <w:rsid w:val="00B74F8E"/>
    <w:rsid w:val="00B7503B"/>
    <w:rsid w:val="00B76951"/>
    <w:rsid w:val="00B80406"/>
    <w:rsid w:val="00B80521"/>
    <w:rsid w:val="00B80F5B"/>
    <w:rsid w:val="00B81CA4"/>
    <w:rsid w:val="00B8308C"/>
    <w:rsid w:val="00B8351A"/>
    <w:rsid w:val="00B83554"/>
    <w:rsid w:val="00B85287"/>
    <w:rsid w:val="00B86FC7"/>
    <w:rsid w:val="00B87772"/>
    <w:rsid w:val="00B87DEF"/>
    <w:rsid w:val="00B90616"/>
    <w:rsid w:val="00B91314"/>
    <w:rsid w:val="00B91F37"/>
    <w:rsid w:val="00B920A1"/>
    <w:rsid w:val="00B92D45"/>
    <w:rsid w:val="00B9327B"/>
    <w:rsid w:val="00B9516E"/>
    <w:rsid w:val="00B954F8"/>
    <w:rsid w:val="00B95590"/>
    <w:rsid w:val="00B962BB"/>
    <w:rsid w:val="00B96E0F"/>
    <w:rsid w:val="00BA0EF3"/>
    <w:rsid w:val="00BA2282"/>
    <w:rsid w:val="00BA2633"/>
    <w:rsid w:val="00BA38C9"/>
    <w:rsid w:val="00BA47C3"/>
    <w:rsid w:val="00BA5928"/>
    <w:rsid w:val="00BA5D62"/>
    <w:rsid w:val="00BA6719"/>
    <w:rsid w:val="00BA72E0"/>
    <w:rsid w:val="00BB3C52"/>
    <w:rsid w:val="00BB46C4"/>
    <w:rsid w:val="00BB4710"/>
    <w:rsid w:val="00BB4D47"/>
    <w:rsid w:val="00BB59CD"/>
    <w:rsid w:val="00BB5A9F"/>
    <w:rsid w:val="00BB600C"/>
    <w:rsid w:val="00BB6BB7"/>
    <w:rsid w:val="00BB7DFC"/>
    <w:rsid w:val="00BB7F65"/>
    <w:rsid w:val="00BC022A"/>
    <w:rsid w:val="00BC14BC"/>
    <w:rsid w:val="00BC1F75"/>
    <w:rsid w:val="00BC3D1C"/>
    <w:rsid w:val="00BC43FB"/>
    <w:rsid w:val="00BC5CF9"/>
    <w:rsid w:val="00BC6114"/>
    <w:rsid w:val="00BD0046"/>
    <w:rsid w:val="00BD0839"/>
    <w:rsid w:val="00BD0DBA"/>
    <w:rsid w:val="00BD172E"/>
    <w:rsid w:val="00BD1DE9"/>
    <w:rsid w:val="00BD1FEE"/>
    <w:rsid w:val="00BD237D"/>
    <w:rsid w:val="00BD2F19"/>
    <w:rsid w:val="00BD3276"/>
    <w:rsid w:val="00BD3894"/>
    <w:rsid w:val="00BD3BE4"/>
    <w:rsid w:val="00BD4BCE"/>
    <w:rsid w:val="00BD4E5D"/>
    <w:rsid w:val="00BD4EFD"/>
    <w:rsid w:val="00BD5EF9"/>
    <w:rsid w:val="00BD62EA"/>
    <w:rsid w:val="00BD6671"/>
    <w:rsid w:val="00BD7134"/>
    <w:rsid w:val="00BE01DD"/>
    <w:rsid w:val="00BE0DA0"/>
    <w:rsid w:val="00BE2AB1"/>
    <w:rsid w:val="00BE411F"/>
    <w:rsid w:val="00BE4270"/>
    <w:rsid w:val="00BE5C69"/>
    <w:rsid w:val="00BE66F8"/>
    <w:rsid w:val="00BE715D"/>
    <w:rsid w:val="00BE7CDD"/>
    <w:rsid w:val="00BF044B"/>
    <w:rsid w:val="00BF04C1"/>
    <w:rsid w:val="00BF26E3"/>
    <w:rsid w:val="00BF2ABC"/>
    <w:rsid w:val="00BF431C"/>
    <w:rsid w:val="00BF442C"/>
    <w:rsid w:val="00BF4A4B"/>
    <w:rsid w:val="00BF4D04"/>
    <w:rsid w:val="00BF6818"/>
    <w:rsid w:val="00BF6BFF"/>
    <w:rsid w:val="00C007F4"/>
    <w:rsid w:val="00C01C22"/>
    <w:rsid w:val="00C058BA"/>
    <w:rsid w:val="00C06BE6"/>
    <w:rsid w:val="00C078E2"/>
    <w:rsid w:val="00C07B99"/>
    <w:rsid w:val="00C1185B"/>
    <w:rsid w:val="00C12C54"/>
    <w:rsid w:val="00C14E8F"/>
    <w:rsid w:val="00C1617F"/>
    <w:rsid w:val="00C21E0A"/>
    <w:rsid w:val="00C21F4F"/>
    <w:rsid w:val="00C2241D"/>
    <w:rsid w:val="00C22B50"/>
    <w:rsid w:val="00C235A7"/>
    <w:rsid w:val="00C24068"/>
    <w:rsid w:val="00C24424"/>
    <w:rsid w:val="00C245E7"/>
    <w:rsid w:val="00C25AE2"/>
    <w:rsid w:val="00C26435"/>
    <w:rsid w:val="00C26B13"/>
    <w:rsid w:val="00C27F66"/>
    <w:rsid w:val="00C30C82"/>
    <w:rsid w:val="00C30EA5"/>
    <w:rsid w:val="00C31E67"/>
    <w:rsid w:val="00C327B6"/>
    <w:rsid w:val="00C32FE5"/>
    <w:rsid w:val="00C33B48"/>
    <w:rsid w:val="00C33EE7"/>
    <w:rsid w:val="00C3495D"/>
    <w:rsid w:val="00C34D1D"/>
    <w:rsid w:val="00C34D52"/>
    <w:rsid w:val="00C36406"/>
    <w:rsid w:val="00C36C18"/>
    <w:rsid w:val="00C372DD"/>
    <w:rsid w:val="00C3792E"/>
    <w:rsid w:val="00C42CE1"/>
    <w:rsid w:val="00C43795"/>
    <w:rsid w:val="00C44092"/>
    <w:rsid w:val="00C4436D"/>
    <w:rsid w:val="00C446D2"/>
    <w:rsid w:val="00C44856"/>
    <w:rsid w:val="00C47384"/>
    <w:rsid w:val="00C4790D"/>
    <w:rsid w:val="00C47E15"/>
    <w:rsid w:val="00C503CA"/>
    <w:rsid w:val="00C509D9"/>
    <w:rsid w:val="00C517A1"/>
    <w:rsid w:val="00C5322D"/>
    <w:rsid w:val="00C544F6"/>
    <w:rsid w:val="00C5465C"/>
    <w:rsid w:val="00C55C42"/>
    <w:rsid w:val="00C567F1"/>
    <w:rsid w:val="00C56F79"/>
    <w:rsid w:val="00C577A1"/>
    <w:rsid w:val="00C577EF"/>
    <w:rsid w:val="00C600CF"/>
    <w:rsid w:val="00C60296"/>
    <w:rsid w:val="00C60546"/>
    <w:rsid w:val="00C637F3"/>
    <w:rsid w:val="00C64508"/>
    <w:rsid w:val="00C6514E"/>
    <w:rsid w:val="00C67704"/>
    <w:rsid w:val="00C705BD"/>
    <w:rsid w:val="00C70BE6"/>
    <w:rsid w:val="00C714B6"/>
    <w:rsid w:val="00C71E16"/>
    <w:rsid w:val="00C722AA"/>
    <w:rsid w:val="00C7272D"/>
    <w:rsid w:val="00C74683"/>
    <w:rsid w:val="00C75F46"/>
    <w:rsid w:val="00C77D99"/>
    <w:rsid w:val="00C77EAA"/>
    <w:rsid w:val="00C80103"/>
    <w:rsid w:val="00C824AD"/>
    <w:rsid w:val="00C8328F"/>
    <w:rsid w:val="00C8352F"/>
    <w:rsid w:val="00C8399B"/>
    <w:rsid w:val="00C86A98"/>
    <w:rsid w:val="00C90385"/>
    <w:rsid w:val="00C905CF"/>
    <w:rsid w:val="00C90697"/>
    <w:rsid w:val="00C90AA3"/>
    <w:rsid w:val="00C932C9"/>
    <w:rsid w:val="00C934B5"/>
    <w:rsid w:val="00C93788"/>
    <w:rsid w:val="00C9453B"/>
    <w:rsid w:val="00C95FE6"/>
    <w:rsid w:val="00C96033"/>
    <w:rsid w:val="00C97F61"/>
    <w:rsid w:val="00CA07E1"/>
    <w:rsid w:val="00CA07EB"/>
    <w:rsid w:val="00CA2465"/>
    <w:rsid w:val="00CA3612"/>
    <w:rsid w:val="00CA3E7A"/>
    <w:rsid w:val="00CA4D5E"/>
    <w:rsid w:val="00CA6B8C"/>
    <w:rsid w:val="00CB10BE"/>
    <w:rsid w:val="00CB111D"/>
    <w:rsid w:val="00CB1544"/>
    <w:rsid w:val="00CB1764"/>
    <w:rsid w:val="00CB1BE3"/>
    <w:rsid w:val="00CB1F78"/>
    <w:rsid w:val="00CB2E8F"/>
    <w:rsid w:val="00CB38A5"/>
    <w:rsid w:val="00CB4531"/>
    <w:rsid w:val="00CB4A35"/>
    <w:rsid w:val="00CB5C26"/>
    <w:rsid w:val="00CB6930"/>
    <w:rsid w:val="00CB6D26"/>
    <w:rsid w:val="00CB72C7"/>
    <w:rsid w:val="00CB7C93"/>
    <w:rsid w:val="00CC05EA"/>
    <w:rsid w:val="00CC102A"/>
    <w:rsid w:val="00CC2B39"/>
    <w:rsid w:val="00CC33F7"/>
    <w:rsid w:val="00CC4071"/>
    <w:rsid w:val="00CC658E"/>
    <w:rsid w:val="00CC6960"/>
    <w:rsid w:val="00CC726B"/>
    <w:rsid w:val="00CD0801"/>
    <w:rsid w:val="00CD099E"/>
    <w:rsid w:val="00CD166C"/>
    <w:rsid w:val="00CD1A34"/>
    <w:rsid w:val="00CD1C0A"/>
    <w:rsid w:val="00CD1F99"/>
    <w:rsid w:val="00CD323D"/>
    <w:rsid w:val="00CD3E63"/>
    <w:rsid w:val="00CD4C26"/>
    <w:rsid w:val="00CD54EB"/>
    <w:rsid w:val="00CD598D"/>
    <w:rsid w:val="00CE0D54"/>
    <w:rsid w:val="00CE180C"/>
    <w:rsid w:val="00CE1F57"/>
    <w:rsid w:val="00CE2E2F"/>
    <w:rsid w:val="00CE3BD9"/>
    <w:rsid w:val="00CE3BF7"/>
    <w:rsid w:val="00CE4793"/>
    <w:rsid w:val="00CE5E0B"/>
    <w:rsid w:val="00CE610A"/>
    <w:rsid w:val="00CE643F"/>
    <w:rsid w:val="00CE6445"/>
    <w:rsid w:val="00CE6886"/>
    <w:rsid w:val="00CE7301"/>
    <w:rsid w:val="00CF0B49"/>
    <w:rsid w:val="00CF224A"/>
    <w:rsid w:val="00CF3BC4"/>
    <w:rsid w:val="00CF44A0"/>
    <w:rsid w:val="00CF47BD"/>
    <w:rsid w:val="00CF5598"/>
    <w:rsid w:val="00CF60FF"/>
    <w:rsid w:val="00D02684"/>
    <w:rsid w:val="00D02A57"/>
    <w:rsid w:val="00D04EFA"/>
    <w:rsid w:val="00D05B3C"/>
    <w:rsid w:val="00D06096"/>
    <w:rsid w:val="00D110D7"/>
    <w:rsid w:val="00D117EE"/>
    <w:rsid w:val="00D11C6B"/>
    <w:rsid w:val="00D124FC"/>
    <w:rsid w:val="00D13E22"/>
    <w:rsid w:val="00D146BA"/>
    <w:rsid w:val="00D14702"/>
    <w:rsid w:val="00D15CB4"/>
    <w:rsid w:val="00D17E32"/>
    <w:rsid w:val="00D20DCB"/>
    <w:rsid w:val="00D20DF4"/>
    <w:rsid w:val="00D2109B"/>
    <w:rsid w:val="00D21A5D"/>
    <w:rsid w:val="00D229FB"/>
    <w:rsid w:val="00D22E59"/>
    <w:rsid w:val="00D23EB7"/>
    <w:rsid w:val="00D25D84"/>
    <w:rsid w:val="00D26F3F"/>
    <w:rsid w:val="00D26F9B"/>
    <w:rsid w:val="00D312C1"/>
    <w:rsid w:val="00D31784"/>
    <w:rsid w:val="00D33290"/>
    <w:rsid w:val="00D338B0"/>
    <w:rsid w:val="00D344CB"/>
    <w:rsid w:val="00D3460D"/>
    <w:rsid w:val="00D353AF"/>
    <w:rsid w:val="00D359F1"/>
    <w:rsid w:val="00D35D47"/>
    <w:rsid w:val="00D369A3"/>
    <w:rsid w:val="00D37417"/>
    <w:rsid w:val="00D374B6"/>
    <w:rsid w:val="00D407BD"/>
    <w:rsid w:val="00D41E9E"/>
    <w:rsid w:val="00D430A2"/>
    <w:rsid w:val="00D44D03"/>
    <w:rsid w:val="00D44FBD"/>
    <w:rsid w:val="00D45AF2"/>
    <w:rsid w:val="00D4639E"/>
    <w:rsid w:val="00D46A56"/>
    <w:rsid w:val="00D47702"/>
    <w:rsid w:val="00D503CB"/>
    <w:rsid w:val="00D505C5"/>
    <w:rsid w:val="00D5081F"/>
    <w:rsid w:val="00D533B6"/>
    <w:rsid w:val="00D53E62"/>
    <w:rsid w:val="00D542F2"/>
    <w:rsid w:val="00D5485E"/>
    <w:rsid w:val="00D54AE9"/>
    <w:rsid w:val="00D5697F"/>
    <w:rsid w:val="00D57494"/>
    <w:rsid w:val="00D57AF5"/>
    <w:rsid w:val="00D57F9D"/>
    <w:rsid w:val="00D5C6D6"/>
    <w:rsid w:val="00D60262"/>
    <w:rsid w:val="00D603BC"/>
    <w:rsid w:val="00D60E8C"/>
    <w:rsid w:val="00D634C1"/>
    <w:rsid w:val="00D67985"/>
    <w:rsid w:val="00D706E5"/>
    <w:rsid w:val="00D71E33"/>
    <w:rsid w:val="00D72665"/>
    <w:rsid w:val="00D739D5"/>
    <w:rsid w:val="00D740FF"/>
    <w:rsid w:val="00D77BD9"/>
    <w:rsid w:val="00D80879"/>
    <w:rsid w:val="00D810A9"/>
    <w:rsid w:val="00D812A2"/>
    <w:rsid w:val="00D81EE2"/>
    <w:rsid w:val="00D8344B"/>
    <w:rsid w:val="00D86723"/>
    <w:rsid w:val="00D8693B"/>
    <w:rsid w:val="00D86950"/>
    <w:rsid w:val="00D86FD6"/>
    <w:rsid w:val="00D8775C"/>
    <w:rsid w:val="00D87A24"/>
    <w:rsid w:val="00D87E53"/>
    <w:rsid w:val="00D90799"/>
    <w:rsid w:val="00D93986"/>
    <w:rsid w:val="00D95683"/>
    <w:rsid w:val="00D9703F"/>
    <w:rsid w:val="00D9723A"/>
    <w:rsid w:val="00DA0D20"/>
    <w:rsid w:val="00DA3172"/>
    <w:rsid w:val="00DA43B8"/>
    <w:rsid w:val="00DA488C"/>
    <w:rsid w:val="00DA4C59"/>
    <w:rsid w:val="00DA6323"/>
    <w:rsid w:val="00DA650B"/>
    <w:rsid w:val="00DA777C"/>
    <w:rsid w:val="00DA7E56"/>
    <w:rsid w:val="00DB14B3"/>
    <w:rsid w:val="00DB2D75"/>
    <w:rsid w:val="00DB3EDA"/>
    <w:rsid w:val="00DB4061"/>
    <w:rsid w:val="00DB41DD"/>
    <w:rsid w:val="00DB594A"/>
    <w:rsid w:val="00DB7620"/>
    <w:rsid w:val="00DC0C9D"/>
    <w:rsid w:val="00DC1A8D"/>
    <w:rsid w:val="00DC26D7"/>
    <w:rsid w:val="00DC271B"/>
    <w:rsid w:val="00DC2D5A"/>
    <w:rsid w:val="00DC3133"/>
    <w:rsid w:val="00DC403E"/>
    <w:rsid w:val="00DC4D30"/>
    <w:rsid w:val="00DC7614"/>
    <w:rsid w:val="00DC791F"/>
    <w:rsid w:val="00DD1A2A"/>
    <w:rsid w:val="00DD2766"/>
    <w:rsid w:val="00DD2899"/>
    <w:rsid w:val="00DD391A"/>
    <w:rsid w:val="00DD55D2"/>
    <w:rsid w:val="00DD56F7"/>
    <w:rsid w:val="00DD5888"/>
    <w:rsid w:val="00DD6994"/>
    <w:rsid w:val="00DD6A66"/>
    <w:rsid w:val="00DD7030"/>
    <w:rsid w:val="00DE0688"/>
    <w:rsid w:val="00DE0955"/>
    <w:rsid w:val="00DE1549"/>
    <w:rsid w:val="00DE166A"/>
    <w:rsid w:val="00DE24F0"/>
    <w:rsid w:val="00DE3352"/>
    <w:rsid w:val="00DE3474"/>
    <w:rsid w:val="00DE4592"/>
    <w:rsid w:val="00DE4627"/>
    <w:rsid w:val="00DE4D0F"/>
    <w:rsid w:val="00DE4D1D"/>
    <w:rsid w:val="00DE5AFD"/>
    <w:rsid w:val="00DE5E3E"/>
    <w:rsid w:val="00DE6F78"/>
    <w:rsid w:val="00DF0D3E"/>
    <w:rsid w:val="00DF12FC"/>
    <w:rsid w:val="00DF13F8"/>
    <w:rsid w:val="00DF2156"/>
    <w:rsid w:val="00DF310C"/>
    <w:rsid w:val="00DF5364"/>
    <w:rsid w:val="00DF5556"/>
    <w:rsid w:val="00DF5786"/>
    <w:rsid w:val="00DF620C"/>
    <w:rsid w:val="00DF666C"/>
    <w:rsid w:val="00DF6BD8"/>
    <w:rsid w:val="00DF76B5"/>
    <w:rsid w:val="00E00C2F"/>
    <w:rsid w:val="00E019BA"/>
    <w:rsid w:val="00E02B9C"/>
    <w:rsid w:val="00E03DAD"/>
    <w:rsid w:val="00E040FC"/>
    <w:rsid w:val="00E047E9"/>
    <w:rsid w:val="00E04E95"/>
    <w:rsid w:val="00E0590A"/>
    <w:rsid w:val="00E065D7"/>
    <w:rsid w:val="00E06C83"/>
    <w:rsid w:val="00E10AB9"/>
    <w:rsid w:val="00E1116B"/>
    <w:rsid w:val="00E11E27"/>
    <w:rsid w:val="00E125AC"/>
    <w:rsid w:val="00E13397"/>
    <w:rsid w:val="00E14236"/>
    <w:rsid w:val="00E14E31"/>
    <w:rsid w:val="00E152B4"/>
    <w:rsid w:val="00E165B4"/>
    <w:rsid w:val="00E1756E"/>
    <w:rsid w:val="00E20111"/>
    <w:rsid w:val="00E21200"/>
    <w:rsid w:val="00E22899"/>
    <w:rsid w:val="00E2368E"/>
    <w:rsid w:val="00E27DDF"/>
    <w:rsid w:val="00E301B9"/>
    <w:rsid w:val="00E31CCA"/>
    <w:rsid w:val="00E334DD"/>
    <w:rsid w:val="00E3372F"/>
    <w:rsid w:val="00E350B1"/>
    <w:rsid w:val="00E35401"/>
    <w:rsid w:val="00E36C1A"/>
    <w:rsid w:val="00E40D15"/>
    <w:rsid w:val="00E411A6"/>
    <w:rsid w:val="00E41678"/>
    <w:rsid w:val="00E42186"/>
    <w:rsid w:val="00E42B24"/>
    <w:rsid w:val="00E4490D"/>
    <w:rsid w:val="00E4535E"/>
    <w:rsid w:val="00E45644"/>
    <w:rsid w:val="00E45B47"/>
    <w:rsid w:val="00E45BF0"/>
    <w:rsid w:val="00E4643C"/>
    <w:rsid w:val="00E47E48"/>
    <w:rsid w:val="00E50185"/>
    <w:rsid w:val="00E50D7D"/>
    <w:rsid w:val="00E5302A"/>
    <w:rsid w:val="00E5405A"/>
    <w:rsid w:val="00E54974"/>
    <w:rsid w:val="00E5497F"/>
    <w:rsid w:val="00E54F0E"/>
    <w:rsid w:val="00E5596D"/>
    <w:rsid w:val="00E559E2"/>
    <w:rsid w:val="00E55CFA"/>
    <w:rsid w:val="00E560BA"/>
    <w:rsid w:val="00E57E81"/>
    <w:rsid w:val="00E6011C"/>
    <w:rsid w:val="00E612D0"/>
    <w:rsid w:val="00E62FE0"/>
    <w:rsid w:val="00E646CA"/>
    <w:rsid w:val="00E65BFB"/>
    <w:rsid w:val="00E66C80"/>
    <w:rsid w:val="00E6756F"/>
    <w:rsid w:val="00E707CA"/>
    <w:rsid w:val="00E7088E"/>
    <w:rsid w:val="00E72955"/>
    <w:rsid w:val="00E730C9"/>
    <w:rsid w:val="00E7392A"/>
    <w:rsid w:val="00E749E3"/>
    <w:rsid w:val="00E74BD5"/>
    <w:rsid w:val="00E74D02"/>
    <w:rsid w:val="00E74E32"/>
    <w:rsid w:val="00E75139"/>
    <w:rsid w:val="00E761FE"/>
    <w:rsid w:val="00E77DE7"/>
    <w:rsid w:val="00E802EF"/>
    <w:rsid w:val="00E80375"/>
    <w:rsid w:val="00E80A44"/>
    <w:rsid w:val="00E82CF0"/>
    <w:rsid w:val="00E85E40"/>
    <w:rsid w:val="00E86A94"/>
    <w:rsid w:val="00E87819"/>
    <w:rsid w:val="00E90265"/>
    <w:rsid w:val="00E90615"/>
    <w:rsid w:val="00E91C65"/>
    <w:rsid w:val="00E940B9"/>
    <w:rsid w:val="00E9452A"/>
    <w:rsid w:val="00E94841"/>
    <w:rsid w:val="00E94D13"/>
    <w:rsid w:val="00E95219"/>
    <w:rsid w:val="00EA0CEE"/>
    <w:rsid w:val="00EA0E8B"/>
    <w:rsid w:val="00EA1792"/>
    <w:rsid w:val="00EA335A"/>
    <w:rsid w:val="00EA3669"/>
    <w:rsid w:val="00EA4DE2"/>
    <w:rsid w:val="00EA552E"/>
    <w:rsid w:val="00EA5601"/>
    <w:rsid w:val="00EA70FD"/>
    <w:rsid w:val="00EA7614"/>
    <w:rsid w:val="00EA76B2"/>
    <w:rsid w:val="00EB0A8B"/>
    <w:rsid w:val="00EB22C2"/>
    <w:rsid w:val="00EB2414"/>
    <w:rsid w:val="00EB3BA9"/>
    <w:rsid w:val="00EB52EA"/>
    <w:rsid w:val="00EB5619"/>
    <w:rsid w:val="00EB65C1"/>
    <w:rsid w:val="00EB74F8"/>
    <w:rsid w:val="00EB769C"/>
    <w:rsid w:val="00EC0A18"/>
    <w:rsid w:val="00EC1023"/>
    <w:rsid w:val="00EC2386"/>
    <w:rsid w:val="00EC26AC"/>
    <w:rsid w:val="00EC2702"/>
    <w:rsid w:val="00EC2A95"/>
    <w:rsid w:val="00EC2EA5"/>
    <w:rsid w:val="00EC339A"/>
    <w:rsid w:val="00EC3A56"/>
    <w:rsid w:val="00EC3DE8"/>
    <w:rsid w:val="00EC5390"/>
    <w:rsid w:val="00EC589D"/>
    <w:rsid w:val="00EC6BB0"/>
    <w:rsid w:val="00EC7215"/>
    <w:rsid w:val="00EC7231"/>
    <w:rsid w:val="00EC7322"/>
    <w:rsid w:val="00ED0818"/>
    <w:rsid w:val="00ED081D"/>
    <w:rsid w:val="00ED1252"/>
    <w:rsid w:val="00ED1332"/>
    <w:rsid w:val="00ED2634"/>
    <w:rsid w:val="00ED2A79"/>
    <w:rsid w:val="00ED6218"/>
    <w:rsid w:val="00ED6C0E"/>
    <w:rsid w:val="00ED6D3A"/>
    <w:rsid w:val="00ED6DE9"/>
    <w:rsid w:val="00ED7372"/>
    <w:rsid w:val="00EE13B6"/>
    <w:rsid w:val="00EE2AA0"/>
    <w:rsid w:val="00EE4729"/>
    <w:rsid w:val="00EE566A"/>
    <w:rsid w:val="00EE5EF0"/>
    <w:rsid w:val="00EF03AD"/>
    <w:rsid w:val="00EF113D"/>
    <w:rsid w:val="00EF23F6"/>
    <w:rsid w:val="00EF2BFF"/>
    <w:rsid w:val="00EF2FBD"/>
    <w:rsid w:val="00EF41C8"/>
    <w:rsid w:val="00EF4894"/>
    <w:rsid w:val="00EF52EE"/>
    <w:rsid w:val="00EF56A6"/>
    <w:rsid w:val="00EF7B57"/>
    <w:rsid w:val="00F005FE"/>
    <w:rsid w:val="00F00D89"/>
    <w:rsid w:val="00F025EC"/>
    <w:rsid w:val="00F02CD4"/>
    <w:rsid w:val="00F05612"/>
    <w:rsid w:val="00F0655E"/>
    <w:rsid w:val="00F10203"/>
    <w:rsid w:val="00F10DE4"/>
    <w:rsid w:val="00F1146C"/>
    <w:rsid w:val="00F12878"/>
    <w:rsid w:val="00F13976"/>
    <w:rsid w:val="00F14791"/>
    <w:rsid w:val="00F171DD"/>
    <w:rsid w:val="00F173AF"/>
    <w:rsid w:val="00F2096C"/>
    <w:rsid w:val="00F20DC1"/>
    <w:rsid w:val="00F21D2A"/>
    <w:rsid w:val="00F233E7"/>
    <w:rsid w:val="00F23535"/>
    <w:rsid w:val="00F23ECB"/>
    <w:rsid w:val="00F257BF"/>
    <w:rsid w:val="00F2661D"/>
    <w:rsid w:val="00F308AB"/>
    <w:rsid w:val="00F31F21"/>
    <w:rsid w:val="00F34BAC"/>
    <w:rsid w:val="00F35D4E"/>
    <w:rsid w:val="00F362F4"/>
    <w:rsid w:val="00F36B32"/>
    <w:rsid w:val="00F3721F"/>
    <w:rsid w:val="00F43296"/>
    <w:rsid w:val="00F44283"/>
    <w:rsid w:val="00F443BD"/>
    <w:rsid w:val="00F45522"/>
    <w:rsid w:val="00F459F9"/>
    <w:rsid w:val="00F46409"/>
    <w:rsid w:val="00F464AE"/>
    <w:rsid w:val="00F466B8"/>
    <w:rsid w:val="00F50774"/>
    <w:rsid w:val="00F50E6F"/>
    <w:rsid w:val="00F53489"/>
    <w:rsid w:val="00F5445C"/>
    <w:rsid w:val="00F54926"/>
    <w:rsid w:val="00F54B62"/>
    <w:rsid w:val="00F54B76"/>
    <w:rsid w:val="00F54C32"/>
    <w:rsid w:val="00F55034"/>
    <w:rsid w:val="00F55D6B"/>
    <w:rsid w:val="00F5697C"/>
    <w:rsid w:val="00F56C54"/>
    <w:rsid w:val="00F574D5"/>
    <w:rsid w:val="00F605F9"/>
    <w:rsid w:val="00F6082D"/>
    <w:rsid w:val="00F60FD6"/>
    <w:rsid w:val="00F61481"/>
    <w:rsid w:val="00F61C33"/>
    <w:rsid w:val="00F62E65"/>
    <w:rsid w:val="00F6367E"/>
    <w:rsid w:val="00F64903"/>
    <w:rsid w:val="00F6622C"/>
    <w:rsid w:val="00F6689B"/>
    <w:rsid w:val="00F6698C"/>
    <w:rsid w:val="00F67578"/>
    <w:rsid w:val="00F67EDF"/>
    <w:rsid w:val="00F70423"/>
    <w:rsid w:val="00F70D0E"/>
    <w:rsid w:val="00F7103C"/>
    <w:rsid w:val="00F72137"/>
    <w:rsid w:val="00F723F1"/>
    <w:rsid w:val="00F726D5"/>
    <w:rsid w:val="00F73FF8"/>
    <w:rsid w:val="00F74481"/>
    <w:rsid w:val="00F75612"/>
    <w:rsid w:val="00F76935"/>
    <w:rsid w:val="00F76A64"/>
    <w:rsid w:val="00F80A5F"/>
    <w:rsid w:val="00F80A7D"/>
    <w:rsid w:val="00F82AF0"/>
    <w:rsid w:val="00F847FF"/>
    <w:rsid w:val="00F8496F"/>
    <w:rsid w:val="00F84AE8"/>
    <w:rsid w:val="00F85295"/>
    <w:rsid w:val="00F91B66"/>
    <w:rsid w:val="00F93606"/>
    <w:rsid w:val="00F9472A"/>
    <w:rsid w:val="00F97889"/>
    <w:rsid w:val="00F97F07"/>
    <w:rsid w:val="00FA04B1"/>
    <w:rsid w:val="00FA0AC0"/>
    <w:rsid w:val="00FA0D06"/>
    <w:rsid w:val="00FA0F24"/>
    <w:rsid w:val="00FA1982"/>
    <w:rsid w:val="00FA19C2"/>
    <w:rsid w:val="00FA23AF"/>
    <w:rsid w:val="00FA2E0E"/>
    <w:rsid w:val="00FA6F69"/>
    <w:rsid w:val="00FA7F9E"/>
    <w:rsid w:val="00FB048D"/>
    <w:rsid w:val="00FB065F"/>
    <w:rsid w:val="00FB0963"/>
    <w:rsid w:val="00FB18F4"/>
    <w:rsid w:val="00FB3569"/>
    <w:rsid w:val="00FB4334"/>
    <w:rsid w:val="00FB6F8B"/>
    <w:rsid w:val="00FB7375"/>
    <w:rsid w:val="00FC2518"/>
    <w:rsid w:val="00FC27E9"/>
    <w:rsid w:val="00FC2E1B"/>
    <w:rsid w:val="00FC3961"/>
    <w:rsid w:val="00FC42D7"/>
    <w:rsid w:val="00FC4A11"/>
    <w:rsid w:val="00FC5A9E"/>
    <w:rsid w:val="00FC6A27"/>
    <w:rsid w:val="00FC6D6F"/>
    <w:rsid w:val="00FC70CE"/>
    <w:rsid w:val="00FC76F6"/>
    <w:rsid w:val="00FD05CA"/>
    <w:rsid w:val="00FD27FA"/>
    <w:rsid w:val="00FD2B4C"/>
    <w:rsid w:val="00FD2CED"/>
    <w:rsid w:val="00FD397F"/>
    <w:rsid w:val="00FD4292"/>
    <w:rsid w:val="00FD5008"/>
    <w:rsid w:val="00FD53C5"/>
    <w:rsid w:val="00FD551C"/>
    <w:rsid w:val="00FD6F4C"/>
    <w:rsid w:val="00FD778D"/>
    <w:rsid w:val="00FE1BC9"/>
    <w:rsid w:val="00FE2A60"/>
    <w:rsid w:val="00FE53B0"/>
    <w:rsid w:val="00FE670E"/>
    <w:rsid w:val="00FF00C8"/>
    <w:rsid w:val="00FF02BB"/>
    <w:rsid w:val="00FF0674"/>
    <w:rsid w:val="00FF0C52"/>
    <w:rsid w:val="00FF1750"/>
    <w:rsid w:val="00FF19D7"/>
    <w:rsid w:val="00FF19EE"/>
    <w:rsid w:val="00FF1D71"/>
    <w:rsid w:val="00FF27DA"/>
    <w:rsid w:val="00FF2C35"/>
    <w:rsid w:val="00FF31C1"/>
    <w:rsid w:val="00FF45B2"/>
    <w:rsid w:val="00FF460F"/>
    <w:rsid w:val="00FF6184"/>
    <w:rsid w:val="00FF7A65"/>
    <w:rsid w:val="00FF7F4C"/>
    <w:rsid w:val="0127F11C"/>
    <w:rsid w:val="0144117D"/>
    <w:rsid w:val="01940749"/>
    <w:rsid w:val="01DA9506"/>
    <w:rsid w:val="01DCF0E0"/>
    <w:rsid w:val="02177440"/>
    <w:rsid w:val="0236C2C0"/>
    <w:rsid w:val="0266E86B"/>
    <w:rsid w:val="027BEC80"/>
    <w:rsid w:val="029B7D7B"/>
    <w:rsid w:val="02A8B731"/>
    <w:rsid w:val="02D09E76"/>
    <w:rsid w:val="030F1F19"/>
    <w:rsid w:val="032BA92C"/>
    <w:rsid w:val="03672A75"/>
    <w:rsid w:val="03DFD29E"/>
    <w:rsid w:val="041D2136"/>
    <w:rsid w:val="0427137D"/>
    <w:rsid w:val="04594EF3"/>
    <w:rsid w:val="0463215A"/>
    <w:rsid w:val="04828E15"/>
    <w:rsid w:val="04B63F4F"/>
    <w:rsid w:val="05FDC2CB"/>
    <w:rsid w:val="0632FCD2"/>
    <w:rsid w:val="063CF83E"/>
    <w:rsid w:val="06446B8C"/>
    <w:rsid w:val="064E8E3F"/>
    <w:rsid w:val="0651C982"/>
    <w:rsid w:val="065C64F9"/>
    <w:rsid w:val="06F60DDE"/>
    <w:rsid w:val="075533B5"/>
    <w:rsid w:val="077D115B"/>
    <w:rsid w:val="07F90ED3"/>
    <w:rsid w:val="0828BE6B"/>
    <w:rsid w:val="083F98C7"/>
    <w:rsid w:val="08473C56"/>
    <w:rsid w:val="0861878D"/>
    <w:rsid w:val="08783D74"/>
    <w:rsid w:val="09367DE7"/>
    <w:rsid w:val="096C65D7"/>
    <w:rsid w:val="09752946"/>
    <w:rsid w:val="09A0FF0A"/>
    <w:rsid w:val="09BE687E"/>
    <w:rsid w:val="0AF88E2F"/>
    <w:rsid w:val="0B103690"/>
    <w:rsid w:val="0B1054CB"/>
    <w:rsid w:val="0C391661"/>
    <w:rsid w:val="0CE6C6D2"/>
    <w:rsid w:val="0D172931"/>
    <w:rsid w:val="0D2BFA75"/>
    <w:rsid w:val="0D440878"/>
    <w:rsid w:val="0E3F1FAF"/>
    <w:rsid w:val="0EC0BC2F"/>
    <w:rsid w:val="0F5FCC5D"/>
    <w:rsid w:val="0F8D0193"/>
    <w:rsid w:val="0FA4A511"/>
    <w:rsid w:val="1030F000"/>
    <w:rsid w:val="10559C24"/>
    <w:rsid w:val="10AF8292"/>
    <w:rsid w:val="10C77BFF"/>
    <w:rsid w:val="1139A341"/>
    <w:rsid w:val="1158F1C1"/>
    <w:rsid w:val="116124E4"/>
    <w:rsid w:val="117E7BF5"/>
    <w:rsid w:val="11F07066"/>
    <w:rsid w:val="1299CAFF"/>
    <w:rsid w:val="12D59147"/>
    <w:rsid w:val="1332C8A5"/>
    <w:rsid w:val="13C97C32"/>
    <w:rsid w:val="144B18B2"/>
    <w:rsid w:val="14E9B95B"/>
    <w:rsid w:val="154E6E4F"/>
    <w:rsid w:val="156C709F"/>
    <w:rsid w:val="1573F883"/>
    <w:rsid w:val="15A86953"/>
    <w:rsid w:val="16208AC0"/>
    <w:rsid w:val="167ED604"/>
    <w:rsid w:val="16ABD386"/>
    <w:rsid w:val="16B1DDD1"/>
    <w:rsid w:val="16C06816"/>
    <w:rsid w:val="184080AA"/>
    <w:rsid w:val="1840E64C"/>
    <w:rsid w:val="1866ACA6"/>
    <w:rsid w:val="18779747"/>
    <w:rsid w:val="188FB6D3"/>
    <w:rsid w:val="18943C20"/>
    <w:rsid w:val="1924054C"/>
    <w:rsid w:val="1B04300A"/>
    <w:rsid w:val="1BD4C1B7"/>
    <w:rsid w:val="1BE46828"/>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572F85"/>
    <w:rsid w:val="236D47B3"/>
    <w:rsid w:val="237907D3"/>
    <w:rsid w:val="23BCAC80"/>
    <w:rsid w:val="23BFBAD3"/>
    <w:rsid w:val="23DF278E"/>
    <w:rsid w:val="2429D5E3"/>
    <w:rsid w:val="250C2A66"/>
    <w:rsid w:val="2516F8EC"/>
    <w:rsid w:val="252924B2"/>
    <w:rsid w:val="25639E99"/>
    <w:rsid w:val="25AE62FB"/>
    <w:rsid w:val="261A631F"/>
    <w:rsid w:val="26333270"/>
    <w:rsid w:val="26A179E0"/>
    <w:rsid w:val="272CB665"/>
    <w:rsid w:val="273E812F"/>
    <w:rsid w:val="27CA4ED3"/>
    <w:rsid w:val="27D4A41C"/>
    <w:rsid w:val="27D4B8B2"/>
    <w:rsid w:val="280C3370"/>
    <w:rsid w:val="28ED1264"/>
    <w:rsid w:val="291D19D4"/>
    <w:rsid w:val="293C868F"/>
    <w:rsid w:val="298F0E45"/>
    <w:rsid w:val="29B2029C"/>
    <w:rsid w:val="2AFBC1F9"/>
    <w:rsid w:val="2B7DB66D"/>
    <w:rsid w:val="2BB2273D"/>
    <w:rsid w:val="2CB22C93"/>
    <w:rsid w:val="2CE28EF2"/>
    <w:rsid w:val="2D4DBAEA"/>
    <w:rsid w:val="2D53791D"/>
    <w:rsid w:val="2DBFE9CA"/>
    <w:rsid w:val="2DD127E1"/>
    <w:rsid w:val="2DECACDD"/>
    <w:rsid w:val="2E4AA436"/>
    <w:rsid w:val="2E626AD2"/>
    <w:rsid w:val="2F013E8A"/>
    <w:rsid w:val="2F0F00E9"/>
    <w:rsid w:val="2F3ECA62"/>
    <w:rsid w:val="2F829A74"/>
    <w:rsid w:val="2F92698C"/>
    <w:rsid w:val="2FA6FAD3"/>
    <w:rsid w:val="2FBA86FB"/>
    <w:rsid w:val="2FD46499"/>
    <w:rsid w:val="3004A8BD"/>
    <w:rsid w:val="30FA96BF"/>
    <w:rsid w:val="313196FF"/>
    <w:rsid w:val="317034FA"/>
    <w:rsid w:val="320BA99E"/>
    <w:rsid w:val="3228E1AD"/>
    <w:rsid w:val="3257E760"/>
    <w:rsid w:val="32818005"/>
    <w:rsid w:val="32A6E661"/>
    <w:rsid w:val="32C492C3"/>
    <w:rsid w:val="32C64423"/>
    <w:rsid w:val="32DC4290"/>
    <w:rsid w:val="32FA64E2"/>
    <w:rsid w:val="3323B89A"/>
    <w:rsid w:val="334A73EE"/>
    <w:rsid w:val="337AB4A9"/>
    <w:rsid w:val="33FA254B"/>
    <w:rsid w:val="348BB948"/>
    <w:rsid w:val="34D5F597"/>
    <w:rsid w:val="351CFC39"/>
    <w:rsid w:val="35251529"/>
    <w:rsid w:val="353FA472"/>
    <w:rsid w:val="35772A0E"/>
    <w:rsid w:val="35A43028"/>
    <w:rsid w:val="35AE58AD"/>
    <w:rsid w:val="35D3FC2F"/>
    <w:rsid w:val="364610DD"/>
    <w:rsid w:val="36484DB1"/>
    <w:rsid w:val="364D96BF"/>
    <w:rsid w:val="3684DEAC"/>
    <w:rsid w:val="369A68DD"/>
    <w:rsid w:val="36F6E7B3"/>
    <w:rsid w:val="3720DB47"/>
    <w:rsid w:val="3738652F"/>
    <w:rsid w:val="373F886C"/>
    <w:rsid w:val="37907C02"/>
    <w:rsid w:val="379D2EB9"/>
    <w:rsid w:val="3864AB4C"/>
    <w:rsid w:val="38A08456"/>
    <w:rsid w:val="38F5364C"/>
    <w:rsid w:val="393FA91A"/>
    <w:rsid w:val="3957844C"/>
    <w:rsid w:val="3957A287"/>
    <w:rsid w:val="3978D72C"/>
    <w:rsid w:val="39D0EC0B"/>
    <w:rsid w:val="3A5B0CBA"/>
    <w:rsid w:val="3AEC4FAB"/>
    <w:rsid w:val="3B290834"/>
    <w:rsid w:val="3B7329F6"/>
    <w:rsid w:val="3B744F4B"/>
    <w:rsid w:val="3B9296B1"/>
    <w:rsid w:val="3C8C4D9D"/>
    <w:rsid w:val="3C96157A"/>
    <w:rsid w:val="3CEBA27B"/>
    <w:rsid w:val="3D5C2947"/>
    <w:rsid w:val="3D773EBE"/>
    <w:rsid w:val="3DC66899"/>
    <w:rsid w:val="3F26D7BE"/>
    <w:rsid w:val="3F367E2F"/>
    <w:rsid w:val="3FA02142"/>
    <w:rsid w:val="3FB838EA"/>
    <w:rsid w:val="4007DEA5"/>
    <w:rsid w:val="401848B5"/>
    <w:rsid w:val="403F1335"/>
    <w:rsid w:val="409348AA"/>
    <w:rsid w:val="40D0A732"/>
    <w:rsid w:val="41427D68"/>
    <w:rsid w:val="417A1661"/>
    <w:rsid w:val="418E7E7B"/>
    <w:rsid w:val="41E3999B"/>
    <w:rsid w:val="4251D70C"/>
    <w:rsid w:val="42AA5FDB"/>
    <w:rsid w:val="42EC4CDC"/>
    <w:rsid w:val="4368BE89"/>
    <w:rsid w:val="43ADCA0E"/>
    <w:rsid w:val="43C7895C"/>
    <w:rsid w:val="4464B56E"/>
    <w:rsid w:val="44C623C0"/>
    <w:rsid w:val="454889BA"/>
    <w:rsid w:val="4584277F"/>
    <w:rsid w:val="45F10F96"/>
    <w:rsid w:val="460E66A7"/>
    <w:rsid w:val="46236731"/>
    <w:rsid w:val="465AD0E4"/>
    <w:rsid w:val="4672FD22"/>
    <w:rsid w:val="4687CE66"/>
    <w:rsid w:val="47313D95"/>
    <w:rsid w:val="4731522B"/>
    <w:rsid w:val="47372111"/>
    <w:rsid w:val="47AA9BAF"/>
    <w:rsid w:val="47B8361B"/>
    <w:rsid w:val="47FD2D0A"/>
    <w:rsid w:val="4822846D"/>
    <w:rsid w:val="485A31FC"/>
    <w:rsid w:val="48716051"/>
    <w:rsid w:val="48844D83"/>
    <w:rsid w:val="4920188E"/>
    <w:rsid w:val="49204B5F"/>
    <w:rsid w:val="49618003"/>
    <w:rsid w:val="4991EEC4"/>
    <w:rsid w:val="4995988E"/>
    <w:rsid w:val="49B15B7F"/>
    <w:rsid w:val="49B17015"/>
    <w:rsid w:val="4A0B5683"/>
    <w:rsid w:val="4ACBB049"/>
    <w:rsid w:val="4ADA4FE6"/>
    <w:rsid w:val="4B6BE3E3"/>
    <w:rsid w:val="4BC61A78"/>
    <w:rsid w:val="4C07D5A0"/>
    <w:rsid w:val="4C122AE9"/>
    <w:rsid w:val="4C33BF82"/>
    <w:rsid w:val="4C64C5FC"/>
    <w:rsid w:val="4D1920AB"/>
    <w:rsid w:val="4D255023"/>
    <w:rsid w:val="4D7A5F71"/>
    <w:rsid w:val="4D9F5029"/>
    <w:rsid w:val="4E0D1B47"/>
    <w:rsid w:val="4E4DD800"/>
    <w:rsid w:val="4E53A0F5"/>
    <w:rsid w:val="4E6BC79A"/>
    <w:rsid w:val="4E7D5954"/>
    <w:rsid w:val="4EAA4240"/>
    <w:rsid w:val="4F791A6C"/>
    <w:rsid w:val="4FDAA9F5"/>
    <w:rsid w:val="5034A4F9"/>
    <w:rsid w:val="50F60D95"/>
    <w:rsid w:val="50F99924"/>
    <w:rsid w:val="519CBA3D"/>
    <w:rsid w:val="51C1DECF"/>
    <w:rsid w:val="51C4D427"/>
    <w:rsid w:val="520E5DA2"/>
    <w:rsid w:val="52EC6866"/>
    <w:rsid w:val="530A5E2C"/>
    <w:rsid w:val="53BB553F"/>
    <w:rsid w:val="53C8B335"/>
    <w:rsid w:val="53D02683"/>
    <w:rsid w:val="53E83486"/>
    <w:rsid w:val="54155043"/>
    <w:rsid w:val="546EE41D"/>
    <w:rsid w:val="54A69334"/>
    <w:rsid w:val="54D390B6"/>
    <w:rsid w:val="54F30D77"/>
    <w:rsid w:val="54FFB2C5"/>
    <w:rsid w:val="55533545"/>
    <w:rsid w:val="563B4058"/>
    <w:rsid w:val="5641A138"/>
    <w:rsid w:val="56B7E395"/>
    <w:rsid w:val="56BAC590"/>
    <w:rsid w:val="571F3DD0"/>
    <w:rsid w:val="574C3B52"/>
    <w:rsid w:val="575F896E"/>
    <w:rsid w:val="576BA80D"/>
    <w:rsid w:val="5783D44B"/>
    <w:rsid w:val="57913241"/>
    <w:rsid w:val="57C08CD4"/>
    <w:rsid w:val="57ED5785"/>
    <w:rsid w:val="57F3D7E7"/>
    <w:rsid w:val="5842BCAC"/>
    <w:rsid w:val="590951B3"/>
    <w:rsid w:val="59760802"/>
    <w:rsid w:val="599806A7"/>
    <w:rsid w:val="599A63B8"/>
    <w:rsid w:val="599FACC6"/>
    <w:rsid w:val="5B41B7E0"/>
    <w:rsid w:val="5B61249B"/>
    <w:rsid w:val="5B613931"/>
    <w:rsid w:val="5B75EBFC"/>
    <w:rsid w:val="5BCB9128"/>
    <w:rsid w:val="5C91BF21"/>
    <w:rsid w:val="5C984008"/>
    <w:rsid w:val="5D125766"/>
    <w:rsid w:val="5D1B8EC4"/>
    <w:rsid w:val="5D3AFB7F"/>
    <w:rsid w:val="5E06CCB9"/>
    <w:rsid w:val="5E36274C"/>
    <w:rsid w:val="5E6EEEC3"/>
    <w:rsid w:val="5EBDB819"/>
    <w:rsid w:val="5EE4ACB8"/>
    <w:rsid w:val="5F14D263"/>
    <w:rsid w:val="5F25C82E"/>
    <w:rsid w:val="5F46CE48"/>
    <w:rsid w:val="5F50341F"/>
    <w:rsid w:val="5F7E886E"/>
    <w:rsid w:val="5FC9B185"/>
    <w:rsid w:val="6015146D"/>
    <w:rsid w:val="601BC825"/>
    <w:rsid w:val="6056A67F"/>
    <w:rsid w:val="6130780D"/>
    <w:rsid w:val="6140FE6A"/>
    <w:rsid w:val="61852A03"/>
    <w:rsid w:val="6206E4BE"/>
    <w:rsid w:val="623B4BE9"/>
    <w:rsid w:val="62985A80"/>
    <w:rsid w:val="62CB2E14"/>
    <w:rsid w:val="62EAE236"/>
    <w:rsid w:val="630A6387"/>
    <w:rsid w:val="634CABE6"/>
    <w:rsid w:val="640DD48E"/>
    <w:rsid w:val="6422BD39"/>
    <w:rsid w:val="64431148"/>
    <w:rsid w:val="6508E4F1"/>
    <w:rsid w:val="651F76D7"/>
    <w:rsid w:val="656ED8A1"/>
    <w:rsid w:val="65BF7CB9"/>
    <w:rsid w:val="65E467DF"/>
    <w:rsid w:val="667195E1"/>
    <w:rsid w:val="66D4B2B9"/>
    <w:rsid w:val="66E7D212"/>
    <w:rsid w:val="6718AA4D"/>
    <w:rsid w:val="672CC901"/>
    <w:rsid w:val="67D63830"/>
    <w:rsid w:val="67F89A3B"/>
    <w:rsid w:val="67FAF74C"/>
    <w:rsid w:val="6800405A"/>
    <w:rsid w:val="680B29DD"/>
    <w:rsid w:val="68378847"/>
    <w:rsid w:val="6860BC45"/>
    <w:rsid w:val="68A88974"/>
    <w:rsid w:val="68A9914E"/>
    <w:rsid w:val="696AF9EA"/>
    <w:rsid w:val="69C4F4EE"/>
    <w:rsid w:val="69D9E46D"/>
    <w:rsid w:val="6A83539C"/>
    <w:rsid w:val="6A945C6F"/>
    <w:rsid w:val="6AD2F957"/>
    <w:rsid w:val="6B9B85CA"/>
    <w:rsid w:val="6BBA349A"/>
    <w:rsid w:val="6BC37658"/>
    <w:rsid w:val="6C796364"/>
    <w:rsid w:val="6CA20334"/>
    <w:rsid w:val="6CDAC9DC"/>
    <w:rsid w:val="6D037186"/>
    <w:rsid w:val="6D06986E"/>
    <w:rsid w:val="6D5D6C8A"/>
    <w:rsid w:val="6D8014C3"/>
    <w:rsid w:val="6D9AF02B"/>
    <w:rsid w:val="6DF4912E"/>
    <w:rsid w:val="6E0F0EDC"/>
    <w:rsid w:val="6EAA8C57"/>
    <w:rsid w:val="6EE0B1B3"/>
    <w:rsid w:val="6F6440F0"/>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92111C"/>
    <w:rsid w:val="72B3583D"/>
    <w:rsid w:val="72D2C4F8"/>
    <w:rsid w:val="73254CAE"/>
    <w:rsid w:val="732C2A6F"/>
    <w:rsid w:val="732CBFFC"/>
    <w:rsid w:val="73503969"/>
    <w:rsid w:val="73911A01"/>
    <w:rsid w:val="73B6E0AB"/>
    <w:rsid w:val="73EE2898"/>
    <w:rsid w:val="742EB407"/>
    <w:rsid w:val="747553EF"/>
    <w:rsid w:val="74EED044"/>
    <w:rsid w:val="7607E5DB"/>
    <w:rsid w:val="761E95A3"/>
    <w:rsid w:val="766A1BCF"/>
    <w:rsid w:val="76744F65"/>
    <w:rsid w:val="772A4A8A"/>
    <w:rsid w:val="773A68C8"/>
    <w:rsid w:val="775AF02C"/>
    <w:rsid w:val="77E0E29F"/>
    <w:rsid w:val="77E3A526"/>
    <w:rsid w:val="77F135ED"/>
    <w:rsid w:val="7842D083"/>
    <w:rsid w:val="785234BA"/>
    <w:rsid w:val="789148F7"/>
    <w:rsid w:val="78AA4B8D"/>
    <w:rsid w:val="78C60F07"/>
    <w:rsid w:val="78D113A2"/>
    <w:rsid w:val="792BD304"/>
    <w:rsid w:val="79637FC5"/>
    <w:rsid w:val="799AE726"/>
    <w:rsid w:val="799DC7E8"/>
    <w:rsid w:val="79DFDE15"/>
    <w:rsid w:val="7A214860"/>
    <w:rsid w:val="7A410FB3"/>
    <w:rsid w:val="7A5978A5"/>
    <w:rsid w:val="7B177C64"/>
    <w:rsid w:val="7B1AC306"/>
    <w:rsid w:val="7B250C5A"/>
    <w:rsid w:val="7B2FE556"/>
    <w:rsid w:val="7B6363BF"/>
    <w:rsid w:val="7B74BE0A"/>
    <w:rsid w:val="7BC12847"/>
    <w:rsid w:val="7BDCE014"/>
    <w:rsid w:val="7C116F33"/>
    <w:rsid w:val="7CF18FFC"/>
    <w:rsid w:val="7E93CDE7"/>
    <w:rsid w:val="7EB33AA2"/>
    <w:rsid w:val="7ED346FA"/>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811D"/>
  <w15:chartTrackingRefBased/>
  <w15:docId w15:val="{8AA91E44-18F3-4FE0-8DDE-13F68BF8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4BCE"/>
    <w:pPr>
      <w:spacing w:after="0" w:line="276" w:lineRule="auto"/>
    </w:pPr>
    <w:rPr>
      <w:rFonts w:ascii="Arial" w:hAnsi="Arial" w:eastAsia="Arial" w:cs="Arial"/>
      <w:lang w:val="en"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D4BCE"/>
    <w:rPr>
      <w:rFonts w:ascii="Arial" w:hAnsi="Arial" w:eastAsia="Arial" w:cs="Arial"/>
      <w:sz w:val="40"/>
      <w:szCs w:val="40"/>
      <w:lang w:val="en"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styleId="CommentTextChar" w:customStyle="1">
    <w:name w:val="Comment Text Char"/>
    <w:basedOn w:val="DefaultParagraphFont"/>
    <w:link w:val="CommentText"/>
    <w:uiPriority w:val="99"/>
    <w:rsid w:val="00BD4BCE"/>
    <w:rPr>
      <w:rFonts w:ascii="Arial" w:hAnsi="Arial" w:eastAsia="Arial" w:cs="Arial"/>
      <w:sz w:val="20"/>
      <w:szCs w:val="20"/>
      <w:lang w:val="en" w:eastAsia="en-GB"/>
    </w:rPr>
  </w:style>
  <w:style w:type="character" w:styleId="CommentReference">
    <w:name w:val="annotation reference"/>
    <w:basedOn w:val="DefaultParagraphFont"/>
    <w:uiPriority w:val="99"/>
    <w:semiHidden/>
    <w:unhideWhenUsed/>
    <w:rsid w:val="00BD4BCE"/>
    <w:rPr>
      <w:sz w:val="16"/>
      <w:szCs w:val="16"/>
    </w:rPr>
  </w:style>
  <w:style w:type="paragraph" w:styleId="paragraph" w:customStyle="1">
    <w:name w:val="paragraph"/>
    <w:basedOn w:val="Normal"/>
    <w:rsid w:val="00BD4BCE"/>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normaltextrun" w:customStyle="1">
    <w:name w:val="normaltextrun"/>
    <w:basedOn w:val="DefaultParagraphFont"/>
    <w:rsid w:val="00BD4BCE"/>
  </w:style>
  <w:style w:type="character" w:styleId="eop" w:customStyle="1">
    <w:name w:val="eop"/>
    <w:basedOn w:val="DefaultParagraphFont"/>
    <w:rsid w:val="00BD4BCE"/>
  </w:style>
  <w:style w:type="character" w:styleId="spellingerror" w:customStyle="1">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styleId="HeaderChar" w:customStyle="1">
    <w:name w:val="Header Char"/>
    <w:basedOn w:val="DefaultParagraphFont"/>
    <w:link w:val="Header"/>
    <w:uiPriority w:val="99"/>
    <w:rsid w:val="00431CA9"/>
    <w:rPr>
      <w:rFonts w:ascii="Arial" w:hAnsi="Arial" w:eastAsia="Arial" w:cs="Arial"/>
      <w:lang w:val="en"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styleId="FooterChar" w:customStyle="1">
    <w:name w:val="Footer Char"/>
    <w:basedOn w:val="DefaultParagraphFont"/>
    <w:link w:val="Footer"/>
    <w:uiPriority w:val="99"/>
    <w:rsid w:val="00431CA9"/>
    <w:rPr>
      <w:rFonts w:ascii="Arial" w:hAnsi="Arial" w:eastAsia="Arial" w:cs="Arial"/>
      <w:lang w:val="en"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List Item,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styleId="CommentSubjectChar" w:customStyle="1">
    <w:name w:val="Comment Subject Char"/>
    <w:basedOn w:val="CommentTextChar"/>
    <w:link w:val="CommentSubject"/>
    <w:uiPriority w:val="99"/>
    <w:semiHidden/>
    <w:rsid w:val="007A3FC1"/>
    <w:rPr>
      <w:rFonts w:ascii="Arial" w:hAnsi="Arial" w:eastAsia="Arial" w:cs="Arial"/>
      <w:b/>
      <w:bCs/>
      <w:sz w:val="20"/>
      <w:szCs w:val="20"/>
      <w:lang w:val="en" w:eastAsia="en-GB"/>
    </w:rPr>
  </w:style>
  <w:style w:type="table" w:styleId="TableGrid">
    <w:name w:val="Table Grid"/>
    <w:basedOn w:val="TableNormal"/>
    <w:uiPriority w:val="39"/>
    <w:rsid w:val="001850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hAnsi="Arial" w:eastAsia="Arial" w:cs="Arial"/>
      <w:lang w:val="en" w:eastAsia="en-GB"/>
    </w:rPr>
  </w:style>
  <w:style w:type="character" w:styleId="Mention">
    <w:name w:val="Mention"/>
    <w:basedOn w:val="DefaultParagraphFont"/>
    <w:uiPriority w:val="99"/>
    <w:unhideWhenUsed/>
    <w:rsid w:val="00AA32F8"/>
    <w:rPr>
      <w:color w:val="2B579A"/>
      <w:shd w:val="clear" w:color="auto" w:fill="E6E6E6"/>
    </w:rPr>
  </w:style>
  <w:style w:type="character" w:styleId="UnresolvedMention">
    <w:name w:val="Unresolved Mention"/>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val="en-US" w:eastAsia="ja-JP"/>
    </w:rPr>
  </w:style>
  <w:style w:type="character" w:styleId="TitleChar" w:customStyle="1">
    <w:name w:val="Title Char"/>
    <w:basedOn w:val="DefaultParagraphFont"/>
    <w:link w:val="Title"/>
    <w:uiPriority w:val="10"/>
    <w:rsid w:val="00806832"/>
    <w:rPr>
      <w:rFonts w:ascii="Arial" w:hAnsi="Arial" w:eastAsia="MS Mincho" w:cs="Arial"/>
      <w:b/>
      <w:bCs/>
      <w:kern w:val="28"/>
      <w:sz w:val="32"/>
      <w:szCs w:val="32"/>
      <w:lang w:eastAsia="ja-JP"/>
    </w:rPr>
  </w:style>
  <w:style w:type="paragraph" w:styleId="Revision">
    <w:name w:val="Revision"/>
    <w:hidden/>
    <w:uiPriority w:val="99"/>
    <w:semiHidden/>
    <w:rsid w:val="002518B4"/>
    <w:pPr>
      <w:spacing w:after="0" w:line="240" w:lineRule="auto"/>
    </w:pPr>
    <w:rPr>
      <w:rFonts w:ascii="Arial" w:hAnsi="Arial" w:eastAsia="Arial" w:cs="Arial"/>
      <w:lang w:val="en"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hAnsi="Times New Roman" w:eastAsia="Times New Roman" w:cs="Times New Roman"/>
      <w:sz w:val="24"/>
      <w:szCs w:val="24"/>
    </w:rPr>
  </w:style>
  <w:style w:type="numbering" w:styleId="CurrentList1" w:customStyle="1">
    <w:name w:val="Current List1"/>
    <w:uiPriority w:val="99"/>
    <w:rsid w:val="004E4361"/>
    <w:pPr>
      <w:numPr>
        <w:numId w:val="1"/>
      </w:numPr>
    </w:pPr>
  </w:style>
  <w:style w:type="numbering" w:styleId="CurrentList2" w:customStyle="1">
    <w:name w:val="Current List2"/>
    <w:uiPriority w:val="99"/>
    <w:rsid w:val="00F73FF8"/>
    <w:pPr>
      <w:numPr>
        <w:numId w:val="2"/>
      </w:numPr>
    </w:pPr>
  </w:style>
  <w:style w:type="numbering" w:styleId="CurrentList3" w:customStyle="1">
    <w:name w:val="Current List3"/>
    <w:uiPriority w:val="99"/>
    <w:rsid w:val="001E1C11"/>
    <w:pPr>
      <w:numPr>
        <w:numId w:val="3"/>
      </w:numPr>
    </w:pPr>
  </w:style>
  <w:style w:type="paragraph" w:styleId="NoSpacing">
    <w:name w:val="No Spacing"/>
    <w:uiPriority w:val="1"/>
    <w:qFormat/>
    <w:rsid w:val="00284A22"/>
    <w:pPr>
      <w:spacing w:after="0" w:line="240" w:lineRule="auto"/>
    </w:pPr>
    <w:rPr>
      <w:rFonts w:ascii="Arial" w:hAnsi="Arial" w:eastAsia="Arial" w:cs="Arial"/>
      <w:lang w:val="en"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styleId="FootnoteTextChar" w:customStyle="1">
    <w:name w:val="Footnote Text Char"/>
    <w:basedOn w:val="DefaultParagraphFont"/>
    <w:link w:val="FootnoteText"/>
    <w:uiPriority w:val="99"/>
    <w:semiHidden/>
    <w:rsid w:val="00D77BD9"/>
    <w:rPr>
      <w:rFonts w:ascii="Arial" w:hAnsi="Arial" w:eastAsia="Arial" w:cs="Arial"/>
      <w:sz w:val="20"/>
      <w:szCs w:val="20"/>
      <w:lang w:val="en" w:eastAsia="en-GB"/>
    </w:rPr>
  </w:style>
  <w:style w:type="character" w:styleId="FootnoteReference">
    <w:name w:val="footnote reference"/>
    <w:basedOn w:val="DefaultParagraphFont"/>
    <w:uiPriority w:val="99"/>
    <w:semiHidden/>
    <w:unhideWhenUsed/>
    <w:rsid w:val="00D77B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7463">
      <w:bodyDiv w:val="1"/>
      <w:marLeft w:val="0"/>
      <w:marRight w:val="0"/>
      <w:marTop w:val="0"/>
      <w:marBottom w:val="0"/>
      <w:divBdr>
        <w:top w:val="none" w:sz="0" w:space="0" w:color="auto"/>
        <w:left w:val="none" w:sz="0" w:space="0" w:color="auto"/>
        <w:bottom w:val="none" w:sz="0" w:space="0" w:color="auto"/>
        <w:right w:val="none" w:sz="0" w:space="0" w:color="auto"/>
      </w:divBdr>
    </w:div>
    <w:div w:id="141195213">
      <w:bodyDiv w:val="1"/>
      <w:marLeft w:val="0"/>
      <w:marRight w:val="0"/>
      <w:marTop w:val="0"/>
      <w:marBottom w:val="0"/>
      <w:divBdr>
        <w:top w:val="none" w:sz="0" w:space="0" w:color="auto"/>
        <w:left w:val="none" w:sz="0" w:space="0" w:color="auto"/>
        <w:bottom w:val="none" w:sz="0" w:space="0" w:color="auto"/>
        <w:right w:val="none" w:sz="0" w:space="0" w:color="auto"/>
      </w:divBdr>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gavi.org/news/document-library/gavi-programme-funding-guidelines"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1.xml" Id="rId15" /><Relationship Type="http://schemas.microsoft.com/office/2019/05/relationships/documenttasks" Target="documenttasks/documenttasks1.xml" Id="rId23"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eur01.safelinks.protection.outlook.com/?url=https%3A%2F%2Fwww.gavi.org%2Fnews%2Fdocument-library%2Ftca-guidelines&amp;data=05%7C01%7Cegormley%40gavi.org%7C990571ac9fe3410660a008da24644b30%7C1de6d9f30daf4df6b9d65959f16f6118%7C0%7C0%7C637862310415669979%7CUnknown%7CTWFpbGZsb3d8eyJWIjoiMC4wLjAwMDAiLCJQIjoiV2luMzIiLCJBTiI6Ik1haWwiLCJXVCI6Mn0%3D%7C3000%7C%7C%7C&amp;sdata=B6%2B91FguaNH9utCfM9aMPU3flVqbPk%2Bgx%2BlgiutijH0%3D&amp;reserved=0" TargetMode="External" Id="rId14" /><Relationship Type="http://schemas.openxmlformats.org/officeDocument/2006/relationships/theme" Target="theme/theme1.xml" Id="rId22" /><Relationship Type="http://schemas.openxmlformats.org/officeDocument/2006/relationships/glossaryDocument" Target="glossary/document.xml" Id="R82e3ae2bbd6a4c3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d8cf364-a0fa-44dc-bd41-81b3ef233465}"/>
      </w:docPartPr>
      <w:docPartBody>
        <w:p w14:paraId="008D083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93cb0222-e980-4273-ad97-85dba3159c09" ContentTypeId="0x0101009954897F3EE3CC4ABB9FB9EDAC9CDEBC"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GAVI-438364776-957433</_dlc_DocId>
    <_dlc_DocIdUrl xmlns="55894003-98dc-4f3e-8669-85b90bdbcc8c">
      <Url>https://gavinet.sharepoint.com/teams/PAP/srp/_layouts/15/DocIdRedir.aspx?ID=GAVI-438364776-957433</Url>
      <Description>GAVI-438364776-957433</Description>
    </_dlc_DocIdUrl>
    <lcf76f155ced4ddcb4097134ff3c332f xmlns="5c2490db-6e42-4989-a0fb-d6ff54a6a7de">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2.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3.xml><?xml version="1.0" encoding="utf-8"?>
<ds:datastoreItem xmlns:ds="http://schemas.openxmlformats.org/officeDocument/2006/customXml" ds:itemID="{8046A321-9346-4C24-BD12-D0AF171E1442}">
  <ds:schemaRefs>
    <ds:schemaRef ds:uri="http://schemas.openxmlformats.org/officeDocument/2006/bibliography"/>
  </ds:schemaRefs>
</ds:datastoreItem>
</file>

<file path=customXml/itemProps4.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5.xml><?xml version="1.0" encoding="utf-8"?>
<ds:datastoreItem xmlns:ds="http://schemas.openxmlformats.org/officeDocument/2006/customXml" ds:itemID="{443ABCCA-2525-4A32-B18C-E44E28EFC753}">
  <ds:schemaRefs>
    <ds:schemaRef ds:uri="5c2490db-6e42-4989-a0fb-d6ff54a6a7de"/>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55894003-98dc-4f3e-8669-85b90bdbcc8c"/>
    <ds:schemaRef ds:uri="d0706217-df7c-4bf4-936d-b09aa3b837af"/>
    <ds:schemaRef ds:uri="http://purl.org/dc/dcmitype/"/>
  </ds:schemaRefs>
</ds:datastoreItem>
</file>

<file path=customXml/itemProps6.xml><?xml version="1.0" encoding="utf-8"?>
<ds:datastoreItem xmlns:ds="http://schemas.openxmlformats.org/officeDocument/2006/customXml" ds:itemID="{8E82167E-8EA0-4857-9025-7458057504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Eoin Gormley (Consultant)</cp:lastModifiedBy>
  <cp:revision>12</cp:revision>
  <dcterms:created xsi:type="dcterms:W3CDTF">2022-05-19T06:27:00Z</dcterms:created>
  <dcterms:modified xsi:type="dcterms:W3CDTF">2022-06-01T21:16:56Z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182a7393-1f7f-4810-8a58-8e169d292973</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y fmtid="{D5CDD505-2E9C-101B-9397-08002B2CF9AE}" pid="31" name="MediaServiceImageTags">
    <vt:lpwstr/>
  </property>
  <property fmtid="{D5CDD505-2E9C-101B-9397-08002B2CF9AE}" pid="32" name="kfa83adfad8641678ddaedda80d7e126">
    <vt:lpwstr/>
  </property>
  <property fmtid="{D5CDD505-2E9C-101B-9397-08002B2CF9AE}" pid="33" name="Test">
    <vt:lpwstr/>
  </property>
</Properties>
</file>