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rPr>
        <w:id w:val="487532776"/>
        <w:docPartObj>
          <w:docPartGallery w:val="Cover Pages"/>
          <w:docPartUnique/>
        </w:docPartObj>
      </w:sdtPr>
      <w:sdtEndPr/>
      <w:sdtContent>
        <w:p w14:paraId="1BF73FC7" w14:textId="77777777" w:rsidR="00F07EC8" w:rsidRPr="00226801" w:rsidRDefault="00F732D8">
          <w:pPr>
            <w:rPr>
              <w:rFonts w:asciiTheme="minorHAnsi" w:hAnsiTheme="minorHAnsi" w:cstheme="minorHAnsi"/>
            </w:rPr>
          </w:pPr>
          <w:r w:rsidRPr="00226801">
            <w:rPr>
              <w:rFonts w:asciiTheme="minorHAnsi" w:hAnsiTheme="minorHAnsi" w:cstheme="minorHAnsi"/>
              <w:b/>
              <w:noProof/>
            </w:rPr>
            <mc:AlternateContent>
              <mc:Choice Requires="wps">
                <w:drawing>
                  <wp:anchor distT="0" distB="0" distL="114300" distR="114300" simplePos="0" relativeHeight="251658240" behindDoc="0" locked="0" layoutInCell="1" allowOverlap="1" wp14:anchorId="4C0DFBA1" wp14:editId="6CF8B9BA">
                    <wp:simplePos x="0" y="0"/>
                    <wp:positionH relativeFrom="margin">
                      <wp:align>center</wp:align>
                    </wp:positionH>
                    <wp:positionV relativeFrom="paragraph">
                      <wp:posOffset>-5065395</wp:posOffset>
                    </wp:positionV>
                    <wp:extent cx="7348793" cy="10490200"/>
                    <wp:effectExtent l="19050" t="19050" r="43180" b="44450"/>
                    <wp:wrapNone/>
                    <wp:docPr id="1" name="Rectangle : avec coins arrondis en diagonale 1"/>
                    <wp:cNvGraphicFramePr/>
                    <a:graphic xmlns:a="http://schemas.openxmlformats.org/drawingml/2006/main">
                      <a:graphicData uri="http://schemas.microsoft.com/office/word/2010/wordprocessingShape">
                        <wps:wsp>
                          <wps:cNvSpPr/>
                          <wps:spPr>
                            <a:xfrm>
                              <a:off x="0" y="0"/>
                              <a:ext cx="7348793" cy="10490200"/>
                            </a:xfrm>
                            <a:prstGeom prst="round2DiagRect">
                              <a:avLst/>
                            </a:prstGeom>
                            <a:solidFill>
                              <a:schemeClr val="bg1"/>
                            </a:solidFill>
                            <a:ln w="57150"/>
                          </wps:spPr>
                          <wps:style>
                            <a:lnRef idx="2">
                              <a:schemeClr val="accent1">
                                <a:shade val="50000"/>
                              </a:schemeClr>
                            </a:lnRef>
                            <a:fillRef idx="1">
                              <a:schemeClr val="accent1"/>
                            </a:fillRef>
                            <a:effectRef idx="0">
                              <a:schemeClr val="accent1"/>
                            </a:effectRef>
                            <a:fontRef idx="minor">
                              <a:schemeClr val="lt1"/>
                            </a:fontRef>
                          </wps:style>
                          <wps:txbx>
                            <w:txbxContent>
                              <w:p w14:paraId="31A7B4F1" w14:textId="77777777" w:rsidR="007B6BFD" w:rsidRPr="00211A44" w:rsidRDefault="007B6BFD" w:rsidP="007B6BFD">
                                <w:pPr>
                                  <w:rPr>
                                    <w:rFonts w:asciiTheme="minorHAnsi" w:hAnsiTheme="minorHAnsi" w:cstheme="minorHAnsi"/>
                                    <w:b/>
                                    <w:bCs/>
                                    <w:lang w:val="fr-FR"/>
                                  </w:rPr>
                                </w:pPr>
                              </w:p>
                              <w:p w14:paraId="09D55540" w14:textId="77777777" w:rsidR="007B6BFD" w:rsidRPr="00211A44" w:rsidRDefault="007B6BFD" w:rsidP="007B6BFD">
                                <w:pPr>
                                  <w:rPr>
                                    <w:rFonts w:asciiTheme="minorHAnsi" w:hAnsiTheme="minorHAnsi" w:cstheme="minorHAnsi"/>
                                    <w:b/>
                                    <w:bCs/>
                                    <w:color w:val="0070C0"/>
                                    <w:lang w:val="fr-FR"/>
                                  </w:rPr>
                                </w:pPr>
                              </w:p>
                              <w:p w14:paraId="5834279B" w14:textId="77777777" w:rsidR="007B6BFD" w:rsidRPr="00211A44" w:rsidRDefault="007B6BFD" w:rsidP="007B6BFD">
                                <w:pPr>
                                  <w:jc w:val="center"/>
                                  <w:rPr>
                                    <w:rFonts w:asciiTheme="minorHAnsi" w:hAnsiTheme="minorHAnsi" w:cstheme="minorHAnsi"/>
                                    <w:b/>
                                    <w:bCs/>
                                    <w:color w:val="0070C0"/>
                                    <w:sz w:val="40"/>
                                    <w:szCs w:val="40"/>
                                  </w:rPr>
                                </w:pPr>
                                <w:r>
                                  <w:rPr>
                                    <w:rFonts w:asciiTheme="minorHAnsi" w:hAnsiTheme="minorHAnsi"/>
                                    <w:b/>
                                    <w:color w:val="0070C0"/>
                                    <w:sz w:val="40"/>
                                  </w:rPr>
                                  <w:t>Action Plan for the Rotavirus Vaccine Switch</w:t>
                                </w:r>
                                <w:r w:rsidR="00D53734">
                                  <w:rPr>
                                    <w:rFonts w:asciiTheme="minorHAnsi" w:hAnsiTheme="minorHAnsi"/>
                                    <w:b/>
                                    <w:color w:val="0070C0"/>
                                    <w:sz w:val="40"/>
                                  </w:rPr>
                                  <w:t xml:space="preserve"> </w:t>
                                </w:r>
                              </w:p>
                              <w:p w14:paraId="63E0375A" w14:textId="77777777" w:rsidR="007B6BFD" w:rsidRPr="003D013A" w:rsidRDefault="007B6BFD" w:rsidP="007B6BFD">
                                <w:pPr>
                                  <w:jc w:val="center"/>
                                  <w:rPr>
                                    <w:rFonts w:asciiTheme="minorHAnsi" w:hAnsiTheme="minorHAnsi" w:cstheme="minorHAnsi"/>
                                    <w:color w:val="0070C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DFBA1" id="Rectangle : avec coins arrondis en diagonale 1" o:spid="_x0000_s1026" style="position:absolute;margin-left:0;margin-top:-398.85pt;width:578.65pt;height:826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7348793,10490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" adj="-11796480,,5400" path="m1224823,l7348793,r,l7348793,9265377v,676451,-548372,1224823,-1224823,1224823l,10490200r,l,1224823c,548372,548372,,1224823,xe" fillcolor="white [3212]" strokecolor="#243255 [1604]" strokeweight="4.5pt">
                    <v:stroke joinstyle="miter"/>
                    <v:formulas/>
                    <v:path arrowok="t" o:connecttype="custom" o:connectlocs="1224823,0;7348793,0;7348793,0;7348793,9265377;6123970,10490200;0,10490200;0,10490200;0,1224823;1224823,0" o:connectangles="0,0,0,0,0,0,0,0,0" textboxrect="0,0,7348793,10490200"/>
                    <v:textbox>
                      <w:txbxContent>
                        <w:p w:rsidR="007B6BFD" w:rsidRPr="00211A44" w:rsidRDefault="007B6BFD" w:rsidP="007B6BFD">
                          <w:pPr>
                            <w:rPr>
                              <w:rFonts w:asciiTheme="minorHAnsi" w:hAnsiTheme="minorHAnsi" w:cstheme="minorHAnsi"/>
                              <w:b/>
                              <w:bCs/>
                              <w:lang w:val="fr-FR"/>
                            </w:rPr>
                          </w:pPr>
                        </w:p>
                        <w:p w:rsidR="007B6BFD" w:rsidRPr="00211A44" w:rsidRDefault="007B6BFD" w:rsidP="007B6BFD">
                          <w:pPr>
                            <w:rPr>
                              <w:rFonts w:asciiTheme="minorHAnsi" w:hAnsiTheme="minorHAnsi" w:cstheme="minorHAnsi"/>
                              <w:b/>
                              <w:bCs/>
                              <w:color w:val="0070C0"/>
                              <w:lang w:val="fr-FR"/>
                            </w:rPr>
                          </w:pPr>
                        </w:p>
                        <w:p w:rsidR="007B6BFD" w:rsidRPr="00211A44" w:rsidRDefault="007B6BFD" w:rsidP="007B6BFD">
                          <w:pPr>
                            <w:jc w:val="center"/>
                            <w:rPr>
                              <w:rFonts w:asciiTheme="minorHAnsi" w:hAnsiTheme="minorHAnsi" w:cstheme="minorHAnsi"/>
                              <w:b/>
                              <w:bCs/>
                              <w:color w:val="0070C0"/>
                              <w:sz w:val="40"/>
                              <w:szCs w:val="40"/>
                            </w:rPr>
                          </w:pPr>
                          <w:r>
                            <w:rPr>
                              <w:rFonts w:asciiTheme="minorHAnsi" w:hAnsiTheme="minorHAnsi"/>
                              <w:b/>
                              <w:color w:val="0070C0"/>
                              <w:sz w:val="40"/>
                            </w:rPr>
                            <w:t>Action Plan for the Rotavirus Vaccine Switch</w:t>
                          </w:r>
                          <w:r w:rsidR="00D53734">
                            <w:rPr>
                              <w:rFonts w:asciiTheme="minorHAnsi" w:hAnsiTheme="minorHAnsi"/>
                              <w:b/>
                              <w:color w:val="0070C0"/>
                              <w:sz w:val="40"/>
                            </w:rPr>
                            <w:t xml:space="preserve"> </w:t>
                          </w:r>
                        </w:p>
                        <w:p w:rsidR="007B6BFD" w:rsidRPr="003D013A" w:rsidRDefault="007B6BFD" w:rsidP="007B6BFD">
                          <w:pPr>
                            <w:jc w:val="center"/>
                            <w:rPr>
                              <w:rFonts w:asciiTheme="minorHAnsi" w:hAnsiTheme="minorHAnsi" w:cstheme="minorHAnsi"/>
                              <w:color w:val="0070C0"/>
                              <w:lang w:val="en-US"/>
                            </w:rPr>
                          </w:pPr>
                        </w:p>
                      </w:txbxContent>
                    </v:textbox>
                    <w10:wrap anchorx="margin"/>
                  </v:shape>
                </w:pict>
              </mc:Fallback>
            </mc:AlternateContent>
          </w:r>
          <w:r w:rsidR="00176294" w:rsidRPr="00226801">
            <w:rPr>
              <w:rFonts w:asciiTheme="minorHAnsi" w:hAnsiTheme="minorHAnsi" w:cstheme="minorHAnsi"/>
              <w:noProof/>
            </w:rPr>
            <mc:AlternateContent>
              <mc:Choice Requires="wps">
                <w:drawing>
                  <wp:anchor distT="0" distB="0" distL="114300" distR="114300" simplePos="0" relativeHeight="251658241" behindDoc="1" locked="0" layoutInCell="1" allowOverlap="1" wp14:anchorId="23AA6C58" wp14:editId="74EDDD34">
                    <wp:simplePos x="0" y="0"/>
                    <wp:positionH relativeFrom="column">
                      <wp:posOffset>-959062</wp:posOffset>
                    </wp:positionH>
                    <wp:positionV relativeFrom="paragraph">
                      <wp:posOffset>-933662</wp:posOffset>
                    </wp:positionV>
                    <wp:extent cx="7592695" cy="10721129"/>
                    <wp:effectExtent l="0" t="0" r="1905" b="0"/>
                    <wp:wrapNone/>
                    <wp:docPr id="47" name="Rectangle 47" title="Couleur de la forme d’arrière-plan de la page"/>
                    <wp:cNvGraphicFramePr/>
                    <a:graphic xmlns:a="http://schemas.openxmlformats.org/drawingml/2006/main">
                      <a:graphicData uri="http://schemas.microsoft.com/office/word/2010/wordprocessingShape">
                        <wps:wsp>
                          <wps:cNvSpPr/>
                          <wps:spPr>
                            <a:xfrm>
                              <a:off x="0" y="0"/>
                              <a:ext cx="7592695" cy="10721129"/>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B9E06" id="Rectangle 47" o:spid="_x0000_s1026" alt="Title: Couleur de la forme d’arrière-plan de la page" style="position:absolute;margin-left:-75.5pt;margin-top:-73.5pt;width:597.85pt;height:844.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" fillcolor="#4a66ac [3204]" stroked="f" strokeweight="1pt"/>
                </w:pict>
              </mc:Fallback>
            </mc:AlternateContent>
          </w:r>
        </w:p>
      </w:sdtContent>
    </w:sdt>
    <w:p w14:paraId="2BB873EE" w14:textId="77777777" w:rsidR="00F96AF8" w:rsidRPr="00226801" w:rsidRDefault="00F96AF8">
      <w:pPr>
        <w:rPr>
          <w:rFonts w:asciiTheme="minorHAnsi" w:hAnsiTheme="minorHAnsi" w:cstheme="minorHAnsi"/>
          <w:b/>
          <w:bCs/>
        </w:rPr>
      </w:pPr>
    </w:p>
    <w:p w14:paraId="5E442B14" w14:textId="77777777" w:rsidR="007B6BFD" w:rsidRPr="00226801" w:rsidRDefault="007B6BFD">
      <w:pPr>
        <w:rPr>
          <w:rFonts w:asciiTheme="minorHAnsi" w:hAnsiTheme="minorHAnsi" w:cstheme="minorHAnsi"/>
          <w:b/>
          <w:bCs/>
        </w:rPr>
      </w:pPr>
    </w:p>
    <w:p w14:paraId="78359240" w14:textId="77777777" w:rsidR="007B6BFD" w:rsidRPr="00226801" w:rsidRDefault="007B6BFD" w:rsidP="007B6BFD">
      <w:pPr>
        <w:rPr>
          <w:rFonts w:asciiTheme="minorHAnsi" w:hAnsiTheme="minorHAnsi" w:cstheme="minorHAnsi"/>
          <w:b/>
          <w:bCs/>
        </w:rPr>
      </w:pPr>
    </w:p>
    <w:p w14:paraId="3A38A859" w14:textId="77777777" w:rsidR="007B6BFD" w:rsidRPr="00226801" w:rsidRDefault="007B6BFD" w:rsidP="007B6BFD">
      <w:pPr>
        <w:rPr>
          <w:rFonts w:asciiTheme="minorHAnsi" w:hAnsiTheme="minorHAnsi" w:cstheme="minorHAnsi"/>
        </w:rPr>
      </w:pPr>
    </w:p>
    <w:p w14:paraId="2A9F24FE" w14:textId="77777777" w:rsidR="007B6BFD" w:rsidRPr="00226801" w:rsidRDefault="007B6BFD" w:rsidP="007B6BFD">
      <w:pPr>
        <w:rPr>
          <w:rFonts w:asciiTheme="minorHAnsi" w:hAnsiTheme="minorHAnsi" w:cstheme="minorHAnsi"/>
        </w:rPr>
      </w:pPr>
    </w:p>
    <w:p w14:paraId="365AE2C4" w14:textId="77777777" w:rsidR="007B6BFD" w:rsidRPr="00226801" w:rsidRDefault="007B6BFD" w:rsidP="007B6BFD">
      <w:pPr>
        <w:rPr>
          <w:rFonts w:asciiTheme="minorHAnsi" w:hAnsiTheme="minorHAnsi" w:cstheme="minorHAnsi"/>
        </w:rPr>
      </w:pPr>
    </w:p>
    <w:p w14:paraId="57BA3F69" w14:textId="77777777" w:rsidR="007B6BFD" w:rsidRPr="00226801" w:rsidRDefault="007B6BFD" w:rsidP="007B6BFD">
      <w:pPr>
        <w:rPr>
          <w:rFonts w:asciiTheme="minorHAnsi" w:hAnsiTheme="minorHAnsi" w:cstheme="minorHAnsi"/>
        </w:rPr>
      </w:pPr>
    </w:p>
    <w:p w14:paraId="1F1F808E" w14:textId="77777777" w:rsidR="007B6BFD" w:rsidRPr="00226801" w:rsidRDefault="007B6BFD" w:rsidP="007B6BFD">
      <w:pPr>
        <w:rPr>
          <w:rFonts w:asciiTheme="minorHAnsi" w:hAnsiTheme="minorHAnsi" w:cstheme="minorHAnsi"/>
        </w:rPr>
      </w:pPr>
    </w:p>
    <w:p w14:paraId="16938029" w14:textId="77777777" w:rsidR="007B6BFD" w:rsidRPr="00226801" w:rsidRDefault="007B6BFD" w:rsidP="007B6BFD">
      <w:pPr>
        <w:rPr>
          <w:rFonts w:asciiTheme="minorHAnsi" w:hAnsiTheme="minorHAnsi" w:cstheme="minorHAnsi"/>
        </w:rPr>
      </w:pPr>
    </w:p>
    <w:p w14:paraId="33A85DB1" w14:textId="77777777" w:rsidR="007B6BFD" w:rsidRPr="00226801" w:rsidRDefault="007B6BFD" w:rsidP="007B6BFD">
      <w:pPr>
        <w:rPr>
          <w:rFonts w:asciiTheme="minorHAnsi" w:hAnsiTheme="minorHAnsi" w:cstheme="minorHAnsi"/>
        </w:rPr>
      </w:pPr>
    </w:p>
    <w:p w14:paraId="5D1F1D00" w14:textId="77777777" w:rsidR="007B6BFD" w:rsidRPr="00226801" w:rsidRDefault="007B6BFD" w:rsidP="007B6BFD">
      <w:pPr>
        <w:rPr>
          <w:rFonts w:asciiTheme="minorHAnsi" w:hAnsiTheme="minorHAnsi" w:cstheme="minorHAnsi"/>
        </w:rPr>
      </w:pPr>
    </w:p>
    <w:p w14:paraId="0DA870B4" w14:textId="77777777" w:rsidR="007B6BFD" w:rsidRPr="00226801" w:rsidRDefault="007B6BFD" w:rsidP="007B6BFD">
      <w:pPr>
        <w:rPr>
          <w:rFonts w:asciiTheme="minorHAnsi" w:hAnsiTheme="minorHAnsi" w:cstheme="minorHAnsi"/>
        </w:rPr>
      </w:pPr>
    </w:p>
    <w:p w14:paraId="11F86BDB" w14:textId="77777777" w:rsidR="007B6BFD" w:rsidRPr="00226801" w:rsidRDefault="007B6BFD" w:rsidP="007B6BFD">
      <w:pPr>
        <w:rPr>
          <w:rFonts w:asciiTheme="minorHAnsi" w:hAnsiTheme="minorHAnsi" w:cstheme="minorHAnsi"/>
        </w:rPr>
      </w:pPr>
    </w:p>
    <w:p w14:paraId="024E6876" w14:textId="77777777" w:rsidR="007B6BFD" w:rsidRPr="00226801" w:rsidRDefault="007B6BFD" w:rsidP="007B6BFD">
      <w:pPr>
        <w:rPr>
          <w:rFonts w:asciiTheme="minorHAnsi" w:hAnsiTheme="minorHAnsi" w:cstheme="minorHAnsi"/>
        </w:rPr>
      </w:pPr>
    </w:p>
    <w:p w14:paraId="150A1750" w14:textId="77777777" w:rsidR="007B6BFD" w:rsidRPr="00226801" w:rsidRDefault="007B6BFD" w:rsidP="007B6BFD">
      <w:pPr>
        <w:rPr>
          <w:rFonts w:asciiTheme="minorHAnsi" w:hAnsiTheme="minorHAnsi" w:cstheme="minorHAnsi"/>
        </w:rPr>
      </w:pPr>
    </w:p>
    <w:p w14:paraId="3F2D247E" w14:textId="77777777" w:rsidR="007B6BFD" w:rsidRPr="00226801" w:rsidRDefault="007B6BFD" w:rsidP="007B6BFD">
      <w:pPr>
        <w:rPr>
          <w:rFonts w:asciiTheme="minorHAnsi" w:hAnsiTheme="minorHAnsi" w:cstheme="minorHAnsi"/>
        </w:rPr>
      </w:pPr>
    </w:p>
    <w:p w14:paraId="41DDCABE" w14:textId="77777777" w:rsidR="007B6BFD" w:rsidRPr="00226801" w:rsidRDefault="007B6BFD" w:rsidP="007B6BFD">
      <w:pPr>
        <w:rPr>
          <w:rFonts w:asciiTheme="minorHAnsi" w:hAnsiTheme="minorHAnsi" w:cstheme="minorHAnsi"/>
        </w:rPr>
      </w:pPr>
    </w:p>
    <w:p w14:paraId="74B7B41C" w14:textId="77777777" w:rsidR="007B6BFD" w:rsidRPr="00226801" w:rsidRDefault="007B6BFD" w:rsidP="007B6BFD">
      <w:pPr>
        <w:rPr>
          <w:rFonts w:asciiTheme="minorHAnsi" w:hAnsiTheme="minorHAnsi" w:cstheme="minorHAnsi"/>
        </w:rPr>
      </w:pPr>
    </w:p>
    <w:p w14:paraId="46859540" w14:textId="77777777" w:rsidR="007B6BFD" w:rsidRPr="00226801" w:rsidRDefault="007B6BFD" w:rsidP="007B6BFD">
      <w:pPr>
        <w:rPr>
          <w:rFonts w:asciiTheme="minorHAnsi" w:hAnsiTheme="minorHAnsi" w:cstheme="minorHAnsi"/>
        </w:rPr>
      </w:pPr>
    </w:p>
    <w:p w14:paraId="0DBB947D" w14:textId="77777777" w:rsidR="007B6BFD" w:rsidRPr="00226801" w:rsidRDefault="007B6BFD" w:rsidP="007B6BFD">
      <w:pPr>
        <w:rPr>
          <w:rFonts w:asciiTheme="minorHAnsi" w:hAnsiTheme="minorHAnsi" w:cstheme="minorHAnsi"/>
        </w:rPr>
      </w:pPr>
    </w:p>
    <w:p w14:paraId="703C49E3" w14:textId="77777777" w:rsidR="007B6BFD" w:rsidRPr="00226801" w:rsidRDefault="007B6BFD" w:rsidP="007B6BFD">
      <w:pPr>
        <w:rPr>
          <w:rFonts w:asciiTheme="minorHAnsi" w:hAnsiTheme="minorHAnsi" w:cstheme="minorHAnsi"/>
        </w:rPr>
      </w:pPr>
    </w:p>
    <w:p w14:paraId="53EB786F" w14:textId="77777777" w:rsidR="007B6BFD" w:rsidRPr="00226801" w:rsidRDefault="007B6BFD" w:rsidP="007B6BFD">
      <w:pPr>
        <w:rPr>
          <w:rFonts w:asciiTheme="minorHAnsi" w:hAnsiTheme="minorHAnsi" w:cstheme="minorHAnsi"/>
        </w:rPr>
      </w:pPr>
    </w:p>
    <w:p w14:paraId="0B78149E" w14:textId="77777777" w:rsidR="007B6BFD" w:rsidRPr="00226801" w:rsidRDefault="007B6BFD" w:rsidP="007B6BFD">
      <w:pPr>
        <w:rPr>
          <w:rFonts w:asciiTheme="minorHAnsi" w:hAnsiTheme="minorHAnsi" w:cstheme="minorHAnsi"/>
        </w:rPr>
      </w:pPr>
    </w:p>
    <w:p w14:paraId="18BBA028" w14:textId="77777777" w:rsidR="007B6BFD" w:rsidRPr="00226801" w:rsidRDefault="007B6BFD" w:rsidP="007B6BFD">
      <w:pPr>
        <w:rPr>
          <w:rFonts w:asciiTheme="minorHAnsi" w:hAnsiTheme="minorHAnsi" w:cstheme="minorHAnsi"/>
          <w:b/>
          <w:bCs/>
        </w:rPr>
      </w:pPr>
    </w:p>
    <w:p w14:paraId="7FD9307B" w14:textId="77777777" w:rsidR="00176294" w:rsidRPr="00226801" w:rsidRDefault="00176294" w:rsidP="007B6BFD">
      <w:pPr>
        <w:rPr>
          <w:rFonts w:asciiTheme="minorHAnsi" w:hAnsiTheme="minorHAnsi" w:cstheme="minorHAnsi"/>
        </w:rPr>
        <w:sectPr w:rsidR="00176294" w:rsidRPr="00226801" w:rsidSect="00F07EC8">
          <w:headerReference w:type="even" r:id="rId13"/>
          <w:headerReference w:type="default" r:id="rId14"/>
          <w:footerReference w:type="even" r:id="rId15"/>
          <w:footerReference w:type="default" r:id="rId16"/>
          <w:headerReference w:type="first" r:id="rId17"/>
          <w:footerReference w:type="first" r:id="rId18"/>
          <w:pgSz w:w="11900" w:h="16840"/>
          <w:pgMar w:top="1417" w:right="1417" w:bottom="1417" w:left="1417" w:header="708" w:footer="708" w:gutter="0"/>
          <w:pgNumType w:start="0"/>
          <w:cols w:space="708"/>
          <w:titlePg/>
          <w:docGrid w:linePitch="360"/>
        </w:sectPr>
      </w:pPr>
    </w:p>
    <w:sdt>
      <w:sdtPr>
        <w:rPr>
          <w:rFonts w:asciiTheme="minorHAnsi" w:eastAsiaTheme="minorEastAsia" w:hAnsiTheme="minorHAnsi" w:cstheme="minorHAnsi"/>
          <w:b w:val="0"/>
          <w:bCs w:val="0"/>
          <w:i w:val="0"/>
          <w:iCs w:val="0"/>
          <w:color w:val="auto"/>
          <w:sz w:val="24"/>
          <w:szCs w:val="24"/>
          <w:lang w:eastAsia="fr-FR"/>
        </w:rPr>
        <w:id w:val="14587432"/>
        <w:docPartObj>
          <w:docPartGallery w:val="Table of Contents"/>
          <w:docPartUnique/>
        </w:docPartObj>
      </w:sdtPr>
      <w:sdtEndPr>
        <w:rPr>
          <w:rFonts w:eastAsia="Times New Roman"/>
        </w:rPr>
      </w:sdtEndPr>
      <w:sdtContent>
        <w:p w14:paraId="4A25EE3F" w14:textId="77777777" w:rsidR="00176294" w:rsidRPr="00226801" w:rsidRDefault="00176294">
          <w:pPr>
            <w:pStyle w:val="TOCHeading"/>
            <w:rPr>
              <w:rFonts w:asciiTheme="minorHAnsi" w:hAnsiTheme="minorHAnsi" w:cstheme="minorHAnsi"/>
              <w:sz w:val="24"/>
              <w:szCs w:val="24"/>
            </w:rPr>
          </w:pPr>
          <w:r w:rsidRPr="00226801">
            <w:rPr>
              <w:rFonts w:asciiTheme="minorHAnsi" w:hAnsiTheme="minorHAnsi" w:cstheme="minorHAnsi"/>
              <w:sz w:val="24"/>
            </w:rPr>
            <w:t>Table of Contents</w:t>
          </w:r>
        </w:p>
        <w:p w14:paraId="2C31C1A0" w14:textId="77777777" w:rsidR="004C3206" w:rsidRPr="00226801" w:rsidRDefault="00F96EA7">
          <w:pPr>
            <w:pStyle w:val="TOC1"/>
            <w:tabs>
              <w:tab w:val="left" w:pos="480"/>
              <w:tab w:val="right" w:leader="dot" w:pos="9056"/>
            </w:tabs>
            <w:rPr>
              <w:b w:val="0"/>
              <w:bCs w:val="0"/>
              <w:i w:val="0"/>
              <w:iCs w:val="0"/>
              <w:caps w:val="0"/>
              <w:sz w:val="24"/>
              <w:szCs w:val="24"/>
            </w:rPr>
          </w:pPr>
          <w:hyperlink w:anchor="_Toc101798502" w:history="1">
            <w:r w:rsidR="004C3206" w:rsidRPr="00226801">
              <w:rPr>
                <w:rStyle w:val="Hyperlink"/>
              </w:rPr>
              <w:t>1.</w:t>
            </w:r>
            <w:r w:rsidR="004C3206" w:rsidRPr="00226801">
              <w:rPr>
                <w:b w:val="0"/>
                <w:bCs w:val="0"/>
                <w:i w:val="0"/>
                <w:iCs w:val="0"/>
                <w:caps w:val="0"/>
                <w:sz w:val="24"/>
                <w:szCs w:val="24"/>
              </w:rPr>
              <w:tab/>
            </w:r>
            <w:r w:rsidR="004C3206" w:rsidRPr="00226801">
              <w:rPr>
                <w:rStyle w:val="Hyperlink"/>
              </w:rPr>
              <w:t>Introduction</w:t>
            </w:r>
            <w:r w:rsidR="004C3206" w:rsidRPr="00226801">
              <w:rPr>
                <w:webHidden/>
              </w:rPr>
              <w:tab/>
            </w:r>
            <w:r w:rsidR="004C3206" w:rsidRPr="00226801">
              <w:rPr>
                <w:webHidden/>
              </w:rPr>
              <w:fldChar w:fldCharType="begin"/>
            </w:r>
            <w:r w:rsidR="004C3206" w:rsidRPr="00226801">
              <w:rPr>
                <w:webHidden/>
              </w:rPr>
              <w:instrText xml:space="preserve"> PAGEREF _Toc101798502 \h </w:instrText>
            </w:r>
            <w:r w:rsidR="004C3206" w:rsidRPr="00226801">
              <w:rPr>
                <w:webHidden/>
              </w:rPr>
            </w:r>
            <w:r w:rsidR="004C3206" w:rsidRPr="00226801">
              <w:rPr>
                <w:webHidden/>
              </w:rPr>
              <w:fldChar w:fldCharType="separate"/>
            </w:r>
            <w:r w:rsidR="004C3206" w:rsidRPr="00226801">
              <w:rPr>
                <w:webHidden/>
              </w:rPr>
              <w:t>2</w:t>
            </w:r>
            <w:r w:rsidR="004C3206" w:rsidRPr="00226801">
              <w:rPr>
                <w:webHidden/>
              </w:rPr>
              <w:fldChar w:fldCharType="end"/>
            </w:r>
          </w:hyperlink>
        </w:p>
        <w:p w14:paraId="0BDDEFB2" w14:textId="77777777" w:rsidR="004C3206" w:rsidRPr="00226801" w:rsidRDefault="00F96EA7">
          <w:pPr>
            <w:pStyle w:val="TOC2"/>
            <w:tabs>
              <w:tab w:val="left" w:pos="960"/>
              <w:tab w:val="right" w:leader="dot" w:pos="9056"/>
            </w:tabs>
            <w:rPr>
              <w:i w:val="0"/>
              <w:iCs w:val="0"/>
              <w:smallCaps w:val="0"/>
              <w:sz w:val="24"/>
              <w:szCs w:val="24"/>
            </w:rPr>
          </w:pPr>
          <w:hyperlink w:anchor="_Toc101798503" w:history="1">
            <w:r w:rsidR="004C3206" w:rsidRPr="00226801">
              <w:rPr>
                <w:rStyle w:val="Hyperlink"/>
              </w:rPr>
              <w:t>1.1.</w:t>
            </w:r>
            <w:r w:rsidR="004C3206" w:rsidRPr="00226801">
              <w:rPr>
                <w:i w:val="0"/>
                <w:iCs w:val="0"/>
                <w:smallCaps w:val="0"/>
                <w:sz w:val="24"/>
                <w:szCs w:val="24"/>
              </w:rPr>
              <w:tab/>
            </w:r>
            <w:r w:rsidR="004C3206" w:rsidRPr="00226801">
              <w:rPr>
                <w:rStyle w:val="Hyperlink"/>
              </w:rPr>
              <w:t>Rationale for Rotavirus Vaccine Switch</w:t>
            </w:r>
            <w:r w:rsidR="004C3206" w:rsidRPr="00226801">
              <w:rPr>
                <w:webHidden/>
              </w:rPr>
              <w:tab/>
              <w:t>2</w:t>
            </w:r>
          </w:hyperlink>
        </w:p>
        <w:p w14:paraId="5C412799" w14:textId="77777777" w:rsidR="004C3206" w:rsidRPr="00226801" w:rsidRDefault="00F96EA7">
          <w:pPr>
            <w:pStyle w:val="TOC1"/>
            <w:tabs>
              <w:tab w:val="left" w:pos="480"/>
              <w:tab w:val="right" w:leader="dot" w:pos="9056"/>
            </w:tabs>
            <w:rPr>
              <w:b w:val="0"/>
              <w:bCs w:val="0"/>
              <w:i w:val="0"/>
              <w:iCs w:val="0"/>
              <w:caps w:val="0"/>
              <w:sz w:val="24"/>
              <w:szCs w:val="24"/>
            </w:rPr>
          </w:pPr>
          <w:hyperlink w:anchor="_Toc101798504" w:history="1">
            <w:r w:rsidR="004C3206" w:rsidRPr="00226801">
              <w:rPr>
                <w:rStyle w:val="Hyperlink"/>
              </w:rPr>
              <w:t>2.</w:t>
            </w:r>
            <w:r w:rsidR="004C3206" w:rsidRPr="00226801">
              <w:rPr>
                <w:b w:val="0"/>
                <w:bCs w:val="0"/>
                <w:i w:val="0"/>
                <w:iCs w:val="0"/>
                <w:caps w:val="0"/>
                <w:sz w:val="24"/>
                <w:szCs w:val="24"/>
              </w:rPr>
              <w:tab/>
            </w:r>
            <w:r w:rsidR="004C3206" w:rsidRPr="00226801">
              <w:rPr>
                <w:rStyle w:val="Hyperlink"/>
              </w:rPr>
              <w:t>Objectives</w:t>
            </w:r>
            <w:r w:rsidR="004C3206" w:rsidRPr="00226801">
              <w:rPr>
                <w:webHidden/>
              </w:rPr>
              <w:tab/>
              <w:t>2</w:t>
            </w:r>
          </w:hyperlink>
        </w:p>
        <w:p w14:paraId="4A9911AA" w14:textId="77777777" w:rsidR="004C3206" w:rsidRPr="00226801" w:rsidRDefault="00F96EA7">
          <w:pPr>
            <w:pStyle w:val="TOC2"/>
            <w:tabs>
              <w:tab w:val="left" w:pos="960"/>
              <w:tab w:val="right" w:leader="dot" w:pos="9056"/>
            </w:tabs>
            <w:rPr>
              <w:i w:val="0"/>
              <w:iCs w:val="0"/>
              <w:smallCaps w:val="0"/>
              <w:sz w:val="24"/>
              <w:szCs w:val="24"/>
            </w:rPr>
          </w:pPr>
          <w:hyperlink w:anchor="_Toc101798505" w:history="1">
            <w:r w:rsidR="004C3206" w:rsidRPr="00226801">
              <w:rPr>
                <w:rStyle w:val="Hyperlink"/>
              </w:rPr>
              <w:t>2.1.</w:t>
            </w:r>
            <w:r w:rsidR="004C3206" w:rsidRPr="00226801">
              <w:rPr>
                <w:i w:val="0"/>
                <w:iCs w:val="0"/>
                <w:smallCaps w:val="0"/>
                <w:sz w:val="24"/>
                <w:szCs w:val="24"/>
              </w:rPr>
              <w:tab/>
            </w:r>
            <w:r w:rsidR="004C3206" w:rsidRPr="00226801">
              <w:rPr>
                <w:rStyle w:val="Hyperlink"/>
              </w:rPr>
              <w:t>Overall objective</w:t>
            </w:r>
            <w:r w:rsidR="004C3206" w:rsidRPr="00226801">
              <w:rPr>
                <w:webHidden/>
              </w:rPr>
              <w:tab/>
              <w:t>2</w:t>
            </w:r>
          </w:hyperlink>
        </w:p>
        <w:p w14:paraId="6D4794FA" w14:textId="77777777" w:rsidR="004C3206" w:rsidRPr="00226801" w:rsidRDefault="00F96EA7">
          <w:pPr>
            <w:pStyle w:val="TOC2"/>
            <w:tabs>
              <w:tab w:val="left" w:pos="960"/>
              <w:tab w:val="right" w:leader="dot" w:pos="9056"/>
            </w:tabs>
            <w:rPr>
              <w:i w:val="0"/>
              <w:iCs w:val="0"/>
              <w:smallCaps w:val="0"/>
              <w:sz w:val="24"/>
              <w:szCs w:val="24"/>
            </w:rPr>
          </w:pPr>
          <w:hyperlink w:anchor="_Toc101798506" w:history="1">
            <w:r w:rsidR="004C3206" w:rsidRPr="00226801">
              <w:rPr>
                <w:rStyle w:val="Hyperlink"/>
              </w:rPr>
              <w:t>2.2.</w:t>
            </w:r>
            <w:r w:rsidR="004C3206" w:rsidRPr="00226801">
              <w:rPr>
                <w:i w:val="0"/>
                <w:iCs w:val="0"/>
                <w:smallCaps w:val="0"/>
                <w:sz w:val="24"/>
                <w:szCs w:val="24"/>
              </w:rPr>
              <w:tab/>
            </w:r>
            <w:r w:rsidR="004C3206" w:rsidRPr="00226801">
              <w:rPr>
                <w:rStyle w:val="Hyperlink"/>
              </w:rPr>
              <w:t>Specific objectives</w:t>
            </w:r>
            <w:r w:rsidR="004C3206" w:rsidRPr="00226801">
              <w:rPr>
                <w:webHidden/>
              </w:rPr>
              <w:tab/>
              <w:t>2</w:t>
            </w:r>
          </w:hyperlink>
        </w:p>
        <w:p w14:paraId="6E2B1C13" w14:textId="77777777" w:rsidR="004C3206" w:rsidRPr="00226801" w:rsidRDefault="00F96EA7">
          <w:pPr>
            <w:pStyle w:val="TOC1"/>
            <w:tabs>
              <w:tab w:val="left" w:pos="480"/>
              <w:tab w:val="right" w:leader="dot" w:pos="9056"/>
            </w:tabs>
            <w:rPr>
              <w:b w:val="0"/>
              <w:bCs w:val="0"/>
              <w:i w:val="0"/>
              <w:iCs w:val="0"/>
              <w:caps w:val="0"/>
              <w:sz w:val="24"/>
              <w:szCs w:val="24"/>
            </w:rPr>
          </w:pPr>
          <w:hyperlink w:anchor="_Toc101798507" w:history="1">
            <w:r w:rsidR="004C3206" w:rsidRPr="00226801">
              <w:rPr>
                <w:rStyle w:val="Hyperlink"/>
              </w:rPr>
              <w:t>3.</w:t>
            </w:r>
            <w:r w:rsidR="004C3206" w:rsidRPr="00226801">
              <w:rPr>
                <w:b w:val="0"/>
                <w:bCs w:val="0"/>
                <w:i w:val="0"/>
                <w:iCs w:val="0"/>
                <w:caps w:val="0"/>
                <w:sz w:val="24"/>
                <w:szCs w:val="24"/>
              </w:rPr>
              <w:tab/>
            </w:r>
            <w:r w:rsidR="004C3206" w:rsidRPr="00226801">
              <w:rPr>
                <w:rStyle w:val="Hyperlink"/>
              </w:rPr>
              <w:t>Strategic aspects and planned activities</w:t>
            </w:r>
            <w:r w:rsidR="004C3206" w:rsidRPr="00226801">
              <w:rPr>
                <w:webHidden/>
              </w:rPr>
              <w:tab/>
              <w:t>2</w:t>
            </w:r>
          </w:hyperlink>
        </w:p>
        <w:p w14:paraId="06E0FC6B" w14:textId="77777777" w:rsidR="004C3206" w:rsidRPr="00226801" w:rsidRDefault="00F96EA7">
          <w:pPr>
            <w:pStyle w:val="TOC2"/>
            <w:tabs>
              <w:tab w:val="left" w:pos="960"/>
              <w:tab w:val="right" w:leader="dot" w:pos="9056"/>
            </w:tabs>
            <w:rPr>
              <w:i w:val="0"/>
              <w:iCs w:val="0"/>
              <w:smallCaps w:val="0"/>
              <w:sz w:val="24"/>
              <w:szCs w:val="24"/>
            </w:rPr>
          </w:pPr>
          <w:hyperlink w:anchor="_Toc101798508" w:history="1">
            <w:r w:rsidR="004C3206" w:rsidRPr="00226801">
              <w:rPr>
                <w:rStyle w:val="Hyperlink"/>
              </w:rPr>
              <w:t>3.1.</w:t>
            </w:r>
            <w:r w:rsidR="004C3206" w:rsidRPr="00226801">
              <w:rPr>
                <w:i w:val="0"/>
                <w:iCs w:val="0"/>
                <w:smallCaps w:val="0"/>
                <w:sz w:val="24"/>
                <w:szCs w:val="24"/>
              </w:rPr>
              <w:tab/>
            </w:r>
            <w:r w:rsidR="004C3206" w:rsidRPr="00226801">
              <w:rPr>
                <w:rStyle w:val="Hyperlink"/>
              </w:rPr>
              <w:t>Information and capacity building of the personnel in charge of immunisation</w:t>
            </w:r>
            <w:r w:rsidR="004C3206" w:rsidRPr="00226801">
              <w:rPr>
                <w:webHidden/>
              </w:rPr>
              <w:tab/>
              <w:t>2</w:t>
            </w:r>
          </w:hyperlink>
        </w:p>
        <w:p w14:paraId="00403D90" w14:textId="77777777" w:rsidR="004C3206" w:rsidRPr="00226801" w:rsidRDefault="00F96EA7">
          <w:pPr>
            <w:pStyle w:val="TOC3"/>
            <w:tabs>
              <w:tab w:val="left" w:pos="1200"/>
              <w:tab w:val="right" w:leader="dot" w:pos="9056"/>
            </w:tabs>
            <w:rPr>
              <w:sz w:val="24"/>
              <w:szCs w:val="24"/>
            </w:rPr>
          </w:pPr>
          <w:hyperlink w:anchor="_Toc101798509" w:history="1">
            <w:r w:rsidR="004C3206" w:rsidRPr="00226801">
              <w:rPr>
                <w:rStyle w:val="Hyperlink"/>
              </w:rPr>
              <w:t>3.1.1.</w:t>
            </w:r>
            <w:r w:rsidR="004C3206" w:rsidRPr="00226801">
              <w:rPr>
                <w:sz w:val="24"/>
                <w:szCs w:val="24"/>
              </w:rPr>
              <w:tab/>
            </w:r>
            <w:r w:rsidR="004C3206" w:rsidRPr="00226801">
              <w:rPr>
                <w:rStyle w:val="Hyperlink"/>
              </w:rPr>
              <w:t>Immunisation in Practice</w:t>
            </w:r>
            <w:r w:rsidR="004C3206" w:rsidRPr="00226801">
              <w:rPr>
                <w:webHidden/>
              </w:rPr>
              <w:tab/>
              <w:t>3</w:t>
            </w:r>
          </w:hyperlink>
        </w:p>
        <w:p w14:paraId="3B8662A1" w14:textId="77777777" w:rsidR="004C3206" w:rsidRPr="00226801" w:rsidRDefault="00F96EA7">
          <w:pPr>
            <w:pStyle w:val="TOC3"/>
            <w:tabs>
              <w:tab w:val="left" w:pos="1200"/>
              <w:tab w:val="right" w:leader="dot" w:pos="9056"/>
            </w:tabs>
            <w:rPr>
              <w:sz w:val="24"/>
              <w:szCs w:val="24"/>
            </w:rPr>
          </w:pPr>
          <w:hyperlink w:anchor="_Toc101798510" w:history="1">
            <w:r w:rsidR="004C3206" w:rsidRPr="00226801">
              <w:rPr>
                <w:rStyle w:val="Hyperlink"/>
              </w:rPr>
              <w:t>3.1.2.</w:t>
            </w:r>
            <w:r w:rsidR="004C3206" w:rsidRPr="00226801">
              <w:rPr>
                <w:sz w:val="24"/>
                <w:szCs w:val="24"/>
              </w:rPr>
              <w:tab/>
            </w:r>
            <w:r w:rsidR="004C3206" w:rsidRPr="00226801">
              <w:rPr>
                <w:rStyle w:val="Hyperlink"/>
              </w:rPr>
              <w:t>Management of any Adverse Events Following Immunisation (AEFI) and Adverse Events of Special Interest (AESI)</w:t>
            </w:r>
            <w:r w:rsidR="004C3206" w:rsidRPr="00226801">
              <w:rPr>
                <w:webHidden/>
              </w:rPr>
              <w:tab/>
              <w:t>5</w:t>
            </w:r>
          </w:hyperlink>
        </w:p>
        <w:p w14:paraId="2D827F80" w14:textId="77777777" w:rsidR="004C3206" w:rsidRPr="00226801" w:rsidRDefault="00F96EA7">
          <w:pPr>
            <w:pStyle w:val="TOC2"/>
            <w:tabs>
              <w:tab w:val="left" w:pos="960"/>
              <w:tab w:val="right" w:leader="dot" w:pos="9056"/>
            </w:tabs>
            <w:rPr>
              <w:i w:val="0"/>
              <w:iCs w:val="0"/>
              <w:smallCaps w:val="0"/>
              <w:sz w:val="24"/>
              <w:szCs w:val="24"/>
            </w:rPr>
          </w:pPr>
          <w:hyperlink w:anchor="_Toc101798511" w:history="1">
            <w:r w:rsidR="004C3206" w:rsidRPr="00226801">
              <w:rPr>
                <w:rStyle w:val="Hyperlink"/>
              </w:rPr>
              <w:t>3.2.</w:t>
            </w:r>
            <w:r w:rsidR="004C3206" w:rsidRPr="00226801">
              <w:rPr>
                <w:i w:val="0"/>
                <w:iCs w:val="0"/>
                <w:smallCaps w:val="0"/>
                <w:sz w:val="24"/>
                <w:szCs w:val="24"/>
              </w:rPr>
              <w:tab/>
            </w:r>
            <w:r w:rsidR="004C3206" w:rsidRPr="00226801">
              <w:rPr>
                <w:rStyle w:val="Hyperlink"/>
              </w:rPr>
              <w:t>Target community and child guardian information</w:t>
            </w:r>
            <w:r w:rsidR="004C3206" w:rsidRPr="00226801">
              <w:rPr>
                <w:webHidden/>
              </w:rPr>
              <w:tab/>
              <w:t>6</w:t>
            </w:r>
          </w:hyperlink>
        </w:p>
        <w:p w14:paraId="02621E88" w14:textId="77777777" w:rsidR="004C3206" w:rsidRPr="00226801" w:rsidRDefault="00F96EA7">
          <w:pPr>
            <w:pStyle w:val="TOC3"/>
            <w:tabs>
              <w:tab w:val="left" w:pos="1200"/>
              <w:tab w:val="right" w:leader="dot" w:pos="9056"/>
            </w:tabs>
            <w:rPr>
              <w:sz w:val="24"/>
              <w:szCs w:val="24"/>
            </w:rPr>
          </w:pPr>
          <w:hyperlink w:anchor="_Toc101798512" w:history="1">
            <w:r w:rsidR="004C3206" w:rsidRPr="00226801">
              <w:rPr>
                <w:rStyle w:val="Hyperlink"/>
              </w:rPr>
              <w:t>3.2.1.</w:t>
            </w:r>
            <w:r w:rsidR="004C3206" w:rsidRPr="00226801">
              <w:rPr>
                <w:sz w:val="24"/>
                <w:szCs w:val="24"/>
              </w:rPr>
              <w:tab/>
            </w:r>
            <w:r w:rsidR="004C3206" w:rsidRPr="00226801">
              <w:rPr>
                <w:rStyle w:val="Hyperlink"/>
              </w:rPr>
              <w:t>Context and current social environment</w:t>
            </w:r>
            <w:r w:rsidR="004C3206" w:rsidRPr="00226801">
              <w:rPr>
                <w:webHidden/>
              </w:rPr>
              <w:tab/>
              <w:t>6</w:t>
            </w:r>
          </w:hyperlink>
        </w:p>
        <w:p w14:paraId="0939F065" w14:textId="77777777" w:rsidR="004C3206" w:rsidRPr="00226801" w:rsidRDefault="00F96EA7">
          <w:pPr>
            <w:pStyle w:val="TOC3"/>
            <w:tabs>
              <w:tab w:val="left" w:pos="1200"/>
              <w:tab w:val="right" w:leader="dot" w:pos="9056"/>
            </w:tabs>
            <w:rPr>
              <w:sz w:val="24"/>
              <w:szCs w:val="24"/>
            </w:rPr>
          </w:pPr>
          <w:hyperlink w:anchor="_Toc101798513" w:history="1">
            <w:r w:rsidR="004C3206" w:rsidRPr="00226801">
              <w:rPr>
                <w:rStyle w:val="Hyperlink"/>
              </w:rPr>
              <w:t>3.2.2.</w:t>
            </w:r>
            <w:r w:rsidR="004C3206" w:rsidRPr="00226801">
              <w:rPr>
                <w:sz w:val="24"/>
                <w:szCs w:val="24"/>
              </w:rPr>
              <w:tab/>
            </w:r>
            <w:r w:rsidR="004C3206" w:rsidRPr="00226801">
              <w:rPr>
                <w:rStyle w:val="Hyperlink"/>
              </w:rPr>
              <w:t>Planned communication activities</w:t>
            </w:r>
            <w:r w:rsidR="004C3206" w:rsidRPr="00226801">
              <w:rPr>
                <w:webHidden/>
              </w:rPr>
              <w:tab/>
              <w:t>6</w:t>
            </w:r>
          </w:hyperlink>
        </w:p>
        <w:p w14:paraId="0EC813E2" w14:textId="77777777" w:rsidR="004C3206" w:rsidRPr="00226801" w:rsidRDefault="00F96EA7">
          <w:pPr>
            <w:pStyle w:val="TOC2"/>
            <w:tabs>
              <w:tab w:val="left" w:pos="960"/>
              <w:tab w:val="right" w:leader="dot" w:pos="9056"/>
            </w:tabs>
            <w:rPr>
              <w:i w:val="0"/>
              <w:iCs w:val="0"/>
              <w:smallCaps w:val="0"/>
              <w:sz w:val="24"/>
              <w:szCs w:val="24"/>
            </w:rPr>
          </w:pPr>
          <w:hyperlink w:anchor="_Toc101798514" w:history="1">
            <w:r w:rsidR="004C3206" w:rsidRPr="00226801">
              <w:rPr>
                <w:rStyle w:val="Hyperlink"/>
              </w:rPr>
              <w:t>1.1.</w:t>
            </w:r>
            <w:r w:rsidR="004C3206" w:rsidRPr="00226801">
              <w:rPr>
                <w:i w:val="0"/>
                <w:iCs w:val="0"/>
                <w:smallCaps w:val="0"/>
                <w:sz w:val="24"/>
                <w:szCs w:val="24"/>
              </w:rPr>
              <w:tab/>
            </w:r>
            <w:r w:rsidR="004C3206" w:rsidRPr="00226801">
              <w:rPr>
                <w:rStyle w:val="Hyperlink"/>
              </w:rPr>
              <w:t>Vaccine supply and stock management</w:t>
            </w:r>
            <w:r w:rsidR="004C3206" w:rsidRPr="00226801">
              <w:rPr>
                <w:webHidden/>
              </w:rPr>
              <w:tab/>
              <w:t>8</w:t>
            </w:r>
          </w:hyperlink>
        </w:p>
        <w:p w14:paraId="2CAF909F" w14:textId="77777777" w:rsidR="004C3206" w:rsidRPr="00226801" w:rsidRDefault="00F96EA7">
          <w:pPr>
            <w:pStyle w:val="TOC3"/>
            <w:tabs>
              <w:tab w:val="left" w:pos="1200"/>
              <w:tab w:val="right" w:leader="dot" w:pos="9056"/>
            </w:tabs>
            <w:rPr>
              <w:sz w:val="24"/>
              <w:szCs w:val="24"/>
            </w:rPr>
          </w:pPr>
          <w:hyperlink w:anchor="_Toc101798515" w:history="1">
            <w:r w:rsidR="004C3206" w:rsidRPr="00226801">
              <w:rPr>
                <w:rStyle w:val="Hyperlink"/>
              </w:rPr>
              <w:t>1.1.1.</w:t>
            </w:r>
            <w:r w:rsidR="004C3206" w:rsidRPr="00226801">
              <w:rPr>
                <w:sz w:val="24"/>
                <w:szCs w:val="24"/>
              </w:rPr>
              <w:tab/>
            </w:r>
            <w:r w:rsidR="004C3206" w:rsidRPr="00226801">
              <w:rPr>
                <w:rStyle w:val="Hyperlink"/>
              </w:rPr>
              <w:t>Organisation of the supply chain</w:t>
            </w:r>
            <w:r w:rsidR="004C3206" w:rsidRPr="00226801">
              <w:rPr>
                <w:webHidden/>
              </w:rPr>
              <w:tab/>
              <w:t>8</w:t>
            </w:r>
          </w:hyperlink>
        </w:p>
        <w:p w14:paraId="664BF1F3" w14:textId="77777777" w:rsidR="004C3206" w:rsidRPr="00226801" w:rsidRDefault="00F96EA7">
          <w:pPr>
            <w:pStyle w:val="TOC3"/>
            <w:tabs>
              <w:tab w:val="left" w:pos="1200"/>
              <w:tab w:val="right" w:leader="dot" w:pos="9056"/>
            </w:tabs>
            <w:rPr>
              <w:sz w:val="24"/>
              <w:szCs w:val="24"/>
            </w:rPr>
          </w:pPr>
          <w:hyperlink w:anchor="_Toc101798516" w:history="1">
            <w:r w:rsidR="004C3206" w:rsidRPr="00226801">
              <w:rPr>
                <w:rStyle w:val="Hyperlink"/>
              </w:rPr>
              <w:t>1.1.2.</w:t>
            </w:r>
            <w:r w:rsidR="004C3206" w:rsidRPr="00226801">
              <w:rPr>
                <w:sz w:val="24"/>
                <w:szCs w:val="24"/>
              </w:rPr>
              <w:tab/>
            </w:r>
            <w:r w:rsidR="004C3206" w:rsidRPr="00226801">
              <w:rPr>
                <w:rStyle w:val="Hyperlink"/>
              </w:rPr>
              <w:t>Planned logistic</w:t>
            </w:r>
            <w:r w:rsidR="005304F3">
              <w:rPr>
                <w:rStyle w:val="Hyperlink"/>
              </w:rPr>
              <w:t>s</w:t>
            </w:r>
            <w:r w:rsidR="004C3206" w:rsidRPr="00226801">
              <w:rPr>
                <w:rStyle w:val="Hyperlink"/>
              </w:rPr>
              <w:t xml:space="preserve"> activities for the switch</w:t>
            </w:r>
            <w:r w:rsidR="004C3206" w:rsidRPr="00226801">
              <w:rPr>
                <w:webHidden/>
              </w:rPr>
              <w:tab/>
              <w:t>8</w:t>
            </w:r>
          </w:hyperlink>
        </w:p>
        <w:p w14:paraId="0A8DD2BB" w14:textId="77777777" w:rsidR="004C3206" w:rsidRPr="00226801" w:rsidRDefault="00F96EA7">
          <w:pPr>
            <w:pStyle w:val="TOC2"/>
            <w:tabs>
              <w:tab w:val="left" w:pos="960"/>
              <w:tab w:val="right" w:leader="dot" w:pos="9056"/>
            </w:tabs>
            <w:rPr>
              <w:i w:val="0"/>
              <w:iCs w:val="0"/>
              <w:smallCaps w:val="0"/>
              <w:sz w:val="24"/>
              <w:szCs w:val="24"/>
            </w:rPr>
          </w:pPr>
          <w:hyperlink w:anchor="_Toc101798517" w:history="1">
            <w:r w:rsidR="004C3206" w:rsidRPr="00226801">
              <w:rPr>
                <w:rStyle w:val="Hyperlink"/>
              </w:rPr>
              <w:t>1.2.</w:t>
            </w:r>
            <w:r w:rsidR="004C3206" w:rsidRPr="00226801">
              <w:rPr>
                <w:i w:val="0"/>
                <w:iCs w:val="0"/>
                <w:smallCaps w:val="0"/>
                <w:sz w:val="24"/>
                <w:szCs w:val="24"/>
              </w:rPr>
              <w:tab/>
            </w:r>
            <w:r w:rsidR="004C3206" w:rsidRPr="00226801">
              <w:rPr>
                <w:rStyle w:val="Hyperlink"/>
              </w:rPr>
              <w:t>Data management and performance monitoring</w:t>
            </w:r>
            <w:r w:rsidR="004C3206" w:rsidRPr="00226801">
              <w:rPr>
                <w:webHidden/>
              </w:rPr>
              <w:tab/>
              <w:t>8</w:t>
            </w:r>
          </w:hyperlink>
        </w:p>
        <w:p w14:paraId="7DDA0AD3" w14:textId="77777777" w:rsidR="004C3206" w:rsidRPr="00226801" w:rsidRDefault="00F96EA7">
          <w:pPr>
            <w:pStyle w:val="TOC1"/>
            <w:tabs>
              <w:tab w:val="left" w:pos="480"/>
              <w:tab w:val="right" w:leader="dot" w:pos="9056"/>
            </w:tabs>
            <w:rPr>
              <w:b w:val="0"/>
              <w:bCs w:val="0"/>
              <w:i w:val="0"/>
              <w:iCs w:val="0"/>
              <w:caps w:val="0"/>
              <w:sz w:val="24"/>
              <w:szCs w:val="24"/>
            </w:rPr>
          </w:pPr>
          <w:hyperlink w:anchor="_Toc101798518" w:history="1">
            <w:r w:rsidR="004C3206" w:rsidRPr="00226801">
              <w:rPr>
                <w:rStyle w:val="Hyperlink"/>
              </w:rPr>
              <w:t>2.</w:t>
            </w:r>
            <w:r w:rsidR="004C3206" w:rsidRPr="00226801">
              <w:rPr>
                <w:b w:val="0"/>
                <w:bCs w:val="0"/>
                <w:i w:val="0"/>
                <w:iCs w:val="0"/>
                <w:caps w:val="0"/>
                <w:sz w:val="24"/>
                <w:szCs w:val="24"/>
              </w:rPr>
              <w:tab/>
            </w:r>
            <w:r w:rsidR="004C3206" w:rsidRPr="00226801">
              <w:rPr>
                <w:rStyle w:val="Hyperlink"/>
              </w:rPr>
              <w:t>Activity timeline</w:t>
            </w:r>
            <w:r w:rsidR="004C3206" w:rsidRPr="00226801">
              <w:rPr>
                <w:webHidden/>
              </w:rPr>
              <w:tab/>
              <w:t>9</w:t>
            </w:r>
          </w:hyperlink>
        </w:p>
        <w:p w14:paraId="30DE3804" w14:textId="77777777" w:rsidR="004C3206" w:rsidRPr="00226801" w:rsidRDefault="00F96EA7">
          <w:pPr>
            <w:pStyle w:val="TOC1"/>
            <w:tabs>
              <w:tab w:val="left" w:pos="480"/>
              <w:tab w:val="right" w:leader="dot" w:pos="9056"/>
            </w:tabs>
            <w:rPr>
              <w:b w:val="0"/>
              <w:bCs w:val="0"/>
              <w:i w:val="0"/>
              <w:iCs w:val="0"/>
              <w:caps w:val="0"/>
              <w:sz w:val="24"/>
              <w:szCs w:val="24"/>
            </w:rPr>
          </w:pPr>
          <w:hyperlink w:anchor="_Toc101798519" w:history="1">
            <w:r w:rsidR="004C3206" w:rsidRPr="00226801">
              <w:rPr>
                <w:rStyle w:val="Hyperlink"/>
              </w:rPr>
              <w:t>3.</w:t>
            </w:r>
            <w:r w:rsidR="004C3206" w:rsidRPr="00226801">
              <w:rPr>
                <w:b w:val="0"/>
                <w:bCs w:val="0"/>
                <w:i w:val="0"/>
                <w:iCs w:val="0"/>
                <w:caps w:val="0"/>
                <w:sz w:val="24"/>
                <w:szCs w:val="24"/>
              </w:rPr>
              <w:tab/>
            </w:r>
            <w:r w:rsidR="004C3206" w:rsidRPr="00226801">
              <w:rPr>
                <w:rStyle w:val="Hyperlink"/>
              </w:rPr>
              <w:t>Budget</w:t>
            </w:r>
            <w:r w:rsidR="004C3206" w:rsidRPr="00226801">
              <w:rPr>
                <w:webHidden/>
              </w:rPr>
              <w:tab/>
              <w:t>9</w:t>
            </w:r>
          </w:hyperlink>
        </w:p>
        <w:p w14:paraId="5817B291" w14:textId="77777777" w:rsidR="004C3206" w:rsidRPr="00226801" w:rsidRDefault="00F96EA7">
          <w:pPr>
            <w:pStyle w:val="TOC1"/>
            <w:tabs>
              <w:tab w:val="left" w:pos="480"/>
              <w:tab w:val="right" w:leader="dot" w:pos="9056"/>
            </w:tabs>
            <w:rPr>
              <w:b w:val="0"/>
              <w:bCs w:val="0"/>
              <w:i w:val="0"/>
              <w:iCs w:val="0"/>
              <w:caps w:val="0"/>
              <w:sz w:val="24"/>
              <w:szCs w:val="24"/>
            </w:rPr>
          </w:pPr>
          <w:hyperlink w:anchor="_Toc101798520" w:history="1">
            <w:r w:rsidR="004C3206" w:rsidRPr="00226801">
              <w:rPr>
                <w:rStyle w:val="Hyperlink"/>
              </w:rPr>
              <w:t>4.</w:t>
            </w:r>
            <w:r w:rsidR="004C3206" w:rsidRPr="00226801">
              <w:rPr>
                <w:b w:val="0"/>
                <w:bCs w:val="0"/>
                <w:i w:val="0"/>
                <w:iCs w:val="0"/>
                <w:caps w:val="0"/>
                <w:sz w:val="24"/>
                <w:szCs w:val="24"/>
              </w:rPr>
              <w:tab/>
            </w:r>
            <w:r w:rsidR="004C3206" w:rsidRPr="00226801">
              <w:rPr>
                <w:rStyle w:val="Hyperlink"/>
              </w:rPr>
              <w:t>Monitoring-Evaluation framework</w:t>
            </w:r>
            <w:r w:rsidR="004C3206" w:rsidRPr="00226801">
              <w:rPr>
                <w:webHidden/>
              </w:rPr>
              <w:tab/>
              <w:t>11</w:t>
            </w:r>
          </w:hyperlink>
        </w:p>
        <w:p w14:paraId="202A3899" w14:textId="77777777" w:rsidR="00176294" w:rsidRPr="00226801" w:rsidRDefault="00F96EA7">
          <w:pPr>
            <w:rPr>
              <w:rFonts w:asciiTheme="minorHAnsi" w:hAnsiTheme="minorHAnsi" w:cstheme="minorHAnsi"/>
            </w:rPr>
          </w:pPr>
        </w:p>
      </w:sdtContent>
    </w:sdt>
    <w:p w14:paraId="0ECA09D8" w14:textId="77777777" w:rsidR="00F96AF8" w:rsidRPr="00226801" w:rsidRDefault="00F96AF8" w:rsidP="00F96AF8">
      <w:pPr>
        <w:jc w:val="center"/>
        <w:rPr>
          <w:rFonts w:asciiTheme="minorHAnsi" w:hAnsiTheme="minorHAnsi" w:cstheme="minorHAnsi"/>
          <w:b/>
          <w:bCs/>
        </w:rPr>
      </w:pPr>
    </w:p>
    <w:p w14:paraId="77E86926" w14:textId="77777777" w:rsidR="00F96AF8" w:rsidRPr="00226801" w:rsidRDefault="00F96AF8" w:rsidP="00F96AF8">
      <w:pPr>
        <w:jc w:val="center"/>
        <w:rPr>
          <w:rFonts w:asciiTheme="minorHAnsi" w:hAnsiTheme="minorHAnsi" w:cstheme="minorHAnsi"/>
          <w:b/>
          <w:bCs/>
        </w:rPr>
      </w:pPr>
    </w:p>
    <w:p w14:paraId="2A16D429" w14:textId="77777777" w:rsidR="00176294" w:rsidRPr="005304F3" w:rsidRDefault="00176294" w:rsidP="007B6BFD">
      <w:pPr>
        <w:tabs>
          <w:tab w:val="left" w:pos="2323"/>
        </w:tabs>
        <w:rPr>
          <w:rFonts w:asciiTheme="minorHAnsi" w:hAnsiTheme="minorHAnsi" w:cstheme="minorHAnsi"/>
          <w:b/>
          <w:bCs/>
        </w:rPr>
      </w:pPr>
      <w:r w:rsidRPr="00E00A22">
        <w:rPr>
          <w:rFonts w:asciiTheme="minorHAnsi" w:hAnsiTheme="minorHAnsi" w:cstheme="minorHAnsi"/>
        </w:rPr>
        <w:br w:type="page"/>
      </w:r>
    </w:p>
    <w:p w14:paraId="48D5FE63" w14:textId="77777777" w:rsidR="00560502" w:rsidRPr="005304F3" w:rsidRDefault="00F8762F" w:rsidP="008E5326">
      <w:pPr>
        <w:pStyle w:val="Heading1"/>
        <w:numPr>
          <w:ilvl w:val="0"/>
          <w:numId w:val="3"/>
        </w:numPr>
        <w:rPr>
          <w:rFonts w:asciiTheme="minorHAnsi" w:hAnsiTheme="minorHAnsi" w:cstheme="minorHAnsi"/>
          <w:sz w:val="24"/>
          <w:szCs w:val="24"/>
        </w:rPr>
      </w:pPr>
      <w:bookmarkStart w:id="0" w:name="_Toc101798502"/>
      <w:r w:rsidRPr="005304F3">
        <w:rPr>
          <w:rFonts w:asciiTheme="minorHAnsi" w:hAnsiTheme="minorHAnsi" w:cstheme="minorHAnsi"/>
          <w:sz w:val="24"/>
        </w:rPr>
        <w:lastRenderedPageBreak/>
        <w:t>Introduction</w:t>
      </w:r>
      <w:bookmarkEnd w:id="0"/>
    </w:p>
    <w:p w14:paraId="548CFF78" w14:textId="77777777" w:rsidR="00F8762F" w:rsidRPr="00226801" w:rsidRDefault="00F8762F" w:rsidP="008E5326">
      <w:pPr>
        <w:pStyle w:val="Heading2"/>
        <w:numPr>
          <w:ilvl w:val="1"/>
          <w:numId w:val="3"/>
        </w:numPr>
        <w:rPr>
          <w:rFonts w:asciiTheme="minorHAnsi" w:hAnsiTheme="minorHAnsi" w:cstheme="minorHAnsi"/>
          <w:sz w:val="24"/>
          <w:szCs w:val="24"/>
        </w:rPr>
      </w:pPr>
      <w:bookmarkStart w:id="1" w:name="_Toc101798503"/>
      <w:r w:rsidRPr="00E00A22">
        <w:rPr>
          <w:rFonts w:asciiTheme="minorHAnsi" w:hAnsiTheme="minorHAnsi" w:cstheme="minorHAnsi"/>
          <w:sz w:val="24"/>
        </w:rPr>
        <w:t>Rationale for Rotavirus Vaccine Switch</w:t>
      </w:r>
      <w:bookmarkEnd w:id="1"/>
    </w:p>
    <w:p w14:paraId="403180D3" w14:textId="77777777" w:rsidR="00F8762F" w:rsidRPr="00226801" w:rsidRDefault="001D3C54" w:rsidP="00D50A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76" w:lineRule="auto"/>
        <w:jc w:val="both"/>
        <w:rPr>
          <w:rFonts w:asciiTheme="minorHAnsi" w:hAnsiTheme="minorHAnsi" w:cstheme="minorHAnsi"/>
          <w:i/>
          <w:color w:val="000000" w:themeColor="text1"/>
        </w:rPr>
      </w:pPr>
      <w:r w:rsidRPr="00E00A22">
        <w:rPr>
          <w:rFonts w:asciiTheme="minorHAnsi" w:hAnsiTheme="minorHAnsi" w:cstheme="minorHAnsi"/>
          <w:color w:val="000000" w:themeColor="text1"/>
        </w:rPr>
        <w:t xml:space="preserve">A rotavirus vaccine switch is needed due to </w:t>
      </w:r>
      <w:r w:rsidR="006D6D93" w:rsidRPr="00E00A22">
        <w:rPr>
          <w:rFonts w:asciiTheme="minorHAnsi" w:hAnsiTheme="minorHAnsi" w:cstheme="minorHAnsi"/>
          <w:color w:val="000000" w:themeColor="text1"/>
        </w:rPr>
        <w:t>current limits on vaccine supplies.</w:t>
      </w:r>
    </w:p>
    <w:p w14:paraId="4627FD83" w14:textId="77777777" w:rsidR="00F8762F" w:rsidRPr="00226801" w:rsidRDefault="00F8762F" w:rsidP="00D50A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76" w:lineRule="auto"/>
        <w:jc w:val="both"/>
        <w:rPr>
          <w:rFonts w:asciiTheme="minorHAnsi" w:hAnsiTheme="minorHAnsi" w:cstheme="minorHAnsi"/>
          <w:i/>
          <w:iCs/>
          <w:color w:val="000000" w:themeColor="text1"/>
        </w:rPr>
      </w:pPr>
      <w:r w:rsidRPr="00E00A22">
        <w:rPr>
          <w:rFonts w:asciiTheme="minorHAnsi" w:hAnsiTheme="minorHAnsi" w:cstheme="minorHAnsi"/>
          <w:color w:val="000000" w:themeColor="text1"/>
        </w:rPr>
        <w:t xml:space="preserve">The available options were </w:t>
      </w:r>
      <w:r w:rsidR="001D3C54" w:rsidRPr="00E00A22">
        <w:rPr>
          <w:rFonts w:asciiTheme="minorHAnsi" w:hAnsiTheme="minorHAnsi" w:cstheme="minorHAnsi"/>
          <w:color w:val="000000" w:themeColor="text1"/>
        </w:rPr>
        <w:t xml:space="preserve">reviewed </w:t>
      </w:r>
      <w:r w:rsidRPr="00E00A22">
        <w:rPr>
          <w:rFonts w:asciiTheme="minorHAnsi" w:hAnsiTheme="minorHAnsi" w:cstheme="minorHAnsi"/>
          <w:color w:val="000000" w:themeColor="text1"/>
        </w:rPr>
        <w:t>in June 2021</w:t>
      </w:r>
      <w:r w:rsidR="004C3206" w:rsidRPr="00E00A22">
        <w:rPr>
          <w:rFonts w:asciiTheme="minorHAnsi" w:hAnsiTheme="minorHAnsi" w:cstheme="minorHAnsi"/>
          <w:color w:val="000000" w:themeColor="text1"/>
        </w:rPr>
        <w:t>.</w:t>
      </w:r>
      <w:r w:rsidRPr="00E00A22">
        <w:rPr>
          <w:rFonts w:asciiTheme="minorHAnsi" w:hAnsiTheme="minorHAnsi" w:cstheme="minorHAnsi"/>
          <w:color w:val="000000" w:themeColor="text1"/>
        </w:rPr>
        <w:t xml:space="preserve"> The first preference includes four different presentations, with two supplemental presentations as an emergency option (second preference) in the event the first is not available.</w:t>
      </w:r>
    </w:p>
    <w:p w14:paraId="073562C9" w14:textId="77777777" w:rsidR="002169C2" w:rsidRPr="00226801" w:rsidRDefault="006D6D93" w:rsidP="00D50A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76" w:lineRule="auto"/>
        <w:jc w:val="both"/>
        <w:rPr>
          <w:rFonts w:asciiTheme="minorHAnsi" w:hAnsiTheme="minorHAnsi" w:cstheme="minorHAnsi"/>
          <w:i/>
          <w:iCs/>
          <w:color w:val="000000" w:themeColor="text1"/>
        </w:rPr>
      </w:pPr>
      <w:r w:rsidRPr="00E00A22">
        <w:rPr>
          <w:rFonts w:asciiTheme="minorHAnsi" w:hAnsiTheme="minorHAnsi" w:cstheme="minorHAnsi"/>
          <w:color w:val="000000" w:themeColor="text1"/>
        </w:rPr>
        <w:t>The</w:t>
      </w:r>
      <w:r w:rsidR="002169C2" w:rsidRPr="00E00A22">
        <w:rPr>
          <w:rFonts w:asciiTheme="minorHAnsi" w:hAnsiTheme="minorHAnsi" w:cstheme="minorHAnsi"/>
          <w:color w:val="000000" w:themeColor="text1"/>
        </w:rPr>
        <w:t xml:space="preserve"> National Immunisation Technical Advisory Group (NITAG) </w:t>
      </w:r>
      <w:r w:rsidRPr="00E00A22">
        <w:rPr>
          <w:rFonts w:asciiTheme="minorHAnsi" w:hAnsiTheme="minorHAnsi" w:cstheme="minorHAnsi"/>
          <w:color w:val="000000" w:themeColor="text1"/>
        </w:rPr>
        <w:t xml:space="preserve">held a special session, </w:t>
      </w:r>
      <w:r w:rsidR="002169C2" w:rsidRPr="00E00A22">
        <w:rPr>
          <w:rFonts w:asciiTheme="minorHAnsi" w:hAnsiTheme="minorHAnsi" w:cstheme="minorHAnsi"/>
          <w:color w:val="000000" w:themeColor="text1"/>
        </w:rPr>
        <w:t xml:space="preserve">in which the pertinence of the rotavirus vaccine </w:t>
      </w:r>
      <w:r w:rsidRPr="00E00A22">
        <w:rPr>
          <w:rFonts w:asciiTheme="minorHAnsi" w:hAnsiTheme="minorHAnsi" w:cstheme="minorHAnsi"/>
          <w:color w:val="000000" w:themeColor="text1"/>
        </w:rPr>
        <w:t>switch</w:t>
      </w:r>
      <w:r w:rsidRPr="005304F3">
        <w:rPr>
          <w:rFonts w:asciiTheme="minorHAnsi" w:hAnsiTheme="minorHAnsi" w:cstheme="minorHAnsi"/>
          <w:color w:val="000000" w:themeColor="text1"/>
        </w:rPr>
        <w:t xml:space="preserve"> </w:t>
      </w:r>
      <w:r w:rsidR="002169C2" w:rsidRPr="005304F3">
        <w:rPr>
          <w:rFonts w:asciiTheme="minorHAnsi" w:hAnsiTheme="minorHAnsi" w:cstheme="minorHAnsi"/>
          <w:color w:val="000000" w:themeColor="text1"/>
        </w:rPr>
        <w:t>was</w:t>
      </w:r>
      <w:r w:rsidR="002169C2" w:rsidRPr="00E00A22">
        <w:rPr>
          <w:rFonts w:asciiTheme="minorHAnsi" w:hAnsiTheme="minorHAnsi" w:cstheme="minorHAnsi"/>
          <w:color w:val="000000" w:themeColor="text1"/>
        </w:rPr>
        <w:t xml:space="preserve"> </w:t>
      </w:r>
      <w:proofErr w:type="gramStart"/>
      <w:r w:rsidR="002169C2" w:rsidRPr="00E00A22">
        <w:rPr>
          <w:rFonts w:asciiTheme="minorHAnsi" w:hAnsiTheme="minorHAnsi" w:cstheme="minorHAnsi"/>
          <w:color w:val="000000" w:themeColor="text1"/>
        </w:rPr>
        <w:t>recognised</w:t>
      </w:r>
      <w:proofErr w:type="gramEnd"/>
      <w:r w:rsidR="002169C2" w:rsidRPr="00E00A22">
        <w:rPr>
          <w:rFonts w:asciiTheme="minorHAnsi" w:hAnsiTheme="minorHAnsi" w:cstheme="minorHAnsi"/>
          <w:color w:val="000000" w:themeColor="text1"/>
        </w:rPr>
        <w:t xml:space="preserve"> and two options were proposed</w:t>
      </w:r>
      <w:r w:rsidRPr="00E00A22">
        <w:rPr>
          <w:rFonts w:asciiTheme="minorHAnsi" w:hAnsiTheme="minorHAnsi" w:cstheme="minorHAnsi"/>
          <w:color w:val="000000" w:themeColor="text1"/>
        </w:rPr>
        <w:t xml:space="preserve">. The </w:t>
      </w:r>
      <w:r w:rsidR="002169C2" w:rsidRPr="00E00A22">
        <w:rPr>
          <w:rFonts w:asciiTheme="minorHAnsi" w:hAnsiTheme="minorHAnsi" w:cstheme="minorHAnsi"/>
          <w:color w:val="000000" w:themeColor="text1"/>
        </w:rPr>
        <w:t xml:space="preserve">Inter-Agency Coordinating Committee (ICC) </w:t>
      </w:r>
      <w:r w:rsidRPr="00E00A22">
        <w:rPr>
          <w:rFonts w:asciiTheme="minorHAnsi" w:hAnsiTheme="minorHAnsi" w:cstheme="minorHAnsi"/>
          <w:color w:val="000000" w:themeColor="text1"/>
        </w:rPr>
        <w:t xml:space="preserve">then </w:t>
      </w:r>
      <w:r w:rsidR="002169C2" w:rsidRPr="00E00A22">
        <w:rPr>
          <w:rFonts w:asciiTheme="minorHAnsi" w:hAnsiTheme="minorHAnsi" w:cstheme="minorHAnsi"/>
          <w:color w:val="000000" w:themeColor="text1"/>
        </w:rPr>
        <w:t xml:space="preserve">approved liquid </w:t>
      </w:r>
      <w:proofErr w:type="spellStart"/>
      <w:r w:rsidR="002169C2" w:rsidRPr="00E00A22">
        <w:rPr>
          <w:rFonts w:asciiTheme="minorHAnsi" w:hAnsiTheme="minorHAnsi" w:cstheme="minorHAnsi"/>
          <w:color w:val="000000" w:themeColor="text1"/>
        </w:rPr>
        <w:t>Rotasiil</w:t>
      </w:r>
      <w:proofErr w:type="spellEnd"/>
      <w:r w:rsidR="002169C2" w:rsidRPr="00E00A22">
        <w:rPr>
          <w:rFonts w:asciiTheme="minorHAnsi" w:hAnsiTheme="minorHAnsi" w:cstheme="minorHAnsi"/>
          <w:color w:val="000000" w:themeColor="text1"/>
        </w:rPr>
        <w:t xml:space="preserve">® in a single-dose plastic tube as the first preference, and liquid </w:t>
      </w:r>
      <w:proofErr w:type="spellStart"/>
      <w:r w:rsidR="002169C2" w:rsidRPr="00E00A22">
        <w:rPr>
          <w:rFonts w:asciiTheme="minorHAnsi" w:hAnsiTheme="minorHAnsi" w:cstheme="minorHAnsi"/>
          <w:color w:val="000000" w:themeColor="text1"/>
        </w:rPr>
        <w:t>Rotavac</w:t>
      </w:r>
      <w:proofErr w:type="spellEnd"/>
      <w:r w:rsidR="002169C2" w:rsidRPr="00E00A22">
        <w:rPr>
          <w:rFonts w:asciiTheme="minorHAnsi" w:hAnsiTheme="minorHAnsi" w:cstheme="minorHAnsi"/>
          <w:color w:val="000000" w:themeColor="text1"/>
        </w:rPr>
        <w:t>® in a ten-dose tube as the second preference.</w:t>
      </w:r>
    </w:p>
    <w:p w14:paraId="261B647B" w14:textId="77777777" w:rsidR="00ED11B6" w:rsidRPr="00226801" w:rsidRDefault="00ED11B6" w:rsidP="00D50A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76" w:lineRule="auto"/>
        <w:jc w:val="both"/>
        <w:rPr>
          <w:rFonts w:asciiTheme="minorHAnsi" w:hAnsiTheme="minorHAnsi" w:cstheme="minorHAnsi"/>
          <w:i/>
          <w:iCs/>
          <w:color w:val="000000" w:themeColor="text1"/>
        </w:rPr>
      </w:pPr>
      <w:r w:rsidRPr="00E00A22">
        <w:rPr>
          <w:rFonts w:asciiTheme="minorHAnsi" w:hAnsiTheme="minorHAnsi" w:cstheme="minorHAnsi"/>
          <w:color w:val="000000" w:themeColor="text1"/>
        </w:rPr>
        <w:t xml:space="preserve">This switch provides the opportunity to save between 40% and 60% of the cost of co-financing the rotavirus vaccine switch and 60% to 70% of storage volume. </w:t>
      </w:r>
    </w:p>
    <w:p w14:paraId="03EA83A7" w14:textId="77777777" w:rsidR="002433FE" w:rsidRPr="00226801" w:rsidRDefault="002433FE" w:rsidP="006F755D">
      <w:pPr>
        <w:pStyle w:val="Heading1"/>
        <w:numPr>
          <w:ilvl w:val="0"/>
          <w:numId w:val="3"/>
        </w:numPr>
        <w:rPr>
          <w:rFonts w:asciiTheme="minorHAnsi" w:hAnsiTheme="minorHAnsi" w:cstheme="minorHAnsi"/>
          <w:sz w:val="24"/>
          <w:szCs w:val="24"/>
        </w:rPr>
      </w:pPr>
      <w:bookmarkStart w:id="2" w:name="_Toc101798504"/>
      <w:r w:rsidRPr="00E00A22">
        <w:rPr>
          <w:rFonts w:asciiTheme="minorHAnsi" w:hAnsiTheme="minorHAnsi" w:cstheme="minorHAnsi"/>
          <w:sz w:val="24"/>
        </w:rPr>
        <w:t>Objectives</w:t>
      </w:r>
      <w:bookmarkEnd w:id="2"/>
    </w:p>
    <w:p w14:paraId="56C93D49" w14:textId="77777777" w:rsidR="00840789" w:rsidRPr="00226801" w:rsidRDefault="006F755D" w:rsidP="006F755D">
      <w:pPr>
        <w:pStyle w:val="Heading2"/>
        <w:numPr>
          <w:ilvl w:val="1"/>
          <w:numId w:val="3"/>
        </w:numPr>
        <w:rPr>
          <w:rFonts w:asciiTheme="minorHAnsi" w:hAnsiTheme="minorHAnsi" w:cstheme="minorHAnsi"/>
          <w:b w:val="0"/>
          <w:bCs w:val="0"/>
          <w:color w:val="auto"/>
          <w:sz w:val="24"/>
          <w:szCs w:val="24"/>
        </w:rPr>
      </w:pPr>
      <w:bookmarkStart w:id="3" w:name="_Toc101798505"/>
      <w:r w:rsidRPr="00E00A22">
        <w:rPr>
          <w:rFonts w:asciiTheme="minorHAnsi" w:hAnsiTheme="minorHAnsi" w:cstheme="minorHAnsi"/>
          <w:b w:val="0"/>
          <w:color w:val="auto"/>
          <w:sz w:val="24"/>
        </w:rPr>
        <w:t>Overall objective</w:t>
      </w:r>
      <w:bookmarkEnd w:id="3"/>
    </w:p>
    <w:p w14:paraId="01410C64" w14:textId="77777777" w:rsidR="00840789" w:rsidRPr="00226801" w:rsidRDefault="006F755D" w:rsidP="00D50ADA">
      <w:pPr>
        <w:spacing w:line="276" w:lineRule="auto"/>
        <w:jc w:val="both"/>
        <w:rPr>
          <w:rFonts w:asciiTheme="minorHAnsi" w:hAnsiTheme="minorHAnsi" w:cstheme="minorHAnsi"/>
          <w:i/>
          <w:iCs/>
        </w:rPr>
      </w:pPr>
      <w:r w:rsidRPr="00E00A22">
        <w:rPr>
          <w:rFonts w:asciiTheme="minorHAnsi" w:hAnsiTheme="minorHAnsi" w:cstheme="minorHAnsi"/>
        </w:rPr>
        <w:t xml:space="preserve">To replace the Rotarix® vaccine with the </w:t>
      </w:r>
      <w:proofErr w:type="spellStart"/>
      <w:r w:rsidRPr="00E00A22">
        <w:rPr>
          <w:rFonts w:asciiTheme="minorHAnsi" w:hAnsiTheme="minorHAnsi" w:cstheme="minorHAnsi"/>
        </w:rPr>
        <w:t>Rotavac</w:t>
      </w:r>
      <w:proofErr w:type="spellEnd"/>
      <w:r w:rsidRPr="00E00A22">
        <w:rPr>
          <w:rFonts w:asciiTheme="minorHAnsi" w:hAnsiTheme="minorHAnsi" w:cstheme="minorHAnsi"/>
        </w:rPr>
        <w:t>® vaccine in the routine immunisation schedule without compromising the rotavirus vaccine supply and demand.</w:t>
      </w:r>
    </w:p>
    <w:p w14:paraId="3784F6E6" w14:textId="77777777" w:rsidR="006F755D" w:rsidRPr="00226801" w:rsidRDefault="00E97B10" w:rsidP="006F755D">
      <w:pPr>
        <w:pStyle w:val="Heading2"/>
        <w:numPr>
          <w:ilvl w:val="1"/>
          <w:numId w:val="3"/>
        </w:numPr>
        <w:rPr>
          <w:rFonts w:asciiTheme="minorHAnsi" w:hAnsiTheme="minorHAnsi" w:cstheme="minorHAnsi"/>
          <w:b w:val="0"/>
          <w:bCs w:val="0"/>
          <w:color w:val="auto"/>
          <w:sz w:val="24"/>
          <w:szCs w:val="24"/>
        </w:rPr>
      </w:pPr>
      <w:bookmarkStart w:id="4" w:name="_Toc101798506"/>
      <w:r w:rsidRPr="00E00A22">
        <w:rPr>
          <w:rFonts w:asciiTheme="minorHAnsi" w:hAnsiTheme="minorHAnsi" w:cstheme="minorHAnsi"/>
          <w:b w:val="0"/>
          <w:color w:val="auto"/>
          <w:sz w:val="24"/>
        </w:rPr>
        <w:t>Specific objectives</w:t>
      </w:r>
      <w:bookmarkEnd w:id="4"/>
    </w:p>
    <w:p w14:paraId="0300B398" w14:textId="77777777" w:rsidR="006F755D" w:rsidRPr="00226801" w:rsidRDefault="002411F5" w:rsidP="00D50ADA">
      <w:pPr>
        <w:pStyle w:val="ListParagraph"/>
        <w:numPr>
          <w:ilvl w:val="0"/>
          <w:numId w:val="5"/>
        </w:numPr>
        <w:spacing w:line="276" w:lineRule="auto"/>
        <w:rPr>
          <w:rFonts w:cstheme="minorHAnsi"/>
          <w:i w:val="0"/>
          <w:iCs w:val="0"/>
          <w:sz w:val="24"/>
          <w:szCs w:val="24"/>
        </w:rPr>
      </w:pPr>
      <w:r w:rsidRPr="00E00A22">
        <w:rPr>
          <w:rFonts w:cstheme="minorHAnsi"/>
          <w:i w:val="0"/>
          <w:sz w:val="24"/>
        </w:rPr>
        <w:t>To inform healthcare personnel of the switch and the specificities</w:t>
      </w:r>
      <w:r w:rsidR="00D53734" w:rsidRPr="00E00A22">
        <w:rPr>
          <w:rFonts w:cstheme="minorHAnsi"/>
          <w:i w:val="0"/>
          <w:sz w:val="24"/>
        </w:rPr>
        <w:t xml:space="preserve"> </w:t>
      </w:r>
      <w:r w:rsidRPr="00E00A22">
        <w:rPr>
          <w:rFonts w:cstheme="minorHAnsi"/>
          <w:i w:val="0"/>
          <w:sz w:val="24"/>
        </w:rPr>
        <w:t xml:space="preserve">of the </w:t>
      </w:r>
      <w:proofErr w:type="spellStart"/>
      <w:r w:rsidRPr="00E00A22">
        <w:rPr>
          <w:rFonts w:cstheme="minorHAnsi"/>
          <w:i w:val="0"/>
          <w:sz w:val="24"/>
        </w:rPr>
        <w:t>Rotavac</w:t>
      </w:r>
      <w:proofErr w:type="spellEnd"/>
      <w:r w:rsidRPr="00E00A22">
        <w:rPr>
          <w:rFonts w:cstheme="minorHAnsi"/>
          <w:i w:val="0"/>
          <w:sz w:val="24"/>
        </w:rPr>
        <w:t>® vaccine and the implications of introducing it in the immunisation schedule to replace Rotarix</w:t>
      </w:r>
    </w:p>
    <w:p w14:paraId="4CF68B96" w14:textId="77777777" w:rsidR="002411F5" w:rsidRPr="00226801" w:rsidRDefault="002411F5" w:rsidP="00D50ADA">
      <w:pPr>
        <w:pStyle w:val="ListParagraph"/>
        <w:numPr>
          <w:ilvl w:val="0"/>
          <w:numId w:val="5"/>
        </w:numPr>
        <w:spacing w:line="276" w:lineRule="auto"/>
        <w:rPr>
          <w:rFonts w:cstheme="minorHAnsi"/>
          <w:i w:val="0"/>
          <w:iCs w:val="0"/>
          <w:sz w:val="24"/>
          <w:szCs w:val="24"/>
        </w:rPr>
      </w:pPr>
      <w:r w:rsidRPr="00E00A22">
        <w:rPr>
          <w:rFonts w:cstheme="minorHAnsi"/>
          <w:i w:val="0"/>
          <w:sz w:val="24"/>
        </w:rPr>
        <w:t>To inform the community and parents of the rotavirus vaccine switch</w:t>
      </w:r>
    </w:p>
    <w:p w14:paraId="2955CA45" w14:textId="77777777" w:rsidR="002411F5" w:rsidRPr="00226801" w:rsidRDefault="002411F5" w:rsidP="00D50ADA">
      <w:pPr>
        <w:pStyle w:val="ListParagraph"/>
        <w:numPr>
          <w:ilvl w:val="0"/>
          <w:numId w:val="5"/>
        </w:numPr>
        <w:spacing w:line="276" w:lineRule="auto"/>
        <w:rPr>
          <w:rFonts w:cstheme="minorHAnsi"/>
          <w:i w:val="0"/>
          <w:iCs w:val="0"/>
          <w:sz w:val="24"/>
          <w:szCs w:val="24"/>
        </w:rPr>
      </w:pPr>
      <w:r w:rsidRPr="00E00A22">
        <w:rPr>
          <w:rFonts w:cstheme="minorHAnsi"/>
          <w:i w:val="0"/>
          <w:sz w:val="24"/>
        </w:rPr>
        <w:t xml:space="preserve">To make </w:t>
      </w:r>
      <w:proofErr w:type="spellStart"/>
      <w:r w:rsidRPr="00E00A22">
        <w:rPr>
          <w:rFonts w:cstheme="minorHAnsi"/>
          <w:i w:val="0"/>
          <w:sz w:val="24"/>
        </w:rPr>
        <w:t>Rotavac</w:t>
      </w:r>
      <w:proofErr w:type="spellEnd"/>
      <w:r w:rsidRPr="00E00A22">
        <w:rPr>
          <w:rFonts w:cstheme="minorHAnsi"/>
          <w:i w:val="0"/>
          <w:sz w:val="24"/>
        </w:rPr>
        <w:t xml:space="preserve">® vaccine injection doses and supplies available to health facilities </w:t>
      </w:r>
    </w:p>
    <w:p w14:paraId="5B3D7C33" w14:textId="77777777" w:rsidR="002411F5" w:rsidRPr="00226801" w:rsidRDefault="002411F5" w:rsidP="00D50ADA">
      <w:pPr>
        <w:pStyle w:val="ListParagraph"/>
        <w:numPr>
          <w:ilvl w:val="0"/>
          <w:numId w:val="5"/>
        </w:numPr>
        <w:spacing w:line="276" w:lineRule="auto"/>
        <w:rPr>
          <w:rFonts w:cstheme="minorHAnsi"/>
          <w:i w:val="0"/>
          <w:iCs w:val="0"/>
          <w:sz w:val="24"/>
          <w:szCs w:val="24"/>
        </w:rPr>
      </w:pPr>
      <w:r w:rsidRPr="00E00A22">
        <w:rPr>
          <w:rFonts w:cstheme="minorHAnsi"/>
          <w:i w:val="0"/>
          <w:sz w:val="24"/>
        </w:rPr>
        <w:t xml:space="preserve">To monitor the performance of the rotavirus vaccine. </w:t>
      </w:r>
    </w:p>
    <w:p w14:paraId="60D2A723" w14:textId="77777777" w:rsidR="002433FE" w:rsidRPr="00226801" w:rsidRDefault="002411F5" w:rsidP="002411F5">
      <w:pPr>
        <w:pStyle w:val="Heading1"/>
        <w:numPr>
          <w:ilvl w:val="0"/>
          <w:numId w:val="3"/>
        </w:numPr>
        <w:rPr>
          <w:rFonts w:asciiTheme="minorHAnsi" w:hAnsiTheme="minorHAnsi" w:cstheme="minorHAnsi"/>
          <w:sz w:val="24"/>
          <w:szCs w:val="24"/>
        </w:rPr>
      </w:pPr>
      <w:bookmarkStart w:id="5" w:name="_Toc101798507"/>
      <w:r w:rsidRPr="00E00A22">
        <w:rPr>
          <w:rFonts w:asciiTheme="minorHAnsi" w:hAnsiTheme="minorHAnsi" w:cstheme="minorHAnsi"/>
          <w:sz w:val="24"/>
        </w:rPr>
        <w:t>Strategic aspects and planned activities</w:t>
      </w:r>
      <w:bookmarkEnd w:id="5"/>
    </w:p>
    <w:p w14:paraId="0C62D82A" w14:textId="77777777" w:rsidR="002411F5" w:rsidRPr="00226801" w:rsidRDefault="002411F5" w:rsidP="002411F5">
      <w:pPr>
        <w:pStyle w:val="Heading2"/>
        <w:numPr>
          <w:ilvl w:val="1"/>
          <w:numId w:val="3"/>
        </w:numPr>
        <w:rPr>
          <w:rFonts w:asciiTheme="minorHAnsi" w:hAnsiTheme="minorHAnsi" w:cstheme="minorHAnsi"/>
          <w:b w:val="0"/>
          <w:bCs w:val="0"/>
          <w:color w:val="auto"/>
          <w:sz w:val="24"/>
          <w:szCs w:val="24"/>
        </w:rPr>
      </w:pPr>
      <w:bookmarkStart w:id="6" w:name="_Toc101798508"/>
      <w:r w:rsidRPr="00E00A22">
        <w:rPr>
          <w:rFonts w:asciiTheme="minorHAnsi" w:hAnsiTheme="minorHAnsi" w:cstheme="minorHAnsi"/>
          <w:b w:val="0"/>
          <w:color w:val="auto"/>
          <w:sz w:val="24"/>
        </w:rPr>
        <w:t>Information and capacity building of the personnel in charge of immunisation</w:t>
      </w:r>
      <w:bookmarkEnd w:id="6"/>
      <w:r w:rsidRPr="00E00A22">
        <w:rPr>
          <w:rFonts w:asciiTheme="minorHAnsi" w:hAnsiTheme="minorHAnsi" w:cstheme="minorHAnsi"/>
          <w:b w:val="0"/>
          <w:color w:val="auto"/>
          <w:sz w:val="24"/>
        </w:rPr>
        <w:t xml:space="preserve"> </w:t>
      </w:r>
    </w:p>
    <w:p w14:paraId="470B6CB1" w14:textId="77777777" w:rsidR="00157C6D" w:rsidRPr="00226801" w:rsidRDefault="00655B0D" w:rsidP="00D50ADA">
      <w:pPr>
        <w:spacing w:line="276" w:lineRule="auto"/>
        <w:jc w:val="both"/>
        <w:rPr>
          <w:rFonts w:asciiTheme="minorHAnsi" w:hAnsiTheme="minorHAnsi" w:cstheme="minorHAnsi"/>
          <w:i/>
          <w:iCs/>
        </w:rPr>
      </w:pPr>
      <w:r w:rsidRPr="00E00A22">
        <w:rPr>
          <w:rFonts w:asciiTheme="minorHAnsi" w:hAnsiTheme="minorHAnsi" w:cstheme="minorHAnsi"/>
        </w:rPr>
        <w:t xml:space="preserve">The personnel responsible for immunisation at various levels of the healthcare pyramid must be briefed on the conditions or requirements related to this switch. The various training aspects will </w:t>
      </w:r>
      <w:r w:rsidR="00661A11" w:rsidRPr="00E00A22">
        <w:rPr>
          <w:rFonts w:asciiTheme="minorHAnsi" w:hAnsiTheme="minorHAnsi" w:cstheme="minorHAnsi"/>
        </w:rPr>
        <w:t>be</w:t>
      </w:r>
      <w:r w:rsidRPr="00E00A22">
        <w:rPr>
          <w:rFonts w:asciiTheme="minorHAnsi" w:hAnsiTheme="minorHAnsi" w:cstheme="minorHAnsi"/>
        </w:rPr>
        <w:t xml:space="preserve"> practical</w:t>
      </w:r>
      <w:r w:rsidR="00602D2D" w:rsidRPr="00E00A22">
        <w:rPr>
          <w:rFonts w:asciiTheme="minorHAnsi" w:hAnsiTheme="minorHAnsi" w:cstheme="minorHAnsi"/>
        </w:rPr>
        <w:t>:</w:t>
      </w:r>
      <w:r w:rsidRPr="00E00A22">
        <w:rPr>
          <w:rFonts w:asciiTheme="minorHAnsi" w:hAnsiTheme="minorHAnsi" w:cstheme="minorHAnsi"/>
        </w:rPr>
        <w:t xml:space="preserve"> immunisation and Adverse Events Following Immunisation (AEFI) surveillance and Adverse Events of Special Interest (AESI) and how they are managed.</w:t>
      </w:r>
      <w:r w:rsidR="00D53734" w:rsidRPr="00E00A22">
        <w:rPr>
          <w:rFonts w:asciiTheme="minorHAnsi" w:hAnsiTheme="minorHAnsi" w:cstheme="minorHAnsi"/>
        </w:rPr>
        <w:t xml:space="preserve"> </w:t>
      </w:r>
      <w:r w:rsidRPr="00E00A22">
        <w:rPr>
          <w:rFonts w:asciiTheme="minorHAnsi" w:hAnsiTheme="minorHAnsi" w:cstheme="minorHAnsi"/>
        </w:rPr>
        <w:t>The goal of</w:t>
      </w:r>
      <w:r w:rsidR="00D53734" w:rsidRPr="00E00A22">
        <w:rPr>
          <w:rFonts w:asciiTheme="minorHAnsi" w:hAnsiTheme="minorHAnsi" w:cstheme="minorHAnsi"/>
        </w:rPr>
        <w:t xml:space="preserve"> </w:t>
      </w:r>
      <w:r w:rsidRPr="00E00A22">
        <w:rPr>
          <w:rFonts w:asciiTheme="minorHAnsi" w:hAnsiTheme="minorHAnsi" w:cstheme="minorHAnsi"/>
        </w:rPr>
        <w:t xml:space="preserve">the “train the trainer” training is to update basic immunisation knowledge with special emphasis on the implications of the rota switch on day-to-day </w:t>
      </w:r>
      <w:r w:rsidR="00602D2D" w:rsidRPr="00E00A22">
        <w:rPr>
          <w:rFonts w:asciiTheme="minorHAnsi" w:hAnsiTheme="minorHAnsi" w:cstheme="minorHAnsi"/>
        </w:rPr>
        <w:t xml:space="preserve">the </w:t>
      </w:r>
      <w:r w:rsidRPr="00E00A22">
        <w:rPr>
          <w:rFonts w:asciiTheme="minorHAnsi" w:hAnsiTheme="minorHAnsi" w:cstheme="minorHAnsi"/>
        </w:rPr>
        <w:t>practice</w:t>
      </w:r>
      <w:r w:rsidR="00602D2D" w:rsidRPr="00E00A22">
        <w:rPr>
          <w:rFonts w:asciiTheme="minorHAnsi" w:hAnsiTheme="minorHAnsi" w:cstheme="minorHAnsi"/>
        </w:rPr>
        <w:t>s</w:t>
      </w:r>
      <w:r w:rsidRPr="00E00A22">
        <w:rPr>
          <w:rFonts w:asciiTheme="minorHAnsi" w:hAnsiTheme="minorHAnsi" w:cstheme="minorHAnsi"/>
        </w:rPr>
        <w:t xml:space="preserve"> of healthcare personnel in (i) interpersonal communication; (ii) stock management; (iii) data collection; (iv) </w:t>
      </w:r>
      <w:r w:rsidRPr="00E00A22">
        <w:rPr>
          <w:rFonts w:asciiTheme="minorHAnsi" w:hAnsiTheme="minorHAnsi" w:cstheme="minorHAnsi"/>
        </w:rPr>
        <w:lastRenderedPageBreak/>
        <w:t xml:space="preserve">AEFI surveillance; and (v) monitoring post-switch performance, especially the switch from two doses (for Rotarix®) to three doses (for </w:t>
      </w:r>
      <w:proofErr w:type="spellStart"/>
      <w:r w:rsidRPr="00E00A22">
        <w:rPr>
          <w:rFonts w:asciiTheme="minorHAnsi" w:hAnsiTheme="minorHAnsi" w:cstheme="minorHAnsi"/>
        </w:rPr>
        <w:t>Rotavac</w:t>
      </w:r>
      <w:proofErr w:type="spellEnd"/>
      <w:r w:rsidRPr="00E00A22">
        <w:rPr>
          <w:rFonts w:asciiTheme="minorHAnsi" w:hAnsiTheme="minorHAnsi" w:cstheme="minorHAnsi"/>
        </w:rPr>
        <w:t>®).</w:t>
      </w:r>
    </w:p>
    <w:p w14:paraId="1C55AD4D" w14:textId="77777777" w:rsidR="009E44BC" w:rsidRPr="00226801" w:rsidRDefault="009E44BC" w:rsidP="00CB006B">
      <w:pPr>
        <w:pStyle w:val="Caption"/>
        <w:spacing w:before="240" w:after="0"/>
        <w:rPr>
          <w:rFonts w:cstheme="minorHAnsi"/>
          <w:color w:val="000000" w:themeColor="text1"/>
          <w:sz w:val="28"/>
          <w:szCs w:val="28"/>
        </w:rPr>
      </w:pPr>
      <w:r w:rsidRPr="00E00A22">
        <w:rPr>
          <w:rFonts w:cstheme="minorHAnsi"/>
          <w:sz w:val="20"/>
        </w:rPr>
        <w:t>Table 2:</w:t>
      </w:r>
      <w:r w:rsidR="00D53734" w:rsidRPr="00E00A22">
        <w:rPr>
          <w:rFonts w:cstheme="minorHAnsi"/>
          <w:sz w:val="20"/>
        </w:rPr>
        <w:t xml:space="preserve"> </w:t>
      </w:r>
      <w:r w:rsidRPr="00E00A22">
        <w:rPr>
          <w:rFonts w:cstheme="minorHAnsi"/>
          <w:sz w:val="20"/>
        </w:rPr>
        <w:t>Healthcare personnel targeted by the briefing sessions. </w:t>
      </w:r>
    </w:p>
    <w:tbl>
      <w:tblPr>
        <w:tblStyle w:val="ListTable6ColourfulAccent1"/>
        <w:tblW w:w="9074" w:type="dxa"/>
        <w:tblLook w:val="04A0" w:firstRow="1" w:lastRow="0" w:firstColumn="1" w:lastColumn="0" w:noHBand="0" w:noVBand="1"/>
      </w:tblPr>
      <w:tblGrid>
        <w:gridCol w:w="1195"/>
        <w:gridCol w:w="817"/>
        <w:gridCol w:w="817"/>
        <w:gridCol w:w="817"/>
        <w:gridCol w:w="1141"/>
        <w:gridCol w:w="1141"/>
        <w:gridCol w:w="871"/>
        <w:gridCol w:w="1231"/>
        <w:gridCol w:w="1116"/>
      </w:tblGrid>
      <w:tr w:rsidR="002E3225" w:rsidRPr="00226801" w14:paraId="47DDC07D" w14:textId="77777777" w:rsidTr="002E3225">
        <w:trPr>
          <w:cnfStyle w:val="100000000000" w:firstRow="1" w:lastRow="0" w:firstColumn="0" w:lastColumn="0" w:oddVBand="0" w:evenVBand="0" w:oddHBand="0"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1195" w:type="dxa"/>
            <w:vAlign w:val="center"/>
            <w:hideMark/>
          </w:tcPr>
          <w:p w14:paraId="1DE62523" w14:textId="77777777" w:rsidR="009E44BC" w:rsidRPr="00226801" w:rsidRDefault="009E44BC" w:rsidP="00A7449F">
            <w:pPr>
              <w:pStyle w:val="NoSpacing"/>
              <w:jc w:val="center"/>
              <w:rPr>
                <w:rFonts w:cstheme="minorHAnsi"/>
                <w:sz w:val="16"/>
                <w:szCs w:val="16"/>
              </w:rPr>
            </w:pPr>
            <w:r w:rsidRPr="00E00A22">
              <w:rPr>
                <w:rFonts w:cstheme="minorHAnsi"/>
                <w:sz w:val="16"/>
              </w:rPr>
              <w:t>Region</w:t>
            </w:r>
          </w:p>
        </w:tc>
        <w:tc>
          <w:tcPr>
            <w:tcW w:w="817" w:type="dxa"/>
            <w:vAlign w:val="center"/>
            <w:hideMark/>
          </w:tcPr>
          <w:p w14:paraId="212B721B" w14:textId="77777777" w:rsidR="009E44BC" w:rsidRPr="00226801" w:rsidRDefault="009E44BC" w:rsidP="00A7449F">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E00A22">
              <w:rPr>
                <w:rFonts w:cstheme="minorHAnsi"/>
                <w:sz w:val="16"/>
              </w:rPr>
              <w:t>Number of HD</w:t>
            </w:r>
          </w:p>
        </w:tc>
        <w:tc>
          <w:tcPr>
            <w:tcW w:w="817" w:type="dxa"/>
            <w:vAlign w:val="center"/>
            <w:hideMark/>
          </w:tcPr>
          <w:p w14:paraId="1AC526BD" w14:textId="77777777" w:rsidR="009E44BC" w:rsidRPr="00226801" w:rsidRDefault="009E44BC" w:rsidP="00A7449F">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E00A22">
              <w:rPr>
                <w:rFonts w:cstheme="minorHAnsi"/>
                <w:sz w:val="16"/>
              </w:rPr>
              <w:t>Number of AS</w:t>
            </w:r>
          </w:p>
        </w:tc>
        <w:tc>
          <w:tcPr>
            <w:tcW w:w="817" w:type="dxa"/>
            <w:vAlign w:val="center"/>
            <w:hideMark/>
          </w:tcPr>
          <w:p w14:paraId="186BEB97" w14:textId="77777777" w:rsidR="009E44BC" w:rsidRPr="00226801" w:rsidRDefault="009E44BC" w:rsidP="00A7449F">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E00A22">
              <w:rPr>
                <w:rFonts w:cstheme="minorHAnsi"/>
                <w:sz w:val="16"/>
              </w:rPr>
              <w:t>Number of EPI health facilities</w:t>
            </w:r>
          </w:p>
        </w:tc>
        <w:tc>
          <w:tcPr>
            <w:tcW w:w="1141" w:type="dxa"/>
            <w:vAlign w:val="center"/>
            <w:hideMark/>
          </w:tcPr>
          <w:p w14:paraId="7F39CBE7" w14:textId="77777777" w:rsidR="009E44BC" w:rsidRPr="00226801" w:rsidRDefault="009E44BC" w:rsidP="00A7449F">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E00A22">
              <w:rPr>
                <w:rFonts w:cstheme="minorHAnsi"/>
                <w:sz w:val="16"/>
              </w:rPr>
              <w:t>National facilitators</w:t>
            </w:r>
          </w:p>
        </w:tc>
        <w:tc>
          <w:tcPr>
            <w:tcW w:w="1141" w:type="dxa"/>
            <w:vAlign w:val="center"/>
            <w:hideMark/>
          </w:tcPr>
          <w:p w14:paraId="67506B21" w14:textId="77777777" w:rsidR="009E44BC" w:rsidRPr="00226801" w:rsidRDefault="009E44BC" w:rsidP="00A7449F">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E00A22">
              <w:rPr>
                <w:rFonts w:cstheme="minorHAnsi"/>
                <w:sz w:val="16"/>
              </w:rPr>
              <w:t>Regional facilitators for 100 health districts</w:t>
            </w:r>
          </w:p>
        </w:tc>
        <w:tc>
          <w:tcPr>
            <w:tcW w:w="799" w:type="dxa"/>
            <w:vAlign w:val="center"/>
            <w:hideMark/>
          </w:tcPr>
          <w:p w14:paraId="132AC7E7" w14:textId="77777777" w:rsidR="009E44BC" w:rsidRPr="00226801" w:rsidRDefault="002E3225" w:rsidP="00A7449F">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E00A22">
              <w:rPr>
                <w:rFonts w:cstheme="minorHAnsi"/>
                <w:sz w:val="16"/>
              </w:rPr>
              <w:t>DMT members </w:t>
            </w:r>
          </w:p>
        </w:tc>
        <w:tc>
          <w:tcPr>
            <w:tcW w:w="1231" w:type="dxa"/>
            <w:vAlign w:val="center"/>
            <w:hideMark/>
          </w:tcPr>
          <w:p w14:paraId="6B43A682" w14:textId="77777777" w:rsidR="009E44BC" w:rsidRPr="00226801" w:rsidRDefault="009E44BC" w:rsidP="00A7449F">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E00A22">
              <w:rPr>
                <w:rFonts w:cstheme="minorHAnsi"/>
                <w:sz w:val="16"/>
              </w:rPr>
              <w:t>Health centre manager</w:t>
            </w:r>
          </w:p>
        </w:tc>
        <w:tc>
          <w:tcPr>
            <w:tcW w:w="1116" w:type="dxa"/>
            <w:vAlign w:val="center"/>
            <w:hideMark/>
          </w:tcPr>
          <w:p w14:paraId="1D57AEE8" w14:textId="77777777" w:rsidR="009E44BC" w:rsidRPr="00226801" w:rsidRDefault="009E44BC" w:rsidP="00A7449F">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E00A22">
              <w:rPr>
                <w:rFonts w:cstheme="minorHAnsi"/>
                <w:sz w:val="16"/>
              </w:rPr>
              <w:t>Total participants</w:t>
            </w:r>
          </w:p>
        </w:tc>
      </w:tr>
      <w:tr w:rsidR="002E3225" w:rsidRPr="00226801" w14:paraId="2C39E3DA" w14:textId="77777777" w:rsidTr="004E1E36">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195" w:type="dxa"/>
            <w:noWrap/>
          </w:tcPr>
          <w:p w14:paraId="212E5CD2" w14:textId="77777777" w:rsidR="009E44BC" w:rsidRPr="00226801" w:rsidRDefault="004E1E36" w:rsidP="00A7449F">
            <w:pPr>
              <w:pStyle w:val="NoSpacing"/>
              <w:rPr>
                <w:rFonts w:cstheme="minorHAnsi"/>
              </w:rPr>
            </w:pPr>
            <w:r w:rsidRPr="005304F3">
              <w:rPr>
                <w:rFonts w:cstheme="minorHAnsi"/>
              </w:rPr>
              <w:t>A</w:t>
            </w:r>
          </w:p>
        </w:tc>
        <w:tc>
          <w:tcPr>
            <w:tcW w:w="817" w:type="dxa"/>
            <w:noWrap/>
            <w:hideMark/>
          </w:tcPr>
          <w:p w14:paraId="0AAB9CDD"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E00A22">
              <w:rPr>
                <w:rFonts w:cstheme="minorHAnsi"/>
              </w:rPr>
              <w:t>10</w:t>
            </w:r>
          </w:p>
        </w:tc>
        <w:tc>
          <w:tcPr>
            <w:tcW w:w="817" w:type="dxa"/>
            <w:noWrap/>
            <w:hideMark/>
          </w:tcPr>
          <w:p w14:paraId="74AD8314"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E00A22">
              <w:rPr>
                <w:rFonts w:cstheme="minorHAnsi"/>
              </w:rPr>
              <w:t>79</w:t>
            </w:r>
          </w:p>
        </w:tc>
        <w:tc>
          <w:tcPr>
            <w:tcW w:w="817" w:type="dxa"/>
            <w:noWrap/>
            <w:hideMark/>
          </w:tcPr>
          <w:p w14:paraId="3F8A8A54"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E00A22">
              <w:rPr>
                <w:rFonts w:cstheme="minorHAnsi"/>
              </w:rPr>
              <w:t>174</w:t>
            </w:r>
          </w:p>
        </w:tc>
        <w:tc>
          <w:tcPr>
            <w:tcW w:w="1141" w:type="dxa"/>
            <w:noWrap/>
            <w:hideMark/>
          </w:tcPr>
          <w:p w14:paraId="40E9A04B"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E00A22">
              <w:rPr>
                <w:rFonts w:cstheme="minorHAnsi"/>
              </w:rPr>
              <w:t>1</w:t>
            </w:r>
          </w:p>
        </w:tc>
        <w:tc>
          <w:tcPr>
            <w:tcW w:w="1141" w:type="dxa"/>
            <w:noWrap/>
            <w:hideMark/>
          </w:tcPr>
          <w:p w14:paraId="5DB726AD"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E00A22">
              <w:rPr>
                <w:rFonts w:cstheme="minorHAnsi"/>
              </w:rPr>
              <w:t>5</w:t>
            </w:r>
          </w:p>
        </w:tc>
        <w:tc>
          <w:tcPr>
            <w:tcW w:w="799" w:type="dxa"/>
            <w:noWrap/>
            <w:hideMark/>
          </w:tcPr>
          <w:p w14:paraId="565394FC"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E00A22">
              <w:rPr>
                <w:rFonts w:cstheme="minorHAnsi"/>
              </w:rPr>
              <w:t>20</w:t>
            </w:r>
          </w:p>
        </w:tc>
        <w:tc>
          <w:tcPr>
            <w:tcW w:w="1231" w:type="dxa"/>
            <w:noWrap/>
            <w:hideMark/>
          </w:tcPr>
          <w:p w14:paraId="5F877517"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E00A22">
              <w:rPr>
                <w:rFonts w:cstheme="minorHAnsi"/>
              </w:rPr>
              <w:t>79</w:t>
            </w:r>
          </w:p>
        </w:tc>
        <w:tc>
          <w:tcPr>
            <w:tcW w:w="1116" w:type="dxa"/>
            <w:noWrap/>
            <w:hideMark/>
          </w:tcPr>
          <w:p w14:paraId="6AA3E29F"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E00A22">
              <w:rPr>
                <w:rFonts w:cstheme="minorHAnsi"/>
              </w:rPr>
              <w:t>105</w:t>
            </w:r>
          </w:p>
        </w:tc>
      </w:tr>
      <w:tr w:rsidR="002E3225" w:rsidRPr="00226801" w14:paraId="337C41B0" w14:textId="77777777" w:rsidTr="004E1E36">
        <w:trPr>
          <w:trHeight w:val="272"/>
        </w:trPr>
        <w:tc>
          <w:tcPr>
            <w:cnfStyle w:val="001000000000" w:firstRow="0" w:lastRow="0" w:firstColumn="1" w:lastColumn="0" w:oddVBand="0" w:evenVBand="0" w:oddHBand="0" w:evenHBand="0" w:firstRowFirstColumn="0" w:firstRowLastColumn="0" w:lastRowFirstColumn="0" w:lastRowLastColumn="0"/>
            <w:tcW w:w="1195" w:type="dxa"/>
            <w:noWrap/>
          </w:tcPr>
          <w:p w14:paraId="43E6DFDD" w14:textId="77777777" w:rsidR="009E44BC" w:rsidRPr="00226801" w:rsidRDefault="004E1E36" w:rsidP="00A7449F">
            <w:pPr>
              <w:pStyle w:val="NoSpacing"/>
              <w:rPr>
                <w:rFonts w:cstheme="minorHAnsi"/>
              </w:rPr>
            </w:pPr>
            <w:r w:rsidRPr="005304F3">
              <w:rPr>
                <w:rFonts w:cstheme="minorHAnsi"/>
              </w:rPr>
              <w:t>B</w:t>
            </w:r>
          </w:p>
        </w:tc>
        <w:tc>
          <w:tcPr>
            <w:tcW w:w="817" w:type="dxa"/>
            <w:noWrap/>
            <w:hideMark/>
          </w:tcPr>
          <w:p w14:paraId="0B26E792"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E00A22">
              <w:rPr>
                <w:rFonts w:cstheme="minorHAnsi"/>
              </w:rPr>
              <w:t>32</w:t>
            </w:r>
          </w:p>
        </w:tc>
        <w:tc>
          <w:tcPr>
            <w:tcW w:w="817" w:type="dxa"/>
            <w:noWrap/>
            <w:hideMark/>
          </w:tcPr>
          <w:p w14:paraId="6E8E8E0C"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E00A22">
              <w:rPr>
                <w:rFonts w:cstheme="minorHAnsi"/>
              </w:rPr>
              <w:t>298</w:t>
            </w:r>
          </w:p>
        </w:tc>
        <w:tc>
          <w:tcPr>
            <w:tcW w:w="817" w:type="dxa"/>
            <w:noWrap/>
            <w:hideMark/>
          </w:tcPr>
          <w:p w14:paraId="6DEC6389"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E00A22">
              <w:rPr>
                <w:rFonts w:cstheme="minorHAnsi"/>
              </w:rPr>
              <w:t>1</w:t>
            </w:r>
            <w:r w:rsidR="0019786C">
              <w:rPr>
                <w:rFonts w:cstheme="minorHAnsi"/>
              </w:rPr>
              <w:t>,</w:t>
            </w:r>
            <w:r w:rsidRPr="00E00A22">
              <w:rPr>
                <w:rFonts w:cstheme="minorHAnsi"/>
              </w:rPr>
              <w:t>181</w:t>
            </w:r>
          </w:p>
        </w:tc>
        <w:tc>
          <w:tcPr>
            <w:tcW w:w="1141" w:type="dxa"/>
            <w:noWrap/>
            <w:hideMark/>
          </w:tcPr>
          <w:p w14:paraId="20B35E4E"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E00A22">
              <w:rPr>
                <w:rFonts w:cstheme="minorHAnsi"/>
              </w:rPr>
              <w:t>2</w:t>
            </w:r>
          </w:p>
        </w:tc>
        <w:tc>
          <w:tcPr>
            <w:tcW w:w="1141" w:type="dxa"/>
            <w:noWrap/>
            <w:hideMark/>
          </w:tcPr>
          <w:p w14:paraId="1C35A098"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E00A22">
              <w:rPr>
                <w:rFonts w:cstheme="minorHAnsi"/>
              </w:rPr>
              <w:t>16</w:t>
            </w:r>
          </w:p>
        </w:tc>
        <w:tc>
          <w:tcPr>
            <w:tcW w:w="799" w:type="dxa"/>
            <w:noWrap/>
            <w:hideMark/>
          </w:tcPr>
          <w:p w14:paraId="505E9AEB"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E00A22">
              <w:rPr>
                <w:rFonts w:cstheme="minorHAnsi"/>
              </w:rPr>
              <w:t>64</w:t>
            </w:r>
          </w:p>
        </w:tc>
        <w:tc>
          <w:tcPr>
            <w:tcW w:w="1231" w:type="dxa"/>
            <w:noWrap/>
            <w:hideMark/>
          </w:tcPr>
          <w:p w14:paraId="586A0FF2"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E00A22">
              <w:rPr>
                <w:rFonts w:cstheme="minorHAnsi"/>
              </w:rPr>
              <w:t>298</w:t>
            </w:r>
          </w:p>
        </w:tc>
        <w:tc>
          <w:tcPr>
            <w:tcW w:w="1116" w:type="dxa"/>
            <w:noWrap/>
            <w:hideMark/>
          </w:tcPr>
          <w:p w14:paraId="77F2AA4D"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E00A22">
              <w:rPr>
                <w:rFonts w:cstheme="minorHAnsi"/>
              </w:rPr>
              <w:t>380</w:t>
            </w:r>
          </w:p>
        </w:tc>
      </w:tr>
      <w:tr w:rsidR="002E3225" w:rsidRPr="00226801" w14:paraId="53E762F8" w14:textId="77777777" w:rsidTr="004E1E36">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195" w:type="dxa"/>
            <w:noWrap/>
          </w:tcPr>
          <w:p w14:paraId="40F0BE33" w14:textId="77777777" w:rsidR="009E44BC" w:rsidRPr="00226801" w:rsidRDefault="004E1E36" w:rsidP="00A7449F">
            <w:pPr>
              <w:pStyle w:val="NoSpacing"/>
              <w:rPr>
                <w:rFonts w:cstheme="minorHAnsi"/>
              </w:rPr>
            </w:pPr>
            <w:r w:rsidRPr="005304F3">
              <w:rPr>
                <w:rFonts w:cstheme="minorHAnsi"/>
              </w:rPr>
              <w:t>C</w:t>
            </w:r>
          </w:p>
        </w:tc>
        <w:tc>
          <w:tcPr>
            <w:tcW w:w="817" w:type="dxa"/>
            <w:noWrap/>
            <w:hideMark/>
          </w:tcPr>
          <w:p w14:paraId="6EBD8C62"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E00A22">
              <w:rPr>
                <w:rFonts w:cstheme="minorHAnsi"/>
              </w:rPr>
              <w:t>15</w:t>
            </w:r>
          </w:p>
        </w:tc>
        <w:tc>
          <w:tcPr>
            <w:tcW w:w="817" w:type="dxa"/>
            <w:noWrap/>
            <w:hideMark/>
          </w:tcPr>
          <w:p w14:paraId="78BF6DFB"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E00A22">
              <w:rPr>
                <w:rFonts w:cstheme="minorHAnsi"/>
              </w:rPr>
              <w:t>114</w:t>
            </w:r>
          </w:p>
        </w:tc>
        <w:tc>
          <w:tcPr>
            <w:tcW w:w="817" w:type="dxa"/>
            <w:noWrap/>
            <w:hideMark/>
          </w:tcPr>
          <w:p w14:paraId="62EB230D"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E00A22">
              <w:rPr>
                <w:rFonts w:cstheme="minorHAnsi"/>
              </w:rPr>
              <w:t>230</w:t>
            </w:r>
          </w:p>
        </w:tc>
        <w:tc>
          <w:tcPr>
            <w:tcW w:w="1141" w:type="dxa"/>
            <w:noWrap/>
            <w:hideMark/>
          </w:tcPr>
          <w:p w14:paraId="71ACA713"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E00A22">
              <w:rPr>
                <w:rFonts w:cstheme="minorHAnsi"/>
              </w:rPr>
              <w:t>1</w:t>
            </w:r>
          </w:p>
        </w:tc>
        <w:tc>
          <w:tcPr>
            <w:tcW w:w="1141" w:type="dxa"/>
            <w:noWrap/>
            <w:hideMark/>
          </w:tcPr>
          <w:p w14:paraId="07927FB0"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E00A22">
              <w:rPr>
                <w:rFonts w:cstheme="minorHAnsi"/>
              </w:rPr>
              <w:t>8</w:t>
            </w:r>
          </w:p>
        </w:tc>
        <w:tc>
          <w:tcPr>
            <w:tcW w:w="799" w:type="dxa"/>
            <w:noWrap/>
            <w:hideMark/>
          </w:tcPr>
          <w:p w14:paraId="1A39391D"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E00A22">
              <w:rPr>
                <w:rFonts w:cstheme="minorHAnsi"/>
              </w:rPr>
              <w:t>30</w:t>
            </w:r>
          </w:p>
        </w:tc>
        <w:tc>
          <w:tcPr>
            <w:tcW w:w="1231" w:type="dxa"/>
            <w:noWrap/>
            <w:hideMark/>
          </w:tcPr>
          <w:p w14:paraId="2050CD87"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E00A22">
              <w:rPr>
                <w:rFonts w:cstheme="minorHAnsi"/>
              </w:rPr>
              <w:t>114</w:t>
            </w:r>
          </w:p>
        </w:tc>
        <w:tc>
          <w:tcPr>
            <w:tcW w:w="1116" w:type="dxa"/>
            <w:noWrap/>
            <w:hideMark/>
          </w:tcPr>
          <w:p w14:paraId="56E96C2A"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E00A22">
              <w:rPr>
                <w:rFonts w:cstheme="minorHAnsi"/>
              </w:rPr>
              <w:t>153</w:t>
            </w:r>
          </w:p>
        </w:tc>
      </w:tr>
      <w:tr w:rsidR="002E3225" w:rsidRPr="00226801" w14:paraId="57AFE417" w14:textId="77777777" w:rsidTr="004E1E36">
        <w:trPr>
          <w:trHeight w:val="272"/>
        </w:trPr>
        <w:tc>
          <w:tcPr>
            <w:cnfStyle w:val="001000000000" w:firstRow="0" w:lastRow="0" w:firstColumn="1" w:lastColumn="0" w:oddVBand="0" w:evenVBand="0" w:oddHBand="0" w:evenHBand="0" w:firstRowFirstColumn="0" w:firstRowLastColumn="0" w:lastRowFirstColumn="0" w:lastRowLastColumn="0"/>
            <w:tcW w:w="1195" w:type="dxa"/>
            <w:noWrap/>
          </w:tcPr>
          <w:p w14:paraId="6ECCAA85" w14:textId="77777777" w:rsidR="009E44BC" w:rsidRPr="00226801" w:rsidRDefault="004E1E36" w:rsidP="00A7449F">
            <w:pPr>
              <w:pStyle w:val="NoSpacing"/>
              <w:rPr>
                <w:rFonts w:cstheme="minorHAnsi"/>
              </w:rPr>
            </w:pPr>
            <w:r w:rsidRPr="005304F3">
              <w:rPr>
                <w:rFonts w:cstheme="minorHAnsi"/>
              </w:rPr>
              <w:t>D</w:t>
            </w:r>
          </w:p>
        </w:tc>
        <w:tc>
          <w:tcPr>
            <w:tcW w:w="817" w:type="dxa"/>
            <w:noWrap/>
            <w:hideMark/>
          </w:tcPr>
          <w:p w14:paraId="3CB695C5"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E00A22">
              <w:rPr>
                <w:rFonts w:cstheme="minorHAnsi"/>
              </w:rPr>
              <w:t>32</w:t>
            </w:r>
          </w:p>
        </w:tc>
        <w:tc>
          <w:tcPr>
            <w:tcW w:w="817" w:type="dxa"/>
            <w:noWrap/>
            <w:hideMark/>
          </w:tcPr>
          <w:p w14:paraId="439C7E4F"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E00A22">
              <w:rPr>
                <w:rFonts w:cstheme="minorHAnsi"/>
              </w:rPr>
              <w:t>298</w:t>
            </w:r>
          </w:p>
        </w:tc>
        <w:tc>
          <w:tcPr>
            <w:tcW w:w="817" w:type="dxa"/>
            <w:noWrap/>
            <w:hideMark/>
          </w:tcPr>
          <w:p w14:paraId="65A66B12"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E00A22">
              <w:rPr>
                <w:rFonts w:cstheme="minorHAnsi"/>
              </w:rPr>
              <w:t>362</w:t>
            </w:r>
          </w:p>
        </w:tc>
        <w:tc>
          <w:tcPr>
            <w:tcW w:w="1141" w:type="dxa"/>
            <w:noWrap/>
            <w:hideMark/>
          </w:tcPr>
          <w:p w14:paraId="3C669198"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E00A22">
              <w:rPr>
                <w:rFonts w:cstheme="minorHAnsi"/>
              </w:rPr>
              <w:t>2</w:t>
            </w:r>
          </w:p>
        </w:tc>
        <w:tc>
          <w:tcPr>
            <w:tcW w:w="1141" w:type="dxa"/>
            <w:noWrap/>
            <w:hideMark/>
          </w:tcPr>
          <w:p w14:paraId="45EC37F4"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E00A22">
              <w:rPr>
                <w:rFonts w:cstheme="minorHAnsi"/>
              </w:rPr>
              <w:t>16</w:t>
            </w:r>
          </w:p>
        </w:tc>
        <w:tc>
          <w:tcPr>
            <w:tcW w:w="799" w:type="dxa"/>
            <w:noWrap/>
            <w:hideMark/>
          </w:tcPr>
          <w:p w14:paraId="122B6D46"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E00A22">
              <w:rPr>
                <w:rFonts w:cstheme="minorHAnsi"/>
              </w:rPr>
              <w:t>64</w:t>
            </w:r>
          </w:p>
        </w:tc>
        <w:tc>
          <w:tcPr>
            <w:tcW w:w="1231" w:type="dxa"/>
            <w:noWrap/>
            <w:hideMark/>
          </w:tcPr>
          <w:p w14:paraId="270BE3E8"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E00A22">
              <w:rPr>
                <w:rFonts w:cstheme="minorHAnsi"/>
              </w:rPr>
              <w:t>298</w:t>
            </w:r>
          </w:p>
        </w:tc>
        <w:tc>
          <w:tcPr>
            <w:tcW w:w="1116" w:type="dxa"/>
            <w:noWrap/>
            <w:hideMark/>
          </w:tcPr>
          <w:p w14:paraId="0E330E15"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E00A22">
              <w:rPr>
                <w:rFonts w:cstheme="minorHAnsi"/>
              </w:rPr>
              <w:t>380</w:t>
            </w:r>
          </w:p>
        </w:tc>
      </w:tr>
      <w:tr w:rsidR="002E3225" w:rsidRPr="00226801" w14:paraId="164EE216" w14:textId="77777777" w:rsidTr="004E1E36">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195" w:type="dxa"/>
            <w:noWrap/>
          </w:tcPr>
          <w:p w14:paraId="11CE237F" w14:textId="77777777" w:rsidR="009E44BC" w:rsidRPr="00226801" w:rsidRDefault="004E1E36" w:rsidP="00A7449F">
            <w:pPr>
              <w:pStyle w:val="NoSpacing"/>
              <w:rPr>
                <w:rFonts w:cstheme="minorHAnsi"/>
              </w:rPr>
            </w:pPr>
            <w:r w:rsidRPr="005304F3">
              <w:rPr>
                <w:rFonts w:cstheme="minorHAnsi"/>
              </w:rPr>
              <w:t>E</w:t>
            </w:r>
          </w:p>
        </w:tc>
        <w:tc>
          <w:tcPr>
            <w:tcW w:w="817" w:type="dxa"/>
            <w:noWrap/>
            <w:hideMark/>
          </w:tcPr>
          <w:p w14:paraId="2C346A26"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E00A22">
              <w:rPr>
                <w:rFonts w:cstheme="minorHAnsi"/>
              </w:rPr>
              <w:t>24</w:t>
            </w:r>
          </w:p>
        </w:tc>
        <w:tc>
          <w:tcPr>
            <w:tcW w:w="817" w:type="dxa"/>
            <w:noWrap/>
            <w:hideMark/>
          </w:tcPr>
          <w:p w14:paraId="71D8F151"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E00A22">
              <w:rPr>
                <w:rFonts w:cstheme="minorHAnsi"/>
              </w:rPr>
              <w:t>189</w:t>
            </w:r>
          </w:p>
        </w:tc>
        <w:tc>
          <w:tcPr>
            <w:tcW w:w="817" w:type="dxa"/>
            <w:noWrap/>
            <w:hideMark/>
          </w:tcPr>
          <w:p w14:paraId="2AAEB580"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E00A22">
              <w:rPr>
                <w:rFonts w:cstheme="minorHAnsi"/>
              </w:rPr>
              <w:t>602</w:t>
            </w:r>
          </w:p>
        </w:tc>
        <w:tc>
          <w:tcPr>
            <w:tcW w:w="1141" w:type="dxa"/>
            <w:noWrap/>
            <w:hideMark/>
          </w:tcPr>
          <w:p w14:paraId="0B75B9C2"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E00A22">
              <w:rPr>
                <w:rFonts w:cstheme="minorHAnsi"/>
              </w:rPr>
              <w:t>2</w:t>
            </w:r>
          </w:p>
        </w:tc>
        <w:tc>
          <w:tcPr>
            <w:tcW w:w="1141" w:type="dxa"/>
            <w:noWrap/>
            <w:hideMark/>
          </w:tcPr>
          <w:p w14:paraId="3E63FB2D"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E00A22">
              <w:rPr>
                <w:rFonts w:cstheme="minorHAnsi"/>
              </w:rPr>
              <w:t>12</w:t>
            </w:r>
          </w:p>
        </w:tc>
        <w:tc>
          <w:tcPr>
            <w:tcW w:w="799" w:type="dxa"/>
            <w:noWrap/>
            <w:hideMark/>
          </w:tcPr>
          <w:p w14:paraId="1CA7D3ED"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E00A22">
              <w:rPr>
                <w:rFonts w:cstheme="minorHAnsi"/>
              </w:rPr>
              <w:t>48</w:t>
            </w:r>
          </w:p>
        </w:tc>
        <w:tc>
          <w:tcPr>
            <w:tcW w:w="1231" w:type="dxa"/>
            <w:noWrap/>
            <w:hideMark/>
          </w:tcPr>
          <w:p w14:paraId="6D79F81F"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E00A22">
              <w:rPr>
                <w:rFonts w:cstheme="minorHAnsi"/>
              </w:rPr>
              <w:t>189</w:t>
            </w:r>
          </w:p>
        </w:tc>
        <w:tc>
          <w:tcPr>
            <w:tcW w:w="1116" w:type="dxa"/>
            <w:noWrap/>
            <w:hideMark/>
          </w:tcPr>
          <w:p w14:paraId="7B30B2F9"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E00A22">
              <w:rPr>
                <w:rFonts w:cstheme="minorHAnsi"/>
              </w:rPr>
              <w:t>251</w:t>
            </w:r>
          </w:p>
        </w:tc>
      </w:tr>
      <w:tr w:rsidR="002E3225" w:rsidRPr="00226801" w14:paraId="1E7FA176" w14:textId="77777777" w:rsidTr="004E1E36">
        <w:trPr>
          <w:trHeight w:val="272"/>
        </w:trPr>
        <w:tc>
          <w:tcPr>
            <w:cnfStyle w:val="001000000000" w:firstRow="0" w:lastRow="0" w:firstColumn="1" w:lastColumn="0" w:oddVBand="0" w:evenVBand="0" w:oddHBand="0" w:evenHBand="0" w:firstRowFirstColumn="0" w:firstRowLastColumn="0" w:lastRowFirstColumn="0" w:lastRowLastColumn="0"/>
            <w:tcW w:w="1195" w:type="dxa"/>
            <w:noWrap/>
          </w:tcPr>
          <w:p w14:paraId="6B44218F" w14:textId="77777777" w:rsidR="009E44BC" w:rsidRPr="00226801" w:rsidRDefault="004E1E36" w:rsidP="00A7449F">
            <w:pPr>
              <w:pStyle w:val="NoSpacing"/>
              <w:rPr>
                <w:rFonts w:cstheme="minorHAnsi"/>
              </w:rPr>
            </w:pPr>
            <w:r w:rsidRPr="005304F3">
              <w:rPr>
                <w:rFonts w:cstheme="minorHAnsi"/>
              </w:rPr>
              <w:t>F</w:t>
            </w:r>
          </w:p>
        </w:tc>
        <w:tc>
          <w:tcPr>
            <w:tcW w:w="817" w:type="dxa"/>
            <w:noWrap/>
            <w:hideMark/>
          </w:tcPr>
          <w:p w14:paraId="2FC8544D"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E00A22">
              <w:rPr>
                <w:rFonts w:cstheme="minorHAnsi"/>
              </w:rPr>
              <w:t>15</w:t>
            </w:r>
          </w:p>
        </w:tc>
        <w:tc>
          <w:tcPr>
            <w:tcW w:w="817" w:type="dxa"/>
            <w:noWrap/>
            <w:hideMark/>
          </w:tcPr>
          <w:p w14:paraId="3356D06F"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E00A22">
              <w:rPr>
                <w:rFonts w:cstheme="minorHAnsi"/>
              </w:rPr>
              <w:t>146</w:t>
            </w:r>
          </w:p>
        </w:tc>
        <w:tc>
          <w:tcPr>
            <w:tcW w:w="817" w:type="dxa"/>
            <w:noWrap/>
            <w:hideMark/>
          </w:tcPr>
          <w:p w14:paraId="24871096"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E00A22">
              <w:rPr>
                <w:rFonts w:cstheme="minorHAnsi"/>
              </w:rPr>
              <w:t>256</w:t>
            </w:r>
          </w:p>
        </w:tc>
        <w:tc>
          <w:tcPr>
            <w:tcW w:w="1141" w:type="dxa"/>
            <w:noWrap/>
            <w:hideMark/>
          </w:tcPr>
          <w:p w14:paraId="6C94114C"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E00A22">
              <w:rPr>
                <w:rFonts w:cstheme="minorHAnsi"/>
              </w:rPr>
              <w:t>1</w:t>
            </w:r>
          </w:p>
        </w:tc>
        <w:tc>
          <w:tcPr>
            <w:tcW w:w="1141" w:type="dxa"/>
            <w:noWrap/>
            <w:hideMark/>
          </w:tcPr>
          <w:p w14:paraId="07688367"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E00A22">
              <w:rPr>
                <w:rFonts w:cstheme="minorHAnsi"/>
              </w:rPr>
              <w:t>8</w:t>
            </w:r>
          </w:p>
        </w:tc>
        <w:tc>
          <w:tcPr>
            <w:tcW w:w="799" w:type="dxa"/>
            <w:noWrap/>
            <w:hideMark/>
          </w:tcPr>
          <w:p w14:paraId="4F85C462"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E00A22">
              <w:rPr>
                <w:rFonts w:cstheme="minorHAnsi"/>
              </w:rPr>
              <w:t>30</w:t>
            </w:r>
          </w:p>
        </w:tc>
        <w:tc>
          <w:tcPr>
            <w:tcW w:w="1231" w:type="dxa"/>
            <w:noWrap/>
            <w:hideMark/>
          </w:tcPr>
          <w:p w14:paraId="59CBC5C2"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E00A22">
              <w:rPr>
                <w:rFonts w:cstheme="minorHAnsi"/>
              </w:rPr>
              <w:t>146</w:t>
            </w:r>
          </w:p>
        </w:tc>
        <w:tc>
          <w:tcPr>
            <w:tcW w:w="1116" w:type="dxa"/>
            <w:noWrap/>
            <w:hideMark/>
          </w:tcPr>
          <w:p w14:paraId="796E7B5D"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E00A22">
              <w:rPr>
                <w:rFonts w:cstheme="minorHAnsi"/>
              </w:rPr>
              <w:t>185</w:t>
            </w:r>
          </w:p>
        </w:tc>
      </w:tr>
      <w:tr w:rsidR="002E3225" w:rsidRPr="00226801" w14:paraId="585A80F4" w14:textId="77777777" w:rsidTr="004E1E36">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195" w:type="dxa"/>
            <w:noWrap/>
          </w:tcPr>
          <w:p w14:paraId="2161FD51" w14:textId="77777777" w:rsidR="009E44BC" w:rsidRPr="00226801" w:rsidRDefault="004E1E36" w:rsidP="00A7449F">
            <w:pPr>
              <w:pStyle w:val="NoSpacing"/>
              <w:rPr>
                <w:rFonts w:cstheme="minorHAnsi"/>
              </w:rPr>
            </w:pPr>
            <w:r w:rsidRPr="005304F3">
              <w:rPr>
                <w:rFonts w:cstheme="minorHAnsi"/>
              </w:rPr>
              <w:t>G</w:t>
            </w:r>
          </w:p>
        </w:tc>
        <w:tc>
          <w:tcPr>
            <w:tcW w:w="817" w:type="dxa"/>
            <w:noWrap/>
            <w:hideMark/>
          </w:tcPr>
          <w:p w14:paraId="473FD0E9"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E00A22">
              <w:rPr>
                <w:rFonts w:cstheme="minorHAnsi"/>
              </w:rPr>
              <w:t>20</w:t>
            </w:r>
          </w:p>
        </w:tc>
        <w:tc>
          <w:tcPr>
            <w:tcW w:w="817" w:type="dxa"/>
            <w:noWrap/>
            <w:hideMark/>
          </w:tcPr>
          <w:p w14:paraId="763E553B"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E00A22">
              <w:rPr>
                <w:rFonts w:cstheme="minorHAnsi"/>
              </w:rPr>
              <w:t>234</w:t>
            </w:r>
          </w:p>
        </w:tc>
        <w:tc>
          <w:tcPr>
            <w:tcW w:w="817" w:type="dxa"/>
            <w:noWrap/>
            <w:hideMark/>
          </w:tcPr>
          <w:p w14:paraId="5058A96D"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E00A22">
              <w:rPr>
                <w:rFonts w:cstheme="minorHAnsi"/>
              </w:rPr>
              <w:t>317</w:t>
            </w:r>
          </w:p>
        </w:tc>
        <w:tc>
          <w:tcPr>
            <w:tcW w:w="1141" w:type="dxa"/>
            <w:noWrap/>
            <w:hideMark/>
          </w:tcPr>
          <w:p w14:paraId="74689123"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E00A22">
              <w:rPr>
                <w:rFonts w:cstheme="minorHAnsi"/>
              </w:rPr>
              <w:t>1</w:t>
            </w:r>
          </w:p>
        </w:tc>
        <w:tc>
          <w:tcPr>
            <w:tcW w:w="1141" w:type="dxa"/>
            <w:noWrap/>
            <w:hideMark/>
          </w:tcPr>
          <w:p w14:paraId="6A94E40C"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E00A22">
              <w:rPr>
                <w:rFonts w:cstheme="minorHAnsi"/>
              </w:rPr>
              <w:t>10</w:t>
            </w:r>
          </w:p>
        </w:tc>
        <w:tc>
          <w:tcPr>
            <w:tcW w:w="799" w:type="dxa"/>
            <w:noWrap/>
            <w:hideMark/>
          </w:tcPr>
          <w:p w14:paraId="6CFD95C5"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E00A22">
              <w:rPr>
                <w:rFonts w:cstheme="minorHAnsi"/>
              </w:rPr>
              <w:t>40</w:t>
            </w:r>
          </w:p>
        </w:tc>
        <w:tc>
          <w:tcPr>
            <w:tcW w:w="1231" w:type="dxa"/>
            <w:noWrap/>
            <w:hideMark/>
          </w:tcPr>
          <w:p w14:paraId="5767989B"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E00A22">
              <w:rPr>
                <w:rFonts w:cstheme="minorHAnsi"/>
              </w:rPr>
              <w:t>234</w:t>
            </w:r>
          </w:p>
        </w:tc>
        <w:tc>
          <w:tcPr>
            <w:tcW w:w="1116" w:type="dxa"/>
            <w:noWrap/>
            <w:hideMark/>
          </w:tcPr>
          <w:p w14:paraId="3C565DD5"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E00A22">
              <w:rPr>
                <w:rFonts w:cstheme="minorHAnsi"/>
              </w:rPr>
              <w:t>285</w:t>
            </w:r>
          </w:p>
        </w:tc>
      </w:tr>
      <w:tr w:rsidR="002E3225" w:rsidRPr="00226801" w14:paraId="6D863DB7" w14:textId="77777777" w:rsidTr="004E1E36">
        <w:trPr>
          <w:trHeight w:val="272"/>
        </w:trPr>
        <w:tc>
          <w:tcPr>
            <w:cnfStyle w:val="001000000000" w:firstRow="0" w:lastRow="0" w:firstColumn="1" w:lastColumn="0" w:oddVBand="0" w:evenVBand="0" w:oddHBand="0" w:evenHBand="0" w:firstRowFirstColumn="0" w:firstRowLastColumn="0" w:lastRowFirstColumn="0" w:lastRowLastColumn="0"/>
            <w:tcW w:w="1195" w:type="dxa"/>
            <w:noWrap/>
          </w:tcPr>
          <w:p w14:paraId="231202E9" w14:textId="77777777" w:rsidR="009E44BC" w:rsidRPr="00226801" w:rsidRDefault="004E1E36" w:rsidP="00A7449F">
            <w:pPr>
              <w:pStyle w:val="NoSpacing"/>
              <w:rPr>
                <w:rFonts w:cstheme="minorHAnsi"/>
              </w:rPr>
            </w:pPr>
            <w:r w:rsidRPr="005304F3">
              <w:rPr>
                <w:rFonts w:cstheme="minorHAnsi"/>
              </w:rPr>
              <w:t>H</w:t>
            </w:r>
          </w:p>
        </w:tc>
        <w:tc>
          <w:tcPr>
            <w:tcW w:w="817" w:type="dxa"/>
            <w:noWrap/>
            <w:hideMark/>
          </w:tcPr>
          <w:p w14:paraId="05065833"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E00A22">
              <w:rPr>
                <w:rFonts w:cstheme="minorHAnsi"/>
              </w:rPr>
              <w:t>20</w:t>
            </w:r>
          </w:p>
        </w:tc>
        <w:tc>
          <w:tcPr>
            <w:tcW w:w="817" w:type="dxa"/>
            <w:noWrap/>
            <w:hideMark/>
          </w:tcPr>
          <w:p w14:paraId="5F724ECD"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E00A22">
              <w:rPr>
                <w:rFonts w:cstheme="minorHAnsi"/>
              </w:rPr>
              <w:t>235</w:t>
            </w:r>
          </w:p>
        </w:tc>
        <w:tc>
          <w:tcPr>
            <w:tcW w:w="817" w:type="dxa"/>
            <w:noWrap/>
            <w:hideMark/>
          </w:tcPr>
          <w:p w14:paraId="3F460A1B"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E00A22">
              <w:rPr>
                <w:rFonts w:cstheme="minorHAnsi"/>
              </w:rPr>
              <w:t>601</w:t>
            </w:r>
          </w:p>
        </w:tc>
        <w:tc>
          <w:tcPr>
            <w:tcW w:w="1141" w:type="dxa"/>
            <w:noWrap/>
            <w:hideMark/>
          </w:tcPr>
          <w:p w14:paraId="7CFE7C68"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E00A22">
              <w:rPr>
                <w:rFonts w:cstheme="minorHAnsi"/>
              </w:rPr>
              <w:t>1</w:t>
            </w:r>
          </w:p>
        </w:tc>
        <w:tc>
          <w:tcPr>
            <w:tcW w:w="1141" w:type="dxa"/>
            <w:noWrap/>
            <w:hideMark/>
          </w:tcPr>
          <w:p w14:paraId="49F79060"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E00A22">
              <w:rPr>
                <w:rFonts w:cstheme="minorHAnsi"/>
              </w:rPr>
              <w:t>10</w:t>
            </w:r>
          </w:p>
        </w:tc>
        <w:tc>
          <w:tcPr>
            <w:tcW w:w="799" w:type="dxa"/>
            <w:noWrap/>
            <w:hideMark/>
          </w:tcPr>
          <w:p w14:paraId="396A909C"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E00A22">
              <w:rPr>
                <w:rFonts w:cstheme="minorHAnsi"/>
              </w:rPr>
              <w:t>40</w:t>
            </w:r>
          </w:p>
        </w:tc>
        <w:tc>
          <w:tcPr>
            <w:tcW w:w="1231" w:type="dxa"/>
            <w:noWrap/>
            <w:hideMark/>
          </w:tcPr>
          <w:p w14:paraId="483A936D"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E00A22">
              <w:rPr>
                <w:rFonts w:cstheme="minorHAnsi"/>
              </w:rPr>
              <w:t>235</w:t>
            </w:r>
          </w:p>
        </w:tc>
        <w:tc>
          <w:tcPr>
            <w:tcW w:w="1116" w:type="dxa"/>
            <w:noWrap/>
            <w:hideMark/>
          </w:tcPr>
          <w:p w14:paraId="0A36A5E0"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E00A22">
              <w:rPr>
                <w:rFonts w:cstheme="minorHAnsi"/>
              </w:rPr>
              <w:t>286</w:t>
            </w:r>
          </w:p>
        </w:tc>
      </w:tr>
      <w:tr w:rsidR="002E3225" w:rsidRPr="00226801" w14:paraId="2CF606E6" w14:textId="77777777" w:rsidTr="004E1E36">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195" w:type="dxa"/>
            <w:noWrap/>
          </w:tcPr>
          <w:p w14:paraId="51FA904A" w14:textId="77777777" w:rsidR="009E44BC" w:rsidRPr="00226801" w:rsidRDefault="004E1E36" w:rsidP="00A7449F">
            <w:pPr>
              <w:pStyle w:val="NoSpacing"/>
              <w:rPr>
                <w:rFonts w:cstheme="minorHAnsi"/>
              </w:rPr>
            </w:pPr>
            <w:r w:rsidRPr="005304F3">
              <w:rPr>
                <w:rFonts w:cstheme="minorHAnsi"/>
              </w:rPr>
              <w:t>I</w:t>
            </w:r>
          </w:p>
        </w:tc>
        <w:tc>
          <w:tcPr>
            <w:tcW w:w="817" w:type="dxa"/>
            <w:noWrap/>
            <w:hideMark/>
          </w:tcPr>
          <w:p w14:paraId="147E35A3"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E00A22">
              <w:rPr>
                <w:rFonts w:cstheme="minorHAnsi"/>
              </w:rPr>
              <w:t>10</w:t>
            </w:r>
          </w:p>
        </w:tc>
        <w:tc>
          <w:tcPr>
            <w:tcW w:w="817" w:type="dxa"/>
            <w:noWrap/>
            <w:hideMark/>
          </w:tcPr>
          <w:p w14:paraId="48DC5E05"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E00A22">
              <w:rPr>
                <w:rFonts w:cstheme="minorHAnsi"/>
              </w:rPr>
              <w:t>104</w:t>
            </w:r>
          </w:p>
        </w:tc>
        <w:tc>
          <w:tcPr>
            <w:tcW w:w="817" w:type="dxa"/>
            <w:noWrap/>
            <w:hideMark/>
          </w:tcPr>
          <w:p w14:paraId="490FBB4F"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E00A22">
              <w:rPr>
                <w:rFonts w:cstheme="minorHAnsi"/>
              </w:rPr>
              <w:t>196</w:t>
            </w:r>
          </w:p>
        </w:tc>
        <w:tc>
          <w:tcPr>
            <w:tcW w:w="1141" w:type="dxa"/>
            <w:noWrap/>
            <w:hideMark/>
          </w:tcPr>
          <w:p w14:paraId="7B91A933"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E00A22">
              <w:rPr>
                <w:rFonts w:cstheme="minorHAnsi"/>
              </w:rPr>
              <w:t>1</w:t>
            </w:r>
          </w:p>
        </w:tc>
        <w:tc>
          <w:tcPr>
            <w:tcW w:w="1141" w:type="dxa"/>
            <w:noWrap/>
            <w:hideMark/>
          </w:tcPr>
          <w:p w14:paraId="1E151220"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E00A22">
              <w:rPr>
                <w:rFonts w:cstheme="minorHAnsi"/>
              </w:rPr>
              <w:t>5</w:t>
            </w:r>
          </w:p>
        </w:tc>
        <w:tc>
          <w:tcPr>
            <w:tcW w:w="799" w:type="dxa"/>
            <w:noWrap/>
            <w:hideMark/>
          </w:tcPr>
          <w:p w14:paraId="29650E33"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E00A22">
              <w:rPr>
                <w:rFonts w:cstheme="minorHAnsi"/>
              </w:rPr>
              <w:t>20</w:t>
            </w:r>
          </w:p>
        </w:tc>
        <w:tc>
          <w:tcPr>
            <w:tcW w:w="1231" w:type="dxa"/>
            <w:noWrap/>
            <w:hideMark/>
          </w:tcPr>
          <w:p w14:paraId="24DE7353"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E00A22">
              <w:rPr>
                <w:rFonts w:cstheme="minorHAnsi"/>
              </w:rPr>
              <w:t>104</w:t>
            </w:r>
          </w:p>
        </w:tc>
        <w:tc>
          <w:tcPr>
            <w:tcW w:w="1116" w:type="dxa"/>
            <w:noWrap/>
            <w:hideMark/>
          </w:tcPr>
          <w:p w14:paraId="04FB04DB"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E00A22">
              <w:rPr>
                <w:rFonts w:cstheme="minorHAnsi"/>
              </w:rPr>
              <w:t>130</w:t>
            </w:r>
          </w:p>
        </w:tc>
      </w:tr>
      <w:tr w:rsidR="002E3225" w:rsidRPr="00226801" w14:paraId="7E8F9636" w14:textId="77777777" w:rsidTr="004E1E36">
        <w:trPr>
          <w:trHeight w:val="99"/>
        </w:trPr>
        <w:tc>
          <w:tcPr>
            <w:cnfStyle w:val="001000000000" w:firstRow="0" w:lastRow="0" w:firstColumn="1" w:lastColumn="0" w:oddVBand="0" w:evenVBand="0" w:oddHBand="0" w:evenHBand="0" w:firstRowFirstColumn="0" w:firstRowLastColumn="0" w:lastRowFirstColumn="0" w:lastRowLastColumn="0"/>
            <w:tcW w:w="1195" w:type="dxa"/>
            <w:noWrap/>
          </w:tcPr>
          <w:p w14:paraId="75736803" w14:textId="77777777" w:rsidR="009E44BC" w:rsidRPr="00226801" w:rsidRDefault="004E1E36" w:rsidP="00A7449F">
            <w:pPr>
              <w:pStyle w:val="NoSpacing"/>
              <w:rPr>
                <w:rFonts w:cstheme="minorHAnsi"/>
              </w:rPr>
            </w:pPr>
            <w:r w:rsidRPr="005304F3">
              <w:rPr>
                <w:rFonts w:cstheme="minorHAnsi"/>
              </w:rPr>
              <w:t>K</w:t>
            </w:r>
          </w:p>
        </w:tc>
        <w:tc>
          <w:tcPr>
            <w:tcW w:w="817" w:type="dxa"/>
            <w:noWrap/>
            <w:hideMark/>
          </w:tcPr>
          <w:p w14:paraId="676A3FB6"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E00A22">
              <w:rPr>
                <w:rFonts w:cstheme="minorHAnsi"/>
              </w:rPr>
              <w:t>19</w:t>
            </w:r>
          </w:p>
        </w:tc>
        <w:tc>
          <w:tcPr>
            <w:tcW w:w="817" w:type="dxa"/>
            <w:noWrap/>
            <w:hideMark/>
          </w:tcPr>
          <w:p w14:paraId="721B166F"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E00A22">
              <w:rPr>
                <w:rFonts w:cstheme="minorHAnsi"/>
              </w:rPr>
              <w:t>117</w:t>
            </w:r>
          </w:p>
        </w:tc>
        <w:tc>
          <w:tcPr>
            <w:tcW w:w="817" w:type="dxa"/>
            <w:noWrap/>
            <w:hideMark/>
          </w:tcPr>
          <w:p w14:paraId="1438A10E"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E00A22">
              <w:rPr>
                <w:rFonts w:cstheme="minorHAnsi"/>
              </w:rPr>
              <w:t>225</w:t>
            </w:r>
          </w:p>
        </w:tc>
        <w:tc>
          <w:tcPr>
            <w:tcW w:w="1141" w:type="dxa"/>
            <w:noWrap/>
            <w:hideMark/>
          </w:tcPr>
          <w:p w14:paraId="5B874BF5"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E00A22">
              <w:rPr>
                <w:rFonts w:cstheme="minorHAnsi"/>
              </w:rPr>
              <w:t>1</w:t>
            </w:r>
          </w:p>
        </w:tc>
        <w:tc>
          <w:tcPr>
            <w:tcW w:w="1141" w:type="dxa"/>
            <w:noWrap/>
            <w:hideMark/>
          </w:tcPr>
          <w:p w14:paraId="7079E6D8"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E00A22">
              <w:rPr>
                <w:rFonts w:cstheme="minorHAnsi"/>
              </w:rPr>
              <w:t>10</w:t>
            </w:r>
          </w:p>
        </w:tc>
        <w:tc>
          <w:tcPr>
            <w:tcW w:w="799" w:type="dxa"/>
            <w:noWrap/>
            <w:hideMark/>
          </w:tcPr>
          <w:p w14:paraId="0F99DB71"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E00A22">
              <w:rPr>
                <w:rFonts w:cstheme="minorHAnsi"/>
              </w:rPr>
              <w:t>38</w:t>
            </w:r>
          </w:p>
        </w:tc>
        <w:tc>
          <w:tcPr>
            <w:tcW w:w="1231" w:type="dxa"/>
            <w:noWrap/>
            <w:hideMark/>
          </w:tcPr>
          <w:p w14:paraId="1C8431FB"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E00A22">
              <w:rPr>
                <w:rFonts w:cstheme="minorHAnsi"/>
              </w:rPr>
              <w:t>117</w:t>
            </w:r>
          </w:p>
        </w:tc>
        <w:tc>
          <w:tcPr>
            <w:tcW w:w="1116" w:type="dxa"/>
            <w:noWrap/>
            <w:hideMark/>
          </w:tcPr>
          <w:p w14:paraId="167E18F1" w14:textId="77777777" w:rsidR="009E44BC" w:rsidRPr="00226801" w:rsidRDefault="009E44BC" w:rsidP="00A7449F">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E00A22">
              <w:rPr>
                <w:rFonts w:cstheme="minorHAnsi"/>
              </w:rPr>
              <w:t>166</w:t>
            </w:r>
          </w:p>
        </w:tc>
      </w:tr>
      <w:tr w:rsidR="002E3225" w:rsidRPr="00226801" w14:paraId="54CA3AA9" w14:textId="77777777" w:rsidTr="002E3225">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195" w:type="dxa"/>
            <w:noWrap/>
            <w:hideMark/>
          </w:tcPr>
          <w:p w14:paraId="65828C74" w14:textId="77777777" w:rsidR="009E44BC" w:rsidRPr="00226801" w:rsidRDefault="009E44BC" w:rsidP="00A7449F">
            <w:pPr>
              <w:pStyle w:val="NoSpacing"/>
              <w:rPr>
                <w:rFonts w:cstheme="minorHAnsi"/>
                <w:b w:val="0"/>
                <w:bCs w:val="0"/>
              </w:rPr>
            </w:pPr>
            <w:r w:rsidRPr="005304F3">
              <w:rPr>
                <w:rFonts w:cstheme="minorHAnsi"/>
                <w:b w:val="0"/>
              </w:rPr>
              <w:t>Total</w:t>
            </w:r>
          </w:p>
        </w:tc>
        <w:tc>
          <w:tcPr>
            <w:tcW w:w="817" w:type="dxa"/>
            <w:noWrap/>
            <w:hideMark/>
          </w:tcPr>
          <w:p w14:paraId="5C531B46"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E00A22">
              <w:rPr>
                <w:rFonts w:cstheme="minorHAnsi"/>
              </w:rPr>
              <w:t>197</w:t>
            </w:r>
          </w:p>
        </w:tc>
        <w:tc>
          <w:tcPr>
            <w:tcW w:w="817" w:type="dxa"/>
            <w:noWrap/>
            <w:hideMark/>
          </w:tcPr>
          <w:p w14:paraId="7B4A4429"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E00A22">
              <w:rPr>
                <w:rFonts w:cstheme="minorHAnsi"/>
              </w:rPr>
              <w:t>1</w:t>
            </w:r>
            <w:r w:rsidR="0019786C">
              <w:rPr>
                <w:rFonts w:cstheme="minorHAnsi"/>
              </w:rPr>
              <w:t>,</w:t>
            </w:r>
            <w:r w:rsidRPr="00E00A22">
              <w:rPr>
                <w:rFonts w:cstheme="minorHAnsi"/>
              </w:rPr>
              <w:t>814</w:t>
            </w:r>
          </w:p>
        </w:tc>
        <w:tc>
          <w:tcPr>
            <w:tcW w:w="817" w:type="dxa"/>
            <w:noWrap/>
            <w:hideMark/>
          </w:tcPr>
          <w:p w14:paraId="6B25E323"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E00A22">
              <w:rPr>
                <w:rFonts w:cstheme="minorHAnsi"/>
              </w:rPr>
              <w:t>4</w:t>
            </w:r>
            <w:r w:rsidR="0019786C">
              <w:rPr>
                <w:rFonts w:cstheme="minorHAnsi"/>
              </w:rPr>
              <w:t>,</w:t>
            </w:r>
            <w:r w:rsidRPr="00E00A22">
              <w:rPr>
                <w:rFonts w:cstheme="minorHAnsi"/>
              </w:rPr>
              <w:t>144</w:t>
            </w:r>
          </w:p>
        </w:tc>
        <w:tc>
          <w:tcPr>
            <w:tcW w:w="1141" w:type="dxa"/>
            <w:noWrap/>
            <w:hideMark/>
          </w:tcPr>
          <w:p w14:paraId="27879480"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E00A22">
              <w:rPr>
                <w:rFonts w:cstheme="minorHAnsi"/>
              </w:rPr>
              <w:t>13</w:t>
            </w:r>
          </w:p>
        </w:tc>
        <w:tc>
          <w:tcPr>
            <w:tcW w:w="1141" w:type="dxa"/>
            <w:noWrap/>
            <w:hideMark/>
          </w:tcPr>
          <w:p w14:paraId="1758C3CD"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E00A22">
              <w:rPr>
                <w:rFonts w:cstheme="minorHAnsi"/>
              </w:rPr>
              <w:t>100</w:t>
            </w:r>
          </w:p>
        </w:tc>
        <w:tc>
          <w:tcPr>
            <w:tcW w:w="799" w:type="dxa"/>
            <w:noWrap/>
            <w:hideMark/>
          </w:tcPr>
          <w:p w14:paraId="435C4605"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E00A22">
              <w:rPr>
                <w:rFonts w:cstheme="minorHAnsi"/>
              </w:rPr>
              <w:t>394</w:t>
            </w:r>
          </w:p>
        </w:tc>
        <w:tc>
          <w:tcPr>
            <w:tcW w:w="1231" w:type="dxa"/>
            <w:noWrap/>
            <w:hideMark/>
          </w:tcPr>
          <w:p w14:paraId="45F710A6"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E00A22">
              <w:rPr>
                <w:rFonts w:cstheme="minorHAnsi"/>
              </w:rPr>
              <w:t>1</w:t>
            </w:r>
            <w:r w:rsidR="0019786C">
              <w:rPr>
                <w:rFonts w:cstheme="minorHAnsi"/>
              </w:rPr>
              <w:t>,</w:t>
            </w:r>
            <w:r w:rsidRPr="00E00A22">
              <w:rPr>
                <w:rFonts w:cstheme="minorHAnsi"/>
              </w:rPr>
              <w:t>814</w:t>
            </w:r>
          </w:p>
        </w:tc>
        <w:tc>
          <w:tcPr>
            <w:tcW w:w="1116" w:type="dxa"/>
            <w:noWrap/>
            <w:hideMark/>
          </w:tcPr>
          <w:p w14:paraId="32467A2F" w14:textId="77777777" w:rsidR="009E44BC" w:rsidRPr="00226801" w:rsidRDefault="009E44BC" w:rsidP="00A7449F">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rPr>
            </w:pPr>
            <w:r w:rsidRPr="00E00A22">
              <w:rPr>
                <w:rFonts w:cstheme="minorHAnsi"/>
              </w:rPr>
              <w:t>2</w:t>
            </w:r>
            <w:r w:rsidR="0019786C">
              <w:rPr>
                <w:rFonts w:cstheme="minorHAnsi"/>
              </w:rPr>
              <w:t>,</w:t>
            </w:r>
            <w:r w:rsidRPr="00E00A22">
              <w:rPr>
                <w:rFonts w:cstheme="minorHAnsi"/>
              </w:rPr>
              <w:t>321</w:t>
            </w:r>
          </w:p>
        </w:tc>
      </w:tr>
    </w:tbl>
    <w:p w14:paraId="6D393A36" w14:textId="77777777" w:rsidR="009E44BC" w:rsidRPr="00226801" w:rsidRDefault="005D5B3E" w:rsidP="005D5B3E">
      <w:pPr>
        <w:spacing w:before="240" w:after="240" w:line="276" w:lineRule="auto"/>
        <w:jc w:val="both"/>
        <w:rPr>
          <w:rFonts w:asciiTheme="minorHAnsi" w:hAnsiTheme="minorHAnsi" w:cstheme="minorHAnsi"/>
        </w:rPr>
      </w:pPr>
      <w:r w:rsidRPr="005304F3">
        <w:rPr>
          <w:rFonts w:asciiTheme="minorHAnsi" w:hAnsiTheme="minorHAnsi" w:cstheme="minorHAnsi"/>
        </w:rPr>
        <w:t>Ideally</w:t>
      </w:r>
      <w:r w:rsidRPr="00E00A22">
        <w:rPr>
          <w:rFonts w:asciiTheme="minorHAnsi" w:hAnsiTheme="minorHAnsi" w:cstheme="minorHAnsi"/>
        </w:rPr>
        <w:t>, the briefing session at the operational level should include all health facilities offering immunisation services throughout the country. Since the budget is limited</w:t>
      </w:r>
      <w:r w:rsidR="00602D2D" w:rsidRPr="00E00A22">
        <w:rPr>
          <w:rFonts w:asciiTheme="minorHAnsi" w:hAnsiTheme="minorHAnsi" w:cstheme="minorHAnsi"/>
        </w:rPr>
        <w:t>, and all health facilities will be included</w:t>
      </w:r>
      <w:r w:rsidRPr="00E00A22">
        <w:rPr>
          <w:rFonts w:asciiTheme="minorHAnsi" w:hAnsiTheme="minorHAnsi" w:cstheme="minorHAnsi"/>
        </w:rPr>
        <w:t>, only health centre managers will participate in training at the district level.</w:t>
      </w:r>
      <w:r w:rsidR="00D53734" w:rsidRPr="00E00A22">
        <w:rPr>
          <w:rFonts w:asciiTheme="minorHAnsi" w:hAnsiTheme="minorHAnsi" w:cstheme="minorHAnsi"/>
        </w:rPr>
        <w:t xml:space="preserve"> </w:t>
      </w:r>
      <w:r w:rsidRPr="00E00A22">
        <w:rPr>
          <w:rFonts w:asciiTheme="minorHAnsi" w:hAnsiTheme="minorHAnsi" w:cstheme="minorHAnsi"/>
        </w:rPr>
        <w:t xml:space="preserve">Health centre managers can take </w:t>
      </w:r>
      <w:r w:rsidR="00602D2D" w:rsidRPr="00E00A22">
        <w:rPr>
          <w:rFonts w:asciiTheme="minorHAnsi" w:hAnsiTheme="minorHAnsi" w:cstheme="minorHAnsi"/>
        </w:rPr>
        <w:t>use</w:t>
      </w:r>
      <w:r w:rsidRPr="00E00A22">
        <w:rPr>
          <w:rFonts w:asciiTheme="minorHAnsi" w:hAnsiTheme="minorHAnsi" w:cstheme="minorHAnsi"/>
        </w:rPr>
        <w:t xml:space="preserve"> meetings at another event, like polio immunisation campaigns, </w:t>
      </w:r>
      <w:r w:rsidR="00602D2D" w:rsidRPr="00E00A22">
        <w:rPr>
          <w:rFonts w:asciiTheme="minorHAnsi" w:hAnsiTheme="minorHAnsi" w:cstheme="minorHAnsi"/>
        </w:rPr>
        <w:t xml:space="preserve">as an opportunity </w:t>
      </w:r>
      <w:r w:rsidRPr="00E00A22">
        <w:rPr>
          <w:rFonts w:asciiTheme="minorHAnsi" w:hAnsiTheme="minorHAnsi" w:cstheme="minorHAnsi"/>
        </w:rPr>
        <w:t xml:space="preserve">to brief healthcare personnel in charge of immunisation and distribute training media and posters. </w:t>
      </w:r>
    </w:p>
    <w:p w14:paraId="477B1B22" w14:textId="77777777" w:rsidR="002E3225" w:rsidRPr="00226801" w:rsidRDefault="002E3225" w:rsidP="002E3225">
      <w:pPr>
        <w:pStyle w:val="Caption"/>
        <w:spacing w:before="240" w:after="0"/>
        <w:rPr>
          <w:rFonts w:cstheme="minorHAnsi"/>
          <w:color w:val="000000" w:themeColor="text1"/>
          <w:sz w:val="28"/>
          <w:szCs w:val="28"/>
        </w:rPr>
      </w:pPr>
      <w:r w:rsidRPr="00E00A22">
        <w:rPr>
          <w:rFonts w:cstheme="minorHAnsi"/>
          <w:sz w:val="20"/>
        </w:rPr>
        <w:t>Table 3:</w:t>
      </w:r>
      <w:r w:rsidR="00D53734" w:rsidRPr="00E00A22">
        <w:rPr>
          <w:rFonts w:cstheme="minorHAnsi"/>
          <w:sz w:val="20"/>
        </w:rPr>
        <w:t xml:space="preserve"> </w:t>
      </w:r>
      <w:r w:rsidRPr="00E00A22">
        <w:rPr>
          <w:rFonts w:cstheme="minorHAnsi"/>
          <w:sz w:val="20"/>
        </w:rPr>
        <w:t>Briefing session participant and facilitator profiles </w:t>
      </w:r>
    </w:p>
    <w:tbl>
      <w:tblPr>
        <w:tblStyle w:val="ListTable2-Accent1"/>
        <w:tblW w:w="9102" w:type="dxa"/>
        <w:tblLook w:val="04A0" w:firstRow="1" w:lastRow="0" w:firstColumn="1" w:lastColumn="0" w:noHBand="0" w:noVBand="1"/>
      </w:tblPr>
      <w:tblGrid>
        <w:gridCol w:w="1047"/>
        <w:gridCol w:w="4867"/>
        <w:gridCol w:w="3188"/>
      </w:tblGrid>
      <w:tr w:rsidR="002E3225" w:rsidRPr="00226801" w14:paraId="4D1C5D06" w14:textId="77777777" w:rsidTr="00AA2661">
        <w:trPr>
          <w:cnfStyle w:val="100000000000" w:firstRow="1" w:lastRow="0" w:firstColumn="0" w:lastColumn="0" w:oddVBand="0" w:evenVBand="0" w:oddHBand="0"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1047" w:type="dxa"/>
          </w:tcPr>
          <w:p w14:paraId="58CCC862" w14:textId="77777777" w:rsidR="002E3225" w:rsidRPr="00E00A22" w:rsidRDefault="002E3225" w:rsidP="002E3225">
            <w:pPr>
              <w:pStyle w:val="NoSpacing"/>
              <w:rPr>
                <w:rFonts w:cstheme="minorHAnsi"/>
              </w:rPr>
            </w:pPr>
            <w:r w:rsidRPr="00E00A22">
              <w:rPr>
                <w:rFonts w:cstheme="minorHAnsi"/>
              </w:rPr>
              <w:t>Level</w:t>
            </w:r>
          </w:p>
        </w:tc>
        <w:tc>
          <w:tcPr>
            <w:tcW w:w="4867" w:type="dxa"/>
          </w:tcPr>
          <w:p w14:paraId="43303A0F" w14:textId="77777777" w:rsidR="002E3225" w:rsidRPr="00E00A22" w:rsidRDefault="002E3225" w:rsidP="002E3225">
            <w:pPr>
              <w:pStyle w:val="NoSpacing"/>
              <w:cnfStyle w:val="100000000000" w:firstRow="1" w:lastRow="0" w:firstColumn="0" w:lastColumn="0" w:oddVBand="0" w:evenVBand="0" w:oddHBand="0" w:evenHBand="0" w:firstRowFirstColumn="0" w:firstRowLastColumn="0" w:lastRowFirstColumn="0" w:lastRowLastColumn="0"/>
              <w:rPr>
                <w:rFonts w:cstheme="minorHAnsi"/>
              </w:rPr>
            </w:pPr>
            <w:r w:rsidRPr="00E00A22">
              <w:rPr>
                <w:rFonts w:cstheme="minorHAnsi"/>
              </w:rPr>
              <w:t>Participant profiles</w:t>
            </w:r>
          </w:p>
        </w:tc>
        <w:tc>
          <w:tcPr>
            <w:tcW w:w="3188" w:type="dxa"/>
          </w:tcPr>
          <w:p w14:paraId="2C301EDA" w14:textId="77777777" w:rsidR="002E3225" w:rsidRPr="00E00A22" w:rsidRDefault="002E3225" w:rsidP="002E3225">
            <w:pPr>
              <w:pStyle w:val="NoSpacing"/>
              <w:cnfStyle w:val="100000000000" w:firstRow="1" w:lastRow="0" w:firstColumn="0" w:lastColumn="0" w:oddVBand="0" w:evenVBand="0" w:oddHBand="0" w:evenHBand="0" w:firstRowFirstColumn="0" w:firstRowLastColumn="0" w:lastRowFirstColumn="0" w:lastRowLastColumn="0"/>
              <w:rPr>
                <w:rFonts w:cstheme="minorHAnsi"/>
              </w:rPr>
            </w:pPr>
            <w:r w:rsidRPr="00E00A22">
              <w:rPr>
                <w:rFonts w:cstheme="minorHAnsi"/>
              </w:rPr>
              <w:t>Facilitator profiles</w:t>
            </w:r>
          </w:p>
        </w:tc>
      </w:tr>
      <w:tr w:rsidR="002E3225" w:rsidRPr="00226801" w14:paraId="687ED0E3" w14:textId="77777777" w:rsidTr="00AA2661">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1047" w:type="dxa"/>
          </w:tcPr>
          <w:p w14:paraId="54298220" w14:textId="77777777" w:rsidR="002E3225" w:rsidRPr="00E00A22" w:rsidRDefault="002E3225" w:rsidP="002E3225">
            <w:pPr>
              <w:pStyle w:val="NoSpacing"/>
              <w:rPr>
                <w:rFonts w:cstheme="minorHAnsi"/>
              </w:rPr>
            </w:pPr>
            <w:r w:rsidRPr="005304F3">
              <w:rPr>
                <w:rFonts w:cstheme="minorHAnsi"/>
              </w:rPr>
              <w:t>Regi</w:t>
            </w:r>
            <w:r w:rsidRPr="00E00A22">
              <w:rPr>
                <w:rFonts w:cstheme="minorHAnsi"/>
              </w:rPr>
              <w:t>onal</w:t>
            </w:r>
          </w:p>
        </w:tc>
        <w:tc>
          <w:tcPr>
            <w:tcW w:w="4867" w:type="dxa"/>
          </w:tcPr>
          <w:p w14:paraId="5771E263" w14:textId="77777777" w:rsidR="002E3225" w:rsidRPr="00E00A22" w:rsidRDefault="002E3225" w:rsidP="002E3225">
            <w:pPr>
              <w:pStyle w:val="NoSpacing"/>
              <w:numPr>
                <w:ilvl w:val="0"/>
                <w:numId w:val="15"/>
              </w:numPr>
              <w:cnfStyle w:val="000000100000" w:firstRow="0" w:lastRow="0" w:firstColumn="0" w:lastColumn="0" w:oddVBand="0" w:evenVBand="0" w:oddHBand="1" w:evenHBand="0" w:firstRowFirstColumn="0" w:firstRowLastColumn="0" w:lastRowFirstColumn="0" w:lastRowLastColumn="0"/>
              <w:rPr>
                <w:rFonts w:cstheme="minorHAnsi"/>
              </w:rPr>
            </w:pPr>
            <w:r w:rsidRPr="00E00A22">
              <w:rPr>
                <w:rFonts w:cstheme="minorHAnsi"/>
              </w:rPr>
              <w:t>10 National Technical Groups</w:t>
            </w:r>
          </w:p>
          <w:p w14:paraId="4706C4DC" w14:textId="77777777" w:rsidR="002E3225" w:rsidRPr="00E00A22" w:rsidRDefault="002E3225" w:rsidP="002E3225">
            <w:pPr>
              <w:pStyle w:val="NoSpacing"/>
              <w:numPr>
                <w:ilvl w:val="0"/>
                <w:numId w:val="15"/>
              </w:numPr>
              <w:cnfStyle w:val="000000100000" w:firstRow="0" w:lastRow="0" w:firstColumn="0" w:lastColumn="0" w:oddVBand="0" w:evenVBand="0" w:oddHBand="1" w:evenHBand="0" w:firstRowFirstColumn="0" w:firstRowLastColumn="0" w:lastRowFirstColumn="0" w:lastRowLastColumn="0"/>
              <w:rPr>
                <w:rFonts w:cstheme="minorHAnsi"/>
              </w:rPr>
            </w:pPr>
            <w:r w:rsidRPr="00E00A22">
              <w:rPr>
                <w:rFonts w:cstheme="minorHAnsi"/>
              </w:rPr>
              <w:t xml:space="preserve">197 Health District Heads (consisting of Physicians, Pharmacists and Healthcare Directors) </w:t>
            </w:r>
          </w:p>
          <w:p w14:paraId="69BAFE0B" w14:textId="77777777" w:rsidR="002E3225" w:rsidRPr="00E00A22" w:rsidRDefault="002E3225" w:rsidP="002E3225">
            <w:pPr>
              <w:pStyle w:val="NoSpacing"/>
              <w:numPr>
                <w:ilvl w:val="0"/>
                <w:numId w:val="15"/>
              </w:numPr>
              <w:cnfStyle w:val="000000100000" w:firstRow="0" w:lastRow="0" w:firstColumn="0" w:lastColumn="0" w:oddVBand="0" w:evenVBand="0" w:oddHBand="1" w:evenHBand="0" w:firstRowFirstColumn="0" w:firstRowLastColumn="0" w:lastRowFirstColumn="0" w:lastRowLastColumn="0"/>
              <w:rPr>
                <w:rFonts w:cstheme="minorHAnsi"/>
              </w:rPr>
            </w:pPr>
            <w:r w:rsidRPr="00E00A22">
              <w:rPr>
                <w:rFonts w:cstheme="minorHAnsi"/>
              </w:rPr>
              <w:t>197 Health Bureau Heads (responsible for data management and monitoring HD micro plans)</w:t>
            </w:r>
          </w:p>
          <w:p w14:paraId="45B0C8D5" w14:textId="77777777" w:rsidR="002E3225" w:rsidRPr="00E00A22" w:rsidRDefault="002E3225" w:rsidP="002E3225">
            <w:pPr>
              <w:pStyle w:val="NoSpacing"/>
              <w:numPr>
                <w:ilvl w:val="0"/>
                <w:numId w:val="15"/>
              </w:numPr>
              <w:cnfStyle w:val="000000100000" w:firstRow="0" w:lastRow="0" w:firstColumn="0" w:lastColumn="0" w:oddVBand="0" w:evenVBand="0" w:oddHBand="1" w:evenHBand="0" w:firstRowFirstColumn="0" w:firstRowLastColumn="0" w:lastRowFirstColumn="0" w:lastRowLastColumn="0"/>
              <w:rPr>
                <w:rFonts w:cstheme="minorHAnsi"/>
              </w:rPr>
            </w:pPr>
            <w:r w:rsidRPr="00E00A22">
              <w:rPr>
                <w:rFonts w:cstheme="minorHAnsi"/>
              </w:rPr>
              <w:t>100 Regional supervisors of immunisation activities to support briefing sessions at the health district level where the District Management Team lacks sufficient technical capability to do so.</w:t>
            </w:r>
          </w:p>
        </w:tc>
        <w:tc>
          <w:tcPr>
            <w:tcW w:w="3188" w:type="dxa"/>
          </w:tcPr>
          <w:p w14:paraId="2A156F3E" w14:textId="77777777" w:rsidR="002E3225" w:rsidRPr="00E00A22" w:rsidRDefault="002E3225" w:rsidP="002E3225">
            <w:pPr>
              <w:pStyle w:val="NoSpacing"/>
              <w:numPr>
                <w:ilvl w:val="0"/>
                <w:numId w:val="15"/>
              </w:numPr>
              <w:cnfStyle w:val="000000100000" w:firstRow="0" w:lastRow="0" w:firstColumn="0" w:lastColumn="0" w:oddVBand="0" w:evenVBand="0" w:oddHBand="1" w:evenHBand="0" w:firstRowFirstColumn="0" w:firstRowLastColumn="0" w:lastRowFirstColumn="0" w:lastRowLastColumn="0"/>
              <w:rPr>
                <w:rFonts w:cstheme="minorHAnsi"/>
              </w:rPr>
            </w:pPr>
            <w:r w:rsidRPr="00E00A22">
              <w:rPr>
                <w:rFonts w:cstheme="minorHAnsi"/>
              </w:rPr>
              <w:t xml:space="preserve">13 National facilitators </w:t>
            </w:r>
          </w:p>
          <w:p w14:paraId="13596B87" w14:textId="77777777" w:rsidR="002E3225" w:rsidRPr="00E00A22" w:rsidRDefault="002E3225" w:rsidP="002E3225">
            <w:pPr>
              <w:pStyle w:val="NoSpacing"/>
              <w:cnfStyle w:val="000000100000" w:firstRow="0" w:lastRow="0" w:firstColumn="0" w:lastColumn="0" w:oddVBand="0" w:evenVBand="0" w:oddHBand="1" w:evenHBand="0" w:firstRowFirstColumn="0" w:firstRowLastColumn="0" w:lastRowFirstColumn="0" w:lastRowLastColumn="0"/>
              <w:rPr>
                <w:rFonts w:cstheme="minorHAnsi"/>
              </w:rPr>
            </w:pPr>
            <w:r w:rsidRPr="00E00A22">
              <w:rPr>
                <w:rFonts w:cstheme="minorHAnsi"/>
              </w:rPr>
              <w:t>Far North, Coastal and Central Regions will each have two sessions.</w:t>
            </w:r>
          </w:p>
        </w:tc>
      </w:tr>
      <w:tr w:rsidR="002E3225" w:rsidRPr="00226801" w14:paraId="690DA7EC" w14:textId="77777777" w:rsidTr="00AA2661">
        <w:trPr>
          <w:trHeight w:val="124"/>
        </w:trPr>
        <w:tc>
          <w:tcPr>
            <w:cnfStyle w:val="001000000000" w:firstRow="0" w:lastRow="0" w:firstColumn="1" w:lastColumn="0" w:oddVBand="0" w:evenVBand="0" w:oddHBand="0" w:evenHBand="0" w:firstRowFirstColumn="0" w:firstRowLastColumn="0" w:lastRowFirstColumn="0" w:lastRowLastColumn="0"/>
            <w:tcW w:w="1047" w:type="dxa"/>
          </w:tcPr>
          <w:p w14:paraId="6420932B" w14:textId="77777777" w:rsidR="002E3225" w:rsidRPr="00E00A22" w:rsidRDefault="002E3225" w:rsidP="002E3225">
            <w:pPr>
              <w:pStyle w:val="NoSpacing"/>
              <w:rPr>
                <w:rFonts w:cstheme="minorHAnsi"/>
              </w:rPr>
            </w:pPr>
            <w:r w:rsidRPr="005304F3">
              <w:rPr>
                <w:rFonts w:cstheme="minorHAnsi"/>
              </w:rPr>
              <w:t>Hea</w:t>
            </w:r>
            <w:r w:rsidRPr="00E00A22">
              <w:rPr>
                <w:rFonts w:cstheme="minorHAnsi"/>
              </w:rPr>
              <w:t>lth District</w:t>
            </w:r>
          </w:p>
        </w:tc>
        <w:tc>
          <w:tcPr>
            <w:tcW w:w="4867" w:type="dxa"/>
          </w:tcPr>
          <w:p w14:paraId="50BAB861" w14:textId="77777777" w:rsidR="002E3225" w:rsidRPr="00E00A22" w:rsidRDefault="002E3225" w:rsidP="002E3225">
            <w:pPr>
              <w:pStyle w:val="NoSpacing"/>
              <w:numPr>
                <w:ilvl w:val="0"/>
                <w:numId w:val="15"/>
              </w:numPr>
              <w:cnfStyle w:val="000000000000" w:firstRow="0" w:lastRow="0" w:firstColumn="0" w:lastColumn="0" w:oddVBand="0" w:evenVBand="0" w:oddHBand="0" w:evenHBand="0" w:firstRowFirstColumn="0" w:firstRowLastColumn="0" w:lastRowFirstColumn="0" w:lastRowLastColumn="0"/>
              <w:rPr>
                <w:rFonts w:cstheme="minorHAnsi"/>
              </w:rPr>
            </w:pPr>
            <w:r w:rsidRPr="00E00A22">
              <w:rPr>
                <w:rFonts w:cstheme="minorHAnsi"/>
              </w:rPr>
              <w:t>1814 Health centre managers</w:t>
            </w:r>
          </w:p>
        </w:tc>
        <w:tc>
          <w:tcPr>
            <w:tcW w:w="3188" w:type="dxa"/>
          </w:tcPr>
          <w:p w14:paraId="26404053" w14:textId="77777777" w:rsidR="002E3225" w:rsidRPr="00E00A22" w:rsidRDefault="002E3225" w:rsidP="002E3225">
            <w:pPr>
              <w:pStyle w:val="NoSpacing"/>
              <w:numPr>
                <w:ilvl w:val="0"/>
                <w:numId w:val="15"/>
              </w:numPr>
              <w:cnfStyle w:val="000000000000" w:firstRow="0" w:lastRow="0" w:firstColumn="0" w:lastColumn="0" w:oddVBand="0" w:evenVBand="0" w:oddHBand="0" w:evenHBand="0" w:firstRowFirstColumn="0" w:firstRowLastColumn="0" w:lastRowFirstColumn="0" w:lastRowLastColumn="0"/>
              <w:rPr>
                <w:rFonts w:cstheme="minorHAnsi"/>
              </w:rPr>
            </w:pPr>
            <w:r w:rsidRPr="00E00A22">
              <w:rPr>
                <w:rFonts w:cstheme="minorHAnsi"/>
              </w:rPr>
              <w:t>197 District Executive Teams</w:t>
            </w:r>
          </w:p>
          <w:p w14:paraId="09F076E3" w14:textId="77777777" w:rsidR="002E3225" w:rsidRPr="00E00A22" w:rsidRDefault="002E3225" w:rsidP="002E3225">
            <w:pPr>
              <w:pStyle w:val="NoSpacing"/>
              <w:numPr>
                <w:ilvl w:val="0"/>
                <w:numId w:val="15"/>
              </w:numPr>
              <w:cnfStyle w:val="000000000000" w:firstRow="0" w:lastRow="0" w:firstColumn="0" w:lastColumn="0" w:oddVBand="0" w:evenVBand="0" w:oddHBand="0" w:evenHBand="0" w:firstRowFirstColumn="0" w:firstRowLastColumn="0" w:lastRowFirstColumn="0" w:lastRowLastColumn="0"/>
              <w:rPr>
                <w:rFonts w:cstheme="minorHAnsi"/>
              </w:rPr>
            </w:pPr>
            <w:r w:rsidRPr="00E00A22">
              <w:rPr>
                <w:rFonts w:cstheme="minorHAnsi"/>
              </w:rPr>
              <w:t>100 Regional supervisors of immunisation activities</w:t>
            </w:r>
          </w:p>
        </w:tc>
      </w:tr>
    </w:tbl>
    <w:p w14:paraId="4BEFF12F" w14:textId="77777777" w:rsidR="007057E6" w:rsidRPr="00226801" w:rsidRDefault="00466880" w:rsidP="00AE4ABF">
      <w:pPr>
        <w:pStyle w:val="Heading3"/>
        <w:numPr>
          <w:ilvl w:val="2"/>
          <w:numId w:val="3"/>
        </w:numPr>
        <w:pBdr>
          <w:bottom w:val="none" w:sz="0" w:space="0" w:color="auto"/>
        </w:pBdr>
        <w:spacing w:before="240" w:after="240"/>
        <w:ind w:left="1225" w:hanging="505"/>
        <w:rPr>
          <w:rFonts w:asciiTheme="minorHAnsi" w:hAnsiTheme="minorHAnsi" w:cstheme="minorHAnsi"/>
          <w:sz w:val="24"/>
          <w:szCs w:val="24"/>
        </w:rPr>
      </w:pPr>
      <w:bookmarkStart w:id="7" w:name="_Toc101798509"/>
      <w:r w:rsidRPr="005304F3">
        <w:rPr>
          <w:rFonts w:asciiTheme="minorHAnsi" w:hAnsiTheme="minorHAnsi" w:cstheme="minorHAnsi"/>
          <w:sz w:val="24"/>
        </w:rPr>
        <w:t>Immunisation</w:t>
      </w:r>
      <w:r w:rsidRPr="00E00A22">
        <w:rPr>
          <w:rFonts w:asciiTheme="minorHAnsi" w:hAnsiTheme="minorHAnsi" w:cstheme="minorHAnsi"/>
          <w:sz w:val="24"/>
        </w:rPr>
        <w:t xml:space="preserve"> in Practice</w:t>
      </w:r>
      <w:bookmarkEnd w:id="7"/>
      <w:r w:rsidRPr="00E00A22">
        <w:rPr>
          <w:rFonts w:asciiTheme="minorHAnsi" w:hAnsiTheme="minorHAnsi" w:cstheme="minorHAnsi"/>
          <w:sz w:val="24"/>
        </w:rPr>
        <w:t xml:space="preserve"> </w:t>
      </w:r>
    </w:p>
    <w:p w14:paraId="4F0479DB" w14:textId="77777777" w:rsidR="00D15927" w:rsidRPr="00226801" w:rsidRDefault="00663E4A" w:rsidP="00AE3081">
      <w:pPr>
        <w:spacing w:before="240" w:after="240" w:line="276" w:lineRule="auto"/>
        <w:jc w:val="both"/>
        <w:rPr>
          <w:rFonts w:asciiTheme="minorHAnsi" w:eastAsia="Arial" w:hAnsiTheme="minorHAnsi" w:cstheme="minorHAnsi"/>
          <w:i/>
          <w:iCs/>
        </w:rPr>
      </w:pPr>
      <w:r w:rsidRPr="00E00A22">
        <w:rPr>
          <w:rFonts w:asciiTheme="minorHAnsi" w:hAnsiTheme="minorHAnsi" w:cstheme="minorHAnsi"/>
        </w:rPr>
        <w:t xml:space="preserve">“Train the trainer” training sessions will be conducted from the national </w:t>
      </w:r>
      <w:r w:rsidRPr="00E00A22">
        <w:rPr>
          <w:rFonts w:asciiTheme="minorHAnsi" w:hAnsiTheme="minorHAnsi" w:cstheme="minorHAnsi"/>
        </w:rPr>
        <w:br/>
        <w:t xml:space="preserve">level to the operational level. Before training the trainers, a three-day workshop will </w:t>
      </w:r>
      <w:r w:rsidR="00661A11" w:rsidRPr="00E00A22">
        <w:rPr>
          <w:rFonts w:asciiTheme="minorHAnsi" w:hAnsiTheme="minorHAnsi" w:cstheme="minorHAnsi"/>
        </w:rPr>
        <w:t>be held</w:t>
      </w:r>
      <w:r w:rsidRPr="00E00A22">
        <w:rPr>
          <w:rFonts w:asciiTheme="minorHAnsi" w:hAnsiTheme="minorHAnsi" w:cstheme="minorHAnsi"/>
        </w:rPr>
        <w:t xml:space="preserve"> to update (i) training modules on immunisation in practice; (ii) data collection and recording </w:t>
      </w:r>
      <w:r w:rsidRPr="00E00A22">
        <w:rPr>
          <w:rFonts w:asciiTheme="minorHAnsi" w:hAnsiTheme="minorHAnsi" w:cstheme="minorHAnsi"/>
        </w:rPr>
        <w:lastRenderedPageBreak/>
        <w:t xml:space="preserve">tools; (iii) communications media for the population and healthcare personnel; and (iv) practical guides for social mobilisers. </w:t>
      </w:r>
    </w:p>
    <w:p w14:paraId="79C3A1F8" w14:textId="77777777" w:rsidR="00B06E9B" w:rsidRPr="00226801" w:rsidRDefault="00B06E9B" w:rsidP="00AE3081">
      <w:pPr>
        <w:spacing w:before="240" w:after="240" w:line="276" w:lineRule="auto"/>
        <w:jc w:val="both"/>
        <w:rPr>
          <w:rFonts w:asciiTheme="minorHAnsi" w:eastAsia="Arial" w:hAnsiTheme="minorHAnsi" w:cstheme="minorHAnsi"/>
          <w:i/>
          <w:iCs/>
        </w:rPr>
      </w:pPr>
      <w:r w:rsidRPr="00E00A22">
        <w:rPr>
          <w:rFonts w:asciiTheme="minorHAnsi" w:hAnsiTheme="minorHAnsi" w:cstheme="minorHAnsi"/>
        </w:rPr>
        <w:t xml:space="preserve">Preparatory meetings with regional managers will be held prior to training the trainers </w:t>
      </w:r>
      <w:r w:rsidRPr="00E00A22">
        <w:rPr>
          <w:rFonts w:asciiTheme="minorHAnsi" w:hAnsiTheme="minorHAnsi" w:cstheme="minorHAnsi"/>
          <w:i/>
          <w:iCs/>
        </w:rPr>
        <w:t>online</w:t>
      </w:r>
      <w:r w:rsidRPr="00E00A22">
        <w:rPr>
          <w:rFonts w:asciiTheme="minorHAnsi" w:hAnsiTheme="minorHAnsi" w:cstheme="minorHAnsi"/>
        </w:rPr>
        <w:t>.</w:t>
      </w:r>
      <w:r w:rsidRPr="00E00A22">
        <w:rPr>
          <w:rFonts w:asciiTheme="minorHAnsi" w:hAnsiTheme="minorHAnsi" w:cstheme="minorHAnsi"/>
          <w:i/>
        </w:rPr>
        <w:t xml:space="preserve"> Three (3) weekly meetings will be held before the first regional briefing session.</w:t>
      </w:r>
    </w:p>
    <w:p w14:paraId="61299802" w14:textId="77777777" w:rsidR="00B62F38" w:rsidRPr="00226801" w:rsidRDefault="00663E4A" w:rsidP="00AE3081">
      <w:pPr>
        <w:spacing w:before="240" w:after="240" w:line="276" w:lineRule="auto"/>
        <w:jc w:val="both"/>
        <w:rPr>
          <w:rFonts w:asciiTheme="minorHAnsi" w:eastAsia="Arial" w:hAnsiTheme="minorHAnsi" w:cstheme="minorHAnsi"/>
          <w:i/>
          <w:iCs/>
        </w:rPr>
      </w:pPr>
      <w:r w:rsidRPr="00E00A22">
        <w:rPr>
          <w:rFonts w:asciiTheme="minorHAnsi" w:hAnsiTheme="minorHAnsi" w:cstheme="minorHAnsi"/>
          <w:b/>
        </w:rPr>
        <w:t>At the national level,</w:t>
      </w:r>
      <w:r w:rsidRPr="00E00A22">
        <w:rPr>
          <w:rFonts w:asciiTheme="minorHAnsi" w:hAnsiTheme="minorHAnsi" w:cstheme="minorHAnsi"/>
        </w:rPr>
        <w:t xml:space="preserve"> a </w:t>
      </w:r>
      <w:proofErr w:type="gramStart"/>
      <w:r w:rsidRPr="00E00A22">
        <w:rPr>
          <w:rFonts w:asciiTheme="minorHAnsi" w:hAnsiTheme="minorHAnsi" w:cstheme="minorHAnsi"/>
        </w:rPr>
        <w:t>one day</w:t>
      </w:r>
      <w:proofErr w:type="gramEnd"/>
      <w:r w:rsidRPr="00E00A22">
        <w:rPr>
          <w:rFonts w:asciiTheme="minorHAnsi" w:hAnsiTheme="minorHAnsi" w:cstheme="minorHAnsi"/>
        </w:rPr>
        <w:t xml:space="preserve"> workshop will be held to train the trainers who will in turn facilitate </w:t>
      </w:r>
      <w:r w:rsidRPr="00E00A22">
        <w:rPr>
          <w:rFonts w:asciiTheme="minorHAnsi" w:hAnsiTheme="minorHAnsi" w:cstheme="minorHAnsi"/>
          <w:i/>
          <w:iCs/>
        </w:rPr>
        <w:t>management teams</w:t>
      </w:r>
      <w:r w:rsidRPr="00E00A22">
        <w:rPr>
          <w:rFonts w:asciiTheme="minorHAnsi" w:hAnsiTheme="minorHAnsi" w:cstheme="minorHAnsi"/>
        </w:rPr>
        <w:t xml:space="preserve"> at the regional level.</w:t>
      </w:r>
      <w:r w:rsidR="00D53734" w:rsidRPr="00E00A22">
        <w:rPr>
          <w:rFonts w:asciiTheme="minorHAnsi" w:hAnsiTheme="minorHAnsi" w:cstheme="minorHAnsi"/>
        </w:rPr>
        <w:t xml:space="preserve"> </w:t>
      </w:r>
      <w:r w:rsidRPr="00E00A22">
        <w:rPr>
          <w:rFonts w:asciiTheme="minorHAnsi" w:hAnsiTheme="minorHAnsi" w:cstheme="minorHAnsi"/>
          <w:i/>
        </w:rPr>
        <w:t>The national facilitator briefing session will consist of going through the entire agenda for the regional session and reviewing the specific tasks to be performed in the Regions by the national facilitators outside of those related to the rota switch. This session will be conducted online to also facilitate participation by coordinators of regional technical groups.</w:t>
      </w:r>
    </w:p>
    <w:p w14:paraId="13B97ABE" w14:textId="77777777" w:rsidR="009F3C1A" w:rsidRPr="00226801" w:rsidRDefault="009F3C1A" w:rsidP="00AE3081">
      <w:pPr>
        <w:spacing w:before="240" w:after="240" w:line="276" w:lineRule="auto"/>
        <w:jc w:val="both"/>
        <w:rPr>
          <w:rFonts w:asciiTheme="minorHAnsi" w:eastAsia="Arial" w:hAnsiTheme="minorHAnsi" w:cstheme="minorHAnsi"/>
          <w:i/>
          <w:iCs/>
        </w:rPr>
      </w:pPr>
      <w:r w:rsidRPr="00E00A22">
        <w:rPr>
          <w:rFonts w:asciiTheme="minorHAnsi" w:hAnsiTheme="minorHAnsi" w:cstheme="minorHAnsi"/>
          <w:b/>
          <w:i/>
        </w:rPr>
        <w:t>At the regional level</w:t>
      </w:r>
      <w:r w:rsidRPr="00E00A22">
        <w:rPr>
          <w:rFonts w:asciiTheme="minorHAnsi" w:hAnsiTheme="minorHAnsi" w:cstheme="minorHAnsi"/>
          <w:i/>
        </w:rPr>
        <w:t>,</w:t>
      </w:r>
      <w:r w:rsidR="00D53734" w:rsidRPr="00E00A22">
        <w:rPr>
          <w:rFonts w:asciiTheme="minorHAnsi" w:hAnsiTheme="minorHAnsi" w:cstheme="minorHAnsi"/>
          <w:i/>
        </w:rPr>
        <w:t xml:space="preserve"> </w:t>
      </w:r>
      <w:r w:rsidRPr="00E00A22">
        <w:rPr>
          <w:rFonts w:asciiTheme="minorHAnsi" w:hAnsiTheme="minorHAnsi" w:cstheme="minorHAnsi"/>
          <w:i/>
        </w:rPr>
        <w:t xml:space="preserve">the </w:t>
      </w:r>
      <w:r w:rsidRPr="00E00A22">
        <w:rPr>
          <w:rFonts w:asciiTheme="minorHAnsi" w:hAnsiTheme="minorHAnsi" w:cstheme="minorHAnsi"/>
        </w:rPr>
        <w:t xml:space="preserve">district management </w:t>
      </w:r>
      <w:proofErr w:type="gramStart"/>
      <w:r w:rsidRPr="00E00A22">
        <w:rPr>
          <w:rFonts w:asciiTheme="minorHAnsi" w:hAnsiTheme="minorHAnsi" w:cstheme="minorHAnsi"/>
        </w:rPr>
        <w:t>teams</w:t>
      </w:r>
      <w:proofErr w:type="gramEnd"/>
      <w:r w:rsidRPr="00E00A22">
        <w:rPr>
          <w:rFonts w:asciiTheme="minorHAnsi" w:hAnsiTheme="minorHAnsi" w:cstheme="minorHAnsi"/>
          <w:i/>
        </w:rPr>
        <w:t xml:space="preserve"> and the regional facilitators of District sessions will be briefed</w:t>
      </w:r>
      <w:r w:rsidRPr="00E00A22">
        <w:rPr>
          <w:rFonts w:asciiTheme="minorHAnsi" w:hAnsiTheme="minorHAnsi" w:cstheme="minorHAnsi"/>
        </w:rPr>
        <w:t xml:space="preserve"> by the national facilitators </w:t>
      </w:r>
      <w:r w:rsidRPr="00E00A22">
        <w:rPr>
          <w:rFonts w:asciiTheme="minorHAnsi" w:hAnsiTheme="minorHAnsi" w:cstheme="minorHAnsi"/>
          <w:i/>
        </w:rPr>
        <w:t>during a two (2) day session</w:t>
      </w:r>
      <w:r w:rsidRPr="00E00A22">
        <w:rPr>
          <w:rFonts w:asciiTheme="minorHAnsi" w:hAnsiTheme="minorHAnsi" w:cstheme="minorHAnsi"/>
        </w:rPr>
        <w:t xml:space="preserve">. </w:t>
      </w:r>
      <w:r w:rsidRPr="00E00A22">
        <w:rPr>
          <w:rFonts w:asciiTheme="minorHAnsi" w:hAnsiTheme="minorHAnsi" w:cstheme="minorHAnsi"/>
          <w:i/>
        </w:rPr>
        <w:t>The first day will be devoted to general concepts, and the second day to information specific to the rota switch.</w:t>
      </w:r>
    </w:p>
    <w:p w14:paraId="4DA681B8" w14:textId="77777777" w:rsidR="00B06E9B" w:rsidRPr="00226801" w:rsidRDefault="007E1298" w:rsidP="00AE3081">
      <w:pPr>
        <w:spacing w:before="240" w:after="240" w:line="276" w:lineRule="auto"/>
        <w:jc w:val="both"/>
        <w:rPr>
          <w:rFonts w:asciiTheme="minorHAnsi" w:eastAsia="Arial" w:hAnsiTheme="minorHAnsi" w:cstheme="minorHAnsi"/>
          <w:i/>
          <w:iCs/>
        </w:rPr>
      </w:pPr>
      <w:r w:rsidRPr="00E00A22">
        <w:rPr>
          <w:rFonts w:asciiTheme="minorHAnsi" w:hAnsiTheme="minorHAnsi" w:cstheme="minorHAnsi"/>
          <w:i/>
        </w:rPr>
        <w:t xml:space="preserve">At the Health Districts level, </w:t>
      </w:r>
      <w:r w:rsidRPr="00E00A22">
        <w:rPr>
          <w:rFonts w:asciiTheme="minorHAnsi" w:hAnsiTheme="minorHAnsi" w:cstheme="minorHAnsi"/>
        </w:rPr>
        <w:t>the health centre managers will be trained in each health district by the</w:t>
      </w:r>
      <w:r w:rsidR="00D53734" w:rsidRPr="00E00A22">
        <w:rPr>
          <w:rFonts w:asciiTheme="minorHAnsi" w:hAnsiTheme="minorHAnsi" w:cstheme="minorHAnsi"/>
        </w:rPr>
        <w:t xml:space="preserve"> </w:t>
      </w:r>
      <w:r w:rsidRPr="00E00A22">
        <w:rPr>
          <w:rFonts w:asciiTheme="minorHAnsi" w:hAnsiTheme="minorHAnsi" w:cstheme="minorHAnsi"/>
          <w:i/>
        </w:rPr>
        <w:t xml:space="preserve">district managers supported by </w:t>
      </w:r>
      <w:r w:rsidRPr="00E00A22">
        <w:rPr>
          <w:rFonts w:asciiTheme="minorHAnsi" w:hAnsiTheme="minorHAnsi" w:cstheme="minorHAnsi"/>
        </w:rPr>
        <w:t>regional facilitators</w:t>
      </w:r>
      <w:r w:rsidR="00D53734" w:rsidRPr="00E00A22">
        <w:rPr>
          <w:rFonts w:asciiTheme="minorHAnsi" w:hAnsiTheme="minorHAnsi" w:cstheme="minorHAnsi"/>
        </w:rPr>
        <w:t xml:space="preserve"> </w:t>
      </w:r>
      <w:r w:rsidRPr="00E00A22">
        <w:rPr>
          <w:rFonts w:asciiTheme="minorHAnsi" w:hAnsiTheme="minorHAnsi" w:cstheme="minorHAnsi"/>
          <w:i/>
        </w:rPr>
        <w:t xml:space="preserve">in certain HDs requiring monitoring by the District Management Team. </w:t>
      </w:r>
      <w:r w:rsidRPr="00E00A22">
        <w:rPr>
          <w:rFonts w:asciiTheme="minorHAnsi" w:hAnsiTheme="minorHAnsi" w:cstheme="minorHAnsi"/>
        </w:rPr>
        <w:t>The communications media, the updated data collection tools and the mobiliser guide will be distributed at this level.</w:t>
      </w:r>
    </w:p>
    <w:p w14:paraId="07CB609D" w14:textId="77777777" w:rsidR="00D00425" w:rsidRPr="00226801" w:rsidRDefault="00D00425" w:rsidP="00AE3081">
      <w:pPr>
        <w:spacing w:before="240" w:after="240" w:line="276" w:lineRule="auto"/>
        <w:jc w:val="both"/>
        <w:rPr>
          <w:rFonts w:asciiTheme="minorHAnsi" w:eastAsia="Arial" w:hAnsiTheme="minorHAnsi" w:cstheme="minorHAnsi"/>
          <w:i/>
          <w:iCs/>
        </w:rPr>
      </w:pPr>
      <w:r w:rsidRPr="00E00A22">
        <w:rPr>
          <w:rFonts w:asciiTheme="minorHAnsi" w:hAnsiTheme="minorHAnsi" w:cstheme="minorHAnsi"/>
        </w:rPr>
        <w:t>A total of seven modules will be carried out:</w:t>
      </w:r>
    </w:p>
    <w:p w14:paraId="204628AD" w14:textId="77777777" w:rsidR="002E3C65" w:rsidRPr="00226801" w:rsidRDefault="00D00425" w:rsidP="00AE3081">
      <w:pPr>
        <w:pStyle w:val="ListParagraph"/>
        <w:numPr>
          <w:ilvl w:val="0"/>
          <w:numId w:val="8"/>
        </w:numPr>
        <w:spacing w:before="240" w:after="240" w:line="276" w:lineRule="auto"/>
        <w:contextualSpacing w:val="0"/>
        <w:jc w:val="both"/>
        <w:rPr>
          <w:rFonts w:eastAsia="Arial" w:cstheme="minorHAnsi"/>
          <w:i w:val="0"/>
          <w:iCs w:val="0"/>
          <w:sz w:val="24"/>
          <w:szCs w:val="24"/>
        </w:rPr>
      </w:pPr>
      <w:r w:rsidRPr="00E00A22">
        <w:rPr>
          <w:rFonts w:cstheme="minorHAnsi"/>
          <w:b/>
          <w:bCs/>
          <w:i w:val="0"/>
          <w:sz w:val="24"/>
        </w:rPr>
        <w:t>EPI</w:t>
      </w:r>
      <w:r w:rsidRPr="00E00A22">
        <w:rPr>
          <w:rFonts w:cstheme="minorHAnsi"/>
          <w:i w:val="0"/>
          <w:sz w:val="24"/>
        </w:rPr>
        <w:t xml:space="preserve"> </w:t>
      </w:r>
      <w:r w:rsidRPr="00E00A22">
        <w:rPr>
          <w:rFonts w:cstheme="minorHAnsi"/>
          <w:b/>
          <w:i w:val="0"/>
          <w:sz w:val="24"/>
        </w:rPr>
        <w:t>target diseases:</w:t>
      </w:r>
      <w:r w:rsidRPr="00E00A22">
        <w:rPr>
          <w:rFonts w:cstheme="minorHAnsi"/>
          <w:i w:val="0"/>
          <w:sz w:val="24"/>
        </w:rPr>
        <w:t xml:space="preserve"> This module presents all EPI target diseases as well as the EPI immunisation schedule in effect, emphasising Rotavirus diarrhoea and the rotavirus vaccine.</w:t>
      </w:r>
    </w:p>
    <w:p w14:paraId="3E932CD2" w14:textId="77777777" w:rsidR="00D00425" w:rsidRPr="00226801" w:rsidRDefault="00D00425" w:rsidP="00AE3081">
      <w:pPr>
        <w:pStyle w:val="ListParagraph"/>
        <w:numPr>
          <w:ilvl w:val="0"/>
          <w:numId w:val="8"/>
        </w:numPr>
        <w:spacing w:before="240" w:after="240" w:line="276" w:lineRule="auto"/>
        <w:contextualSpacing w:val="0"/>
        <w:jc w:val="both"/>
        <w:rPr>
          <w:rFonts w:eastAsia="Arial" w:cstheme="minorHAnsi"/>
          <w:i w:val="0"/>
          <w:iCs w:val="0"/>
          <w:sz w:val="24"/>
          <w:szCs w:val="24"/>
        </w:rPr>
      </w:pPr>
      <w:r w:rsidRPr="00E00A22">
        <w:rPr>
          <w:rFonts w:cstheme="minorHAnsi"/>
          <w:b/>
          <w:bCs/>
          <w:i w:val="0"/>
          <w:sz w:val="24"/>
        </w:rPr>
        <w:t>The vaccine and the cold chain</w:t>
      </w:r>
      <w:r w:rsidRPr="00E00A22">
        <w:rPr>
          <w:rFonts w:cstheme="minorHAnsi"/>
          <w:i w:val="0"/>
          <w:sz w:val="24"/>
        </w:rPr>
        <w:t xml:space="preserve">: </w:t>
      </w:r>
      <w:r w:rsidR="005304F3">
        <w:rPr>
          <w:rFonts w:cstheme="minorHAnsi"/>
          <w:i w:val="0"/>
          <w:sz w:val="24"/>
        </w:rPr>
        <w:t>T</w:t>
      </w:r>
      <w:r w:rsidRPr="00E00A22">
        <w:rPr>
          <w:rFonts w:cstheme="minorHAnsi"/>
          <w:i w:val="0"/>
          <w:sz w:val="24"/>
        </w:rPr>
        <w:t xml:space="preserve">his module </w:t>
      </w:r>
      <w:proofErr w:type="gramStart"/>
      <w:r w:rsidRPr="00E00A22">
        <w:rPr>
          <w:rFonts w:cstheme="minorHAnsi"/>
          <w:i w:val="0"/>
          <w:sz w:val="24"/>
        </w:rPr>
        <w:t>describes</w:t>
      </w:r>
      <w:proofErr w:type="gramEnd"/>
      <w:r w:rsidRPr="00E00A22">
        <w:rPr>
          <w:rFonts w:cstheme="minorHAnsi"/>
          <w:i w:val="0"/>
          <w:sz w:val="24"/>
        </w:rPr>
        <w:t xml:space="preserve"> the composition of the cost</w:t>
      </w:r>
      <w:r w:rsidRPr="005304F3">
        <w:rPr>
          <w:rFonts w:cstheme="minorHAnsi"/>
          <w:i w:val="0"/>
          <w:sz w:val="24"/>
        </w:rPr>
        <w:t xml:space="preserve"> </w:t>
      </w:r>
      <w:r w:rsidRPr="00E00A22">
        <w:rPr>
          <w:rFonts w:cstheme="minorHAnsi"/>
          <w:i w:val="0"/>
          <w:sz w:val="24"/>
        </w:rPr>
        <w:t>chain, the equipment needed by the healthcare centres and how to use and maintain it. All EPI vaccines are presented, as well as their composition, safety profile and any side effects, the manner of preserving and transporting them, the administration timing, the number and volume of doses, and the administration route and method.</w:t>
      </w:r>
      <w:r w:rsidR="00D53734" w:rsidRPr="00E00A22">
        <w:rPr>
          <w:rFonts w:cstheme="minorHAnsi"/>
          <w:i w:val="0"/>
          <w:sz w:val="24"/>
        </w:rPr>
        <w:t xml:space="preserve"> </w:t>
      </w:r>
      <w:r w:rsidRPr="00E00A22">
        <w:rPr>
          <w:rFonts w:cstheme="minorHAnsi"/>
          <w:i w:val="0"/>
          <w:sz w:val="24"/>
        </w:rPr>
        <w:t>The switch in presentation of the rotavirus vaccine</w:t>
      </w:r>
      <w:r w:rsidR="00C44A71" w:rsidRPr="00E00A22">
        <w:rPr>
          <w:rFonts w:cstheme="minorHAnsi"/>
          <w:i w:val="0"/>
          <w:sz w:val="24"/>
        </w:rPr>
        <w:t xml:space="preserve">, </w:t>
      </w:r>
      <w:r w:rsidRPr="00E00A22">
        <w:rPr>
          <w:rFonts w:cstheme="minorHAnsi"/>
          <w:i w:val="0"/>
          <w:sz w:val="24"/>
        </w:rPr>
        <w:t>from a single-dose vial (Rotarix) to a ten-dose vial (</w:t>
      </w:r>
      <w:proofErr w:type="spellStart"/>
      <w:r w:rsidRPr="00E00A22">
        <w:rPr>
          <w:rFonts w:cstheme="minorHAnsi"/>
          <w:i w:val="0"/>
          <w:sz w:val="24"/>
        </w:rPr>
        <w:t>Rotavac</w:t>
      </w:r>
      <w:proofErr w:type="spellEnd"/>
      <w:r w:rsidRPr="00E00A22">
        <w:rPr>
          <w:rFonts w:cstheme="minorHAnsi"/>
          <w:i w:val="0"/>
          <w:sz w:val="24"/>
        </w:rPr>
        <w:t>)</w:t>
      </w:r>
      <w:r w:rsidR="00C44A71" w:rsidRPr="00E00A22">
        <w:rPr>
          <w:rFonts w:cstheme="minorHAnsi"/>
          <w:i w:val="0"/>
          <w:sz w:val="24"/>
        </w:rPr>
        <w:t>, will be emphasised</w:t>
      </w:r>
      <w:r w:rsidRPr="00E00A22">
        <w:rPr>
          <w:rFonts w:cstheme="minorHAnsi"/>
          <w:i w:val="0"/>
          <w:sz w:val="24"/>
        </w:rPr>
        <w:t>. The multi-dose vial policy will be applied to the rotavirus vaccine. The actors will be instructed on the change in calculating the wastage rate, which will increase from 3% to 10%.</w:t>
      </w:r>
    </w:p>
    <w:p w14:paraId="2F2B4211" w14:textId="77777777" w:rsidR="00D00425" w:rsidRPr="00226801" w:rsidRDefault="00D00425" w:rsidP="00AE3081">
      <w:pPr>
        <w:pStyle w:val="ListParagraph"/>
        <w:numPr>
          <w:ilvl w:val="0"/>
          <w:numId w:val="8"/>
        </w:numPr>
        <w:spacing w:before="240" w:after="240" w:line="276" w:lineRule="auto"/>
        <w:contextualSpacing w:val="0"/>
        <w:jc w:val="both"/>
        <w:rPr>
          <w:rFonts w:eastAsia="Arial" w:cstheme="minorHAnsi"/>
          <w:i w:val="0"/>
          <w:iCs w:val="0"/>
          <w:sz w:val="24"/>
          <w:szCs w:val="24"/>
        </w:rPr>
      </w:pPr>
      <w:r w:rsidRPr="00E00A22">
        <w:rPr>
          <w:rFonts w:cstheme="minorHAnsi"/>
          <w:b/>
          <w:i w:val="0"/>
          <w:sz w:val="24"/>
        </w:rPr>
        <w:t>Injection Safety:</w:t>
      </w:r>
      <w:r w:rsidRPr="00E00A22">
        <w:rPr>
          <w:rFonts w:cstheme="minorHAnsi"/>
        </w:rPr>
        <w:t xml:space="preserve"> </w:t>
      </w:r>
      <w:r w:rsidRPr="00E00A22">
        <w:rPr>
          <w:rFonts w:cstheme="minorHAnsi"/>
          <w:i w:val="0"/>
          <w:sz w:val="24"/>
        </w:rPr>
        <w:t xml:space="preserve">Injection safety relates to the methods that healthcare agents must use to inject vaccines in the safest manner possible, including oral administration of the vaccine. </w:t>
      </w:r>
    </w:p>
    <w:p w14:paraId="29924E7C" w14:textId="77777777" w:rsidR="00D00425" w:rsidRPr="00226801" w:rsidRDefault="00D00425" w:rsidP="00AE3081">
      <w:pPr>
        <w:pStyle w:val="ListParagraph"/>
        <w:numPr>
          <w:ilvl w:val="0"/>
          <w:numId w:val="8"/>
        </w:numPr>
        <w:spacing w:before="240" w:after="240" w:line="276" w:lineRule="auto"/>
        <w:contextualSpacing w:val="0"/>
        <w:jc w:val="both"/>
        <w:rPr>
          <w:rFonts w:eastAsia="Arial" w:cstheme="minorHAnsi"/>
          <w:i w:val="0"/>
          <w:iCs w:val="0"/>
          <w:sz w:val="24"/>
          <w:szCs w:val="24"/>
        </w:rPr>
      </w:pPr>
      <w:r w:rsidRPr="00E00A22">
        <w:rPr>
          <w:rFonts w:cstheme="minorHAnsi"/>
          <w:b/>
          <w:bCs/>
          <w:i w:val="0"/>
          <w:sz w:val="24"/>
        </w:rPr>
        <w:lastRenderedPageBreak/>
        <w:t>Immunisation session scheduling</w:t>
      </w:r>
      <w:r w:rsidRPr="00E00A22">
        <w:rPr>
          <w:rFonts w:cstheme="minorHAnsi"/>
          <w:i w:val="0"/>
          <w:sz w:val="24"/>
        </w:rPr>
        <w:t xml:space="preserve">: </w:t>
      </w:r>
      <w:r w:rsidR="005304F3">
        <w:rPr>
          <w:rFonts w:cstheme="minorHAnsi"/>
          <w:i w:val="0"/>
          <w:sz w:val="24"/>
        </w:rPr>
        <w:t>This module</w:t>
      </w:r>
      <w:r w:rsidRPr="005304F3">
        <w:rPr>
          <w:rFonts w:cstheme="minorHAnsi"/>
          <w:i w:val="0"/>
          <w:sz w:val="24"/>
        </w:rPr>
        <w:t xml:space="preserve"> </w:t>
      </w:r>
      <w:r w:rsidRPr="00E00A22">
        <w:rPr>
          <w:rFonts w:cstheme="minorHAnsi"/>
          <w:i w:val="0"/>
          <w:sz w:val="24"/>
        </w:rPr>
        <w:t>involves the various immunisation strategies implemented in health facilities to meet targets.</w:t>
      </w:r>
    </w:p>
    <w:p w14:paraId="6CD9A963" w14:textId="77777777" w:rsidR="00D00425" w:rsidRPr="00226801" w:rsidRDefault="00D00425" w:rsidP="00AE3081">
      <w:pPr>
        <w:pStyle w:val="ListParagraph"/>
        <w:numPr>
          <w:ilvl w:val="0"/>
          <w:numId w:val="8"/>
        </w:numPr>
        <w:spacing w:before="240" w:after="240" w:line="276" w:lineRule="auto"/>
        <w:contextualSpacing w:val="0"/>
        <w:jc w:val="both"/>
        <w:rPr>
          <w:rFonts w:eastAsia="Arial" w:cstheme="minorHAnsi"/>
          <w:i w:val="0"/>
          <w:iCs w:val="0"/>
          <w:sz w:val="24"/>
          <w:szCs w:val="24"/>
        </w:rPr>
      </w:pPr>
      <w:r w:rsidRPr="00E00A22">
        <w:rPr>
          <w:rFonts w:cstheme="minorHAnsi"/>
          <w:b/>
          <w:i w:val="0"/>
          <w:sz w:val="24"/>
        </w:rPr>
        <w:t xml:space="preserve">Conducting immunisation sessions: </w:t>
      </w:r>
      <w:r w:rsidRPr="00E00A22">
        <w:rPr>
          <w:rFonts w:cstheme="minorHAnsi"/>
          <w:i w:val="0"/>
          <w:sz w:val="24"/>
        </w:rPr>
        <w:t xml:space="preserve">This module will include a description of the tasks that the healthcare agent must conduct on the day of the immunisation session to ensure its quality. It begins with the necessary preparation of the immunisation station and then details how to evaluate the immunisation status of mothers and infants. It also indicates the proper technique for administering each vaccine and how to communicate with the parents during and after the immunisation session, and how to close out the session. </w:t>
      </w:r>
    </w:p>
    <w:p w14:paraId="75441999" w14:textId="77777777" w:rsidR="00D00425" w:rsidRPr="00226801" w:rsidRDefault="00D00425" w:rsidP="00AE3081">
      <w:pPr>
        <w:pStyle w:val="ListParagraph"/>
        <w:numPr>
          <w:ilvl w:val="0"/>
          <w:numId w:val="8"/>
        </w:numPr>
        <w:spacing w:before="240" w:after="240" w:line="276" w:lineRule="auto"/>
        <w:contextualSpacing w:val="0"/>
        <w:jc w:val="both"/>
        <w:rPr>
          <w:rFonts w:eastAsia="Arial" w:cstheme="minorHAnsi"/>
          <w:i w:val="0"/>
          <w:iCs w:val="0"/>
          <w:sz w:val="24"/>
          <w:szCs w:val="24"/>
        </w:rPr>
      </w:pPr>
      <w:r w:rsidRPr="00E00A22">
        <w:rPr>
          <w:rFonts w:cstheme="minorHAnsi"/>
          <w:b/>
          <w:i w:val="0"/>
          <w:sz w:val="24"/>
        </w:rPr>
        <w:t xml:space="preserve">Data Collection and Monitoring: </w:t>
      </w:r>
      <w:r w:rsidRPr="00E00A22">
        <w:rPr>
          <w:rFonts w:cstheme="minorHAnsi"/>
          <w:i w:val="0"/>
          <w:sz w:val="24"/>
        </w:rPr>
        <w:t>This module deals with how to collect and transmit data and how to monitor performance using the data itself. It also shows how to improve performance of the service by identifying and resolving problems, and incorporating the solutions made to the work plan.</w:t>
      </w:r>
    </w:p>
    <w:p w14:paraId="5096EC4E" w14:textId="77777777" w:rsidR="00655B0D" w:rsidRPr="00226801" w:rsidRDefault="00D00425" w:rsidP="00AE3081">
      <w:pPr>
        <w:pStyle w:val="ListParagraph"/>
        <w:numPr>
          <w:ilvl w:val="0"/>
          <w:numId w:val="8"/>
        </w:numPr>
        <w:spacing w:before="240" w:after="240" w:line="276" w:lineRule="auto"/>
        <w:contextualSpacing w:val="0"/>
        <w:jc w:val="both"/>
        <w:rPr>
          <w:rFonts w:eastAsia="Arial" w:cstheme="minorHAnsi"/>
          <w:i w:val="0"/>
          <w:iCs w:val="0"/>
          <w:sz w:val="24"/>
          <w:szCs w:val="24"/>
        </w:rPr>
      </w:pPr>
      <w:r w:rsidRPr="00E00A22">
        <w:rPr>
          <w:rFonts w:cstheme="minorHAnsi"/>
          <w:b/>
          <w:bCs/>
          <w:i w:val="0"/>
          <w:sz w:val="24"/>
        </w:rPr>
        <w:t>Community cooperation</w:t>
      </w:r>
      <w:r w:rsidRPr="00E00A22">
        <w:rPr>
          <w:rFonts w:cstheme="minorHAnsi"/>
          <w:i w:val="0"/>
          <w:sz w:val="24"/>
        </w:rPr>
        <w:t xml:space="preserve">: </w:t>
      </w:r>
      <w:r w:rsidR="005304F3">
        <w:rPr>
          <w:rFonts w:cstheme="minorHAnsi"/>
          <w:i w:val="0"/>
          <w:sz w:val="24"/>
        </w:rPr>
        <w:t>This module</w:t>
      </w:r>
      <w:r w:rsidRPr="00E00A22">
        <w:rPr>
          <w:rFonts w:cstheme="minorHAnsi"/>
          <w:i w:val="0"/>
          <w:sz w:val="24"/>
        </w:rPr>
        <w:t xml:space="preserve"> explains how to make immunisation services attentive to the needs of the community and how to obtain community support.</w:t>
      </w:r>
      <w:r w:rsidR="00D53734" w:rsidRPr="00E00A22">
        <w:rPr>
          <w:rFonts w:cstheme="minorHAnsi"/>
          <w:i w:val="0"/>
          <w:sz w:val="24"/>
        </w:rPr>
        <w:t xml:space="preserve"> </w:t>
      </w:r>
    </w:p>
    <w:p w14:paraId="48F45190" w14:textId="77777777" w:rsidR="00840789" w:rsidRPr="00226801" w:rsidRDefault="0055147D" w:rsidP="003E7EA9">
      <w:pPr>
        <w:pStyle w:val="Heading3"/>
        <w:numPr>
          <w:ilvl w:val="2"/>
          <w:numId w:val="3"/>
        </w:numPr>
        <w:pBdr>
          <w:bottom w:val="none" w:sz="0" w:space="0" w:color="auto"/>
        </w:pBdr>
        <w:spacing w:before="240" w:after="240"/>
        <w:rPr>
          <w:rFonts w:asciiTheme="minorHAnsi" w:hAnsiTheme="minorHAnsi" w:cstheme="minorHAnsi"/>
          <w:sz w:val="24"/>
          <w:szCs w:val="24"/>
        </w:rPr>
      </w:pPr>
      <w:bookmarkStart w:id="8" w:name="_Toc101798510"/>
      <w:r w:rsidRPr="00E00A22">
        <w:rPr>
          <w:rFonts w:asciiTheme="minorHAnsi" w:hAnsiTheme="minorHAnsi" w:cstheme="minorHAnsi"/>
          <w:sz w:val="24"/>
        </w:rPr>
        <w:t>Management of any Adverse Events Following Immunisation (AEFI) and Adverse Events of Special Interest (AESI)</w:t>
      </w:r>
      <w:bookmarkEnd w:id="8"/>
      <w:r w:rsidRPr="00E00A22">
        <w:rPr>
          <w:rFonts w:asciiTheme="minorHAnsi" w:hAnsiTheme="minorHAnsi" w:cstheme="minorHAnsi"/>
          <w:sz w:val="24"/>
        </w:rPr>
        <w:t xml:space="preserve"> </w:t>
      </w:r>
    </w:p>
    <w:p w14:paraId="5FE9EA5C" w14:textId="77777777" w:rsidR="006D2817" w:rsidRPr="00226801" w:rsidRDefault="006D2817" w:rsidP="00001690">
      <w:pPr>
        <w:spacing w:line="276" w:lineRule="auto"/>
        <w:jc w:val="both"/>
        <w:rPr>
          <w:rFonts w:asciiTheme="minorHAnsi" w:eastAsia="Arial" w:hAnsiTheme="minorHAnsi" w:cstheme="minorHAnsi"/>
          <w:i/>
          <w:iCs/>
        </w:rPr>
      </w:pPr>
      <w:r w:rsidRPr="00E00A22">
        <w:rPr>
          <w:rFonts w:asciiTheme="minorHAnsi" w:hAnsiTheme="minorHAnsi" w:cstheme="minorHAnsi"/>
        </w:rPr>
        <w:t xml:space="preserve">Immunisation surveillance is a major challenge to ensure efficacy within the population and to identify any adverse effects that may not have been observed during clinical trials. It is even more important when using a new vaccine. Adverse Events Following Immunisation (AEFI) are medical events that may occur after and not necessarily linked to immunisation. These events are most often benign and rarely severe. An AEFI surveillance system has already been implemented in routine immunisation and SIA. </w:t>
      </w:r>
    </w:p>
    <w:p w14:paraId="2BD0BE97" w14:textId="77777777" w:rsidR="006D2817" w:rsidRPr="00226801" w:rsidRDefault="006D2817" w:rsidP="00001690">
      <w:pPr>
        <w:spacing w:line="276" w:lineRule="auto"/>
        <w:jc w:val="both"/>
        <w:rPr>
          <w:rFonts w:asciiTheme="minorHAnsi" w:eastAsia="Arial" w:hAnsiTheme="minorHAnsi" w:cstheme="minorHAnsi"/>
          <w:i/>
          <w:iCs/>
        </w:rPr>
      </w:pPr>
      <w:r w:rsidRPr="00E00A22">
        <w:rPr>
          <w:rFonts w:asciiTheme="minorHAnsi" w:hAnsiTheme="minorHAnsi" w:cstheme="minorHAnsi"/>
        </w:rPr>
        <w:t xml:space="preserve">To ensure the effective use of </w:t>
      </w:r>
      <w:proofErr w:type="spellStart"/>
      <w:r w:rsidRPr="00E00A22">
        <w:rPr>
          <w:rFonts w:asciiTheme="minorHAnsi" w:hAnsiTheme="minorHAnsi" w:cstheme="minorHAnsi"/>
        </w:rPr>
        <w:t>Rotavac</w:t>
      </w:r>
      <w:proofErr w:type="spellEnd"/>
      <w:r w:rsidRPr="00E00A22">
        <w:rPr>
          <w:rFonts w:asciiTheme="minorHAnsi" w:hAnsiTheme="minorHAnsi" w:cstheme="minorHAnsi"/>
        </w:rPr>
        <w:t xml:space="preserve"> and guarantee its safety, AEFI and AESI capacity building for healthcare personnel will be conducted, especially detection, reporting, research, and treatment of AEFI cases indicated by the receiver. The training modules were designed for this purpose. This surveillance is essentially based upon the following aspects:</w:t>
      </w:r>
    </w:p>
    <w:p w14:paraId="022C614E" w14:textId="77777777" w:rsidR="006D2817" w:rsidRPr="00226801" w:rsidRDefault="006D2817" w:rsidP="00001690">
      <w:pPr>
        <w:numPr>
          <w:ilvl w:val="0"/>
          <w:numId w:val="6"/>
        </w:numPr>
        <w:spacing w:before="240" w:after="240" w:line="276" w:lineRule="auto"/>
        <w:jc w:val="both"/>
        <w:rPr>
          <w:rFonts w:asciiTheme="minorHAnsi" w:hAnsiTheme="minorHAnsi" w:cstheme="minorHAnsi"/>
          <w:i/>
          <w:iCs/>
        </w:rPr>
      </w:pPr>
      <w:r w:rsidRPr="00E00A22">
        <w:rPr>
          <w:rFonts w:asciiTheme="minorHAnsi" w:hAnsiTheme="minorHAnsi" w:cstheme="minorHAnsi"/>
        </w:rPr>
        <w:t xml:space="preserve">Detection and Reporting: all AEFI cases reported to or detected by a healthcare provider working in the healthcare system will be reported as quickly as possible to the upper level using standard reporting forms (reporting sheet/investigation sheet) </w:t>
      </w:r>
      <w:proofErr w:type="gramStart"/>
      <w:r w:rsidRPr="00E00A22">
        <w:rPr>
          <w:rFonts w:asciiTheme="minorHAnsi" w:hAnsiTheme="minorHAnsi" w:cstheme="minorHAnsi"/>
        </w:rPr>
        <w:t>and also</w:t>
      </w:r>
      <w:proofErr w:type="gramEnd"/>
      <w:r w:rsidRPr="00E00A22">
        <w:rPr>
          <w:rFonts w:asciiTheme="minorHAnsi" w:hAnsiTheme="minorHAnsi" w:cstheme="minorHAnsi"/>
        </w:rPr>
        <w:t xml:space="preserve"> by completing the ODK form (pharmacovigilance-CM) online. All AEFIs that cause concern within the community or among healthcare personnel must be reported. The reporting path must be posted at all health facilities and AEFI management tools must be made available to </w:t>
      </w:r>
      <w:proofErr w:type="gramStart"/>
      <w:r w:rsidRPr="00E00A22">
        <w:rPr>
          <w:rFonts w:asciiTheme="minorHAnsi" w:hAnsiTheme="minorHAnsi" w:cstheme="minorHAnsi"/>
        </w:rPr>
        <w:t>personnel;</w:t>
      </w:r>
      <w:proofErr w:type="gramEnd"/>
      <w:r w:rsidRPr="00E00A22">
        <w:rPr>
          <w:rFonts w:asciiTheme="minorHAnsi" w:hAnsiTheme="minorHAnsi" w:cstheme="minorHAnsi"/>
        </w:rPr>
        <w:t xml:space="preserve"> </w:t>
      </w:r>
      <w:bookmarkStart w:id="9" w:name="_Toc62680956"/>
      <w:bookmarkStart w:id="10" w:name="_Toc67765895"/>
    </w:p>
    <w:p w14:paraId="7B9D9485" w14:textId="77777777" w:rsidR="006D2817" w:rsidRPr="00226801" w:rsidRDefault="006D2817" w:rsidP="00001690">
      <w:pPr>
        <w:numPr>
          <w:ilvl w:val="0"/>
          <w:numId w:val="6"/>
        </w:numPr>
        <w:spacing w:before="240" w:after="240" w:line="276" w:lineRule="auto"/>
        <w:jc w:val="both"/>
        <w:rPr>
          <w:rFonts w:asciiTheme="minorHAnsi" w:eastAsia="Arial" w:hAnsiTheme="minorHAnsi" w:cstheme="minorHAnsi"/>
          <w:i/>
          <w:iCs/>
        </w:rPr>
      </w:pPr>
      <w:r w:rsidRPr="00E00A22">
        <w:rPr>
          <w:rFonts w:asciiTheme="minorHAnsi" w:hAnsiTheme="minorHAnsi" w:cstheme="minorHAnsi"/>
        </w:rPr>
        <w:t>Severe AEFIs</w:t>
      </w:r>
      <w:bookmarkEnd w:id="9"/>
      <w:bookmarkEnd w:id="10"/>
      <w:r w:rsidRPr="00E00A22">
        <w:rPr>
          <w:rFonts w:asciiTheme="minorHAnsi" w:hAnsiTheme="minorHAnsi" w:cstheme="minorHAnsi"/>
        </w:rPr>
        <w:t> must be investigated within 24 to 48 hours by the district management team</w:t>
      </w:r>
      <w:r w:rsidR="006F0AB3" w:rsidRPr="00E00A22">
        <w:rPr>
          <w:rFonts w:asciiTheme="minorHAnsi" w:hAnsiTheme="minorHAnsi" w:cstheme="minorHAnsi"/>
        </w:rPr>
        <w:t>.</w:t>
      </w:r>
      <w:r w:rsidRPr="00E00A22">
        <w:rPr>
          <w:rFonts w:asciiTheme="minorHAnsi" w:hAnsiTheme="minorHAnsi" w:cstheme="minorHAnsi"/>
        </w:rPr>
        <w:t xml:space="preserve"> </w:t>
      </w:r>
      <w:r w:rsidR="006F0AB3" w:rsidRPr="00E00A22">
        <w:rPr>
          <w:rFonts w:asciiTheme="minorHAnsi" w:hAnsiTheme="minorHAnsi" w:cstheme="minorHAnsi"/>
        </w:rPr>
        <w:t xml:space="preserve">This </w:t>
      </w:r>
      <w:r w:rsidRPr="00E00A22">
        <w:rPr>
          <w:rFonts w:asciiTheme="minorHAnsi" w:hAnsiTheme="minorHAnsi" w:cstheme="minorHAnsi"/>
        </w:rPr>
        <w:t xml:space="preserve">will be conducted with the support of the region, and a report will be shared </w:t>
      </w:r>
      <w:r w:rsidRPr="00E00A22">
        <w:rPr>
          <w:rFonts w:asciiTheme="minorHAnsi" w:hAnsiTheme="minorHAnsi" w:cstheme="minorHAnsi"/>
        </w:rPr>
        <w:lastRenderedPageBreak/>
        <w:t xml:space="preserve">with the national level. An alert system for severe AEFIs was integrated for rapid response to severe cases. The pocket guide will be updated </w:t>
      </w:r>
      <w:proofErr w:type="gramStart"/>
      <w:r w:rsidRPr="00E00A22">
        <w:rPr>
          <w:rFonts w:asciiTheme="minorHAnsi" w:hAnsiTheme="minorHAnsi" w:cstheme="minorHAnsi"/>
        </w:rPr>
        <w:t>and also</w:t>
      </w:r>
      <w:proofErr w:type="gramEnd"/>
      <w:r w:rsidRPr="00E00A22">
        <w:rPr>
          <w:rFonts w:asciiTheme="minorHAnsi" w:hAnsiTheme="minorHAnsi" w:cstheme="minorHAnsi"/>
        </w:rPr>
        <w:t xml:space="preserve"> made available to them, as well as all related documentation (case definition, reporting and investigation sheets, inquiry, surveillance manual). An AEFI Expert Committee that is already in operation will determine whether or not there is a causal link between the severe AEFI</w:t>
      </w:r>
      <w:r w:rsidR="006F0AB3" w:rsidRPr="00E00A22">
        <w:rPr>
          <w:rFonts w:asciiTheme="minorHAnsi" w:hAnsiTheme="minorHAnsi" w:cstheme="minorHAnsi"/>
        </w:rPr>
        <w:t xml:space="preserve">s </w:t>
      </w:r>
      <w:r w:rsidRPr="00E00A22">
        <w:rPr>
          <w:rFonts w:asciiTheme="minorHAnsi" w:hAnsiTheme="minorHAnsi" w:cstheme="minorHAnsi"/>
        </w:rPr>
        <w:t xml:space="preserve">reported and the </w:t>
      </w:r>
      <w:proofErr w:type="spellStart"/>
      <w:r w:rsidRPr="00E00A22">
        <w:rPr>
          <w:rFonts w:asciiTheme="minorHAnsi" w:hAnsiTheme="minorHAnsi" w:cstheme="minorHAnsi"/>
        </w:rPr>
        <w:t>Rotavac</w:t>
      </w:r>
      <w:proofErr w:type="spellEnd"/>
      <w:r w:rsidRPr="00E00A22">
        <w:rPr>
          <w:rFonts w:asciiTheme="minorHAnsi" w:hAnsiTheme="minorHAnsi" w:cstheme="minorHAnsi"/>
        </w:rPr>
        <w:t xml:space="preserve"> </w:t>
      </w:r>
      <w:proofErr w:type="gramStart"/>
      <w:r w:rsidRPr="00E00A22">
        <w:rPr>
          <w:rFonts w:asciiTheme="minorHAnsi" w:hAnsiTheme="minorHAnsi" w:cstheme="minorHAnsi"/>
        </w:rPr>
        <w:t>vaccine;</w:t>
      </w:r>
      <w:proofErr w:type="gramEnd"/>
    </w:p>
    <w:p w14:paraId="6757B272" w14:textId="77777777" w:rsidR="006D2817" w:rsidRPr="00226801" w:rsidRDefault="006D2817" w:rsidP="00001690">
      <w:pPr>
        <w:numPr>
          <w:ilvl w:val="0"/>
          <w:numId w:val="6"/>
        </w:numPr>
        <w:spacing w:before="240" w:after="240" w:line="276" w:lineRule="auto"/>
        <w:jc w:val="both"/>
        <w:rPr>
          <w:rFonts w:asciiTheme="minorHAnsi" w:eastAsia="Arial" w:hAnsiTheme="minorHAnsi" w:cstheme="minorHAnsi"/>
          <w:i/>
          <w:iCs/>
        </w:rPr>
      </w:pPr>
      <w:r w:rsidRPr="00E00A22">
        <w:rPr>
          <w:rFonts w:asciiTheme="minorHAnsi" w:hAnsiTheme="minorHAnsi" w:cstheme="minorHAnsi"/>
        </w:rPr>
        <w:t xml:space="preserve">Inquiries </w:t>
      </w:r>
      <w:r w:rsidR="0057285E">
        <w:rPr>
          <w:rFonts w:asciiTheme="minorHAnsi" w:hAnsiTheme="minorHAnsi" w:cstheme="minorHAnsi"/>
        </w:rPr>
        <w:t>concerning</w:t>
      </w:r>
      <w:r w:rsidRPr="00E00A22">
        <w:rPr>
          <w:rFonts w:asciiTheme="minorHAnsi" w:hAnsiTheme="minorHAnsi" w:cstheme="minorHAnsi"/>
        </w:rPr>
        <w:t xml:space="preserve"> AEFIs resulting in fatalities (death)</w:t>
      </w:r>
      <w:r w:rsidR="0057285E">
        <w:rPr>
          <w:rFonts w:asciiTheme="minorHAnsi" w:hAnsiTheme="minorHAnsi" w:cstheme="minorHAnsi"/>
        </w:rPr>
        <w:t xml:space="preserve">: </w:t>
      </w:r>
      <w:r w:rsidRPr="00E00A22">
        <w:rPr>
          <w:rFonts w:asciiTheme="minorHAnsi" w:hAnsiTheme="minorHAnsi" w:cstheme="minorHAnsi"/>
        </w:rPr>
        <w:t xml:space="preserve">In the event of </w:t>
      </w:r>
      <w:r w:rsidR="00C80E9B">
        <w:rPr>
          <w:rFonts w:asciiTheme="minorHAnsi" w:hAnsiTheme="minorHAnsi" w:cstheme="minorHAnsi"/>
        </w:rPr>
        <w:t xml:space="preserve">a </w:t>
      </w:r>
      <w:r w:rsidRPr="00E00A22">
        <w:rPr>
          <w:rFonts w:asciiTheme="minorHAnsi" w:hAnsiTheme="minorHAnsi" w:cstheme="minorHAnsi"/>
        </w:rPr>
        <w:t xml:space="preserve">death following immunisation, the field inquiry will be conducted </w:t>
      </w:r>
      <w:proofErr w:type="gramStart"/>
      <w:r w:rsidRPr="00E00A22">
        <w:rPr>
          <w:rFonts w:asciiTheme="minorHAnsi" w:hAnsiTheme="minorHAnsi" w:cstheme="minorHAnsi"/>
        </w:rPr>
        <w:t>immediately</w:t>
      </w:r>
      <w:proofErr w:type="gramEnd"/>
      <w:r w:rsidRPr="00E00A22">
        <w:rPr>
          <w:rFonts w:asciiTheme="minorHAnsi" w:hAnsiTheme="minorHAnsi" w:cstheme="minorHAnsi"/>
        </w:rPr>
        <w:t xml:space="preserve"> and </w:t>
      </w:r>
      <w:r w:rsidR="00C80E9B">
        <w:rPr>
          <w:rFonts w:asciiTheme="minorHAnsi" w:hAnsiTheme="minorHAnsi" w:cstheme="minorHAnsi"/>
        </w:rPr>
        <w:t>a report will be completed within 24 hours</w:t>
      </w:r>
      <w:r w:rsidRPr="00C80E9B">
        <w:rPr>
          <w:rFonts w:asciiTheme="minorHAnsi" w:hAnsiTheme="minorHAnsi" w:cstheme="minorHAnsi"/>
        </w:rPr>
        <w:t xml:space="preserve">. </w:t>
      </w:r>
      <w:r w:rsidRPr="00E00A22">
        <w:rPr>
          <w:rFonts w:asciiTheme="minorHAnsi" w:hAnsiTheme="minorHAnsi" w:cstheme="minorHAnsi"/>
        </w:rPr>
        <w:t xml:space="preserve">The case investigation will be conducted by a multi-disciplinary team. For this purpose, a public communication will be released to reassure the community. Samples will be taken during the </w:t>
      </w:r>
      <w:proofErr w:type="gramStart"/>
      <w:r w:rsidRPr="00E00A22">
        <w:rPr>
          <w:rFonts w:asciiTheme="minorHAnsi" w:hAnsiTheme="minorHAnsi" w:cstheme="minorHAnsi"/>
        </w:rPr>
        <w:t>investigation;</w:t>
      </w:r>
      <w:proofErr w:type="gramEnd"/>
    </w:p>
    <w:p w14:paraId="2A65A132" w14:textId="77777777" w:rsidR="006D2817" w:rsidRPr="00226801" w:rsidRDefault="006D2817" w:rsidP="00001690">
      <w:pPr>
        <w:numPr>
          <w:ilvl w:val="0"/>
          <w:numId w:val="6"/>
        </w:numPr>
        <w:spacing w:before="240" w:after="240" w:line="276" w:lineRule="auto"/>
        <w:jc w:val="both"/>
        <w:rPr>
          <w:rFonts w:asciiTheme="minorHAnsi" w:eastAsia="Arial" w:hAnsiTheme="minorHAnsi" w:cstheme="minorHAnsi"/>
          <w:i/>
          <w:iCs/>
        </w:rPr>
      </w:pPr>
      <w:r w:rsidRPr="00E00A22">
        <w:rPr>
          <w:rFonts w:asciiTheme="minorHAnsi" w:hAnsiTheme="minorHAnsi" w:cstheme="minorHAnsi"/>
        </w:rPr>
        <w:t xml:space="preserve">Cluster AEFI investigation will first </w:t>
      </w:r>
      <w:r w:rsidR="006F0AB3" w:rsidRPr="00E00A22">
        <w:rPr>
          <w:rFonts w:asciiTheme="minorHAnsi" w:hAnsiTheme="minorHAnsi" w:cstheme="minorHAnsi"/>
        </w:rPr>
        <w:t>focus</w:t>
      </w:r>
      <w:r w:rsidRPr="00E00A22">
        <w:rPr>
          <w:rFonts w:asciiTheme="minorHAnsi" w:hAnsiTheme="minorHAnsi" w:cstheme="minorHAnsi"/>
        </w:rPr>
        <w:t xml:space="preserve"> on determining </w:t>
      </w:r>
      <w:r w:rsidR="00226801">
        <w:rPr>
          <w:rFonts w:asciiTheme="minorHAnsi" w:hAnsiTheme="minorHAnsi" w:cstheme="minorHAnsi"/>
        </w:rPr>
        <w:t xml:space="preserve">whether </w:t>
      </w:r>
      <w:r w:rsidRPr="00E00A22">
        <w:rPr>
          <w:rFonts w:asciiTheme="minorHAnsi" w:hAnsiTheme="minorHAnsi" w:cstheme="minorHAnsi"/>
        </w:rPr>
        <w:t>an error in immunisation or a vaccine quality problem</w:t>
      </w:r>
      <w:r w:rsidR="00226801">
        <w:rPr>
          <w:rFonts w:asciiTheme="minorHAnsi" w:hAnsiTheme="minorHAnsi" w:cstheme="minorHAnsi"/>
        </w:rPr>
        <w:t xml:space="preserve"> </w:t>
      </w:r>
      <w:proofErr w:type="gramStart"/>
      <w:r w:rsidR="00226801">
        <w:rPr>
          <w:rFonts w:asciiTheme="minorHAnsi" w:hAnsiTheme="minorHAnsi" w:cstheme="minorHAnsi"/>
        </w:rPr>
        <w:t>occurred</w:t>
      </w:r>
      <w:bookmarkStart w:id="11" w:name="_Toc62680957"/>
      <w:bookmarkStart w:id="12" w:name="_Toc67765896"/>
      <w:r w:rsidRPr="005304F3">
        <w:rPr>
          <w:rFonts w:asciiTheme="minorHAnsi" w:hAnsiTheme="minorHAnsi" w:cstheme="minorHAnsi"/>
        </w:rPr>
        <w:t>;</w:t>
      </w:r>
      <w:proofErr w:type="gramEnd"/>
    </w:p>
    <w:p w14:paraId="17E5D694" w14:textId="77777777" w:rsidR="006D2817" w:rsidRPr="00226801" w:rsidRDefault="006D2817" w:rsidP="00001690">
      <w:pPr>
        <w:numPr>
          <w:ilvl w:val="0"/>
          <w:numId w:val="6"/>
        </w:numPr>
        <w:spacing w:before="240" w:after="240" w:line="276" w:lineRule="auto"/>
        <w:jc w:val="both"/>
        <w:rPr>
          <w:rFonts w:asciiTheme="minorHAnsi" w:eastAsia="Arial" w:hAnsiTheme="minorHAnsi" w:cstheme="minorHAnsi"/>
          <w:i/>
          <w:iCs/>
        </w:rPr>
      </w:pPr>
      <w:r w:rsidRPr="00E00A22">
        <w:rPr>
          <w:rFonts w:asciiTheme="minorHAnsi" w:hAnsiTheme="minorHAnsi" w:cstheme="minorHAnsi"/>
        </w:rPr>
        <w:t>Laboratory sample analysis</w:t>
      </w:r>
      <w:bookmarkEnd w:id="11"/>
      <w:bookmarkEnd w:id="12"/>
      <w:r w:rsidRPr="005304F3">
        <w:rPr>
          <w:rFonts w:asciiTheme="minorHAnsi" w:hAnsiTheme="minorHAnsi" w:cstheme="minorHAnsi"/>
        </w:rPr>
        <w:t xml:space="preserve">: </w:t>
      </w:r>
      <w:r w:rsidR="0005380F">
        <w:rPr>
          <w:rFonts w:asciiTheme="minorHAnsi" w:hAnsiTheme="minorHAnsi" w:cstheme="minorHAnsi"/>
        </w:rPr>
        <w:t>I</w:t>
      </w:r>
      <w:r w:rsidRPr="00E00A22">
        <w:rPr>
          <w:rFonts w:asciiTheme="minorHAnsi" w:hAnsiTheme="minorHAnsi" w:cstheme="minorHAnsi"/>
        </w:rPr>
        <w:t xml:space="preserve">f necessary, “routine” examinations will be conducted in appropriate laboratories authorised by the Ministry of Public </w:t>
      </w:r>
      <w:proofErr w:type="gramStart"/>
      <w:r w:rsidRPr="00E00A22">
        <w:rPr>
          <w:rFonts w:asciiTheme="minorHAnsi" w:hAnsiTheme="minorHAnsi" w:cstheme="minorHAnsi"/>
        </w:rPr>
        <w:t>Health;</w:t>
      </w:r>
      <w:proofErr w:type="gramEnd"/>
      <w:r w:rsidRPr="00E00A22">
        <w:rPr>
          <w:rFonts w:asciiTheme="minorHAnsi" w:hAnsiTheme="minorHAnsi" w:cstheme="minorHAnsi"/>
        </w:rPr>
        <w:t xml:space="preserve"> </w:t>
      </w:r>
    </w:p>
    <w:p w14:paraId="6765B651" w14:textId="77777777" w:rsidR="002D2E4F" w:rsidRPr="00226801" w:rsidRDefault="006D2817" w:rsidP="00001690">
      <w:pPr>
        <w:spacing w:line="276" w:lineRule="auto"/>
        <w:jc w:val="both"/>
        <w:rPr>
          <w:rFonts w:asciiTheme="minorHAnsi" w:eastAsia="Arial" w:hAnsiTheme="minorHAnsi" w:cstheme="minorHAnsi"/>
          <w:i/>
          <w:iCs/>
        </w:rPr>
      </w:pPr>
      <w:r w:rsidRPr="00E00A22">
        <w:rPr>
          <w:rFonts w:asciiTheme="minorHAnsi" w:hAnsiTheme="minorHAnsi" w:cstheme="minorHAnsi"/>
        </w:rPr>
        <w:t>Severe cases will be treated free of charge in public hospitals.</w:t>
      </w:r>
    </w:p>
    <w:p w14:paraId="4410375D" w14:textId="77777777" w:rsidR="002411F5" w:rsidRPr="00226801" w:rsidRDefault="002411F5" w:rsidP="003E7EA9">
      <w:pPr>
        <w:pStyle w:val="Heading2"/>
        <w:numPr>
          <w:ilvl w:val="1"/>
          <w:numId w:val="3"/>
        </w:numPr>
        <w:rPr>
          <w:rFonts w:asciiTheme="minorHAnsi" w:hAnsiTheme="minorHAnsi" w:cstheme="minorHAnsi"/>
          <w:b w:val="0"/>
          <w:bCs w:val="0"/>
          <w:color w:val="auto"/>
          <w:sz w:val="24"/>
          <w:szCs w:val="24"/>
        </w:rPr>
      </w:pPr>
      <w:bookmarkStart w:id="13" w:name="_Toc101798511"/>
      <w:r w:rsidRPr="00E00A22">
        <w:rPr>
          <w:rFonts w:asciiTheme="minorHAnsi" w:hAnsiTheme="minorHAnsi" w:cstheme="minorHAnsi"/>
          <w:b w:val="0"/>
          <w:color w:val="auto"/>
          <w:sz w:val="24"/>
        </w:rPr>
        <w:t>Target community and child guardian information</w:t>
      </w:r>
      <w:bookmarkEnd w:id="13"/>
    </w:p>
    <w:p w14:paraId="3D28C0E1" w14:textId="77777777" w:rsidR="00876462" w:rsidRPr="00226801" w:rsidRDefault="00876462" w:rsidP="00876462">
      <w:pPr>
        <w:pStyle w:val="Heading3"/>
        <w:numPr>
          <w:ilvl w:val="2"/>
          <w:numId w:val="3"/>
        </w:numPr>
        <w:pBdr>
          <w:bottom w:val="none" w:sz="0" w:space="0" w:color="auto"/>
        </w:pBdr>
        <w:spacing w:before="240" w:after="240"/>
        <w:ind w:left="1225" w:hanging="505"/>
        <w:rPr>
          <w:rFonts w:asciiTheme="minorHAnsi" w:hAnsiTheme="minorHAnsi" w:cstheme="minorHAnsi"/>
          <w:sz w:val="24"/>
          <w:szCs w:val="24"/>
        </w:rPr>
      </w:pPr>
      <w:bookmarkStart w:id="14" w:name="_Toc101798512"/>
      <w:r w:rsidRPr="00E00A22">
        <w:rPr>
          <w:rFonts w:asciiTheme="minorHAnsi" w:hAnsiTheme="minorHAnsi" w:cstheme="minorHAnsi"/>
          <w:sz w:val="24"/>
        </w:rPr>
        <w:t>Context and current social environment</w:t>
      </w:r>
      <w:bookmarkEnd w:id="14"/>
    </w:p>
    <w:p w14:paraId="5F7C4643" w14:textId="77777777" w:rsidR="003D6FEE" w:rsidRPr="00226801" w:rsidRDefault="00F70108" w:rsidP="00D50ADA">
      <w:pPr>
        <w:spacing w:line="276" w:lineRule="auto"/>
        <w:jc w:val="both"/>
        <w:rPr>
          <w:rFonts w:asciiTheme="minorHAnsi" w:hAnsiTheme="minorHAnsi" w:cstheme="minorHAnsi"/>
          <w:i/>
          <w:iCs/>
        </w:rPr>
      </w:pPr>
      <w:r w:rsidRPr="00E00A22">
        <w:rPr>
          <w:rFonts w:asciiTheme="minorHAnsi" w:hAnsiTheme="minorHAnsi" w:cstheme="minorHAnsi"/>
        </w:rPr>
        <w:t xml:space="preserve">The current social context is marked by the proliferation of fake news and defiance </w:t>
      </w:r>
      <w:proofErr w:type="gramStart"/>
      <w:r w:rsidRPr="00E00A22">
        <w:rPr>
          <w:rFonts w:asciiTheme="minorHAnsi" w:hAnsiTheme="minorHAnsi" w:cstheme="minorHAnsi"/>
        </w:rPr>
        <w:t>with regard to</w:t>
      </w:r>
      <w:proofErr w:type="gramEnd"/>
      <w:r w:rsidRPr="00E00A22">
        <w:rPr>
          <w:rFonts w:asciiTheme="minorHAnsi" w:hAnsiTheme="minorHAnsi" w:cstheme="minorHAnsi"/>
        </w:rPr>
        <w:t xml:space="preserve"> immunisation. The health system is now addressing rumours that spread not only in traditional media but also </w:t>
      </w:r>
      <w:r w:rsidR="00226801">
        <w:rPr>
          <w:rFonts w:asciiTheme="minorHAnsi" w:hAnsiTheme="minorHAnsi" w:cstheme="minorHAnsi"/>
        </w:rPr>
        <w:t>through</w:t>
      </w:r>
      <w:r w:rsidRPr="00E00A22">
        <w:rPr>
          <w:rFonts w:asciiTheme="minorHAnsi" w:hAnsiTheme="minorHAnsi" w:cstheme="minorHAnsi"/>
        </w:rPr>
        <w:t xml:space="preserve"> social networks and communities. Various studies conducted</w:t>
      </w:r>
      <w:r w:rsidR="003D6FEE" w:rsidRPr="00E00A22">
        <w:rPr>
          <w:rFonts w:asciiTheme="minorHAnsi" w:hAnsiTheme="minorHAnsi" w:cstheme="minorHAnsi"/>
          <w:vertAlign w:val="superscript"/>
        </w:rPr>
        <w:footnoteReference w:id="2"/>
      </w:r>
      <w:r w:rsidRPr="00E00A22">
        <w:rPr>
          <w:rFonts w:asciiTheme="minorHAnsi" w:hAnsiTheme="minorHAnsi" w:cstheme="minorHAnsi"/>
          <w:vertAlign w:val="superscript"/>
        </w:rPr>
        <w:t xml:space="preserve"> </w:t>
      </w:r>
      <w:r w:rsidRPr="005304F3">
        <w:rPr>
          <w:rFonts w:asciiTheme="minorHAnsi" w:hAnsiTheme="minorHAnsi" w:cstheme="minorHAnsi"/>
        </w:rPr>
        <w:t>adequately</w:t>
      </w:r>
      <w:r w:rsidRPr="00E00A22">
        <w:rPr>
          <w:rFonts w:asciiTheme="minorHAnsi" w:hAnsiTheme="minorHAnsi" w:cstheme="minorHAnsi"/>
        </w:rPr>
        <w:t xml:space="preserve"> demonstrate the need to implement mechanisms to improve knowledge, </w:t>
      </w:r>
      <w:r w:rsidR="00661A11" w:rsidRPr="00E00A22">
        <w:rPr>
          <w:rFonts w:asciiTheme="minorHAnsi" w:hAnsiTheme="minorHAnsi" w:cstheme="minorHAnsi"/>
        </w:rPr>
        <w:t>attitudes,</w:t>
      </w:r>
      <w:r w:rsidRPr="00E00A22">
        <w:rPr>
          <w:rFonts w:asciiTheme="minorHAnsi" w:hAnsiTheme="minorHAnsi" w:cstheme="minorHAnsi"/>
        </w:rPr>
        <w:t xml:space="preserve"> and practices of the population with respect to immunisation. The distinguishing feature of these studies is that they highlight healthcare personnel as the new target of communication regarding immunisation. Since the switch from Rotarix to </w:t>
      </w:r>
      <w:proofErr w:type="spellStart"/>
      <w:r w:rsidRPr="00E00A22">
        <w:rPr>
          <w:rFonts w:asciiTheme="minorHAnsi" w:hAnsiTheme="minorHAnsi" w:cstheme="minorHAnsi"/>
        </w:rPr>
        <w:t>Rotavac</w:t>
      </w:r>
      <w:proofErr w:type="spellEnd"/>
      <w:r w:rsidRPr="00E00A22">
        <w:rPr>
          <w:rFonts w:asciiTheme="minorHAnsi" w:hAnsiTheme="minorHAnsi" w:cstheme="minorHAnsi"/>
        </w:rPr>
        <w:t xml:space="preserve"> may be a source of rumours, besides mass activities, the healthcare personnel should be at the centre of the communication strategy within the context of this switch. </w:t>
      </w:r>
    </w:p>
    <w:p w14:paraId="0E4F24E0" w14:textId="77777777" w:rsidR="00876462" w:rsidRPr="00226801" w:rsidRDefault="00876462" w:rsidP="003E1A1A">
      <w:pPr>
        <w:pStyle w:val="Heading3"/>
        <w:numPr>
          <w:ilvl w:val="2"/>
          <w:numId w:val="3"/>
        </w:numPr>
        <w:pBdr>
          <w:bottom w:val="none" w:sz="0" w:space="0" w:color="auto"/>
        </w:pBdr>
        <w:spacing w:before="240" w:after="240"/>
        <w:ind w:left="1225" w:hanging="505"/>
        <w:rPr>
          <w:rFonts w:asciiTheme="minorHAnsi" w:hAnsiTheme="minorHAnsi" w:cstheme="minorHAnsi"/>
          <w:sz w:val="24"/>
          <w:szCs w:val="24"/>
        </w:rPr>
      </w:pPr>
      <w:bookmarkStart w:id="15" w:name="_Toc101798513"/>
      <w:r w:rsidRPr="00E00A22">
        <w:rPr>
          <w:rFonts w:asciiTheme="minorHAnsi" w:hAnsiTheme="minorHAnsi" w:cstheme="minorHAnsi"/>
          <w:sz w:val="24"/>
        </w:rPr>
        <w:t>Planned communication activities</w:t>
      </w:r>
      <w:bookmarkEnd w:id="15"/>
    </w:p>
    <w:p w14:paraId="0D466BD0" w14:textId="77777777" w:rsidR="00876462" w:rsidRPr="00226801" w:rsidRDefault="003E1A1A" w:rsidP="00D50ADA">
      <w:pPr>
        <w:spacing w:line="276" w:lineRule="auto"/>
        <w:jc w:val="both"/>
        <w:rPr>
          <w:rFonts w:asciiTheme="minorHAnsi" w:hAnsiTheme="minorHAnsi" w:cstheme="minorHAnsi"/>
          <w:i/>
          <w:iCs/>
        </w:rPr>
      </w:pPr>
      <w:r w:rsidRPr="00E00A22">
        <w:rPr>
          <w:rFonts w:asciiTheme="minorHAnsi" w:hAnsiTheme="minorHAnsi" w:cstheme="minorHAnsi"/>
        </w:rPr>
        <w:t>The communication activities will focus on healthcare personnel in charge of immunisation who are responsible for communicating with guardians of children. The briefing session for healthcare personnel will emphasise inter-personal communication techniques related to immunisation.</w:t>
      </w:r>
    </w:p>
    <w:p w14:paraId="61A2B425" w14:textId="77777777" w:rsidR="003D6FEE" w:rsidRPr="00226801" w:rsidRDefault="003D6FEE" w:rsidP="00D50ADA">
      <w:pPr>
        <w:spacing w:line="276" w:lineRule="auto"/>
        <w:jc w:val="both"/>
        <w:rPr>
          <w:rFonts w:asciiTheme="minorHAnsi" w:hAnsiTheme="minorHAnsi" w:cstheme="minorHAnsi"/>
          <w:i/>
          <w:iCs/>
        </w:rPr>
      </w:pPr>
      <w:r w:rsidRPr="00E00A22">
        <w:rPr>
          <w:rFonts w:asciiTheme="minorHAnsi" w:hAnsiTheme="minorHAnsi" w:cstheme="minorHAnsi"/>
        </w:rPr>
        <w:t>The following is planned, among other aspects:</w:t>
      </w:r>
    </w:p>
    <w:p w14:paraId="39E5E860" w14:textId="77777777" w:rsidR="0009150A" w:rsidRPr="00226801" w:rsidRDefault="003D6FEE" w:rsidP="00D50ADA">
      <w:pPr>
        <w:pStyle w:val="ListParagraph"/>
        <w:numPr>
          <w:ilvl w:val="0"/>
          <w:numId w:val="9"/>
        </w:numPr>
        <w:spacing w:line="276" w:lineRule="auto"/>
        <w:jc w:val="both"/>
        <w:rPr>
          <w:rFonts w:cstheme="minorHAnsi"/>
          <w:i w:val="0"/>
          <w:iCs w:val="0"/>
          <w:sz w:val="24"/>
          <w:szCs w:val="24"/>
        </w:rPr>
      </w:pPr>
      <w:r w:rsidRPr="00E00A22">
        <w:rPr>
          <w:rFonts w:cstheme="minorHAnsi"/>
          <w:i w:val="0"/>
          <w:sz w:val="24"/>
        </w:rPr>
        <w:lastRenderedPageBreak/>
        <w:t xml:space="preserve">To draft and distribute a circular letter from the Ministry of Public Health containing all instructions addressed to all immunisation service managers on the rotavirus vaccine </w:t>
      </w:r>
      <w:proofErr w:type="gramStart"/>
      <w:r w:rsidRPr="00E00A22">
        <w:rPr>
          <w:rFonts w:cstheme="minorHAnsi"/>
          <w:i w:val="0"/>
          <w:sz w:val="24"/>
        </w:rPr>
        <w:t>switch</w:t>
      </w:r>
      <w:r w:rsidR="00226801">
        <w:rPr>
          <w:rFonts w:cstheme="minorHAnsi"/>
          <w:i w:val="0"/>
          <w:sz w:val="24"/>
        </w:rPr>
        <w:t>;</w:t>
      </w:r>
      <w:proofErr w:type="gramEnd"/>
      <w:r w:rsidRPr="005304F3">
        <w:rPr>
          <w:rFonts w:cstheme="minorHAnsi"/>
          <w:i w:val="0"/>
          <w:sz w:val="24"/>
        </w:rPr>
        <w:t xml:space="preserve"> </w:t>
      </w:r>
    </w:p>
    <w:p w14:paraId="44108B28" w14:textId="77777777" w:rsidR="003D6FEE" w:rsidRPr="00226801" w:rsidRDefault="003D6FEE" w:rsidP="00D50ADA">
      <w:pPr>
        <w:pStyle w:val="ListParagraph"/>
        <w:numPr>
          <w:ilvl w:val="0"/>
          <w:numId w:val="9"/>
        </w:numPr>
        <w:spacing w:line="276" w:lineRule="auto"/>
        <w:jc w:val="both"/>
        <w:rPr>
          <w:rFonts w:cstheme="minorHAnsi"/>
          <w:i w:val="0"/>
          <w:iCs w:val="0"/>
          <w:sz w:val="24"/>
          <w:szCs w:val="24"/>
        </w:rPr>
      </w:pPr>
      <w:r w:rsidRPr="00E00A22">
        <w:rPr>
          <w:rFonts w:cstheme="minorHAnsi"/>
          <w:i w:val="0"/>
          <w:sz w:val="24"/>
        </w:rPr>
        <w:t>To brief healthcare personnel on the Integrated Communication Plan</w:t>
      </w:r>
      <w:r w:rsidR="00D53734" w:rsidRPr="00E00A22">
        <w:rPr>
          <w:rFonts w:cstheme="minorHAnsi"/>
          <w:i w:val="0"/>
          <w:sz w:val="24"/>
        </w:rPr>
        <w:t xml:space="preserve"> </w:t>
      </w:r>
      <w:r w:rsidRPr="00E00A22">
        <w:rPr>
          <w:rFonts w:cstheme="minorHAnsi"/>
          <w:i w:val="0"/>
          <w:sz w:val="24"/>
        </w:rPr>
        <w:t xml:space="preserve">(ICP) techniques during planned training </w:t>
      </w:r>
      <w:proofErr w:type="gramStart"/>
      <w:r w:rsidRPr="00E00A22">
        <w:rPr>
          <w:rFonts w:cstheme="minorHAnsi"/>
          <w:i w:val="0"/>
          <w:sz w:val="24"/>
        </w:rPr>
        <w:t>sessions;</w:t>
      </w:r>
      <w:proofErr w:type="gramEnd"/>
    </w:p>
    <w:p w14:paraId="49B76708" w14:textId="77777777" w:rsidR="003D6FEE" w:rsidRPr="00226801" w:rsidRDefault="003D6FEE" w:rsidP="00D50ADA">
      <w:pPr>
        <w:pStyle w:val="ListParagraph"/>
        <w:numPr>
          <w:ilvl w:val="0"/>
          <w:numId w:val="9"/>
        </w:numPr>
        <w:spacing w:line="276" w:lineRule="auto"/>
        <w:jc w:val="both"/>
        <w:rPr>
          <w:rFonts w:cstheme="minorHAnsi"/>
          <w:i w:val="0"/>
          <w:iCs w:val="0"/>
          <w:sz w:val="24"/>
          <w:szCs w:val="24"/>
        </w:rPr>
      </w:pPr>
      <w:r w:rsidRPr="00E00A22">
        <w:rPr>
          <w:rFonts w:cstheme="minorHAnsi"/>
          <w:i w:val="0"/>
          <w:sz w:val="24"/>
        </w:rPr>
        <w:t xml:space="preserve">To produce guides and flyers, including the new immunisation schedule, to be used by healthcare personnel and community </w:t>
      </w:r>
      <w:proofErr w:type="gramStart"/>
      <w:r w:rsidRPr="00E00A22">
        <w:rPr>
          <w:rFonts w:cstheme="minorHAnsi"/>
          <w:i w:val="0"/>
          <w:sz w:val="24"/>
        </w:rPr>
        <w:t>actors;</w:t>
      </w:r>
      <w:proofErr w:type="gramEnd"/>
    </w:p>
    <w:p w14:paraId="1BF86E28" w14:textId="77777777" w:rsidR="007B2A16" w:rsidRPr="00226801" w:rsidRDefault="003D6FEE" w:rsidP="00D50ADA">
      <w:pPr>
        <w:pStyle w:val="ListParagraph"/>
        <w:numPr>
          <w:ilvl w:val="0"/>
          <w:numId w:val="9"/>
        </w:numPr>
        <w:spacing w:line="276" w:lineRule="auto"/>
        <w:jc w:val="both"/>
        <w:rPr>
          <w:rFonts w:cstheme="minorHAnsi"/>
          <w:i w:val="0"/>
          <w:iCs w:val="0"/>
          <w:sz w:val="24"/>
          <w:szCs w:val="24"/>
        </w:rPr>
      </w:pPr>
      <w:r w:rsidRPr="00E00A22">
        <w:rPr>
          <w:rFonts w:cstheme="minorHAnsi"/>
          <w:i w:val="0"/>
          <w:sz w:val="24"/>
        </w:rPr>
        <w:t xml:space="preserve">To plan and implement a post plan for the general public on various EPI digital </w:t>
      </w:r>
      <w:proofErr w:type="gramStart"/>
      <w:r w:rsidRPr="00E00A22">
        <w:rPr>
          <w:rFonts w:cstheme="minorHAnsi"/>
          <w:i w:val="0"/>
          <w:sz w:val="24"/>
        </w:rPr>
        <w:t>platforms</w:t>
      </w:r>
      <w:r w:rsidR="00226801">
        <w:rPr>
          <w:rFonts w:cstheme="minorHAnsi"/>
          <w:i w:val="0"/>
          <w:sz w:val="24"/>
        </w:rPr>
        <w:t>;</w:t>
      </w:r>
      <w:proofErr w:type="gramEnd"/>
    </w:p>
    <w:p w14:paraId="24A6BC9D" w14:textId="77777777" w:rsidR="00B168DE" w:rsidRPr="00226801" w:rsidRDefault="00B168DE" w:rsidP="00D50ADA">
      <w:pPr>
        <w:pStyle w:val="ListParagraph"/>
        <w:numPr>
          <w:ilvl w:val="0"/>
          <w:numId w:val="9"/>
        </w:numPr>
        <w:spacing w:line="276" w:lineRule="auto"/>
        <w:jc w:val="both"/>
        <w:rPr>
          <w:rFonts w:cstheme="minorHAnsi"/>
          <w:i w:val="0"/>
          <w:iCs w:val="0"/>
          <w:sz w:val="24"/>
          <w:szCs w:val="24"/>
        </w:rPr>
      </w:pPr>
      <w:r w:rsidRPr="00E00A22">
        <w:rPr>
          <w:rFonts w:cstheme="minorHAnsi"/>
          <w:i w:val="0"/>
          <w:sz w:val="24"/>
        </w:rPr>
        <w:t>To conduct a digital communication campaign in conjunction with</w:t>
      </w:r>
      <w:r w:rsidR="00D53734" w:rsidRPr="00E00A22">
        <w:rPr>
          <w:rFonts w:cstheme="minorHAnsi"/>
          <w:i w:val="0"/>
          <w:sz w:val="24"/>
        </w:rPr>
        <w:t xml:space="preserve"> </w:t>
      </w:r>
      <w:r w:rsidRPr="00E00A22">
        <w:rPr>
          <w:rFonts w:cstheme="minorHAnsi"/>
          <w:i w:val="0"/>
          <w:sz w:val="24"/>
        </w:rPr>
        <w:t xml:space="preserve">Cameroonian bloggers on routine immunisation in general in which the new immunisation schedule including doses of </w:t>
      </w:r>
      <w:proofErr w:type="spellStart"/>
      <w:r w:rsidRPr="00E00A22">
        <w:rPr>
          <w:rFonts w:cstheme="minorHAnsi"/>
          <w:i w:val="0"/>
          <w:sz w:val="24"/>
        </w:rPr>
        <w:t>Rotavac</w:t>
      </w:r>
      <w:proofErr w:type="spellEnd"/>
      <w:r w:rsidRPr="00E00A22">
        <w:rPr>
          <w:rFonts w:cstheme="minorHAnsi"/>
          <w:i w:val="0"/>
          <w:sz w:val="24"/>
        </w:rPr>
        <w:t>® will be publicised.</w:t>
      </w:r>
    </w:p>
    <w:p w14:paraId="2B9EA2D6" w14:textId="77777777" w:rsidR="002411F5" w:rsidRPr="005304F3" w:rsidRDefault="007B2A16" w:rsidP="007B2A16">
      <w:pPr>
        <w:rPr>
          <w:rFonts w:asciiTheme="minorHAnsi" w:hAnsiTheme="minorHAnsi" w:cstheme="minorHAnsi"/>
          <w:i/>
          <w:iCs/>
        </w:rPr>
      </w:pPr>
      <w:r w:rsidRPr="00E00A22">
        <w:rPr>
          <w:rFonts w:asciiTheme="minorHAnsi" w:hAnsiTheme="minorHAnsi" w:cstheme="minorHAnsi"/>
        </w:rPr>
        <w:br w:type="page"/>
      </w:r>
    </w:p>
    <w:p w14:paraId="7FD9B05F" w14:textId="77777777" w:rsidR="002411F5" w:rsidRPr="00226801" w:rsidRDefault="002411F5" w:rsidP="00876462">
      <w:pPr>
        <w:pStyle w:val="Heading2"/>
        <w:numPr>
          <w:ilvl w:val="1"/>
          <w:numId w:val="13"/>
        </w:numPr>
        <w:rPr>
          <w:rFonts w:asciiTheme="minorHAnsi" w:hAnsiTheme="minorHAnsi" w:cstheme="minorHAnsi"/>
          <w:b w:val="0"/>
          <w:bCs w:val="0"/>
          <w:color w:val="auto"/>
          <w:sz w:val="24"/>
          <w:szCs w:val="24"/>
        </w:rPr>
      </w:pPr>
      <w:bookmarkStart w:id="16" w:name="_Toc101798514"/>
      <w:r w:rsidRPr="005304F3">
        <w:rPr>
          <w:rFonts w:asciiTheme="minorHAnsi" w:hAnsiTheme="minorHAnsi" w:cstheme="minorHAnsi"/>
          <w:b w:val="0"/>
          <w:color w:val="auto"/>
          <w:sz w:val="24"/>
        </w:rPr>
        <w:lastRenderedPageBreak/>
        <w:t>Vaccine</w:t>
      </w:r>
      <w:r w:rsidRPr="00E00A22">
        <w:rPr>
          <w:rFonts w:asciiTheme="minorHAnsi" w:hAnsiTheme="minorHAnsi" w:cstheme="minorHAnsi"/>
          <w:b w:val="0"/>
          <w:color w:val="auto"/>
          <w:sz w:val="24"/>
        </w:rPr>
        <w:t xml:space="preserve"> supply and stock management</w:t>
      </w:r>
      <w:bookmarkEnd w:id="16"/>
      <w:r w:rsidRPr="00E00A22">
        <w:rPr>
          <w:rFonts w:asciiTheme="minorHAnsi" w:hAnsiTheme="minorHAnsi" w:cstheme="minorHAnsi"/>
          <w:b w:val="0"/>
          <w:color w:val="auto"/>
          <w:sz w:val="24"/>
        </w:rPr>
        <w:tab/>
      </w:r>
    </w:p>
    <w:p w14:paraId="5D503B66" w14:textId="77777777" w:rsidR="003E7EA9" w:rsidRPr="00226801" w:rsidRDefault="003E7EA9" w:rsidP="00876462">
      <w:pPr>
        <w:pStyle w:val="Heading3"/>
        <w:numPr>
          <w:ilvl w:val="2"/>
          <w:numId w:val="13"/>
        </w:numPr>
        <w:pBdr>
          <w:bottom w:val="none" w:sz="0" w:space="0" w:color="auto"/>
        </w:pBdr>
        <w:spacing w:before="240" w:after="240"/>
        <w:ind w:left="1225" w:hanging="505"/>
        <w:rPr>
          <w:rFonts w:asciiTheme="minorHAnsi" w:hAnsiTheme="minorHAnsi" w:cstheme="minorHAnsi"/>
          <w:sz w:val="24"/>
          <w:szCs w:val="24"/>
        </w:rPr>
      </w:pPr>
      <w:bookmarkStart w:id="17" w:name="_Toc101798515"/>
      <w:bookmarkStart w:id="18" w:name="_Toc10665411"/>
      <w:r w:rsidRPr="00E00A22">
        <w:rPr>
          <w:rFonts w:asciiTheme="minorHAnsi" w:hAnsiTheme="minorHAnsi" w:cstheme="minorHAnsi"/>
          <w:sz w:val="24"/>
        </w:rPr>
        <w:t>Organisation of the supply chain</w:t>
      </w:r>
      <w:bookmarkEnd w:id="17"/>
    </w:p>
    <w:p w14:paraId="6A03A0E1" w14:textId="77777777" w:rsidR="007B2A16" w:rsidRPr="00226801" w:rsidRDefault="007B2A16" w:rsidP="38F72E36">
      <w:pPr>
        <w:pStyle w:val="ListParagraph"/>
        <w:spacing w:before="240" w:after="240" w:line="276" w:lineRule="auto"/>
        <w:ind w:left="0"/>
        <w:contextualSpacing w:val="0"/>
        <w:jc w:val="both"/>
        <w:rPr>
          <w:rFonts w:cstheme="minorHAnsi"/>
          <w:i w:val="0"/>
          <w:iCs w:val="0"/>
          <w:sz w:val="24"/>
          <w:szCs w:val="24"/>
        </w:rPr>
      </w:pPr>
      <w:r w:rsidRPr="00E00A22">
        <w:rPr>
          <w:rFonts w:cstheme="minorHAnsi"/>
          <w:i w:val="0"/>
          <w:sz w:val="24"/>
        </w:rPr>
        <w:t xml:space="preserve">The country’s supply chain is organised in </w:t>
      </w:r>
      <w:r w:rsidR="00F732D8">
        <w:rPr>
          <w:rFonts w:cstheme="minorHAnsi"/>
          <w:i w:val="0"/>
          <w:sz w:val="24"/>
        </w:rPr>
        <w:t xml:space="preserve">four </w:t>
      </w:r>
      <w:r w:rsidR="00F732D8" w:rsidRPr="00E00A22">
        <w:rPr>
          <w:rFonts w:cstheme="minorHAnsi"/>
          <w:i w:val="0"/>
          <w:sz w:val="24"/>
        </w:rPr>
        <w:t>levels</w:t>
      </w:r>
      <w:r w:rsidRPr="00E00A22">
        <w:rPr>
          <w:rFonts w:cstheme="minorHAnsi"/>
          <w:i w:val="0"/>
          <w:sz w:val="24"/>
        </w:rPr>
        <w:t xml:space="preserve">: national, regional, health district and health centre. Vaccine storage at each level requires cold chain equipment to be available. </w:t>
      </w:r>
      <w:bookmarkStart w:id="19" w:name="_Toc95808673"/>
      <w:r w:rsidRPr="00E00A22">
        <w:rPr>
          <w:rFonts w:cstheme="minorHAnsi"/>
          <w:i w:val="0"/>
          <w:sz w:val="24"/>
        </w:rPr>
        <w:t>The vaccine supply will follow the customary path for routine vaccines. Purchasing the vaccine and transporting it to the ports of entry, which is the airport in this case, is handled by UNICEF because of its expertise in international pharmaceuticals purchasing. A memorandum of understanding was signed between the MoH and UNICEF. The carriers are selected by means of a negotiated procedure to pick up and deliver vaccines to national warehouses. The EPI has a database of customs and transit service providers for this purpose.</w:t>
      </w:r>
    </w:p>
    <w:p w14:paraId="283FB600" w14:textId="77777777" w:rsidR="007B2A16" w:rsidRPr="00226801" w:rsidRDefault="007B2A16" w:rsidP="38F72E36">
      <w:pPr>
        <w:pStyle w:val="ListParagraph"/>
        <w:spacing w:before="240" w:after="240" w:line="276" w:lineRule="auto"/>
        <w:ind w:left="0"/>
        <w:contextualSpacing w:val="0"/>
        <w:jc w:val="both"/>
        <w:rPr>
          <w:rFonts w:cstheme="minorHAnsi"/>
          <w:i w:val="0"/>
          <w:iCs w:val="0"/>
          <w:sz w:val="24"/>
          <w:szCs w:val="24"/>
        </w:rPr>
      </w:pPr>
      <w:r w:rsidRPr="00E00A22">
        <w:rPr>
          <w:rFonts w:cstheme="minorHAnsi"/>
          <w:i w:val="0"/>
          <w:sz w:val="24"/>
        </w:rPr>
        <w:t xml:space="preserve">For transport, the CTG-EPI has a +2°C </w:t>
      </w:r>
      <w:r w:rsidR="00226801">
        <w:rPr>
          <w:rFonts w:cstheme="minorHAnsi"/>
          <w:i w:val="0"/>
          <w:sz w:val="24"/>
        </w:rPr>
        <w:t>and</w:t>
      </w:r>
      <w:r w:rsidRPr="00E00A22">
        <w:rPr>
          <w:rFonts w:cstheme="minorHAnsi"/>
          <w:i w:val="0"/>
          <w:sz w:val="24"/>
        </w:rPr>
        <w:t xml:space="preserve"> +8°C refrigerated truck with a capacity of 20 m</w:t>
      </w:r>
      <w:r w:rsidRPr="00E00A22">
        <w:rPr>
          <w:rFonts w:cstheme="minorHAnsi"/>
          <w:i w:val="0"/>
          <w:sz w:val="24"/>
          <w:vertAlign w:val="superscript"/>
        </w:rPr>
        <w:t>3</w:t>
      </w:r>
      <w:r w:rsidRPr="00E00A22">
        <w:rPr>
          <w:rFonts w:cstheme="minorHAnsi"/>
          <w:i w:val="0"/>
          <w:sz w:val="24"/>
        </w:rPr>
        <w:t xml:space="preserve"> that transports vaccines and other immunisation consumables.</w:t>
      </w:r>
      <w:r w:rsidR="00D53734" w:rsidRPr="00E00A22">
        <w:rPr>
          <w:rFonts w:cstheme="minorHAnsi"/>
          <w:i w:val="0"/>
          <w:sz w:val="24"/>
        </w:rPr>
        <w:t xml:space="preserve"> </w:t>
      </w:r>
      <w:r w:rsidRPr="00E00A22">
        <w:rPr>
          <w:rFonts w:cstheme="minorHAnsi"/>
          <w:i w:val="0"/>
          <w:sz w:val="24"/>
        </w:rPr>
        <w:t xml:space="preserve">The EPI uses Ministry of Public Health trucks to transport vaccines. In certain situations, delivery contracts are signed with private companies under the supervision of CTG-EPI monitors </w:t>
      </w:r>
      <w:proofErr w:type="gramStart"/>
      <w:r w:rsidRPr="00E00A22">
        <w:rPr>
          <w:rFonts w:cstheme="minorHAnsi"/>
          <w:i w:val="0"/>
          <w:sz w:val="24"/>
        </w:rPr>
        <w:t>in order to</w:t>
      </w:r>
      <w:proofErr w:type="gramEnd"/>
      <w:r w:rsidRPr="00E00A22">
        <w:rPr>
          <w:rFonts w:cstheme="minorHAnsi"/>
          <w:i w:val="0"/>
          <w:sz w:val="24"/>
        </w:rPr>
        <w:t xml:space="preserve"> ensure the safety of the cargo. In emergencies, packages of vaccines are transported to </w:t>
      </w:r>
      <w:r w:rsidR="00661A11" w:rsidRPr="00E00A22">
        <w:rPr>
          <w:rFonts w:cstheme="minorHAnsi"/>
          <w:i w:val="0"/>
          <w:sz w:val="24"/>
        </w:rPr>
        <w:t>regions</w:t>
      </w:r>
      <w:r w:rsidRPr="00E00A22">
        <w:rPr>
          <w:rFonts w:cstheme="minorHAnsi"/>
          <w:i w:val="0"/>
          <w:sz w:val="24"/>
        </w:rPr>
        <w:t xml:space="preserve"> that have an airport. At the peripheral level, health districts are supplied according to needs at the regional warehouse</w:t>
      </w:r>
      <w:r w:rsidR="00CE03EC">
        <w:rPr>
          <w:rFonts w:cstheme="minorHAnsi"/>
          <w:i w:val="0"/>
          <w:sz w:val="24"/>
        </w:rPr>
        <w:t xml:space="preserve">, </w:t>
      </w:r>
      <w:r w:rsidRPr="00E00A22">
        <w:rPr>
          <w:rFonts w:cstheme="minorHAnsi"/>
          <w:i w:val="0"/>
          <w:sz w:val="24"/>
        </w:rPr>
        <w:t>and health facilities do the same at district warehouses.</w:t>
      </w:r>
    </w:p>
    <w:bookmarkEnd w:id="18"/>
    <w:bookmarkEnd w:id="19"/>
    <w:p w14:paraId="2F35E4CF" w14:textId="77777777" w:rsidR="007B2A16" w:rsidRPr="00226801" w:rsidRDefault="007B2A16" w:rsidP="00D50ADA">
      <w:pPr>
        <w:pStyle w:val="ListParagraph"/>
        <w:tabs>
          <w:tab w:val="left" w:pos="426"/>
        </w:tabs>
        <w:spacing w:before="240" w:after="240" w:line="276" w:lineRule="auto"/>
        <w:ind w:left="0"/>
        <w:contextualSpacing w:val="0"/>
        <w:jc w:val="both"/>
        <w:rPr>
          <w:rFonts w:cstheme="minorHAnsi"/>
          <w:i w:val="0"/>
          <w:iCs w:val="0"/>
          <w:sz w:val="24"/>
          <w:szCs w:val="24"/>
        </w:rPr>
      </w:pPr>
      <w:r w:rsidRPr="00E00A22">
        <w:rPr>
          <w:rFonts w:cstheme="minorHAnsi"/>
          <w:i w:val="0"/>
          <w:sz w:val="24"/>
        </w:rPr>
        <w:t>Biological products are destroyed according to the directives of the national waste management plan, under the responsibility of the Department of Health Promotion. Management of post-immunisation waste varies by type and is conducted according to Standard Operating Procedures (SOPs). Unusable vials are collected in appropriate packages according to the level and marked “For Destruction,” and are then transported from one level to another until they reach the identified destruction site.,</w:t>
      </w:r>
    </w:p>
    <w:p w14:paraId="4197A5A0" w14:textId="77777777" w:rsidR="003E7EA9" w:rsidRPr="00226801" w:rsidRDefault="00A120D3" w:rsidP="00876462">
      <w:pPr>
        <w:pStyle w:val="Heading3"/>
        <w:numPr>
          <w:ilvl w:val="2"/>
          <w:numId w:val="13"/>
        </w:numPr>
        <w:pBdr>
          <w:bottom w:val="none" w:sz="0" w:space="0" w:color="auto"/>
        </w:pBdr>
        <w:spacing w:before="240" w:after="240"/>
        <w:rPr>
          <w:rFonts w:asciiTheme="minorHAnsi" w:hAnsiTheme="minorHAnsi" w:cstheme="minorHAnsi"/>
          <w:sz w:val="24"/>
          <w:szCs w:val="24"/>
        </w:rPr>
      </w:pPr>
      <w:bookmarkStart w:id="20" w:name="_Toc101798516"/>
      <w:r w:rsidRPr="00E00A22">
        <w:rPr>
          <w:rFonts w:asciiTheme="minorHAnsi" w:hAnsiTheme="minorHAnsi" w:cstheme="minorHAnsi"/>
          <w:sz w:val="24"/>
        </w:rPr>
        <w:t>Planned logistic</w:t>
      </w:r>
      <w:r w:rsidR="00CE03EC">
        <w:rPr>
          <w:rFonts w:asciiTheme="minorHAnsi" w:hAnsiTheme="minorHAnsi" w:cstheme="minorHAnsi"/>
          <w:sz w:val="24"/>
        </w:rPr>
        <w:t>s</w:t>
      </w:r>
      <w:r w:rsidRPr="005304F3">
        <w:rPr>
          <w:rFonts w:asciiTheme="minorHAnsi" w:hAnsiTheme="minorHAnsi" w:cstheme="minorHAnsi"/>
          <w:sz w:val="24"/>
        </w:rPr>
        <w:t xml:space="preserve"> </w:t>
      </w:r>
      <w:r w:rsidRPr="00E00A22">
        <w:rPr>
          <w:rFonts w:asciiTheme="minorHAnsi" w:hAnsiTheme="minorHAnsi" w:cstheme="minorHAnsi"/>
          <w:sz w:val="24"/>
        </w:rPr>
        <w:t>activities for the switch</w:t>
      </w:r>
      <w:bookmarkEnd w:id="20"/>
    </w:p>
    <w:p w14:paraId="71B9CF74" w14:textId="77777777" w:rsidR="007B2A16" w:rsidRPr="00226801" w:rsidRDefault="003E7EA9" w:rsidP="00D50ADA">
      <w:pPr>
        <w:pStyle w:val="StyleCorpsdetexte12ptJustifi1"/>
        <w:spacing w:before="240" w:after="240" w:line="276" w:lineRule="auto"/>
        <w:jc w:val="both"/>
        <w:rPr>
          <w:rFonts w:asciiTheme="minorHAnsi" w:eastAsiaTheme="minorEastAsia" w:hAnsiTheme="minorHAnsi" w:cstheme="minorHAnsi"/>
        </w:rPr>
      </w:pPr>
      <w:r w:rsidRPr="00E00A22">
        <w:rPr>
          <w:rFonts w:asciiTheme="minorHAnsi" w:hAnsiTheme="minorHAnsi" w:cstheme="minorHAnsi"/>
        </w:rPr>
        <w:t xml:space="preserve">Doses of </w:t>
      </w:r>
      <w:proofErr w:type="spellStart"/>
      <w:r w:rsidRPr="00E00A22">
        <w:rPr>
          <w:rFonts w:asciiTheme="minorHAnsi" w:hAnsiTheme="minorHAnsi" w:cstheme="minorHAnsi"/>
        </w:rPr>
        <w:t>Rotavac</w:t>
      </w:r>
      <w:proofErr w:type="spellEnd"/>
      <w:r w:rsidRPr="00E00A22">
        <w:rPr>
          <w:rFonts w:asciiTheme="minorHAnsi" w:hAnsiTheme="minorHAnsi" w:cstheme="minorHAnsi"/>
        </w:rPr>
        <w:t>® vaccine will be distributed to all H</w:t>
      </w:r>
      <w:r w:rsidR="0019786C">
        <w:rPr>
          <w:rFonts w:asciiTheme="minorHAnsi" w:hAnsiTheme="minorHAnsi" w:cstheme="minorHAnsi"/>
        </w:rPr>
        <w:t>ealthcare facilities</w:t>
      </w:r>
      <w:r w:rsidRPr="005304F3">
        <w:rPr>
          <w:rFonts w:asciiTheme="minorHAnsi" w:hAnsiTheme="minorHAnsi" w:cstheme="minorHAnsi"/>
        </w:rPr>
        <w:t xml:space="preserve"> that </w:t>
      </w:r>
      <w:r w:rsidRPr="00E00A22">
        <w:rPr>
          <w:rFonts w:asciiTheme="minorHAnsi" w:hAnsiTheme="minorHAnsi" w:cstheme="minorHAnsi"/>
        </w:rPr>
        <w:t xml:space="preserve">provide immunisation prior to the switch date to ensure availability during “train the trainer” briefing sessions and to facilitate </w:t>
      </w:r>
      <w:proofErr w:type="spellStart"/>
      <w:r w:rsidRPr="00E00A22">
        <w:rPr>
          <w:rFonts w:asciiTheme="minorHAnsi" w:hAnsiTheme="minorHAnsi" w:cstheme="minorHAnsi"/>
        </w:rPr>
        <w:t>Rotavac</w:t>
      </w:r>
      <w:proofErr w:type="spellEnd"/>
      <w:r w:rsidRPr="00E00A22">
        <w:rPr>
          <w:rFonts w:asciiTheme="minorHAnsi" w:hAnsiTheme="minorHAnsi" w:cstheme="minorHAnsi"/>
        </w:rPr>
        <w:t xml:space="preserve">® immunisation data monitoring. All ten regions will be supplied by the national level at least one week prior to the regional briefing session. The districts will receive financial support for transport from the regional warehouses to the district warehouse and health facilities at least one week prior to the district level briefing session. </w:t>
      </w:r>
      <w:proofErr w:type="spellStart"/>
      <w:r w:rsidRPr="00E00A22">
        <w:rPr>
          <w:rFonts w:asciiTheme="minorHAnsi" w:hAnsiTheme="minorHAnsi" w:cstheme="minorHAnsi"/>
        </w:rPr>
        <w:t>Rotavac</w:t>
      </w:r>
      <w:proofErr w:type="spellEnd"/>
      <w:r w:rsidRPr="00E00A22">
        <w:rPr>
          <w:rFonts w:asciiTheme="minorHAnsi" w:hAnsiTheme="minorHAnsi" w:cstheme="minorHAnsi"/>
        </w:rPr>
        <w:t xml:space="preserve"> immunisation waste will be managed at each health facility providing immunisation, either by burning or incineration, as applicable, and then buried. </w:t>
      </w:r>
    </w:p>
    <w:p w14:paraId="0058774D" w14:textId="77777777" w:rsidR="002411F5" w:rsidRPr="00226801" w:rsidRDefault="002411F5" w:rsidP="00876462">
      <w:pPr>
        <w:pStyle w:val="Heading2"/>
        <w:numPr>
          <w:ilvl w:val="1"/>
          <w:numId w:val="13"/>
        </w:numPr>
        <w:rPr>
          <w:rFonts w:asciiTheme="minorHAnsi" w:hAnsiTheme="minorHAnsi" w:cstheme="minorHAnsi"/>
          <w:b w:val="0"/>
          <w:bCs w:val="0"/>
          <w:color w:val="auto"/>
          <w:sz w:val="24"/>
          <w:szCs w:val="24"/>
        </w:rPr>
      </w:pPr>
      <w:bookmarkStart w:id="21" w:name="_Toc101798517"/>
      <w:r w:rsidRPr="00E00A22">
        <w:rPr>
          <w:rFonts w:asciiTheme="minorHAnsi" w:hAnsiTheme="minorHAnsi" w:cstheme="minorHAnsi"/>
          <w:b w:val="0"/>
          <w:color w:val="auto"/>
          <w:sz w:val="24"/>
        </w:rPr>
        <w:t>Data management and performance monitoring</w:t>
      </w:r>
      <w:bookmarkEnd w:id="21"/>
    </w:p>
    <w:p w14:paraId="5CE576A6" w14:textId="77777777" w:rsidR="00F96CC0" w:rsidRPr="00226801" w:rsidRDefault="00F93BD7" w:rsidP="00062DDB">
      <w:pPr>
        <w:spacing w:before="240" w:after="240" w:line="276" w:lineRule="auto"/>
        <w:jc w:val="both"/>
        <w:rPr>
          <w:rFonts w:asciiTheme="minorHAnsi" w:hAnsiTheme="minorHAnsi" w:cstheme="minorHAnsi"/>
          <w:i/>
          <w:iCs/>
        </w:rPr>
      </w:pPr>
      <w:r w:rsidRPr="00E00A22">
        <w:rPr>
          <w:rFonts w:asciiTheme="minorHAnsi" w:hAnsiTheme="minorHAnsi" w:cstheme="minorHAnsi"/>
        </w:rPr>
        <w:t xml:space="preserve">The data collection tools (immunisation tally and recording sheet) will be updated to </w:t>
      </w:r>
      <w:proofErr w:type="gramStart"/>
      <w:r w:rsidRPr="00E00A22">
        <w:rPr>
          <w:rFonts w:asciiTheme="minorHAnsi" w:hAnsiTheme="minorHAnsi" w:cstheme="minorHAnsi"/>
        </w:rPr>
        <w:t>take into account</w:t>
      </w:r>
      <w:proofErr w:type="gramEnd"/>
      <w:r w:rsidRPr="00E00A22">
        <w:rPr>
          <w:rFonts w:asciiTheme="minorHAnsi" w:hAnsiTheme="minorHAnsi" w:cstheme="minorHAnsi"/>
        </w:rPr>
        <w:t xml:space="preserve"> all changes caused by the switch, and all changes planned for the next three years in order to pool resources. Therefore, some of the updated tool production needs will be </w:t>
      </w:r>
      <w:r w:rsidRPr="00E00A22">
        <w:rPr>
          <w:rFonts w:asciiTheme="minorHAnsi" w:hAnsiTheme="minorHAnsi" w:cstheme="minorHAnsi"/>
        </w:rPr>
        <w:lastRenderedPageBreak/>
        <w:t>covered by the IPV-2 introduction grant, and another portion by integrating vitamin A supplementation, deworming and birth recording into EPI activities.</w:t>
      </w:r>
    </w:p>
    <w:p w14:paraId="6A05A88D" w14:textId="77777777" w:rsidR="007C58D8" w:rsidRPr="00226801" w:rsidRDefault="00840726" w:rsidP="00062DDB">
      <w:pPr>
        <w:spacing w:before="240" w:after="240" w:line="276" w:lineRule="auto"/>
        <w:jc w:val="both"/>
        <w:rPr>
          <w:rFonts w:asciiTheme="minorHAnsi" w:hAnsiTheme="minorHAnsi" w:cstheme="minorHAnsi"/>
          <w:i/>
          <w:iCs/>
        </w:rPr>
      </w:pPr>
      <w:r w:rsidRPr="00E00A22">
        <w:rPr>
          <w:rFonts w:asciiTheme="minorHAnsi" w:hAnsiTheme="minorHAnsi" w:cstheme="minorHAnsi"/>
        </w:rPr>
        <w:t xml:space="preserve"> The updated tools will allow data to be collected on children immunised with </w:t>
      </w:r>
      <w:proofErr w:type="spellStart"/>
      <w:r w:rsidRPr="00E00A22">
        <w:rPr>
          <w:rFonts w:asciiTheme="minorHAnsi" w:hAnsiTheme="minorHAnsi" w:cstheme="minorHAnsi"/>
        </w:rPr>
        <w:t>Rotavac</w:t>
      </w:r>
      <w:proofErr w:type="spellEnd"/>
      <w:r w:rsidRPr="00E00A22">
        <w:rPr>
          <w:rFonts w:asciiTheme="minorHAnsi" w:hAnsiTheme="minorHAnsi" w:cstheme="minorHAnsi"/>
        </w:rPr>
        <w:t>®. These data will be entered into the DHIS2 and SMT no later than the</w:t>
      </w:r>
      <w:r w:rsidR="00CF1923">
        <w:rPr>
          <w:rFonts w:asciiTheme="minorHAnsi" w:hAnsiTheme="minorHAnsi" w:cstheme="minorHAnsi"/>
        </w:rPr>
        <w:t xml:space="preserve"> fifth</w:t>
      </w:r>
      <w:r w:rsidRPr="00E00A22">
        <w:rPr>
          <w:rFonts w:asciiTheme="minorHAnsi" w:hAnsiTheme="minorHAnsi" w:cstheme="minorHAnsi"/>
        </w:rPr>
        <w:t xml:space="preserve"> of each month. Immunisation coverage may be evaluated every month by triangulation with vaccine stock usage data.</w:t>
      </w:r>
    </w:p>
    <w:p w14:paraId="7620272D" w14:textId="77777777" w:rsidR="002411F5" w:rsidRPr="00226801" w:rsidRDefault="002411F5" w:rsidP="00876462">
      <w:pPr>
        <w:pStyle w:val="Heading1"/>
        <w:numPr>
          <w:ilvl w:val="0"/>
          <w:numId w:val="13"/>
        </w:numPr>
        <w:rPr>
          <w:rFonts w:asciiTheme="minorHAnsi" w:hAnsiTheme="minorHAnsi" w:cstheme="minorHAnsi"/>
          <w:sz w:val="24"/>
          <w:szCs w:val="24"/>
        </w:rPr>
      </w:pPr>
      <w:bookmarkStart w:id="22" w:name="_Toc101798518"/>
      <w:r w:rsidRPr="00E00A22">
        <w:rPr>
          <w:rFonts w:asciiTheme="minorHAnsi" w:hAnsiTheme="minorHAnsi" w:cstheme="minorHAnsi"/>
          <w:sz w:val="24"/>
        </w:rPr>
        <w:t>Activity timeline</w:t>
      </w:r>
      <w:bookmarkEnd w:id="22"/>
    </w:p>
    <w:p w14:paraId="4A8BD026" w14:textId="77777777" w:rsidR="0068651D" w:rsidRPr="00226801" w:rsidRDefault="0068651D" w:rsidP="0068651D">
      <w:pPr>
        <w:pStyle w:val="Caption"/>
        <w:spacing w:after="0"/>
        <w:rPr>
          <w:rFonts w:cstheme="minorHAnsi"/>
          <w:color w:val="000000" w:themeColor="text1"/>
          <w:sz w:val="28"/>
          <w:szCs w:val="28"/>
        </w:rPr>
      </w:pPr>
      <w:r w:rsidRPr="00E00A22">
        <w:rPr>
          <w:rFonts w:cstheme="minorHAnsi"/>
          <w:sz w:val="20"/>
        </w:rPr>
        <w:t>Table 4:</w:t>
      </w:r>
      <w:r w:rsidR="00D53734" w:rsidRPr="00E00A22">
        <w:rPr>
          <w:rFonts w:cstheme="minorHAnsi"/>
          <w:sz w:val="20"/>
        </w:rPr>
        <w:t xml:space="preserve"> </w:t>
      </w:r>
      <w:r w:rsidRPr="00E00A22">
        <w:rPr>
          <w:rFonts w:cstheme="minorHAnsi"/>
          <w:sz w:val="20"/>
        </w:rPr>
        <w:t>Rota switch activity timeline</w:t>
      </w:r>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31"/>
        <w:gridCol w:w="949"/>
        <w:gridCol w:w="395"/>
        <w:gridCol w:w="395"/>
        <w:gridCol w:w="395"/>
        <w:gridCol w:w="395"/>
        <w:gridCol w:w="395"/>
        <w:gridCol w:w="395"/>
        <w:gridCol w:w="395"/>
        <w:gridCol w:w="395"/>
        <w:gridCol w:w="395"/>
        <w:gridCol w:w="395"/>
        <w:gridCol w:w="395"/>
        <w:gridCol w:w="395"/>
        <w:gridCol w:w="395"/>
        <w:gridCol w:w="8"/>
      </w:tblGrid>
      <w:tr w:rsidR="007D37FE" w:rsidRPr="00226801" w14:paraId="277C8AC8" w14:textId="77777777" w:rsidTr="00341649">
        <w:trPr>
          <w:trHeight w:val="18"/>
        </w:trPr>
        <w:tc>
          <w:tcPr>
            <w:tcW w:w="4156" w:type="dxa"/>
            <w:vMerge w:val="restart"/>
            <w:shd w:val="clear" w:color="auto" w:fill="BFBFBF" w:themeFill="background1" w:themeFillShade="BF"/>
            <w:vAlign w:val="center"/>
            <w:hideMark/>
          </w:tcPr>
          <w:p w14:paraId="70BD23BC" w14:textId="77777777" w:rsidR="007D37FE" w:rsidRPr="00226801" w:rsidRDefault="007D37FE" w:rsidP="00FA30FF">
            <w:pPr>
              <w:pStyle w:val="NoSpacing"/>
              <w:spacing w:line="200" w:lineRule="exact"/>
              <w:jc w:val="center"/>
              <w:rPr>
                <w:rFonts w:eastAsia="Times New Roman" w:cstheme="minorHAnsi"/>
                <w:b/>
                <w:bCs/>
                <w:i w:val="0"/>
                <w:iCs w:val="0"/>
                <w:sz w:val="18"/>
                <w:szCs w:val="18"/>
              </w:rPr>
            </w:pPr>
            <w:r w:rsidRPr="00E00A22">
              <w:rPr>
                <w:rFonts w:cstheme="minorHAnsi"/>
                <w:b/>
                <w:i w:val="0"/>
                <w:sz w:val="18"/>
              </w:rPr>
              <w:t>Activity</w:t>
            </w:r>
          </w:p>
          <w:p w14:paraId="2310CCA6" w14:textId="77777777" w:rsidR="007D37FE" w:rsidRPr="00226801" w:rsidRDefault="007D37FE" w:rsidP="00FA30FF">
            <w:pPr>
              <w:pStyle w:val="NoSpacing"/>
              <w:spacing w:line="200" w:lineRule="exact"/>
              <w:jc w:val="center"/>
              <w:rPr>
                <w:rFonts w:eastAsia="Times New Roman" w:cstheme="minorHAnsi"/>
                <w:b/>
                <w:bCs/>
                <w:i w:val="0"/>
                <w:iCs w:val="0"/>
                <w:sz w:val="18"/>
                <w:szCs w:val="18"/>
                <w:lang w:eastAsia="fr-FR"/>
              </w:rPr>
            </w:pPr>
          </w:p>
        </w:tc>
        <w:tc>
          <w:tcPr>
            <w:tcW w:w="949" w:type="dxa"/>
            <w:vMerge w:val="restart"/>
            <w:shd w:val="clear" w:color="auto" w:fill="BFBFBF" w:themeFill="background1" w:themeFillShade="BF"/>
            <w:noWrap/>
            <w:vAlign w:val="center"/>
            <w:hideMark/>
          </w:tcPr>
          <w:p w14:paraId="5687BEC4" w14:textId="77777777" w:rsidR="007D37FE" w:rsidRPr="00226801" w:rsidRDefault="007D37FE" w:rsidP="00FA30FF">
            <w:pPr>
              <w:pStyle w:val="NoSpacing"/>
              <w:spacing w:line="200" w:lineRule="exact"/>
              <w:jc w:val="center"/>
              <w:rPr>
                <w:rFonts w:eastAsia="Times New Roman" w:cstheme="minorHAnsi"/>
                <w:b/>
                <w:bCs/>
                <w:i w:val="0"/>
                <w:iCs w:val="0"/>
                <w:sz w:val="18"/>
                <w:szCs w:val="18"/>
              </w:rPr>
            </w:pPr>
            <w:r w:rsidRPr="00E00A22">
              <w:rPr>
                <w:rFonts w:cstheme="minorHAnsi"/>
                <w:b/>
                <w:i w:val="0"/>
                <w:sz w:val="15"/>
              </w:rPr>
              <w:t>MANAGER (LEAD)</w:t>
            </w:r>
          </w:p>
        </w:tc>
        <w:tc>
          <w:tcPr>
            <w:tcW w:w="1234" w:type="dxa"/>
            <w:gridSpan w:val="4"/>
            <w:shd w:val="clear" w:color="auto" w:fill="BFBFBF" w:themeFill="background1" w:themeFillShade="BF"/>
            <w:noWrap/>
            <w:vAlign w:val="center"/>
            <w:hideMark/>
          </w:tcPr>
          <w:p w14:paraId="30AE4377" w14:textId="77777777" w:rsidR="007D37FE" w:rsidRPr="00226801" w:rsidRDefault="007D37FE" w:rsidP="00FA30FF">
            <w:pPr>
              <w:pStyle w:val="NoSpacing"/>
              <w:spacing w:line="200" w:lineRule="exact"/>
              <w:jc w:val="center"/>
              <w:rPr>
                <w:rFonts w:eastAsia="Times New Roman" w:cstheme="minorHAnsi"/>
                <w:b/>
                <w:bCs/>
                <w:i w:val="0"/>
                <w:iCs w:val="0"/>
                <w:sz w:val="18"/>
                <w:szCs w:val="18"/>
              </w:rPr>
            </w:pPr>
            <w:r w:rsidRPr="00E00A22">
              <w:rPr>
                <w:rFonts w:cstheme="minorHAnsi"/>
                <w:b/>
                <w:i w:val="0"/>
                <w:sz w:val="18"/>
              </w:rPr>
              <w:t>March</w:t>
            </w:r>
          </w:p>
        </w:tc>
        <w:tc>
          <w:tcPr>
            <w:tcW w:w="1234" w:type="dxa"/>
            <w:gridSpan w:val="4"/>
            <w:shd w:val="clear" w:color="auto" w:fill="BFBFBF" w:themeFill="background1" w:themeFillShade="BF"/>
            <w:noWrap/>
            <w:vAlign w:val="center"/>
            <w:hideMark/>
          </w:tcPr>
          <w:p w14:paraId="285EF30A" w14:textId="77777777" w:rsidR="007D37FE" w:rsidRPr="00226801" w:rsidRDefault="007D37FE" w:rsidP="00FA30FF">
            <w:pPr>
              <w:pStyle w:val="NoSpacing"/>
              <w:spacing w:line="200" w:lineRule="exact"/>
              <w:jc w:val="center"/>
              <w:rPr>
                <w:rFonts w:eastAsia="Times New Roman" w:cstheme="minorHAnsi"/>
                <w:b/>
                <w:bCs/>
                <w:i w:val="0"/>
                <w:iCs w:val="0"/>
                <w:sz w:val="18"/>
                <w:szCs w:val="18"/>
              </w:rPr>
            </w:pPr>
            <w:r w:rsidRPr="00E00A22">
              <w:rPr>
                <w:rFonts w:cstheme="minorHAnsi"/>
                <w:b/>
                <w:i w:val="0"/>
                <w:sz w:val="18"/>
              </w:rPr>
              <w:t>April</w:t>
            </w:r>
          </w:p>
        </w:tc>
        <w:tc>
          <w:tcPr>
            <w:tcW w:w="1548" w:type="dxa"/>
            <w:gridSpan w:val="6"/>
            <w:shd w:val="clear" w:color="auto" w:fill="BFBFBF" w:themeFill="background1" w:themeFillShade="BF"/>
            <w:noWrap/>
            <w:vAlign w:val="center"/>
            <w:hideMark/>
          </w:tcPr>
          <w:p w14:paraId="5D9E930F" w14:textId="77777777" w:rsidR="007D37FE" w:rsidRPr="00226801" w:rsidRDefault="007D37FE" w:rsidP="00FA30FF">
            <w:pPr>
              <w:pStyle w:val="NoSpacing"/>
              <w:spacing w:line="200" w:lineRule="exact"/>
              <w:jc w:val="center"/>
              <w:rPr>
                <w:rFonts w:eastAsia="Times New Roman" w:cstheme="minorHAnsi"/>
                <w:b/>
                <w:bCs/>
                <w:i w:val="0"/>
                <w:iCs w:val="0"/>
                <w:sz w:val="18"/>
                <w:szCs w:val="18"/>
              </w:rPr>
            </w:pPr>
            <w:r w:rsidRPr="00E00A22">
              <w:rPr>
                <w:rFonts w:cstheme="minorHAnsi"/>
                <w:b/>
                <w:i w:val="0"/>
                <w:sz w:val="18"/>
              </w:rPr>
              <w:t>May</w:t>
            </w:r>
          </w:p>
        </w:tc>
      </w:tr>
      <w:tr w:rsidR="00341649" w:rsidRPr="00226801" w14:paraId="1A083F8B" w14:textId="77777777" w:rsidTr="00341649">
        <w:trPr>
          <w:gridAfter w:val="1"/>
          <w:wAfter w:w="11" w:type="dxa"/>
          <w:trHeight w:val="18"/>
        </w:trPr>
        <w:tc>
          <w:tcPr>
            <w:tcW w:w="4156" w:type="dxa"/>
            <w:vMerge/>
            <w:shd w:val="clear" w:color="auto" w:fill="BFBFBF" w:themeFill="background1" w:themeFillShade="BF"/>
            <w:vAlign w:val="center"/>
            <w:hideMark/>
          </w:tcPr>
          <w:p w14:paraId="6FE4D672" w14:textId="77777777" w:rsidR="007D37FE" w:rsidRPr="00226801" w:rsidRDefault="007D37FE" w:rsidP="00FA30FF">
            <w:pPr>
              <w:pStyle w:val="NoSpacing"/>
              <w:spacing w:line="200" w:lineRule="exact"/>
              <w:jc w:val="center"/>
              <w:rPr>
                <w:rFonts w:eastAsia="Times New Roman" w:cstheme="minorHAnsi"/>
                <w:b/>
                <w:bCs/>
                <w:i w:val="0"/>
                <w:iCs w:val="0"/>
                <w:sz w:val="18"/>
                <w:szCs w:val="18"/>
                <w:lang w:eastAsia="fr-FR"/>
              </w:rPr>
            </w:pPr>
          </w:p>
        </w:tc>
        <w:tc>
          <w:tcPr>
            <w:tcW w:w="949" w:type="dxa"/>
            <w:vMerge/>
            <w:shd w:val="clear" w:color="auto" w:fill="BFBFBF" w:themeFill="background1" w:themeFillShade="BF"/>
            <w:noWrap/>
            <w:vAlign w:val="center"/>
            <w:hideMark/>
          </w:tcPr>
          <w:p w14:paraId="3903D1AB" w14:textId="77777777" w:rsidR="007D37FE" w:rsidRPr="00226801" w:rsidRDefault="007D37FE" w:rsidP="00FA30FF">
            <w:pPr>
              <w:pStyle w:val="NoSpacing"/>
              <w:spacing w:line="200" w:lineRule="exact"/>
              <w:jc w:val="center"/>
              <w:rPr>
                <w:rFonts w:eastAsia="Times New Roman" w:cstheme="minorHAnsi"/>
                <w:b/>
                <w:bCs/>
                <w:i w:val="0"/>
                <w:iCs w:val="0"/>
                <w:sz w:val="18"/>
                <w:szCs w:val="18"/>
                <w:lang w:eastAsia="fr-FR"/>
              </w:rPr>
            </w:pPr>
          </w:p>
        </w:tc>
        <w:tc>
          <w:tcPr>
            <w:tcW w:w="308" w:type="dxa"/>
            <w:shd w:val="clear" w:color="auto" w:fill="BFBFBF" w:themeFill="background1" w:themeFillShade="BF"/>
            <w:noWrap/>
            <w:vAlign w:val="center"/>
            <w:hideMark/>
          </w:tcPr>
          <w:p w14:paraId="628F6982" w14:textId="77777777" w:rsidR="007D37FE" w:rsidRPr="00226801" w:rsidRDefault="007D37FE" w:rsidP="00FA30FF">
            <w:pPr>
              <w:pStyle w:val="NoSpacing"/>
              <w:spacing w:line="200" w:lineRule="exact"/>
              <w:jc w:val="center"/>
              <w:rPr>
                <w:rFonts w:eastAsia="Times New Roman" w:cstheme="minorHAnsi"/>
                <w:b/>
                <w:bCs/>
                <w:i w:val="0"/>
                <w:iCs w:val="0"/>
                <w:sz w:val="18"/>
                <w:szCs w:val="18"/>
              </w:rPr>
            </w:pPr>
            <w:r w:rsidRPr="00E00A22">
              <w:rPr>
                <w:rFonts w:cstheme="minorHAnsi"/>
                <w:b/>
                <w:i w:val="0"/>
                <w:sz w:val="18"/>
              </w:rPr>
              <w:t>W1</w:t>
            </w:r>
          </w:p>
        </w:tc>
        <w:tc>
          <w:tcPr>
            <w:tcW w:w="308" w:type="dxa"/>
            <w:shd w:val="clear" w:color="auto" w:fill="BFBFBF" w:themeFill="background1" w:themeFillShade="BF"/>
            <w:noWrap/>
            <w:vAlign w:val="center"/>
            <w:hideMark/>
          </w:tcPr>
          <w:p w14:paraId="32CF78A5" w14:textId="77777777" w:rsidR="007D37FE" w:rsidRPr="00226801" w:rsidRDefault="007D37FE" w:rsidP="00FA30FF">
            <w:pPr>
              <w:pStyle w:val="NoSpacing"/>
              <w:spacing w:line="200" w:lineRule="exact"/>
              <w:jc w:val="center"/>
              <w:rPr>
                <w:rFonts w:eastAsia="Times New Roman" w:cstheme="minorHAnsi"/>
                <w:b/>
                <w:bCs/>
                <w:i w:val="0"/>
                <w:iCs w:val="0"/>
                <w:sz w:val="18"/>
                <w:szCs w:val="18"/>
              </w:rPr>
            </w:pPr>
            <w:r w:rsidRPr="00E00A22">
              <w:rPr>
                <w:rFonts w:cstheme="minorHAnsi"/>
                <w:b/>
                <w:i w:val="0"/>
                <w:sz w:val="18"/>
              </w:rPr>
              <w:t>W2</w:t>
            </w:r>
          </w:p>
        </w:tc>
        <w:tc>
          <w:tcPr>
            <w:tcW w:w="308" w:type="dxa"/>
            <w:shd w:val="clear" w:color="auto" w:fill="BFBFBF" w:themeFill="background1" w:themeFillShade="BF"/>
            <w:noWrap/>
            <w:vAlign w:val="center"/>
            <w:hideMark/>
          </w:tcPr>
          <w:p w14:paraId="5C54124E" w14:textId="77777777" w:rsidR="007D37FE" w:rsidRPr="00226801" w:rsidRDefault="007D37FE" w:rsidP="00FA30FF">
            <w:pPr>
              <w:pStyle w:val="NoSpacing"/>
              <w:spacing w:line="200" w:lineRule="exact"/>
              <w:jc w:val="center"/>
              <w:rPr>
                <w:rFonts w:eastAsia="Times New Roman" w:cstheme="minorHAnsi"/>
                <w:b/>
                <w:bCs/>
                <w:i w:val="0"/>
                <w:iCs w:val="0"/>
                <w:sz w:val="18"/>
                <w:szCs w:val="18"/>
              </w:rPr>
            </w:pPr>
            <w:r w:rsidRPr="00E00A22">
              <w:rPr>
                <w:rFonts w:cstheme="minorHAnsi"/>
                <w:b/>
                <w:i w:val="0"/>
                <w:sz w:val="18"/>
              </w:rPr>
              <w:t>W3</w:t>
            </w:r>
          </w:p>
        </w:tc>
        <w:tc>
          <w:tcPr>
            <w:tcW w:w="309" w:type="dxa"/>
            <w:shd w:val="clear" w:color="auto" w:fill="BFBFBF" w:themeFill="background1" w:themeFillShade="BF"/>
            <w:noWrap/>
            <w:vAlign w:val="center"/>
            <w:hideMark/>
          </w:tcPr>
          <w:p w14:paraId="204F154D" w14:textId="77777777" w:rsidR="007D37FE" w:rsidRPr="00226801" w:rsidRDefault="007D37FE" w:rsidP="00FA30FF">
            <w:pPr>
              <w:pStyle w:val="NoSpacing"/>
              <w:spacing w:line="200" w:lineRule="exact"/>
              <w:jc w:val="center"/>
              <w:rPr>
                <w:rFonts w:eastAsia="Times New Roman" w:cstheme="minorHAnsi"/>
                <w:b/>
                <w:bCs/>
                <w:i w:val="0"/>
                <w:iCs w:val="0"/>
                <w:sz w:val="18"/>
                <w:szCs w:val="18"/>
              </w:rPr>
            </w:pPr>
            <w:r w:rsidRPr="00E00A22">
              <w:rPr>
                <w:rFonts w:cstheme="minorHAnsi"/>
                <w:b/>
                <w:i w:val="0"/>
                <w:sz w:val="18"/>
              </w:rPr>
              <w:t>W4</w:t>
            </w:r>
          </w:p>
        </w:tc>
        <w:tc>
          <w:tcPr>
            <w:tcW w:w="308" w:type="dxa"/>
            <w:shd w:val="clear" w:color="auto" w:fill="BFBFBF" w:themeFill="background1" w:themeFillShade="BF"/>
            <w:noWrap/>
            <w:vAlign w:val="center"/>
            <w:hideMark/>
          </w:tcPr>
          <w:p w14:paraId="14F0F215" w14:textId="77777777" w:rsidR="007D37FE" w:rsidRPr="00226801" w:rsidRDefault="007D37FE" w:rsidP="00FA30FF">
            <w:pPr>
              <w:pStyle w:val="NoSpacing"/>
              <w:spacing w:line="200" w:lineRule="exact"/>
              <w:jc w:val="center"/>
              <w:rPr>
                <w:rFonts w:eastAsia="Times New Roman" w:cstheme="minorHAnsi"/>
                <w:b/>
                <w:bCs/>
                <w:i w:val="0"/>
                <w:iCs w:val="0"/>
                <w:sz w:val="18"/>
                <w:szCs w:val="18"/>
              </w:rPr>
            </w:pPr>
            <w:r w:rsidRPr="00E00A22">
              <w:rPr>
                <w:rFonts w:cstheme="minorHAnsi"/>
                <w:b/>
                <w:i w:val="0"/>
                <w:sz w:val="18"/>
              </w:rPr>
              <w:t>W1</w:t>
            </w:r>
          </w:p>
        </w:tc>
        <w:tc>
          <w:tcPr>
            <w:tcW w:w="308" w:type="dxa"/>
            <w:shd w:val="clear" w:color="auto" w:fill="BFBFBF" w:themeFill="background1" w:themeFillShade="BF"/>
            <w:noWrap/>
            <w:vAlign w:val="center"/>
            <w:hideMark/>
          </w:tcPr>
          <w:p w14:paraId="7A83D190" w14:textId="77777777" w:rsidR="007D37FE" w:rsidRPr="00226801" w:rsidRDefault="007D37FE" w:rsidP="00FA30FF">
            <w:pPr>
              <w:pStyle w:val="NoSpacing"/>
              <w:spacing w:line="200" w:lineRule="exact"/>
              <w:jc w:val="center"/>
              <w:rPr>
                <w:rFonts w:eastAsia="Times New Roman" w:cstheme="minorHAnsi"/>
                <w:b/>
                <w:bCs/>
                <w:i w:val="0"/>
                <w:iCs w:val="0"/>
                <w:sz w:val="18"/>
                <w:szCs w:val="18"/>
              </w:rPr>
            </w:pPr>
            <w:r w:rsidRPr="00E00A22">
              <w:rPr>
                <w:rFonts w:cstheme="minorHAnsi"/>
                <w:b/>
                <w:i w:val="0"/>
                <w:sz w:val="18"/>
              </w:rPr>
              <w:t>W2</w:t>
            </w:r>
          </w:p>
        </w:tc>
        <w:tc>
          <w:tcPr>
            <w:tcW w:w="308" w:type="dxa"/>
            <w:shd w:val="clear" w:color="auto" w:fill="BFBFBF" w:themeFill="background1" w:themeFillShade="BF"/>
            <w:noWrap/>
            <w:vAlign w:val="center"/>
            <w:hideMark/>
          </w:tcPr>
          <w:p w14:paraId="2E0B7B86" w14:textId="77777777" w:rsidR="007D37FE" w:rsidRPr="00226801" w:rsidRDefault="007D37FE" w:rsidP="00FA30FF">
            <w:pPr>
              <w:pStyle w:val="NoSpacing"/>
              <w:spacing w:line="200" w:lineRule="exact"/>
              <w:jc w:val="center"/>
              <w:rPr>
                <w:rFonts w:eastAsia="Times New Roman" w:cstheme="minorHAnsi"/>
                <w:b/>
                <w:bCs/>
                <w:i w:val="0"/>
                <w:iCs w:val="0"/>
                <w:sz w:val="18"/>
                <w:szCs w:val="18"/>
              </w:rPr>
            </w:pPr>
            <w:r w:rsidRPr="00E00A22">
              <w:rPr>
                <w:rFonts w:cstheme="minorHAnsi"/>
                <w:b/>
                <w:i w:val="0"/>
                <w:sz w:val="18"/>
              </w:rPr>
              <w:t>W3</w:t>
            </w:r>
          </w:p>
        </w:tc>
        <w:tc>
          <w:tcPr>
            <w:tcW w:w="309" w:type="dxa"/>
            <w:shd w:val="clear" w:color="auto" w:fill="BFBFBF" w:themeFill="background1" w:themeFillShade="BF"/>
            <w:noWrap/>
            <w:vAlign w:val="center"/>
            <w:hideMark/>
          </w:tcPr>
          <w:p w14:paraId="098E810D" w14:textId="77777777" w:rsidR="007D37FE" w:rsidRPr="00226801" w:rsidRDefault="007D37FE" w:rsidP="00FA30FF">
            <w:pPr>
              <w:pStyle w:val="NoSpacing"/>
              <w:spacing w:line="200" w:lineRule="exact"/>
              <w:jc w:val="center"/>
              <w:rPr>
                <w:rFonts w:eastAsia="Times New Roman" w:cstheme="minorHAnsi"/>
                <w:b/>
                <w:bCs/>
                <w:i w:val="0"/>
                <w:iCs w:val="0"/>
                <w:sz w:val="18"/>
                <w:szCs w:val="18"/>
              </w:rPr>
            </w:pPr>
            <w:r w:rsidRPr="00E00A22">
              <w:rPr>
                <w:rFonts w:cstheme="minorHAnsi"/>
                <w:b/>
                <w:i w:val="0"/>
                <w:sz w:val="18"/>
              </w:rPr>
              <w:t>W4</w:t>
            </w:r>
          </w:p>
        </w:tc>
        <w:tc>
          <w:tcPr>
            <w:tcW w:w="308" w:type="dxa"/>
            <w:shd w:val="clear" w:color="auto" w:fill="BFBFBF" w:themeFill="background1" w:themeFillShade="BF"/>
            <w:noWrap/>
            <w:vAlign w:val="center"/>
            <w:hideMark/>
          </w:tcPr>
          <w:p w14:paraId="3AF97A22" w14:textId="77777777" w:rsidR="007D37FE" w:rsidRPr="00226801" w:rsidRDefault="007D37FE" w:rsidP="00FA30FF">
            <w:pPr>
              <w:pStyle w:val="NoSpacing"/>
              <w:spacing w:line="200" w:lineRule="exact"/>
              <w:jc w:val="center"/>
              <w:rPr>
                <w:rFonts w:eastAsia="Times New Roman" w:cstheme="minorHAnsi"/>
                <w:b/>
                <w:bCs/>
                <w:i w:val="0"/>
                <w:iCs w:val="0"/>
                <w:sz w:val="18"/>
                <w:szCs w:val="18"/>
              </w:rPr>
            </w:pPr>
            <w:r w:rsidRPr="00E00A22">
              <w:rPr>
                <w:rFonts w:cstheme="minorHAnsi"/>
                <w:b/>
                <w:i w:val="0"/>
                <w:sz w:val="18"/>
              </w:rPr>
              <w:t>W1</w:t>
            </w:r>
          </w:p>
        </w:tc>
        <w:tc>
          <w:tcPr>
            <w:tcW w:w="308" w:type="dxa"/>
            <w:shd w:val="clear" w:color="auto" w:fill="BFBFBF" w:themeFill="background1" w:themeFillShade="BF"/>
            <w:noWrap/>
            <w:vAlign w:val="center"/>
            <w:hideMark/>
          </w:tcPr>
          <w:p w14:paraId="0FCF3CDA" w14:textId="77777777" w:rsidR="007D37FE" w:rsidRPr="00226801" w:rsidRDefault="007D37FE" w:rsidP="00FA30FF">
            <w:pPr>
              <w:pStyle w:val="NoSpacing"/>
              <w:spacing w:line="200" w:lineRule="exact"/>
              <w:jc w:val="center"/>
              <w:rPr>
                <w:rFonts w:eastAsia="Times New Roman" w:cstheme="minorHAnsi"/>
                <w:b/>
                <w:bCs/>
                <w:i w:val="0"/>
                <w:iCs w:val="0"/>
                <w:sz w:val="18"/>
                <w:szCs w:val="18"/>
              </w:rPr>
            </w:pPr>
            <w:r w:rsidRPr="00E00A22">
              <w:rPr>
                <w:rFonts w:cstheme="minorHAnsi"/>
                <w:b/>
                <w:i w:val="0"/>
                <w:sz w:val="18"/>
              </w:rPr>
              <w:t>W2</w:t>
            </w:r>
          </w:p>
        </w:tc>
        <w:tc>
          <w:tcPr>
            <w:tcW w:w="308" w:type="dxa"/>
            <w:shd w:val="clear" w:color="auto" w:fill="BFBFBF" w:themeFill="background1" w:themeFillShade="BF"/>
            <w:noWrap/>
            <w:vAlign w:val="center"/>
            <w:hideMark/>
          </w:tcPr>
          <w:p w14:paraId="1C5E2A26" w14:textId="77777777" w:rsidR="007D37FE" w:rsidRPr="00226801" w:rsidRDefault="007D37FE" w:rsidP="00FA30FF">
            <w:pPr>
              <w:pStyle w:val="NoSpacing"/>
              <w:spacing w:line="200" w:lineRule="exact"/>
              <w:jc w:val="center"/>
              <w:rPr>
                <w:rFonts w:eastAsia="Times New Roman" w:cstheme="minorHAnsi"/>
                <w:b/>
                <w:bCs/>
                <w:i w:val="0"/>
                <w:iCs w:val="0"/>
                <w:sz w:val="18"/>
                <w:szCs w:val="18"/>
              </w:rPr>
            </w:pPr>
            <w:r w:rsidRPr="00E00A22">
              <w:rPr>
                <w:rFonts w:cstheme="minorHAnsi"/>
                <w:b/>
                <w:i w:val="0"/>
                <w:sz w:val="18"/>
              </w:rPr>
              <w:t>W3</w:t>
            </w:r>
          </w:p>
        </w:tc>
        <w:tc>
          <w:tcPr>
            <w:tcW w:w="308" w:type="dxa"/>
            <w:shd w:val="clear" w:color="auto" w:fill="BFBFBF" w:themeFill="background1" w:themeFillShade="BF"/>
            <w:noWrap/>
            <w:vAlign w:val="center"/>
            <w:hideMark/>
          </w:tcPr>
          <w:p w14:paraId="6383BB0F" w14:textId="77777777" w:rsidR="007D37FE" w:rsidRPr="00226801" w:rsidRDefault="007D37FE" w:rsidP="00FA30FF">
            <w:pPr>
              <w:pStyle w:val="NoSpacing"/>
              <w:spacing w:line="200" w:lineRule="exact"/>
              <w:jc w:val="center"/>
              <w:rPr>
                <w:rFonts w:eastAsia="Times New Roman" w:cstheme="minorHAnsi"/>
                <w:b/>
                <w:bCs/>
                <w:i w:val="0"/>
                <w:iCs w:val="0"/>
                <w:sz w:val="18"/>
                <w:szCs w:val="18"/>
              </w:rPr>
            </w:pPr>
            <w:r w:rsidRPr="00E00A22">
              <w:rPr>
                <w:rFonts w:cstheme="minorHAnsi"/>
                <w:b/>
                <w:i w:val="0"/>
                <w:sz w:val="18"/>
              </w:rPr>
              <w:t>W4</w:t>
            </w:r>
          </w:p>
        </w:tc>
        <w:tc>
          <w:tcPr>
            <w:tcW w:w="308" w:type="dxa"/>
            <w:shd w:val="clear" w:color="auto" w:fill="BFBFBF" w:themeFill="background1" w:themeFillShade="BF"/>
            <w:noWrap/>
            <w:vAlign w:val="center"/>
            <w:hideMark/>
          </w:tcPr>
          <w:p w14:paraId="4FAC24AF" w14:textId="77777777" w:rsidR="007D37FE" w:rsidRPr="00226801" w:rsidRDefault="007D37FE" w:rsidP="00FA30FF">
            <w:pPr>
              <w:pStyle w:val="NoSpacing"/>
              <w:spacing w:line="200" w:lineRule="exact"/>
              <w:jc w:val="center"/>
              <w:rPr>
                <w:rFonts w:eastAsia="Times New Roman" w:cstheme="minorHAnsi"/>
                <w:b/>
                <w:bCs/>
                <w:i w:val="0"/>
                <w:iCs w:val="0"/>
                <w:sz w:val="18"/>
                <w:szCs w:val="18"/>
              </w:rPr>
            </w:pPr>
            <w:r w:rsidRPr="00E00A22">
              <w:rPr>
                <w:rFonts w:cstheme="minorHAnsi"/>
                <w:b/>
                <w:i w:val="0"/>
                <w:sz w:val="18"/>
              </w:rPr>
              <w:t>W5</w:t>
            </w:r>
          </w:p>
        </w:tc>
      </w:tr>
      <w:tr w:rsidR="0083515B" w:rsidRPr="00226801" w14:paraId="79FBF1E4" w14:textId="77777777" w:rsidTr="00341649">
        <w:trPr>
          <w:trHeight w:val="18"/>
        </w:trPr>
        <w:tc>
          <w:tcPr>
            <w:tcW w:w="9122" w:type="dxa"/>
            <w:gridSpan w:val="16"/>
            <w:shd w:val="clear" w:color="auto" w:fill="D9D9D9" w:themeFill="background1" w:themeFillShade="D9"/>
            <w:noWrap/>
            <w:vAlign w:val="center"/>
            <w:hideMark/>
          </w:tcPr>
          <w:p w14:paraId="497A7589" w14:textId="77777777" w:rsidR="0083515B" w:rsidRPr="00226801" w:rsidRDefault="0083515B" w:rsidP="00FA30FF">
            <w:pPr>
              <w:pStyle w:val="NoSpacing"/>
              <w:spacing w:line="200" w:lineRule="exact"/>
              <w:rPr>
                <w:rFonts w:eastAsia="Times New Roman" w:cstheme="minorHAnsi"/>
                <w:b/>
                <w:bCs/>
                <w:i w:val="0"/>
                <w:iCs w:val="0"/>
                <w:sz w:val="18"/>
                <w:szCs w:val="18"/>
              </w:rPr>
            </w:pPr>
            <w:r w:rsidRPr="005304F3">
              <w:rPr>
                <w:rFonts w:cstheme="minorHAnsi"/>
                <w:b/>
                <w:i w:val="0"/>
                <w:sz w:val="18"/>
              </w:rPr>
              <w:t>Information and capacity building of the personnel in charge of immunisation</w:t>
            </w:r>
          </w:p>
        </w:tc>
      </w:tr>
      <w:tr w:rsidR="00341649" w:rsidRPr="00226801" w14:paraId="2F390C3E" w14:textId="77777777" w:rsidTr="009C2448">
        <w:trPr>
          <w:gridAfter w:val="1"/>
          <w:wAfter w:w="11" w:type="dxa"/>
          <w:trHeight w:val="18"/>
        </w:trPr>
        <w:tc>
          <w:tcPr>
            <w:tcW w:w="4156" w:type="dxa"/>
            <w:shd w:val="clear" w:color="auto" w:fill="auto"/>
            <w:vAlign w:val="center"/>
            <w:hideMark/>
          </w:tcPr>
          <w:p w14:paraId="517BB1F6" w14:textId="77777777" w:rsidR="0083515B" w:rsidRPr="00226801" w:rsidRDefault="00A91CDC" w:rsidP="00341649">
            <w:pPr>
              <w:pStyle w:val="NoSpacing"/>
              <w:spacing w:line="200" w:lineRule="exact"/>
              <w:rPr>
                <w:rFonts w:eastAsia="Times New Roman" w:cstheme="minorHAnsi"/>
                <w:sz w:val="18"/>
                <w:szCs w:val="18"/>
              </w:rPr>
            </w:pPr>
            <w:r w:rsidRPr="005304F3">
              <w:rPr>
                <w:rFonts w:cstheme="minorHAnsi"/>
                <w:sz w:val="18"/>
              </w:rPr>
              <w:t xml:space="preserve">Updating of training modules, </w:t>
            </w:r>
            <w:r w:rsidR="00661A11" w:rsidRPr="00E00A22">
              <w:rPr>
                <w:rFonts w:cstheme="minorHAnsi"/>
                <w:sz w:val="18"/>
              </w:rPr>
              <w:t>tools,</w:t>
            </w:r>
            <w:r w:rsidRPr="00E00A22">
              <w:rPr>
                <w:rFonts w:cstheme="minorHAnsi"/>
                <w:sz w:val="18"/>
              </w:rPr>
              <w:t xml:space="preserve"> and communication materials</w:t>
            </w:r>
          </w:p>
        </w:tc>
        <w:tc>
          <w:tcPr>
            <w:tcW w:w="949" w:type="dxa"/>
            <w:shd w:val="clear" w:color="auto" w:fill="auto"/>
            <w:noWrap/>
            <w:vAlign w:val="center"/>
          </w:tcPr>
          <w:p w14:paraId="11670735" w14:textId="77777777" w:rsidR="0083515B" w:rsidRPr="00226801" w:rsidRDefault="0083515B" w:rsidP="00FA30FF">
            <w:pPr>
              <w:pStyle w:val="NoSpacing"/>
              <w:spacing w:line="200" w:lineRule="exact"/>
              <w:rPr>
                <w:rFonts w:eastAsia="Times New Roman" w:cstheme="minorHAnsi"/>
                <w:sz w:val="18"/>
                <w:szCs w:val="18"/>
                <w:lang w:eastAsia="fr-FR"/>
              </w:rPr>
            </w:pPr>
          </w:p>
        </w:tc>
        <w:tc>
          <w:tcPr>
            <w:tcW w:w="308" w:type="dxa"/>
            <w:shd w:val="clear" w:color="auto" w:fill="auto"/>
            <w:noWrap/>
            <w:vAlign w:val="center"/>
            <w:hideMark/>
          </w:tcPr>
          <w:p w14:paraId="388C31C1"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755D871C"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201540C0"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9" w:type="dxa"/>
            <w:shd w:val="clear" w:color="auto" w:fill="auto"/>
            <w:noWrap/>
            <w:vAlign w:val="center"/>
            <w:hideMark/>
          </w:tcPr>
          <w:p w14:paraId="6A61B7BA"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41D23A54"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002060"/>
            <w:noWrap/>
            <w:vAlign w:val="center"/>
            <w:hideMark/>
          </w:tcPr>
          <w:p w14:paraId="3914879A"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63A2E5AD"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9" w:type="dxa"/>
            <w:shd w:val="clear" w:color="auto" w:fill="auto"/>
            <w:noWrap/>
            <w:vAlign w:val="center"/>
            <w:hideMark/>
          </w:tcPr>
          <w:p w14:paraId="7B5209AB"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1549CD93"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4B603BF8"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45E98271"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2A3E11BA"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2A3ADCE5"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r>
      <w:tr w:rsidR="00341649" w:rsidRPr="00226801" w14:paraId="4775A4DB" w14:textId="77777777" w:rsidTr="009C2448">
        <w:trPr>
          <w:gridAfter w:val="1"/>
          <w:wAfter w:w="11" w:type="dxa"/>
          <w:trHeight w:val="18"/>
        </w:trPr>
        <w:tc>
          <w:tcPr>
            <w:tcW w:w="4156" w:type="dxa"/>
            <w:shd w:val="clear" w:color="auto" w:fill="auto"/>
            <w:vAlign w:val="center"/>
            <w:hideMark/>
          </w:tcPr>
          <w:p w14:paraId="3A977234" w14:textId="77777777" w:rsidR="0083515B" w:rsidRPr="00226801" w:rsidRDefault="0083515B" w:rsidP="00341649">
            <w:pPr>
              <w:pStyle w:val="NoSpacing"/>
              <w:spacing w:line="200" w:lineRule="exact"/>
              <w:rPr>
                <w:rFonts w:eastAsia="Times New Roman" w:cstheme="minorHAnsi"/>
                <w:sz w:val="18"/>
                <w:szCs w:val="18"/>
              </w:rPr>
            </w:pPr>
            <w:r w:rsidRPr="005304F3">
              <w:rPr>
                <w:rFonts w:cstheme="minorHAnsi"/>
                <w:sz w:val="18"/>
              </w:rPr>
              <w:t> Briefing for national supervisors</w:t>
            </w:r>
          </w:p>
        </w:tc>
        <w:tc>
          <w:tcPr>
            <w:tcW w:w="949" w:type="dxa"/>
            <w:shd w:val="clear" w:color="auto" w:fill="auto"/>
            <w:noWrap/>
            <w:vAlign w:val="center"/>
          </w:tcPr>
          <w:p w14:paraId="5F04F9E6" w14:textId="77777777" w:rsidR="0083515B" w:rsidRPr="00226801" w:rsidRDefault="0083515B" w:rsidP="00FA30FF">
            <w:pPr>
              <w:pStyle w:val="NoSpacing"/>
              <w:spacing w:line="200" w:lineRule="exact"/>
              <w:rPr>
                <w:rFonts w:eastAsia="Times New Roman" w:cstheme="minorHAnsi"/>
                <w:sz w:val="18"/>
                <w:szCs w:val="18"/>
                <w:lang w:eastAsia="fr-FR"/>
              </w:rPr>
            </w:pPr>
          </w:p>
        </w:tc>
        <w:tc>
          <w:tcPr>
            <w:tcW w:w="308" w:type="dxa"/>
            <w:shd w:val="clear" w:color="auto" w:fill="auto"/>
            <w:noWrap/>
            <w:vAlign w:val="center"/>
            <w:hideMark/>
          </w:tcPr>
          <w:p w14:paraId="5CF3D18E"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10BB2F19"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780A84E1"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9" w:type="dxa"/>
            <w:shd w:val="clear" w:color="auto" w:fill="auto"/>
            <w:noWrap/>
            <w:vAlign w:val="center"/>
            <w:hideMark/>
          </w:tcPr>
          <w:p w14:paraId="4698B1C9"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6AE94435"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11EA9D71"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70A6B903"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9" w:type="dxa"/>
            <w:shd w:val="clear" w:color="auto" w:fill="002060"/>
            <w:noWrap/>
            <w:vAlign w:val="center"/>
            <w:hideMark/>
          </w:tcPr>
          <w:p w14:paraId="47149470"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FFFFFF" w:themeFill="background1"/>
            <w:noWrap/>
            <w:vAlign w:val="center"/>
            <w:hideMark/>
          </w:tcPr>
          <w:p w14:paraId="7B8F5956"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4563317A"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096DEB44"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58E7504A"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3D0016C0"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r>
      <w:tr w:rsidR="00341649" w:rsidRPr="00226801" w14:paraId="5FBB8053" w14:textId="77777777" w:rsidTr="009C2448">
        <w:trPr>
          <w:gridAfter w:val="1"/>
          <w:wAfter w:w="11" w:type="dxa"/>
          <w:trHeight w:val="18"/>
        </w:trPr>
        <w:tc>
          <w:tcPr>
            <w:tcW w:w="4156" w:type="dxa"/>
            <w:shd w:val="clear" w:color="auto" w:fill="auto"/>
            <w:vAlign w:val="center"/>
            <w:hideMark/>
          </w:tcPr>
          <w:p w14:paraId="07424EFD" w14:textId="77777777" w:rsidR="0083515B" w:rsidRPr="00226801" w:rsidRDefault="0083515B" w:rsidP="00341649">
            <w:pPr>
              <w:pStyle w:val="NoSpacing"/>
              <w:spacing w:line="200" w:lineRule="exact"/>
              <w:rPr>
                <w:rFonts w:eastAsia="Times New Roman" w:cstheme="minorHAnsi"/>
                <w:sz w:val="18"/>
                <w:szCs w:val="18"/>
              </w:rPr>
            </w:pPr>
            <w:r w:rsidRPr="005304F3">
              <w:rPr>
                <w:rFonts w:cstheme="minorHAnsi"/>
                <w:sz w:val="18"/>
              </w:rPr>
              <w:t> Briefing for HD management teams</w:t>
            </w:r>
          </w:p>
        </w:tc>
        <w:tc>
          <w:tcPr>
            <w:tcW w:w="949" w:type="dxa"/>
            <w:shd w:val="clear" w:color="auto" w:fill="auto"/>
            <w:noWrap/>
            <w:vAlign w:val="center"/>
          </w:tcPr>
          <w:p w14:paraId="15DCE2D4" w14:textId="77777777" w:rsidR="0083515B" w:rsidRPr="00226801" w:rsidRDefault="0083515B" w:rsidP="00FA30FF">
            <w:pPr>
              <w:pStyle w:val="NoSpacing"/>
              <w:spacing w:line="200" w:lineRule="exact"/>
              <w:rPr>
                <w:rFonts w:eastAsia="Times New Roman" w:cstheme="minorHAnsi"/>
                <w:sz w:val="18"/>
                <w:szCs w:val="18"/>
                <w:lang w:eastAsia="fr-FR"/>
              </w:rPr>
            </w:pPr>
          </w:p>
        </w:tc>
        <w:tc>
          <w:tcPr>
            <w:tcW w:w="308" w:type="dxa"/>
            <w:shd w:val="clear" w:color="auto" w:fill="auto"/>
            <w:noWrap/>
            <w:vAlign w:val="center"/>
            <w:hideMark/>
          </w:tcPr>
          <w:p w14:paraId="55F6AB37"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731352C4"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475B17B9"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9" w:type="dxa"/>
            <w:shd w:val="clear" w:color="auto" w:fill="auto"/>
            <w:noWrap/>
            <w:vAlign w:val="center"/>
            <w:hideMark/>
          </w:tcPr>
          <w:p w14:paraId="0CA9EB0D"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6DAB1934"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57F2C4AB"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176FB9CD"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9" w:type="dxa"/>
            <w:shd w:val="clear" w:color="auto" w:fill="auto"/>
            <w:noWrap/>
            <w:vAlign w:val="center"/>
            <w:hideMark/>
          </w:tcPr>
          <w:p w14:paraId="3437B39B"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002060"/>
            <w:noWrap/>
            <w:vAlign w:val="center"/>
            <w:hideMark/>
          </w:tcPr>
          <w:p w14:paraId="57F21BBF"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7E1F5170"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12843AD7"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75D1F509"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12B25D8C"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r>
      <w:tr w:rsidR="00341649" w:rsidRPr="00226801" w14:paraId="12ED92EB" w14:textId="77777777" w:rsidTr="009C2448">
        <w:trPr>
          <w:gridAfter w:val="1"/>
          <w:wAfter w:w="11" w:type="dxa"/>
          <w:trHeight w:val="18"/>
        </w:trPr>
        <w:tc>
          <w:tcPr>
            <w:tcW w:w="4156" w:type="dxa"/>
            <w:shd w:val="clear" w:color="auto" w:fill="auto"/>
            <w:vAlign w:val="center"/>
            <w:hideMark/>
          </w:tcPr>
          <w:p w14:paraId="3736E065" w14:textId="77777777" w:rsidR="0083515B" w:rsidRPr="00226801" w:rsidRDefault="0083515B" w:rsidP="00341649">
            <w:pPr>
              <w:pStyle w:val="NoSpacing"/>
              <w:spacing w:line="200" w:lineRule="exact"/>
              <w:rPr>
                <w:rFonts w:eastAsia="Times New Roman" w:cstheme="minorHAnsi"/>
                <w:sz w:val="18"/>
                <w:szCs w:val="18"/>
              </w:rPr>
            </w:pPr>
            <w:r w:rsidRPr="005304F3">
              <w:rPr>
                <w:rFonts w:cstheme="minorHAnsi"/>
                <w:sz w:val="18"/>
              </w:rPr>
              <w:t xml:space="preserve"> Briefing for health centre </w:t>
            </w:r>
            <w:r w:rsidRPr="00E00A22">
              <w:rPr>
                <w:rFonts w:cstheme="minorHAnsi"/>
                <w:sz w:val="18"/>
              </w:rPr>
              <w:t>managers</w:t>
            </w:r>
          </w:p>
        </w:tc>
        <w:tc>
          <w:tcPr>
            <w:tcW w:w="949" w:type="dxa"/>
            <w:shd w:val="clear" w:color="auto" w:fill="auto"/>
            <w:noWrap/>
            <w:vAlign w:val="center"/>
          </w:tcPr>
          <w:p w14:paraId="4F4B6047" w14:textId="77777777" w:rsidR="0083515B" w:rsidRPr="00226801" w:rsidRDefault="0083515B" w:rsidP="00FA30FF">
            <w:pPr>
              <w:pStyle w:val="NoSpacing"/>
              <w:spacing w:line="200" w:lineRule="exact"/>
              <w:rPr>
                <w:rFonts w:eastAsia="Times New Roman" w:cstheme="minorHAnsi"/>
                <w:sz w:val="18"/>
                <w:szCs w:val="18"/>
                <w:lang w:eastAsia="fr-FR"/>
              </w:rPr>
            </w:pPr>
          </w:p>
        </w:tc>
        <w:tc>
          <w:tcPr>
            <w:tcW w:w="308" w:type="dxa"/>
            <w:shd w:val="clear" w:color="auto" w:fill="auto"/>
            <w:noWrap/>
            <w:vAlign w:val="center"/>
            <w:hideMark/>
          </w:tcPr>
          <w:p w14:paraId="19B9589D"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76894A2F"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0BEFF466"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9" w:type="dxa"/>
            <w:shd w:val="clear" w:color="auto" w:fill="auto"/>
            <w:noWrap/>
            <w:vAlign w:val="center"/>
            <w:hideMark/>
          </w:tcPr>
          <w:p w14:paraId="0F7FA255"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2E834FFA"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7E9FED07"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5855231F"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9" w:type="dxa"/>
            <w:shd w:val="clear" w:color="auto" w:fill="auto"/>
            <w:noWrap/>
            <w:vAlign w:val="center"/>
            <w:hideMark/>
          </w:tcPr>
          <w:p w14:paraId="55314696"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002060"/>
            <w:noWrap/>
            <w:vAlign w:val="center"/>
            <w:hideMark/>
          </w:tcPr>
          <w:p w14:paraId="5E6DB8AA"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3252393C"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176A86B8"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6CBF051A"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7733A27D"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r>
      <w:tr w:rsidR="0083515B" w:rsidRPr="00226801" w14:paraId="4912E9F3" w14:textId="77777777" w:rsidTr="00341649">
        <w:trPr>
          <w:trHeight w:val="18"/>
        </w:trPr>
        <w:tc>
          <w:tcPr>
            <w:tcW w:w="9122" w:type="dxa"/>
            <w:gridSpan w:val="16"/>
            <w:shd w:val="clear" w:color="auto" w:fill="D9D9D9" w:themeFill="background1" w:themeFillShade="D9"/>
            <w:noWrap/>
            <w:vAlign w:val="center"/>
            <w:hideMark/>
          </w:tcPr>
          <w:p w14:paraId="3F29FE70" w14:textId="77777777" w:rsidR="0083515B" w:rsidRPr="00226801" w:rsidRDefault="0083515B" w:rsidP="00341649">
            <w:pPr>
              <w:pStyle w:val="NoSpacing"/>
              <w:spacing w:line="200" w:lineRule="exact"/>
              <w:rPr>
                <w:rFonts w:eastAsia="Times New Roman" w:cstheme="minorHAnsi"/>
                <w:b/>
                <w:bCs/>
                <w:i w:val="0"/>
                <w:iCs w:val="0"/>
                <w:sz w:val="18"/>
                <w:szCs w:val="18"/>
              </w:rPr>
            </w:pPr>
            <w:r w:rsidRPr="005304F3">
              <w:rPr>
                <w:rFonts w:cstheme="minorHAnsi"/>
                <w:b/>
                <w:i w:val="0"/>
                <w:sz w:val="18"/>
              </w:rPr>
              <w:t> Target community and child guardian information</w:t>
            </w:r>
          </w:p>
        </w:tc>
      </w:tr>
      <w:tr w:rsidR="00341649" w:rsidRPr="00226801" w14:paraId="381F95D5" w14:textId="77777777" w:rsidTr="009C2448">
        <w:trPr>
          <w:gridAfter w:val="1"/>
          <w:wAfter w:w="11" w:type="dxa"/>
          <w:trHeight w:val="18"/>
        </w:trPr>
        <w:tc>
          <w:tcPr>
            <w:tcW w:w="4156" w:type="dxa"/>
            <w:shd w:val="clear" w:color="auto" w:fill="auto"/>
            <w:vAlign w:val="center"/>
            <w:hideMark/>
          </w:tcPr>
          <w:p w14:paraId="75A5F241" w14:textId="77777777" w:rsidR="0083515B" w:rsidRPr="00226801" w:rsidRDefault="0083515B" w:rsidP="00341649">
            <w:pPr>
              <w:pStyle w:val="NoSpacing"/>
              <w:spacing w:line="200" w:lineRule="exact"/>
              <w:rPr>
                <w:rFonts w:eastAsia="Times New Roman" w:cstheme="minorHAnsi"/>
                <w:sz w:val="18"/>
                <w:szCs w:val="18"/>
              </w:rPr>
            </w:pPr>
            <w:r w:rsidRPr="005304F3">
              <w:rPr>
                <w:rFonts w:cstheme="minorHAnsi"/>
                <w:sz w:val="18"/>
              </w:rPr>
              <w:t> Production of communication guides,</w:t>
            </w:r>
            <w:r w:rsidR="00D53734" w:rsidRPr="00E00A22">
              <w:rPr>
                <w:rFonts w:cstheme="minorHAnsi"/>
                <w:sz w:val="18"/>
              </w:rPr>
              <w:t xml:space="preserve"> </w:t>
            </w:r>
            <w:proofErr w:type="gramStart"/>
            <w:r w:rsidRPr="00E00A22">
              <w:rPr>
                <w:rFonts w:cstheme="minorHAnsi"/>
                <w:sz w:val="18"/>
              </w:rPr>
              <w:t>posters</w:t>
            </w:r>
            <w:proofErr w:type="gramEnd"/>
            <w:r w:rsidRPr="00E00A22">
              <w:rPr>
                <w:rFonts w:cstheme="minorHAnsi"/>
                <w:sz w:val="18"/>
              </w:rPr>
              <w:t xml:space="preserve"> and materials</w:t>
            </w:r>
          </w:p>
        </w:tc>
        <w:tc>
          <w:tcPr>
            <w:tcW w:w="949" w:type="dxa"/>
            <w:shd w:val="clear" w:color="auto" w:fill="auto"/>
            <w:noWrap/>
            <w:vAlign w:val="center"/>
          </w:tcPr>
          <w:p w14:paraId="7A4BA5CA" w14:textId="77777777" w:rsidR="0083515B" w:rsidRPr="00226801" w:rsidRDefault="0083515B" w:rsidP="00FA30FF">
            <w:pPr>
              <w:pStyle w:val="NoSpacing"/>
              <w:spacing w:line="200" w:lineRule="exact"/>
              <w:rPr>
                <w:rFonts w:eastAsia="Times New Roman" w:cstheme="minorHAnsi"/>
                <w:sz w:val="18"/>
                <w:szCs w:val="18"/>
                <w:lang w:eastAsia="fr-FR"/>
              </w:rPr>
            </w:pPr>
          </w:p>
        </w:tc>
        <w:tc>
          <w:tcPr>
            <w:tcW w:w="308" w:type="dxa"/>
            <w:shd w:val="clear" w:color="auto" w:fill="auto"/>
            <w:noWrap/>
            <w:vAlign w:val="center"/>
            <w:hideMark/>
          </w:tcPr>
          <w:p w14:paraId="43243217"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5EA271FF"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18FC3515"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9" w:type="dxa"/>
            <w:shd w:val="clear" w:color="auto" w:fill="auto"/>
            <w:noWrap/>
            <w:vAlign w:val="center"/>
            <w:hideMark/>
          </w:tcPr>
          <w:p w14:paraId="1E8D1A42"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26350F39"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5C95CEDA"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002060"/>
            <w:noWrap/>
            <w:vAlign w:val="center"/>
            <w:hideMark/>
          </w:tcPr>
          <w:p w14:paraId="7A2D7688"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9" w:type="dxa"/>
            <w:shd w:val="clear" w:color="auto" w:fill="auto"/>
            <w:noWrap/>
            <w:vAlign w:val="center"/>
            <w:hideMark/>
          </w:tcPr>
          <w:p w14:paraId="3D292A7B"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6F4F79E3"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5703E510"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4B776A5B"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3F381334"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65458C2D"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r>
      <w:tr w:rsidR="00341649" w:rsidRPr="00226801" w14:paraId="33C71137" w14:textId="77777777" w:rsidTr="009C2448">
        <w:trPr>
          <w:gridAfter w:val="1"/>
          <w:wAfter w:w="11" w:type="dxa"/>
          <w:trHeight w:val="18"/>
        </w:trPr>
        <w:tc>
          <w:tcPr>
            <w:tcW w:w="4156" w:type="dxa"/>
            <w:shd w:val="clear" w:color="auto" w:fill="auto"/>
            <w:vAlign w:val="center"/>
            <w:hideMark/>
          </w:tcPr>
          <w:p w14:paraId="2EC3CD0B" w14:textId="77777777" w:rsidR="0083515B" w:rsidRPr="00226801" w:rsidRDefault="0083515B" w:rsidP="00341649">
            <w:pPr>
              <w:pStyle w:val="NoSpacing"/>
              <w:spacing w:line="200" w:lineRule="exact"/>
              <w:rPr>
                <w:rFonts w:eastAsia="Times New Roman" w:cstheme="minorHAnsi"/>
                <w:sz w:val="18"/>
                <w:szCs w:val="18"/>
              </w:rPr>
            </w:pPr>
            <w:r w:rsidRPr="005304F3">
              <w:rPr>
                <w:rFonts w:cstheme="minorHAnsi"/>
                <w:sz w:val="18"/>
              </w:rPr>
              <w:t xml:space="preserve">  Distribution of communications materials in health facilities and the </w:t>
            </w:r>
            <w:r w:rsidRPr="00E00A22">
              <w:rPr>
                <w:rFonts w:cstheme="minorHAnsi"/>
                <w:sz w:val="18"/>
              </w:rPr>
              <w:t>community</w:t>
            </w:r>
          </w:p>
        </w:tc>
        <w:tc>
          <w:tcPr>
            <w:tcW w:w="949" w:type="dxa"/>
            <w:shd w:val="clear" w:color="auto" w:fill="auto"/>
            <w:noWrap/>
            <w:vAlign w:val="center"/>
          </w:tcPr>
          <w:p w14:paraId="289DEF79" w14:textId="77777777" w:rsidR="0083515B" w:rsidRPr="00226801" w:rsidRDefault="0083515B" w:rsidP="00FA30FF">
            <w:pPr>
              <w:pStyle w:val="NoSpacing"/>
              <w:spacing w:line="200" w:lineRule="exact"/>
              <w:rPr>
                <w:rFonts w:eastAsia="Times New Roman" w:cstheme="minorHAnsi"/>
                <w:sz w:val="18"/>
                <w:szCs w:val="18"/>
                <w:lang w:eastAsia="fr-FR"/>
              </w:rPr>
            </w:pPr>
          </w:p>
        </w:tc>
        <w:tc>
          <w:tcPr>
            <w:tcW w:w="308" w:type="dxa"/>
            <w:shd w:val="clear" w:color="auto" w:fill="auto"/>
            <w:noWrap/>
            <w:vAlign w:val="center"/>
            <w:hideMark/>
          </w:tcPr>
          <w:p w14:paraId="4DF8AB94"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57DB3690"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0FC91E70"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9" w:type="dxa"/>
            <w:shd w:val="clear" w:color="auto" w:fill="auto"/>
            <w:noWrap/>
            <w:vAlign w:val="center"/>
            <w:hideMark/>
          </w:tcPr>
          <w:p w14:paraId="31A16649"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17DDCFD2"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337A61D7"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79083192"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9" w:type="dxa"/>
            <w:shd w:val="clear" w:color="auto" w:fill="auto"/>
            <w:noWrap/>
            <w:vAlign w:val="center"/>
            <w:hideMark/>
          </w:tcPr>
          <w:p w14:paraId="4A629E48"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445F0DE4"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002060"/>
            <w:noWrap/>
            <w:vAlign w:val="center"/>
            <w:hideMark/>
          </w:tcPr>
          <w:p w14:paraId="0DA4C696"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05632B68"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4884F020"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2EFCD012"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r>
      <w:tr w:rsidR="00341649" w:rsidRPr="00226801" w14:paraId="36301BE7" w14:textId="77777777" w:rsidTr="009C2448">
        <w:trPr>
          <w:gridAfter w:val="1"/>
          <w:wAfter w:w="11" w:type="dxa"/>
          <w:trHeight w:val="18"/>
        </w:trPr>
        <w:tc>
          <w:tcPr>
            <w:tcW w:w="4156" w:type="dxa"/>
            <w:shd w:val="clear" w:color="auto" w:fill="auto"/>
            <w:vAlign w:val="center"/>
            <w:hideMark/>
          </w:tcPr>
          <w:p w14:paraId="76EC3A2D" w14:textId="77777777" w:rsidR="0083515B" w:rsidRPr="00226801" w:rsidRDefault="0083515B" w:rsidP="00341649">
            <w:pPr>
              <w:pStyle w:val="NoSpacing"/>
              <w:spacing w:line="200" w:lineRule="exact"/>
              <w:rPr>
                <w:rFonts w:eastAsia="Times New Roman" w:cstheme="minorHAnsi"/>
                <w:sz w:val="18"/>
                <w:szCs w:val="18"/>
              </w:rPr>
            </w:pPr>
            <w:r w:rsidRPr="005304F3">
              <w:rPr>
                <w:rFonts w:cstheme="minorHAnsi"/>
                <w:sz w:val="18"/>
              </w:rPr>
              <w:t> Digital communication campaign on the new immunisation schedule</w:t>
            </w:r>
          </w:p>
        </w:tc>
        <w:tc>
          <w:tcPr>
            <w:tcW w:w="949" w:type="dxa"/>
            <w:shd w:val="clear" w:color="auto" w:fill="auto"/>
            <w:noWrap/>
            <w:vAlign w:val="center"/>
          </w:tcPr>
          <w:p w14:paraId="5F80D053" w14:textId="77777777" w:rsidR="0083515B" w:rsidRPr="00226801" w:rsidRDefault="0083515B" w:rsidP="00FA30FF">
            <w:pPr>
              <w:pStyle w:val="NoSpacing"/>
              <w:spacing w:line="200" w:lineRule="exact"/>
              <w:rPr>
                <w:rFonts w:eastAsia="Times New Roman" w:cstheme="minorHAnsi"/>
                <w:sz w:val="18"/>
                <w:szCs w:val="18"/>
                <w:lang w:eastAsia="fr-FR"/>
              </w:rPr>
            </w:pPr>
          </w:p>
        </w:tc>
        <w:tc>
          <w:tcPr>
            <w:tcW w:w="308" w:type="dxa"/>
            <w:shd w:val="clear" w:color="auto" w:fill="auto"/>
            <w:noWrap/>
            <w:vAlign w:val="center"/>
            <w:hideMark/>
          </w:tcPr>
          <w:p w14:paraId="6BC4E348"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7B5026E8"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4CF185E5"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9" w:type="dxa"/>
            <w:shd w:val="clear" w:color="auto" w:fill="auto"/>
            <w:noWrap/>
            <w:vAlign w:val="center"/>
            <w:hideMark/>
          </w:tcPr>
          <w:p w14:paraId="68AA8685"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70F77E78"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61BBBFD9"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7ABBC437"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9" w:type="dxa"/>
            <w:shd w:val="clear" w:color="auto" w:fill="auto"/>
            <w:noWrap/>
            <w:vAlign w:val="center"/>
            <w:hideMark/>
          </w:tcPr>
          <w:p w14:paraId="106370C3"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51E9A934"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0C0D0ADB"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002060"/>
            <w:noWrap/>
            <w:vAlign w:val="center"/>
            <w:hideMark/>
          </w:tcPr>
          <w:p w14:paraId="6B663AAA"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4BE5740F"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3CA2374B"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r>
      <w:tr w:rsidR="0083515B" w:rsidRPr="00226801" w14:paraId="395F2DD3" w14:textId="77777777" w:rsidTr="00341649">
        <w:trPr>
          <w:trHeight w:val="18"/>
        </w:trPr>
        <w:tc>
          <w:tcPr>
            <w:tcW w:w="9122" w:type="dxa"/>
            <w:gridSpan w:val="16"/>
            <w:shd w:val="clear" w:color="auto" w:fill="D9D9D9" w:themeFill="background1" w:themeFillShade="D9"/>
            <w:noWrap/>
            <w:vAlign w:val="center"/>
            <w:hideMark/>
          </w:tcPr>
          <w:p w14:paraId="6EAB36B8" w14:textId="77777777" w:rsidR="0083515B" w:rsidRPr="00226801" w:rsidRDefault="0083515B" w:rsidP="00341649">
            <w:pPr>
              <w:pStyle w:val="NoSpacing"/>
              <w:spacing w:line="200" w:lineRule="exact"/>
              <w:rPr>
                <w:rFonts w:eastAsia="Times New Roman" w:cstheme="minorHAnsi"/>
                <w:b/>
                <w:bCs/>
                <w:i w:val="0"/>
                <w:iCs w:val="0"/>
                <w:sz w:val="18"/>
                <w:szCs w:val="18"/>
              </w:rPr>
            </w:pPr>
            <w:r w:rsidRPr="005304F3">
              <w:rPr>
                <w:rFonts w:cstheme="minorHAnsi"/>
                <w:b/>
                <w:i w:val="0"/>
                <w:sz w:val="18"/>
              </w:rPr>
              <w:t xml:space="preserve">Vaccine supply and stock management </w:t>
            </w:r>
          </w:p>
        </w:tc>
      </w:tr>
      <w:tr w:rsidR="00341649" w:rsidRPr="00226801" w14:paraId="2C426B57" w14:textId="77777777" w:rsidTr="009C2448">
        <w:trPr>
          <w:gridAfter w:val="1"/>
          <w:wAfter w:w="11" w:type="dxa"/>
          <w:trHeight w:val="18"/>
        </w:trPr>
        <w:tc>
          <w:tcPr>
            <w:tcW w:w="4156" w:type="dxa"/>
            <w:shd w:val="clear" w:color="auto" w:fill="auto"/>
            <w:vAlign w:val="center"/>
            <w:hideMark/>
          </w:tcPr>
          <w:p w14:paraId="136DD098" w14:textId="77777777" w:rsidR="0083515B" w:rsidRPr="00226801" w:rsidRDefault="0083515B" w:rsidP="00341649">
            <w:pPr>
              <w:pStyle w:val="NoSpacing"/>
              <w:spacing w:line="200" w:lineRule="exact"/>
              <w:rPr>
                <w:rFonts w:eastAsia="Times New Roman" w:cstheme="minorHAnsi"/>
                <w:sz w:val="18"/>
                <w:szCs w:val="18"/>
              </w:rPr>
            </w:pPr>
            <w:r w:rsidRPr="005304F3">
              <w:rPr>
                <w:rFonts w:cstheme="minorHAnsi"/>
                <w:sz w:val="18"/>
              </w:rPr>
              <w:t> Regional warehouse delivery</w:t>
            </w:r>
          </w:p>
        </w:tc>
        <w:tc>
          <w:tcPr>
            <w:tcW w:w="949" w:type="dxa"/>
            <w:shd w:val="clear" w:color="auto" w:fill="auto"/>
            <w:noWrap/>
            <w:vAlign w:val="center"/>
          </w:tcPr>
          <w:p w14:paraId="76E821FF" w14:textId="77777777" w:rsidR="0083515B" w:rsidRPr="00226801" w:rsidRDefault="0083515B" w:rsidP="00FA30FF">
            <w:pPr>
              <w:pStyle w:val="NoSpacing"/>
              <w:spacing w:line="200" w:lineRule="exact"/>
              <w:rPr>
                <w:rFonts w:eastAsia="Times New Roman" w:cstheme="minorHAnsi"/>
                <w:sz w:val="18"/>
                <w:szCs w:val="18"/>
                <w:lang w:eastAsia="fr-FR"/>
              </w:rPr>
            </w:pPr>
          </w:p>
        </w:tc>
        <w:tc>
          <w:tcPr>
            <w:tcW w:w="308" w:type="dxa"/>
            <w:shd w:val="clear" w:color="auto" w:fill="auto"/>
            <w:noWrap/>
            <w:vAlign w:val="center"/>
            <w:hideMark/>
          </w:tcPr>
          <w:p w14:paraId="426D181E"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6E4300B3"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1B7ED003"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9" w:type="dxa"/>
            <w:shd w:val="clear" w:color="auto" w:fill="auto"/>
            <w:noWrap/>
            <w:vAlign w:val="center"/>
            <w:hideMark/>
          </w:tcPr>
          <w:p w14:paraId="6AFEB5AA"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488C2BE6"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447CFB2F"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002060"/>
            <w:noWrap/>
            <w:vAlign w:val="center"/>
            <w:hideMark/>
          </w:tcPr>
          <w:p w14:paraId="09BD11BE"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9" w:type="dxa"/>
            <w:shd w:val="clear" w:color="auto" w:fill="auto"/>
            <w:noWrap/>
            <w:vAlign w:val="center"/>
            <w:hideMark/>
          </w:tcPr>
          <w:p w14:paraId="355E6D6E"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0298F2C6"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40A6594A"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48BC510A"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7B7DBF5A"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2222CDEB"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r>
      <w:tr w:rsidR="00341649" w:rsidRPr="00226801" w14:paraId="11A6348B" w14:textId="77777777" w:rsidTr="009C2448">
        <w:trPr>
          <w:gridAfter w:val="1"/>
          <w:wAfter w:w="11" w:type="dxa"/>
          <w:trHeight w:val="18"/>
        </w:trPr>
        <w:tc>
          <w:tcPr>
            <w:tcW w:w="4156" w:type="dxa"/>
            <w:shd w:val="clear" w:color="auto" w:fill="auto"/>
            <w:vAlign w:val="center"/>
            <w:hideMark/>
          </w:tcPr>
          <w:p w14:paraId="0B1CC093" w14:textId="77777777" w:rsidR="0083515B" w:rsidRPr="00226801" w:rsidRDefault="0083515B" w:rsidP="00341649">
            <w:pPr>
              <w:pStyle w:val="NoSpacing"/>
              <w:spacing w:line="200" w:lineRule="exact"/>
              <w:rPr>
                <w:rFonts w:eastAsia="Times New Roman" w:cstheme="minorHAnsi"/>
                <w:sz w:val="18"/>
                <w:szCs w:val="18"/>
              </w:rPr>
            </w:pPr>
            <w:r w:rsidRPr="005304F3">
              <w:rPr>
                <w:rFonts w:cstheme="minorHAnsi"/>
                <w:sz w:val="18"/>
              </w:rPr>
              <w:t xml:space="preserve"> Supplying Districts and </w:t>
            </w:r>
            <w:r w:rsidRPr="00E00A22">
              <w:rPr>
                <w:rFonts w:cstheme="minorHAnsi"/>
                <w:sz w:val="18"/>
              </w:rPr>
              <w:t>Health Centres</w:t>
            </w:r>
          </w:p>
        </w:tc>
        <w:tc>
          <w:tcPr>
            <w:tcW w:w="949" w:type="dxa"/>
            <w:shd w:val="clear" w:color="auto" w:fill="auto"/>
            <w:noWrap/>
            <w:vAlign w:val="center"/>
          </w:tcPr>
          <w:p w14:paraId="69148451" w14:textId="77777777" w:rsidR="0083515B" w:rsidRPr="00226801" w:rsidRDefault="0083515B" w:rsidP="00FA30FF">
            <w:pPr>
              <w:pStyle w:val="NoSpacing"/>
              <w:spacing w:line="200" w:lineRule="exact"/>
              <w:rPr>
                <w:rFonts w:eastAsia="Times New Roman" w:cstheme="minorHAnsi"/>
                <w:sz w:val="18"/>
                <w:szCs w:val="18"/>
                <w:lang w:eastAsia="fr-FR"/>
              </w:rPr>
            </w:pPr>
          </w:p>
        </w:tc>
        <w:tc>
          <w:tcPr>
            <w:tcW w:w="308" w:type="dxa"/>
            <w:shd w:val="clear" w:color="auto" w:fill="auto"/>
            <w:noWrap/>
            <w:vAlign w:val="center"/>
            <w:hideMark/>
          </w:tcPr>
          <w:p w14:paraId="53250B1D"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4F2842C2"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5695E38B"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9" w:type="dxa"/>
            <w:shd w:val="clear" w:color="auto" w:fill="auto"/>
            <w:noWrap/>
            <w:vAlign w:val="center"/>
            <w:hideMark/>
          </w:tcPr>
          <w:p w14:paraId="4F4727E2"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77D1E184"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49C56BAE"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35C0CD40"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9" w:type="dxa"/>
            <w:shd w:val="clear" w:color="auto" w:fill="002060"/>
            <w:noWrap/>
            <w:vAlign w:val="center"/>
            <w:hideMark/>
          </w:tcPr>
          <w:p w14:paraId="408EDE53"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43F3FA55"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01D7631A"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3F019637"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3AEC978C"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217E9EFE"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r>
      <w:tr w:rsidR="00341649" w:rsidRPr="00226801" w14:paraId="72996CBA" w14:textId="77777777" w:rsidTr="00341649">
        <w:trPr>
          <w:gridAfter w:val="1"/>
          <w:wAfter w:w="11" w:type="dxa"/>
          <w:trHeight w:val="18"/>
        </w:trPr>
        <w:tc>
          <w:tcPr>
            <w:tcW w:w="4156" w:type="dxa"/>
            <w:shd w:val="clear" w:color="auto" w:fill="D9D9D9" w:themeFill="background1" w:themeFillShade="D9"/>
            <w:vAlign w:val="center"/>
            <w:hideMark/>
          </w:tcPr>
          <w:p w14:paraId="303A69CD" w14:textId="77777777" w:rsidR="0083515B" w:rsidRPr="00226801" w:rsidRDefault="0083515B" w:rsidP="00341649">
            <w:pPr>
              <w:pStyle w:val="NoSpacing"/>
              <w:spacing w:line="200" w:lineRule="exact"/>
              <w:rPr>
                <w:rFonts w:eastAsia="Times New Roman" w:cstheme="minorHAnsi"/>
                <w:b/>
                <w:bCs/>
                <w:i w:val="0"/>
                <w:iCs w:val="0"/>
                <w:sz w:val="18"/>
                <w:szCs w:val="18"/>
              </w:rPr>
            </w:pPr>
            <w:r w:rsidRPr="005304F3">
              <w:rPr>
                <w:rFonts w:cstheme="minorHAnsi"/>
                <w:b/>
                <w:i w:val="0"/>
                <w:sz w:val="18"/>
              </w:rPr>
              <w:t xml:space="preserve"> Inventory of vaccines and injection materials  </w:t>
            </w:r>
          </w:p>
        </w:tc>
        <w:tc>
          <w:tcPr>
            <w:tcW w:w="949" w:type="dxa"/>
            <w:shd w:val="clear" w:color="auto" w:fill="D9D9D9" w:themeFill="background1" w:themeFillShade="D9"/>
            <w:noWrap/>
            <w:vAlign w:val="center"/>
            <w:hideMark/>
          </w:tcPr>
          <w:p w14:paraId="4BF9A4E1" w14:textId="77777777" w:rsidR="0083515B" w:rsidRPr="00226801" w:rsidRDefault="0083515B" w:rsidP="00FA30FF">
            <w:pPr>
              <w:pStyle w:val="NoSpacing"/>
              <w:spacing w:line="200" w:lineRule="exact"/>
              <w:rPr>
                <w:rFonts w:eastAsia="Times New Roman" w:cstheme="minorHAnsi"/>
                <w:b/>
                <w:bCs/>
                <w:i w:val="0"/>
                <w:iCs w:val="0"/>
                <w:sz w:val="18"/>
                <w:szCs w:val="18"/>
              </w:rPr>
            </w:pPr>
            <w:r w:rsidRPr="00E00A22">
              <w:rPr>
                <w:rFonts w:cstheme="minorHAnsi"/>
                <w:b/>
                <w:i w:val="0"/>
                <w:sz w:val="18"/>
              </w:rPr>
              <w:t> </w:t>
            </w:r>
          </w:p>
        </w:tc>
        <w:tc>
          <w:tcPr>
            <w:tcW w:w="308" w:type="dxa"/>
            <w:shd w:val="clear" w:color="auto" w:fill="D9D9D9" w:themeFill="background1" w:themeFillShade="D9"/>
            <w:noWrap/>
            <w:vAlign w:val="center"/>
            <w:hideMark/>
          </w:tcPr>
          <w:p w14:paraId="4337298C" w14:textId="77777777" w:rsidR="0083515B" w:rsidRPr="00226801" w:rsidRDefault="0083515B" w:rsidP="00FA30FF">
            <w:pPr>
              <w:pStyle w:val="NoSpacing"/>
              <w:spacing w:line="200" w:lineRule="exact"/>
              <w:rPr>
                <w:rFonts w:eastAsia="Times New Roman" w:cstheme="minorHAnsi"/>
                <w:b/>
                <w:bCs/>
                <w:i w:val="0"/>
                <w:iCs w:val="0"/>
                <w:sz w:val="18"/>
                <w:szCs w:val="18"/>
              </w:rPr>
            </w:pPr>
            <w:r w:rsidRPr="00E00A22">
              <w:rPr>
                <w:rFonts w:cstheme="minorHAnsi"/>
                <w:b/>
                <w:i w:val="0"/>
                <w:sz w:val="18"/>
              </w:rPr>
              <w:t> </w:t>
            </w:r>
          </w:p>
        </w:tc>
        <w:tc>
          <w:tcPr>
            <w:tcW w:w="308" w:type="dxa"/>
            <w:shd w:val="clear" w:color="auto" w:fill="D9D9D9" w:themeFill="background1" w:themeFillShade="D9"/>
            <w:noWrap/>
            <w:vAlign w:val="center"/>
            <w:hideMark/>
          </w:tcPr>
          <w:p w14:paraId="3641C996" w14:textId="77777777" w:rsidR="0083515B" w:rsidRPr="00226801" w:rsidRDefault="0083515B" w:rsidP="00FA30FF">
            <w:pPr>
              <w:pStyle w:val="NoSpacing"/>
              <w:spacing w:line="200" w:lineRule="exact"/>
              <w:rPr>
                <w:rFonts w:eastAsia="Times New Roman" w:cstheme="minorHAnsi"/>
                <w:b/>
                <w:bCs/>
                <w:i w:val="0"/>
                <w:iCs w:val="0"/>
                <w:sz w:val="18"/>
                <w:szCs w:val="18"/>
              </w:rPr>
            </w:pPr>
            <w:r w:rsidRPr="00E00A22">
              <w:rPr>
                <w:rFonts w:cstheme="minorHAnsi"/>
                <w:b/>
                <w:i w:val="0"/>
                <w:sz w:val="18"/>
              </w:rPr>
              <w:t> </w:t>
            </w:r>
          </w:p>
        </w:tc>
        <w:tc>
          <w:tcPr>
            <w:tcW w:w="308" w:type="dxa"/>
            <w:shd w:val="clear" w:color="auto" w:fill="D9D9D9" w:themeFill="background1" w:themeFillShade="D9"/>
            <w:noWrap/>
            <w:vAlign w:val="center"/>
            <w:hideMark/>
          </w:tcPr>
          <w:p w14:paraId="14DF3E49" w14:textId="77777777" w:rsidR="0083515B" w:rsidRPr="00226801" w:rsidRDefault="0083515B" w:rsidP="00FA30FF">
            <w:pPr>
              <w:pStyle w:val="NoSpacing"/>
              <w:spacing w:line="200" w:lineRule="exact"/>
              <w:rPr>
                <w:rFonts w:eastAsia="Times New Roman" w:cstheme="minorHAnsi"/>
                <w:b/>
                <w:bCs/>
                <w:i w:val="0"/>
                <w:iCs w:val="0"/>
                <w:sz w:val="18"/>
                <w:szCs w:val="18"/>
              </w:rPr>
            </w:pPr>
            <w:r w:rsidRPr="00E00A22">
              <w:rPr>
                <w:rFonts w:cstheme="minorHAnsi"/>
                <w:b/>
                <w:i w:val="0"/>
                <w:sz w:val="18"/>
              </w:rPr>
              <w:t> </w:t>
            </w:r>
          </w:p>
        </w:tc>
        <w:tc>
          <w:tcPr>
            <w:tcW w:w="309" w:type="dxa"/>
            <w:shd w:val="clear" w:color="auto" w:fill="D9D9D9" w:themeFill="background1" w:themeFillShade="D9"/>
            <w:noWrap/>
            <w:vAlign w:val="center"/>
            <w:hideMark/>
          </w:tcPr>
          <w:p w14:paraId="5365323D" w14:textId="77777777" w:rsidR="0083515B" w:rsidRPr="00226801" w:rsidRDefault="0083515B" w:rsidP="00FA30FF">
            <w:pPr>
              <w:pStyle w:val="NoSpacing"/>
              <w:spacing w:line="200" w:lineRule="exact"/>
              <w:rPr>
                <w:rFonts w:eastAsia="Times New Roman" w:cstheme="minorHAnsi"/>
                <w:b/>
                <w:bCs/>
                <w:i w:val="0"/>
                <w:iCs w:val="0"/>
                <w:sz w:val="18"/>
                <w:szCs w:val="18"/>
              </w:rPr>
            </w:pPr>
            <w:r w:rsidRPr="00E00A22">
              <w:rPr>
                <w:rFonts w:cstheme="minorHAnsi"/>
                <w:b/>
                <w:i w:val="0"/>
                <w:sz w:val="18"/>
              </w:rPr>
              <w:t> </w:t>
            </w:r>
          </w:p>
        </w:tc>
        <w:tc>
          <w:tcPr>
            <w:tcW w:w="308" w:type="dxa"/>
            <w:shd w:val="clear" w:color="auto" w:fill="D9D9D9" w:themeFill="background1" w:themeFillShade="D9"/>
            <w:noWrap/>
            <w:vAlign w:val="center"/>
            <w:hideMark/>
          </w:tcPr>
          <w:p w14:paraId="6C451F15" w14:textId="77777777" w:rsidR="0083515B" w:rsidRPr="00226801" w:rsidRDefault="0083515B" w:rsidP="00FA30FF">
            <w:pPr>
              <w:pStyle w:val="NoSpacing"/>
              <w:spacing w:line="200" w:lineRule="exact"/>
              <w:rPr>
                <w:rFonts w:eastAsia="Times New Roman" w:cstheme="minorHAnsi"/>
                <w:b/>
                <w:bCs/>
                <w:i w:val="0"/>
                <w:iCs w:val="0"/>
                <w:sz w:val="18"/>
                <w:szCs w:val="18"/>
              </w:rPr>
            </w:pPr>
            <w:r w:rsidRPr="00E00A22">
              <w:rPr>
                <w:rFonts w:cstheme="minorHAnsi"/>
                <w:b/>
                <w:i w:val="0"/>
                <w:sz w:val="18"/>
              </w:rPr>
              <w:t> </w:t>
            </w:r>
          </w:p>
        </w:tc>
        <w:tc>
          <w:tcPr>
            <w:tcW w:w="308" w:type="dxa"/>
            <w:shd w:val="clear" w:color="auto" w:fill="D9D9D9" w:themeFill="background1" w:themeFillShade="D9"/>
            <w:noWrap/>
            <w:vAlign w:val="center"/>
            <w:hideMark/>
          </w:tcPr>
          <w:p w14:paraId="32C64910" w14:textId="77777777" w:rsidR="0083515B" w:rsidRPr="00226801" w:rsidRDefault="0083515B" w:rsidP="00FA30FF">
            <w:pPr>
              <w:pStyle w:val="NoSpacing"/>
              <w:spacing w:line="200" w:lineRule="exact"/>
              <w:rPr>
                <w:rFonts w:eastAsia="Times New Roman" w:cstheme="minorHAnsi"/>
                <w:b/>
                <w:bCs/>
                <w:i w:val="0"/>
                <w:iCs w:val="0"/>
                <w:sz w:val="18"/>
                <w:szCs w:val="18"/>
              </w:rPr>
            </w:pPr>
            <w:r w:rsidRPr="00E00A22">
              <w:rPr>
                <w:rFonts w:cstheme="minorHAnsi"/>
                <w:b/>
                <w:i w:val="0"/>
                <w:sz w:val="18"/>
              </w:rPr>
              <w:t> </w:t>
            </w:r>
          </w:p>
        </w:tc>
        <w:tc>
          <w:tcPr>
            <w:tcW w:w="308" w:type="dxa"/>
            <w:shd w:val="clear" w:color="auto" w:fill="D9D9D9" w:themeFill="background1" w:themeFillShade="D9"/>
            <w:noWrap/>
            <w:vAlign w:val="center"/>
            <w:hideMark/>
          </w:tcPr>
          <w:p w14:paraId="7BEDBBF5" w14:textId="77777777" w:rsidR="0083515B" w:rsidRPr="00226801" w:rsidRDefault="0083515B" w:rsidP="00FA30FF">
            <w:pPr>
              <w:pStyle w:val="NoSpacing"/>
              <w:spacing w:line="200" w:lineRule="exact"/>
              <w:rPr>
                <w:rFonts w:eastAsia="Times New Roman" w:cstheme="minorHAnsi"/>
                <w:b/>
                <w:bCs/>
                <w:i w:val="0"/>
                <w:iCs w:val="0"/>
                <w:sz w:val="18"/>
                <w:szCs w:val="18"/>
              </w:rPr>
            </w:pPr>
            <w:r w:rsidRPr="00E00A22">
              <w:rPr>
                <w:rFonts w:cstheme="minorHAnsi"/>
                <w:b/>
                <w:i w:val="0"/>
                <w:sz w:val="18"/>
              </w:rPr>
              <w:t> </w:t>
            </w:r>
          </w:p>
        </w:tc>
        <w:tc>
          <w:tcPr>
            <w:tcW w:w="309" w:type="dxa"/>
            <w:shd w:val="clear" w:color="auto" w:fill="D9D9D9" w:themeFill="background1" w:themeFillShade="D9"/>
            <w:noWrap/>
            <w:vAlign w:val="center"/>
            <w:hideMark/>
          </w:tcPr>
          <w:p w14:paraId="6A509B57" w14:textId="77777777" w:rsidR="0083515B" w:rsidRPr="00226801" w:rsidRDefault="0083515B" w:rsidP="00FA30FF">
            <w:pPr>
              <w:pStyle w:val="NoSpacing"/>
              <w:spacing w:line="200" w:lineRule="exact"/>
              <w:rPr>
                <w:rFonts w:eastAsia="Times New Roman" w:cstheme="minorHAnsi"/>
                <w:b/>
                <w:bCs/>
                <w:i w:val="0"/>
                <w:iCs w:val="0"/>
                <w:sz w:val="18"/>
                <w:szCs w:val="18"/>
              </w:rPr>
            </w:pPr>
            <w:r w:rsidRPr="00E00A22">
              <w:rPr>
                <w:rFonts w:cstheme="minorHAnsi"/>
                <w:b/>
                <w:i w:val="0"/>
                <w:sz w:val="18"/>
              </w:rPr>
              <w:t> </w:t>
            </w:r>
          </w:p>
        </w:tc>
        <w:tc>
          <w:tcPr>
            <w:tcW w:w="308" w:type="dxa"/>
            <w:shd w:val="clear" w:color="auto" w:fill="D9D9D9" w:themeFill="background1" w:themeFillShade="D9"/>
            <w:noWrap/>
            <w:vAlign w:val="center"/>
            <w:hideMark/>
          </w:tcPr>
          <w:p w14:paraId="316443D4" w14:textId="77777777" w:rsidR="0083515B" w:rsidRPr="00226801" w:rsidRDefault="0083515B" w:rsidP="00FA30FF">
            <w:pPr>
              <w:pStyle w:val="NoSpacing"/>
              <w:spacing w:line="200" w:lineRule="exact"/>
              <w:rPr>
                <w:rFonts w:eastAsia="Times New Roman" w:cstheme="minorHAnsi"/>
                <w:b/>
                <w:bCs/>
                <w:i w:val="0"/>
                <w:iCs w:val="0"/>
                <w:sz w:val="18"/>
                <w:szCs w:val="18"/>
              </w:rPr>
            </w:pPr>
            <w:r w:rsidRPr="00E00A22">
              <w:rPr>
                <w:rFonts w:cstheme="minorHAnsi"/>
                <w:b/>
                <w:i w:val="0"/>
                <w:sz w:val="18"/>
              </w:rPr>
              <w:t> </w:t>
            </w:r>
          </w:p>
        </w:tc>
        <w:tc>
          <w:tcPr>
            <w:tcW w:w="308" w:type="dxa"/>
            <w:shd w:val="clear" w:color="auto" w:fill="D9D9D9" w:themeFill="background1" w:themeFillShade="D9"/>
            <w:noWrap/>
            <w:vAlign w:val="center"/>
            <w:hideMark/>
          </w:tcPr>
          <w:p w14:paraId="6E8AF314" w14:textId="77777777" w:rsidR="0083515B" w:rsidRPr="00226801" w:rsidRDefault="0083515B" w:rsidP="00FA30FF">
            <w:pPr>
              <w:pStyle w:val="NoSpacing"/>
              <w:spacing w:line="200" w:lineRule="exact"/>
              <w:rPr>
                <w:rFonts w:eastAsia="Times New Roman" w:cstheme="minorHAnsi"/>
                <w:b/>
                <w:bCs/>
                <w:i w:val="0"/>
                <w:iCs w:val="0"/>
                <w:sz w:val="18"/>
                <w:szCs w:val="18"/>
              </w:rPr>
            </w:pPr>
            <w:r w:rsidRPr="00E00A22">
              <w:rPr>
                <w:rFonts w:cstheme="minorHAnsi"/>
                <w:b/>
                <w:i w:val="0"/>
                <w:sz w:val="18"/>
              </w:rPr>
              <w:t> </w:t>
            </w:r>
          </w:p>
        </w:tc>
        <w:tc>
          <w:tcPr>
            <w:tcW w:w="308" w:type="dxa"/>
            <w:shd w:val="clear" w:color="auto" w:fill="D9D9D9" w:themeFill="background1" w:themeFillShade="D9"/>
            <w:noWrap/>
            <w:vAlign w:val="center"/>
            <w:hideMark/>
          </w:tcPr>
          <w:p w14:paraId="639C4903" w14:textId="77777777" w:rsidR="0083515B" w:rsidRPr="00226801" w:rsidRDefault="0083515B" w:rsidP="00FA30FF">
            <w:pPr>
              <w:pStyle w:val="NoSpacing"/>
              <w:spacing w:line="200" w:lineRule="exact"/>
              <w:rPr>
                <w:rFonts w:eastAsia="Times New Roman" w:cstheme="minorHAnsi"/>
                <w:b/>
                <w:bCs/>
                <w:i w:val="0"/>
                <w:iCs w:val="0"/>
                <w:sz w:val="18"/>
                <w:szCs w:val="18"/>
              </w:rPr>
            </w:pPr>
            <w:r w:rsidRPr="00E00A22">
              <w:rPr>
                <w:rFonts w:cstheme="minorHAnsi"/>
                <w:b/>
                <w:i w:val="0"/>
                <w:sz w:val="18"/>
              </w:rPr>
              <w:t> </w:t>
            </w:r>
          </w:p>
        </w:tc>
        <w:tc>
          <w:tcPr>
            <w:tcW w:w="308" w:type="dxa"/>
            <w:shd w:val="clear" w:color="auto" w:fill="D9D9D9" w:themeFill="background1" w:themeFillShade="D9"/>
            <w:noWrap/>
            <w:vAlign w:val="center"/>
            <w:hideMark/>
          </w:tcPr>
          <w:p w14:paraId="7DA9F6F1" w14:textId="77777777" w:rsidR="0083515B" w:rsidRPr="00226801" w:rsidRDefault="0083515B" w:rsidP="00FA30FF">
            <w:pPr>
              <w:pStyle w:val="NoSpacing"/>
              <w:spacing w:line="200" w:lineRule="exact"/>
              <w:rPr>
                <w:rFonts w:eastAsia="Times New Roman" w:cstheme="minorHAnsi"/>
                <w:b/>
                <w:bCs/>
                <w:i w:val="0"/>
                <w:iCs w:val="0"/>
                <w:sz w:val="18"/>
                <w:szCs w:val="18"/>
              </w:rPr>
            </w:pPr>
            <w:r w:rsidRPr="00E00A22">
              <w:rPr>
                <w:rFonts w:cstheme="minorHAnsi"/>
                <w:b/>
                <w:i w:val="0"/>
                <w:sz w:val="18"/>
              </w:rPr>
              <w:t> </w:t>
            </w:r>
          </w:p>
        </w:tc>
        <w:tc>
          <w:tcPr>
            <w:tcW w:w="308" w:type="dxa"/>
            <w:shd w:val="clear" w:color="auto" w:fill="D9D9D9" w:themeFill="background1" w:themeFillShade="D9"/>
            <w:noWrap/>
            <w:vAlign w:val="center"/>
            <w:hideMark/>
          </w:tcPr>
          <w:p w14:paraId="7C73693E" w14:textId="77777777" w:rsidR="0083515B" w:rsidRPr="00226801" w:rsidRDefault="0083515B" w:rsidP="00FA30FF">
            <w:pPr>
              <w:pStyle w:val="NoSpacing"/>
              <w:spacing w:line="200" w:lineRule="exact"/>
              <w:rPr>
                <w:rFonts w:eastAsia="Times New Roman" w:cstheme="minorHAnsi"/>
                <w:b/>
                <w:bCs/>
                <w:i w:val="0"/>
                <w:iCs w:val="0"/>
                <w:sz w:val="18"/>
                <w:szCs w:val="18"/>
              </w:rPr>
            </w:pPr>
            <w:r w:rsidRPr="00E00A22">
              <w:rPr>
                <w:rFonts w:cstheme="minorHAnsi"/>
                <w:b/>
                <w:i w:val="0"/>
                <w:sz w:val="18"/>
              </w:rPr>
              <w:t> </w:t>
            </w:r>
          </w:p>
        </w:tc>
      </w:tr>
      <w:tr w:rsidR="0083515B" w:rsidRPr="00226801" w14:paraId="5A91EC3B" w14:textId="77777777" w:rsidTr="00341649">
        <w:trPr>
          <w:trHeight w:val="18"/>
        </w:trPr>
        <w:tc>
          <w:tcPr>
            <w:tcW w:w="9122" w:type="dxa"/>
            <w:gridSpan w:val="16"/>
            <w:shd w:val="clear" w:color="auto" w:fill="auto"/>
            <w:noWrap/>
            <w:vAlign w:val="center"/>
            <w:hideMark/>
          </w:tcPr>
          <w:p w14:paraId="02ED097F" w14:textId="77777777" w:rsidR="0083515B" w:rsidRPr="00226801" w:rsidRDefault="0083515B" w:rsidP="00341649">
            <w:pPr>
              <w:pStyle w:val="NoSpacing"/>
              <w:spacing w:line="200" w:lineRule="exact"/>
              <w:rPr>
                <w:rFonts w:eastAsia="Times New Roman" w:cstheme="minorHAnsi"/>
                <w:sz w:val="18"/>
                <w:szCs w:val="18"/>
              </w:rPr>
            </w:pPr>
            <w:r w:rsidRPr="005304F3">
              <w:rPr>
                <w:rFonts w:cstheme="minorHAnsi"/>
                <w:sz w:val="18"/>
              </w:rPr>
              <w:t> Data management and performance monitoring</w:t>
            </w:r>
          </w:p>
        </w:tc>
      </w:tr>
      <w:tr w:rsidR="00341649" w:rsidRPr="00226801" w14:paraId="66CEFC05" w14:textId="77777777" w:rsidTr="00341649">
        <w:trPr>
          <w:gridAfter w:val="1"/>
          <w:wAfter w:w="11" w:type="dxa"/>
          <w:trHeight w:val="18"/>
        </w:trPr>
        <w:tc>
          <w:tcPr>
            <w:tcW w:w="4156" w:type="dxa"/>
            <w:shd w:val="clear" w:color="auto" w:fill="auto"/>
            <w:vAlign w:val="center"/>
            <w:hideMark/>
          </w:tcPr>
          <w:p w14:paraId="2B207BE3" w14:textId="77777777" w:rsidR="0083515B" w:rsidRPr="00226801" w:rsidRDefault="0083515B" w:rsidP="00341649">
            <w:pPr>
              <w:pStyle w:val="NoSpacing"/>
              <w:spacing w:line="200" w:lineRule="exact"/>
              <w:rPr>
                <w:rFonts w:eastAsia="Times New Roman" w:cstheme="minorHAnsi"/>
                <w:sz w:val="18"/>
                <w:szCs w:val="18"/>
              </w:rPr>
            </w:pPr>
            <w:r w:rsidRPr="005304F3">
              <w:rPr>
                <w:rFonts w:cstheme="minorHAnsi"/>
                <w:sz w:val="18"/>
              </w:rPr>
              <w:t> Immunisation data review after the switch</w:t>
            </w:r>
          </w:p>
        </w:tc>
        <w:tc>
          <w:tcPr>
            <w:tcW w:w="949" w:type="dxa"/>
            <w:shd w:val="clear" w:color="auto" w:fill="auto"/>
            <w:noWrap/>
            <w:vAlign w:val="center"/>
            <w:hideMark/>
          </w:tcPr>
          <w:p w14:paraId="183D85E4"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0B4627D1"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1D7221F1"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3E8CEA0D"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9" w:type="dxa"/>
            <w:shd w:val="clear" w:color="auto" w:fill="auto"/>
            <w:noWrap/>
            <w:vAlign w:val="center"/>
            <w:hideMark/>
          </w:tcPr>
          <w:p w14:paraId="3EFBC3D9"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5B952E7A"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0524E593"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7387F76A"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9" w:type="dxa"/>
            <w:shd w:val="clear" w:color="auto" w:fill="auto"/>
            <w:noWrap/>
            <w:vAlign w:val="center"/>
            <w:hideMark/>
          </w:tcPr>
          <w:p w14:paraId="422B947E"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1CEC90B3"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3A77DE39"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2394F737"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002060"/>
            <w:noWrap/>
            <w:vAlign w:val="center"/>
            <w:hideMark/>
          </w:tcPr>
          <w:p w14:paraId="24DCCFE6"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46207901"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r>
      <w:tr w:rsidR="00341649" w:rsidRPr="00226801" w14:paraId="7DD521B3" w14:textId="77777777" w:rsidTr="00341649">
        <w:trPr>
          <w:gridAfter w:val="1"/>
          <w:wAfter w:w="11" w:type="dxa"/>
          <w:trHeight w:val="18"/>
        </w:trPr>
        <w:tc>
          <w:tcPr>
            <w:tcW w:w="4156" w:type="dxa"/>
            <w:shd w:val="clear" w:color="auto" w:fill="auto"/>
            <w:vAlign w:val="center"/>
            <w:hideMark/>
          </w:tcPr>
          <w:p w14:paraId="2DA731CC" w14:textId="77777777" w:rsidR="0083515B" w:rsidRPr="00226801" w:rsidRDefault="0083515B" w:rsidP="00341649">
            <w:pPr>
              <w:pStyle w:val="NoSpacing"/>
              <w:spacing w:line="200" w:lineRule="exact"/>
              <w:rPr>
                <w:rFonts w:eastAsia="Times New Roman" w:cstheme="minorHAnsi"/>
                <w:sz w:val="18"/>
                <w:szCs w:val="18"/>
              </w:rPr>
            </w:pPr>
            <w:r w:rsidRPr="005304F3">
              <w:rPr>
                <w:rFonts w:cstheme="minorHAnsi"/>
                <w:sz w:val="18"/>
              </w:rPr>
              <w:t xml:space="preserve"> Data </w:t>
            </w:r>
            <w:r w:rsidRPr="00E00A22">
              <w:rPr>
                <w:rFonts w:cstheme="minorHAnsi"/>
                <w:sz w:val="18"/>
              </w:rPr>
              <w:t>quality feedback to regions/health districts/health centres</w:t>
            </w:r>
          </w:p>
        </w:tc>
        <w:tc>
          <w:tcPr>
            <w:tcW w:w="949" w:type="dxa"/>
            <w:shd w:val="clear" w:color="auto" w:fill="auto"/>
            <w:noWrap/>
            <w:vAlign w:val="center"/>
            <w:hideMark/>
          </w:tcPr>
          <w:p w14:paraId="022E1AC2"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3DC52811"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4F9EF8BB"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20B905A3"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9" w:type="dxa"/>
            <w:shd w:val="clear" w:color="auto" w:fill="auto"/>
            <w:noWrap/>
            <w:vAlign w:val="center"/>
            <w:hideMark/>
          </w:tcPr>
          <w:p w14:paraId="751A00AC"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0198CB1D"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5DB4B821"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7908A45A"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9" w:type="dxa"/>
            <w:shd w:val="clear" w:color="auto" w:fill="auto"/>
            <w:noWrap/>
            <w:vAlign w:val="center"/>
            <w:hideMark/>
          </w:tcPr>
          <w:p w14:paraId="5B95F83F"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236163ED"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6A43492C"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325B012A"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002060"/>
            <w:noWrap/>
            <w:vAlign w:val="center"/>
            <w:hideMark/>
          </w:tcPr>
          <w:p w14:paraId="68487C7A"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c>
          <w:tcPr>
            <w:tcW w:w="308" w:type="dxa"/>
            <w:shd w:val="clear" w:color="auto" w:fill="auto"/>
            <w:noWrap/>
            <w:vAlign w:val="center"/>
            <w:hideMark/>
          </w:tcPr>
          <w:p w14:paraId="3FDC3474" w14:textId="77777777" w:rsidR="0083515B" w:rsidRPr="00226801" w:rsidRDefault="0083515B" w:rsidP="00FA30FF">
            <w:pPr>
              <w:pStyle w:val="NoSpacing"/>
              <w:spacing w:line="200" w:lineRule="exact"/>
              <w:rPr>
                <w:rFonts w:eastAsia="Times New Roman" w:cstheme="minorHAnsi"/>
                <w:sz w:val="18"/>
                <w:szCs w:val="18"/>
              </w:rPr>
            </w:pPr>
            <w:r w:rsidRPr="00E00A22">
              <w:rPr>
                <w:rFonts w:cstheme="minorHAnsi"/>
                <w:sz w:val="18"/>
              </w:rPr>
              <w:t> </w:t>
            </w:r>
          </w:p>
        </w:tc>
      </w:tr>
    </w:tbl>
    <w:p w14:paraId="747ACEE1" w14:textId="77777777" w:rsidR="00CB3730" w:rsidRPr="005304F3" w:rsidRDefault="00CB3730" w:rsidP="00CB3730">
      <w:pPr>
        <w:rPr>
          <w:rFonts w:asciiTheme="minorHAnsi" w:hAnsiTheme="minorHAnsi" w:cstheme="minorHAnsi"/>
        </w:rPr>
      </w:pPr>
    </w:p>
    <w:p w14:paraId="265F7B83" w14:textId="77777777" w:rsidR="00CB3730" w:rsidRPr="00226801" w:rsidRDefault="00CB3730" w:rsidP="00CB3730">
      <w:pPr>
        <w:rPr>
          <w:rFonts w:asciiTheme="minorHAnsi" w:hAnsiTheme="minorHAnsi" w:cstheme="minorHAnsi"/>
        </w:rPr>
      </w:pPr>
    </w:p>
    <w:p w14:paraId="3812081D" w14:textId="77777777" w:rsidR="00CB3730" w:rsidRPr="00226801" w:rsidRDefault="00CB3730" w:rsidP="00CB3730">
      <w:pPr>
        <w:rPr>
          <w:rFonts w:asciiTheme="minorHAnsi" w:hAnsiTheme="minorHAnsi" w:cstheme="minorHAnsi"/>
        </w:rPr>
      </w:pPr>
    </w:p>
    <w:p w14:paraId="26CE0ADE" w14:textId="77777777" w:rsidR="00CB3730" w:rsidRPr="00226801" w:rsidRDefault="00CB3730" w:rsidP="00CB3730">
      <w:pPr>
        <w:rPr>
          <w:rFonts w:asciiTheme="minorHAnsi" w:hAnsiTheme="minorHAnsi" w:cstheme="minorHAnsi"/>
        </w:rPr>
      </w:pPr>
    </w:p>
    <w:p w14:paraId="4983A151" w14:textId="77777777" w:rsidR="00CB3730" w:rsidRPr="00226801" w:rsidRDefault="00CB3730" w:rsidP="00CB3730">
      <w:pPr>
        <w:rPr>
          <w:rFonts w:asciiTheme="minorHAnsi" w:hAnsiTheme="minorHAnsi" w:cstheme="minorHAnsi"/>
        </w:rPr>
      </w:pPr>
    </w:p>
    <w:p w14:paraId="59D082E1" w14:textId="77777777" w:rsidR="00CB3730" w:rsidRPr="00226801" w:rsidRDefault="00CB3730" w:rsidP="00CB3730">
      <w:pPr>
        <w:rPr>
          <w:rFonts w:asciiTheme="minorHAnsi" w:hAnsiTheme="minorHAnsi" w:cstheme="minorHAnsi"/>
        </w:rPr>
      </w:pPr>
    </w:p>
    <w:p w14:paraId="2F39E581" w14:textId="77777777" w:rsidR="00CB3730" w:rsidRPr="00226801" w:rsidRDefault="00CB3730" w:rsidP="00CB3730">
      <w:pPr>
        <w:rPr>
          <w:rFonts w:asciiTheme="minorHAnsi" w:hAnsiTheme="minorHAnsi" w:cstheme="minorHAnsi"/>
        </w:rPr>
      </w:pPr>
    </w:p>
    <w:p w14:paraId="5B2651B0" w14:textId="77777777" w:rsidR="00A01630" w:rsidRPr="00226801" w:rsidRDefault="00A01630" w:rsidP="00CB3730">
      <w:pPr>
        <w:rPr>
          <w:rFonts w:asciiTheme="minorHAnsi" w:hAnsiTheme="minorHAnsi" w:cstheme="minorHAnsi"/>
        </w:rPr>
      </w:pPr>
    </w:p>
    <w:p w14:paraId="6818C63F" w14:textId="77777777" w:rsidR="00A01630" w:rsidRPr="00226801" w:rsidRDefault="00A01630" w:rsidP="00CB3730">
      <w:pPr>
        <w:rPr>
          <w:rFonts w:asciiTheme="minorHAnsi" w:hAnsiTheme="minorHAnsi" w:cstheme="minorHAnsi"/>
        </w:rPr>
      </w:pPr>
    </w:p>
    <w:p w14:paraId="197A3BA7" w14:textId="77777777" w:rsidR="00A01630" w:rsidRPr="00226801" w:rsidRDefault="00A01630" w:rsidP="00CB3730">
      <w:pPr>
        <w:rPr>
          <w:rFonts w:asciiTheme="minorHAnsi" w:hAnsiTheme="minorHAnsi" w:cstheme="minorHAnsi"/>
        </w:rPr>
      </w:pPr>
    </w:p>
    <w:p w14:paraId="014F2434" w14:textId="77777777" w:rsidR="00F732D8" w:rsidRDefault="00F732D8">
      <w:pPr>
        <w:spacing w:after="200" w:line="288" w:lineRule="auto"/>
        <w:rPr>
          <w:rFonts w:asciiTheme="minorHAnsi" w:hAnsiTheme="minorHAnsi" w:cstheme="minorHAnsi"/>
        </w:rPr>
      </w:pPr>
      <w:r>
        <w:rPr>
          <w:rFonts w:asciiTheme="minorHAnsi" w:hAnsiTheme="minorHAnsi" w:cstheme="minorHAnsi"/>
        </w:rPr>
        <w:br w:type="page"/>
      </w:r>
    </w:p>
    <w:p w14:paraId="542C8AA6" w14:textId="77777777" w:rsidR="00A01630" w:rsidRPr="00226801" w:rsidRDefault="00A01630" w:rsidP="00CB3730">
      <w:pPr>
        <w:rPr>
          <w:rFonts w:asciiTheme="minorHAnsi" w:hAnsiTheme="minorHAnsi" w:cstheme="minorHAnsi"/>
        </w:rPr>
      </w:pPr>
    </w:p>
    <w:p w14:paraId="4BCFDF24" w14:textId="77777777" w:rsidR="00A01630" w:rsidRPr="00226801" w:rsidRDefault="00A01630" w:rsidP="00CB3730">
      <w:pPr>
        <w:rPr>
          <w:rFonts w:asciiTheme="minorHAnsi" w:hAnsiTheme="minorHAnsi" w:cstheme="minorHAnsi"/>
        </w:rPr>
      </w:pPr>
    </w:p>
    <w:p w14:paraId="00B04F69" w14:textId="77777777" w:rsidR="002411F5" w:rsidRPr="00226801" w:rsidRDefault="002411F5" w:rsidP="00876462">
      <w:pPr>
        <w:pStyle w:val="Heading1"/>
        <w:numPr>
          <w:ilvl w:val="0"/>
          <w:numId w:val="13"/>
        </w:numPr>
        <w:rPr>
          <w:rFonts w:asciiTheme="minorHAnsi" w:hAnsiTheme="minorHAnsi" w:cstheme="minorHAnsi"/>
          <w:sz w:val="24"/>
          <w:szCs w:val="24"/>
        </w:rPr>
      </w:pPr>
      <w:bookmarkStart w:id="23" w:name="_Toc101798519"/>
      <w:r w:rsidRPr="00E00A22">
        <w:rPr>
          <w:rFonts w:asciiTheme="minorHAnsi" w:hAnsiTheme="minorHAnsi" w:cstheme="minorHAnsi"/>
          <w:sz w:val="24"/>
        </w:rPr>
        <w:t>Budget</w:t>
      </w:r>
      <w:bookmarkEnd w:id="23"/>
    </w:p>
    <w:p w14:paraId="06E30EC5" w14:textId="77777777" w:rsidR="007B2A16" w:rsidRPr="00226801" w:rsidRDefault="007B2A16" w:rsidP="00D50ADA">
      <w:pPr>
        <w:spacing w:line="276" w:lineRule="auto"/>
        <w:rPr>
          <w:rFonts w:asciiTheme="minorHAnsi" w:hAnsiTheme="minorHAnsi" w:cstheme="minorHAnsi"/>
          <w:i/>
          <w:iCs/>
        </w:rPr>
      </w:pPr>
      <w:r w:rsidRPr="00E00A22">
        <w:rPr>
          <w:rFonts w:asciiTheme="minorHAnsi" w:hAnsiTheme="minorHAnsi" w:cstheme="minorHAnsi"/>
        </w:rPr>
        <w:t>Making this switch requires an operational cost of $ 218,673</w:t>
      </w:r>
      <w:r w:rsidR="00D53734" w:rsidRPr="00E00A22">
        <w:rPr>
          <w:rFonts w:asciiTheme="minorHAnsi" w:hAnsiTheme="minorHAnsi" w:cstheme="minorHAnsi"/>
        </w:rPr>
        <w:t xml:space="preserve"> </w:t>
      </w:r>
      <w:r w:rsidRPr="00E00A22">
        <w:rPr>
          <w:rFonts w:asciiTheme="minorHAnsi" w:hAnsiTheme="minorHAnsi" w:cstheme="minorHAnsi"/>
        </w:rPr>
        <w:t>(not including programme management cost</w:t>
      </w:r>
      <w:r w:rsidR="008B0F16">
        <w:rPr>
          <w:rFonts w:asciiTheme="minorHAnsi" w:hAnsiTheme="minorHAnsi" w:cstheme="minorHAnsi"/>
        </w:rPr>
        <w:t>s</w:t>
      </w:r>
      <w:r w:rsidRPr="005304F3">
        <w:rPr>
          <w:rFonts w:asciiTheme="minorHAnsi" w:hAnsiTheme="minorHAnsi" w:cstheme="minorHAnsi"/>
        </w:rPr>
        <w:t>), distributed as follows:</w:t>
      </w:r>
    </w:p>
    <w:p w14:paraId="4FBA41B5" w14:textId="77777777" w:rsidR="00D50ADA" w:rsidRPr="00226801" w:rsidRDefault="0068651D" w:rsidP="0068651D">
      <w:pPr>
        <w:pStyle w:val="Caption"/>
        <w:spacing w:after="0"/>
        <w:rPr>
          <w:rFonts w:cstheme="minorHAnsi"/>
          <w:color w:val="000000" w:themeColor="text1"/>
          <w:sz w:val="28"/>
          <w:szCs w:val="28"/>
        </w:rPr>
      </w:pPr>
      <w:r w:rsidRPr="00E00A22">
        <w:rPr>
          <w:rFonts w:cstheme="minorHAnsi"/>
          <w:sz w:val="20"/>
        </w:rPr>
        <w:t>Table 5: Rota switch budget overview</w:t>
      </w:r>
    </w:p>
    <w:tbl>
      <w:tblPr>
        <w:tblW w:w="9520" w:type="dxa"/>
        <w:tblCellMar>
          <w:left w:w="70" w:type="dxa"/>
          <w:right w:w="70" w:type="dxa"/>
        </w:tblCellMar>
        <w:tblLook w:val="04A0" w:firstRow="1" w:lastRow="0" w:firstColumn="1" w:lastColumn="0" w:noHBand="0" w:noVBand="1"/>
      </w:tblPr>
      <w:tblGrid>
        <w:gridCol w:w="640"/>
        <w:gridCol w:w="4520"/>
        <w:gridCol w:w="2180"/>
        <w:gridCol w:w="2180"/>
      </w:tblGrid>
      <w:tr w:rsidR="00863011" w:rsidRPr="00226801" w14:paraId="640DB76B" w14:textId="77777777" w:rsidTr="00EF220F">
        <w:trPr>
          <w:trHeight w:val="300"/>
        </w:trPr>
        <w:tc>
          <w:tcPr>
            <w:tcW w:w="640" w:type="dxa"/>
            <w:tcBorders>
              <w:top w:val="single" w:sz="4" w:space="0" w:color="auto"/>
              <w:left w:val="single" w:sz="4" w:space="0" w:color="auto"/>
              <w:bottom w:val="single" w:sz="4" w:space="0" w:color="auto"/>
              <w:right w:val="single" w:sz="4" w:space="0" w:color="auto"/>
            </w:tcBorders>
            <w:shd w:val="clear" w:color="000000" w:fill="8497B0"/>
            <w:vAlign w:val="center"/>
            <w:hideMark/>
          </w:tcPr>
          <w:p w14:paraId="37778D31" w14:textId="77777777" w:rsidR="00863011" w:rsidRPr="00E00A22" w:rsidRDefault="00B5762F" w:rsidP="00863011">
            <w:pPr>
              <w:jc w:val="center"/>
              <w:rPr>
                <w:rFonts w:asciiTheme="minorHAnsi" w:hAnsiTheme="minorHAnsi" w:cstheme="minorHAnsi"/>
                <w:b/>
                <w:bCs/>
                <w:i/>
                <w:iCs/>
                <w:color w:val="000000"/>
                <w:sz w:val="18"/>
                <w:szCs w:val="18"/>
              </w:rPr>
            </w:pPr>
            <w:r w:rsidRPr="00E00A22">
              <w:rPr>
                <w:rFonts w:asciiTheme="minorHAnsi" w:hAnsiTheme="minorHAnsi" w:cstheme="minorHAnsi"/>
                <w:b/>
                <w:i/>
                <w:color w:val="000000"/>
                <w:sz w:val="18"/>
              </w:rPr>
              <w:t>Ref.</w:t>
            </w:r>
          </w:p>
        </w:tc>
        <w:tc>
          <w:tcPr>
            <w:tcW w:w="4520" w:type="dxa"/>
            <w:tcBorders>
              <w:top w:val="single" w:sz="4" w:space="0" w:color="auto"/>
              <w:left w:val="nil"/>
              <w:bottom w:val="single" w:sz="4" w:space="0" w:color="auto"/>
              <w:right w:val="single" w:sz="4" w:space="0" w:color="auto"/>
            </w:tcBorders>
            <w:shd w:val="clear" w:color="000000" w:fill="8497B0"/>
            <w:vAlign w:val="center"/>
            <w:hideMark/>
          </w:tcPr>
          <w:p w14:paraId="00705716" w14:textId="77777777" w:rsidR="00863011" w:rsidRPr="00E00A22" w:rsidRDefault="00863011" w:rsidP="00863011">
            <w:pPr>
              <w:jc w:val="center"/>
              <w:rPr>
                <w:rFonts w:asciiTheme="minorHAnsi" w:hAnsiTheme="minorHAnsi" w:cstheme="minorHAnsi"/>
                <w:b/>
                <w:bCs/>
                <w:i/>
                <w:iCs/>
                <w:color w:val="000000"/>
                <w:sz w:val="18"/>
                <w:szCs w:val="18"/>
              </w:rPr>
            </w:pPr>
            <w:r w:rsidRPr="00E00A22">
              <w:rPr>
                <w:rFonts w:asciiTheme="minorHAnsi" w:hAnsiTheme="minorHAnsi" w:cstheme="minorHAnsi"/>
                <w:b/>
                <w:i/>
                <w:color w:val="000000"/>
                <w:sz w:val="18"/>
              </w:rPr>
              <w:t>Activity</w:t>
            </w:r>
          </w:p>
        </w:tc>
        <w:tc>
          <w:tcPr>
            <w:tcW w:w="2180" w:type="dxa"/>
            <w:tcBorders>
              <w:top w:val="single" w:sz="4" w:space="0" w:color="auto"/>
              <w:left w:val="nil"/>
              <w:bottom w:val="single" w:sz="4" w:space="0" w:color="auto"/>
              <w:right w:val="single" w:sz="4" w:space="0" w:color="auto"/>
            </w:tcBorders>
            <w:shd w:val="clear" w:color="000000" w:fill="8497B0"/>
            <w:vAlign w:val="center"/>
            <w:hideMark/>
          </w:tcPr>
          <w:p w14:paraId="70C9A900" w14:textId="77777777" w:rsidR="00863011" w:rsidRPr="00E00A22" w:rsidRDefault="00863011" w:rsidP="00863011">
            <w:pPr>
              <w:jc w:val="center"/>
              <w:rPr>
                <w:rFonts w:asciiTheme="minorHAnsi" w:hAnsiTheme="minorHAnsi" w:cstheme="minorHAnsi"/>
                <w:b/>
                <w:bCs/>
                <w:i/>
                <w:iCs/>
                <w:color w:val="000000"/>
                <w:sz w:val="18"/>
                <w:szCs w:val="18"/>
              </w:rPr>
            </w:pPr>
            <w:r w:rsidRPr="00E00A22">
              <w:rPr>
                <w:rFonts w:asciiTheme="minorHAnsi" w:hAnsiTheme="minorHAnsi" w:cstheme="minorHAnsi"/>
                <w:b/>
                <w:i/>
                <w:color w:val="000000"/>
                <w:sz w:val="18"/>
              </w:rPr>
              <w:t xml:space="preserve"> Amount in USD</w:t>
            </w:r>
            <w:r w:rsidR="00D53734" w:rsidRPr="00E00A22">
              <w:rPr>
                <w:rFonts w:asciiTheme="minorHAnsi" w:hAnsiTheme="minorHAnsi" w:cstheme="minorHAnsi"/>
                <w:b/>
                <w:i/>
                <w:color w:val="000000"/>
                <w:sz w:val="18"/>
              </w:rPr>
              <w:t xml:space="preserve"> </w:t>
            </w:r>
          </w:p>
        </w:tc>
        <w:tc>
          <w:tcPr>
            <w:tcW w:w="2180" w:type="dxa"/>
            <w:tcBorders>
              <w:top w:val="single" w:sz="4" w:space="0" w:color="auto"/>
              <w:left w:val="nil"/>
              <w:bottom w:val="single" w:sz="4" w:space="0" w:color="auto"/>
              <w:right w:val="single" w:sz="4" w:space="0" w:color="auto"/>
            </w:tcBorders>
            <w:shd w:val="clear" w:color="000000" w:fill="8497B0"/>
            <w:vAlign w:val="center"/>
          </w:tcPr>
          <w:p w14:paraId="0365662E" w14:textId="77777777" w:rsidR="00863011" w:rsidRPr="00E00A22" w:rsidRDefault="00863011" w:rsidP="00863011">
            <w:pPr>
              <w:jc w:val="center"/>
              <w:rPr>
                <w:rFonts w:asciiTheme="minorHAnsi" w:hAnsiTheme="minorHAnsi" w:cstheme="minorHAnsi"/>
                <w:b/>
                <w:bCs/>
                <w:i/>
                <w:iCs/>
                <w:color w:val="000000"/>
                <w:sz w:val="18"/>
                <w:szCs w:val="18"/>
              </w:rPr>
            </w:pPr>
          </w:p>
        </w:tc>
      </w:tr>
      <w:tr w:rsidR="00863011" w:rsidRPr="00226801" w14:paraId="22D375B0" w14:textId="77777777" w:rsidTr="00EF220F">
        <w:trPr>
          <w:trHeight w:val="46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D42735C" w14:textId="77777777" w:rsidR="00863011" w:rsidRPr="00E00A22" w:rsidRDefault="00863011" w:rsidP="00B5762F">
            <w:pPr>
              <w:jc w:val="center"/>
              <w:rPr>
                <w:rFonts w:asciiTheme="minorHAnsi" w:hAnsiTheme="minorHAnsi" w:cstheme="minorHAnsi"/>
                <w:i/>
                <w:iCs/>
                <w:color w:val="000000"/>
                <w:sz w:val="18"/>
                <w:szCs w:val="18"/>
              </w:rPr>
            </w:pPr>
            <w:r w:rsidRPr="00E00A22">
              <w:rPr>
                <w:rFonts w:asciiTheme="minorHAnsi" w:hAnsiTheme="minorHAnsi" w:cstheme="minorHAnsi"/>
                <w:i/>
                <w:color w:val="000000"/>
                <w:sz w:val="18"/>
              </w:rPr>
              <w:t>1</w:t>
            </w:r>
          </w:p>
        </w:tc>
        <w:tc>
          <w:tcPr>
            <w:tcW w:w="4520" w:type="dxa"/>
            <w:tcBorders>
              <w:top w:val="nil"/>
              <w:left w:val="nil"/>
              <w:bottom w:val="single" w:sz="4" w:space="0" w:color="auto"/>
              <w:right w:val="single" w:sz="4" w:space="0" w:color="auto"/>
            </w:tcBorders>
            <w:shd w:val="clear" w:color="auto" w:fill="auto"/>
            <w:vAlign w:val="center"/>
            <w:hideMark/>
          </w:tcPr>
          <w:p w14:paraId="79509B69" w14:textId="77777777" w:rsidR="00863011" w:rsidRPr="00E00A22" w:rsidRDefault="00863011" w:rsidP="00B5762F">
            <w:pPr>
              <w:rPr>
                <w:rFonts w:asciiTheme="minorHAnsi" w:hAnsiTheme="minorHAnsi" w:cstheme="minorHAnsi"/>
                <w:i/>
                <w:iCs/>
                <w:color w:val="000000"/>
                <w:sz w:val="18"/>
                <w:szCs w:val="18"/>
              </w:rPr>
            </w:pPr>
            <w:r w:rsidRPr="00E00A22">
              <w:rPr>
                <w:rFonts w:asciiTheme="minorHAnsi" w:hAnsiTheme="minorHAnsi" w:cstheme="minorHAnsi"/>
                <w:i/>
                <w:color w:val="000000"/>
                <w:sz w:val="18"/>
              </w:rPr>
              <w:t xml:space="preserve">Workshop for designing training </w:t>
            </w:r>
            <w:proofErr w:type="gramStart"/>
            <w:r w:rsidRPr="00E00A22">
              <w:rPr>
                <w:rFonts w:asciiTheme="minorHAnsi" w:hAnsiTheme="minorHAnsi" w:cstheme="minorHAnsi"/>
                <w:i/>
                <w:color w:val="000000"/>
                <w:sz w:val="18"/>
              </w:rPr>
              <w:t>modules ,</w:t>
            </w:r>
            <w:proofErr w:type="gramEnd"/>
            <w:r w:rsidRPr="00E00A22">
              <w:rPr>
                <w:rFonts w:asciiTheme="minorHAnsi" w:hAnsiTheme="minorHAnsi" w:cstheme="minorHAnsi"/>
                <w:i/>
                <w:color w:val="000000"/>
                <w:sz w:val="18"/>
              </w:rPr>
              <w:t xml:space="preserve"> </w:t>
            </w:r>
            <w:r w:rsidR="00661A11" w:rsidRPr="00E00A22">
              <w:rPr>
                <w:rFonts w:asciiTheme="minorHAnsi" w:hAnsiTheme="minorHAnsi" w:cstheme="minorHAnsi"/>
                <w:i/>
                <w:color w:val="000000"/>
                <w:sz w:val="18"/>
              </w:rPr>
              <w:t>guides,</w:t>
            </w:r>
            <w:r w:rsidRPr="00E00A22">
              <w:rPr>
                <w:rFonts w:asciiTheme="minorHAnsi" w:hAnsiTheme="minorHAnsi" w:cstheme="minorHAnsi"/>
                <w:i/>
                <w:color w:val="000000"/>
                <w:sz w:val="18"/>
              </w:rPr>
              <w:t xml:space="preserve"> and communication materials</w:t>
            </w:r>
          </w:p>
        </w:tc>
        <w:tc>
          <w:tcPr>
            <w:tcW w:w="2180" w:type="dxa"/>
            <w:tcBorders>
              <w:top w:val="nil"/>
              <w:left w:val="nil"/>
              <w:bottom w:val="single" w:sz="4" w:space="0" w:color="auto"/>
              <w:right w:val="single" w:sz="4" w:space="0" w:color="auto"/>
            </w:tcBorders>
            <w:shd w:val="clear" w:color="auto" w:fill="auto"/>
            <w:vAlign w:val="center"/>
            <w:hideMark/>
          </w:tcPr>
          <w:p w14:paraId="24670940" w14:textId="77777777" w:rsidR="00863011" w:rsidRPr="00E00A22" w:rsidRDefault="00863011" w:rsidP="00B5762F">
            <w:pPr>
              <w:rPr>
                <w:rFonts w:asciiTheme="minorHAnsi" w:hAnsiTheme="minorHAnsi" w:cstheme="minorHAnsi"/>
                <w:i/>
                <w:iCs/>
                <w:color w:val="000000"/>
                <w:sz w:val="18"/>
                <w:szCs w:val="18"/>
              </w:rPr>
            </w:pPr>
            <w:r w:rsidRPr="00E00A22">
              <w:rPr>
                <w:rFonts w:asciiTheme="minorHAnsi" w:hAnsiTheme="minorHAnsi" w:cstheme="minorHAnsi"/>
                <w:i/>
                <w:color w:val="000000"/>
                <w:sz w:val="18"/>
              </w:rPr>
              <w:t>6,441</w:t>
            </w:r>
          </w:p>
        </w:tc>
        <w:tc>
          <w:tcPr>
            <w:tcW w:w="2180" w:type="dxa"/>
            <w:tcBorders>
              <w:top w:val="nil"/>
              <w:left w:val="nil"/>
              <w:bottom w:val="single" w:sz="4" w:space="0" w:color="auto"/>
              <w:right w:val="single" w:sz="4" w:space="0" w:color="auto"/>
            </w:tcBorders>
            <w:shd w:val="clear" w:color="auto" w:fill="auto"/>
            <w:vAlign w:val="center"/>
          </w:tcPr>
          <w:p w14:paraId="1FDAAAB4" w14:textId="77777777" w:rsidR="00863011" w:rsidRPr="00E00A22" w:rsidRDefault="00863011" w:rsidP="00B5762F">
            <w:pPr>
              <w:rPr>
                <w:rFonts w:asciiTheme="minorHAnsi" w:hAnsiTheme="minorHAnsi" w:cstheme="minorHAnsi"/>
                <w:i/>
                <w:iCs/>
                <w:color w:val="000000"/>
                <w:sz w:val="18"/>
                <w:szCs w:val="18"/>
              </w:rPr>
            </w:pPr>
          </w:p>
        </w:tc>
      </w:tr>
      <w:tr w:rsidR="00863011" w:rsidRPr="00226801" w14:paraId="55C26903" w14:textId="77777777" w:rsidTr="00EF220F">
        <w:trPr>
          <w:trHeight w:val="460"/>
        </w:trPr>
        <w:tc>
          <w:tcPr>
            <w:tcW w:w="640" w:type="dxa"/>
            <w:tcBorders>
              <w:top w:val="nil"/>
              <w:left w:val="single" w:sz="4" w:space="0" w:color="auto"/>
              <w:bottom w:val="single" w:sz="4" w:space="0" w:color="auto"/>
              <w:right w:val="single" w:sz="4" w:space="0" w:color="auto"/>
            </w:tcBorders>
            <w:shd w:val="clear" w:color="000000" w:fill="D3E5F6"/>
            <w:vAlign w:val="center"/>
            <w:hideMark/>
          </w:tcPr>
          <w:p w14:paraId="2556A08E" w14:textId="77777777" w:rsidR="00863011" w:rsidRPr="00E00A22" w:rsidRDefault="00863011" w:rsidP="00B5762F">
            <w:pPr>
              <w:jc w:val="center"/>
              <w:rPr>
                <w:rFonts w:asciiTheme="minorHAnsi" w:hAnsiTheme="minorHAnsi" w:cstheme="minorHAnsi"/>
                <w:i/>
                <w:iCs/>
                <w:color w:val="000000"/>
                <w:sz w:val="18"/>
                <w:szCs w:val="18"/>
              </w:rPr>
            </w:pPr>
            <w:r w:rsidRPr="00E00A22">
              <w:rPr>
                <w:rFonts w:asciiTheme="minorHAnsi" w:hAnsiTheme="minorHAnsi" w:cstheme="minorHAnsi"/>
                <w:i/>
                <w:color w:val="000000"/>
                <w:sz w:val="18"/>
              </w:rPr>
              <w:t>2</w:t>
            </w:r>
          </w:p>
        </w:tc>
        <w:tc>
          <w:tcPr>
            <w:tcW w:w="4520" w:type="dxa"/>
            <w:tcBorders>
              <w:top w:val="nil"/>
              <w:left w:val="nil"/>
              <w:bottom w:val="single" w:sz="4" w:space="0" w:color="auto"/>
              <w:right w:val="single" w:sz="4" w:space="0" w:color="auto"/>
            </w:tcBorders>
            <w:shd w:val="clear" w:color="000000" w:fill="D3E5F6"/>
            <w:vAlign w:val="center"/>
            <w:hideMark/>
          </w:tcPr>
          <w:p w14:paraId="075A233C" w14:textId="77777777" w:rsidR="00863011" w:rsidRPr="00E00A22" w:rsidRDefault="00863011" w:rsidP="00B5762F">
            <w:pPr>
              <w:rPr>
                <w:rFonts w:asciiTheme="minorHAnsi" w:hAnsiTheme="minorHAnsi" w:cstheme="minorHAnsi"/>
                <w:i/>
                <w:iCs/>
                <w:color w:val="000000"/>
                <w:sz w:val="18"/>
                <w:szCs w:val="18"/>
              </w:rPr>
            </w:pPr>
            <w:r w:rsidRPr="00E00A22">
              <w:rPr>
                <w:rFonts w:asciiTheme="minorHAnsi" w:hAnsiTheme="minorHAnsi" w:cstheme="minorHAnsi"/>
                <w:i/>
                <w:color w:val="000000"/>
                <w:sz w:val="18"/>
              </w:rPr>
              <w:t xml:space="preserve">Production and distribution of communication </w:t>
            </w:r>
            <w:r w:rsidR="008B0F16" w:rsidRPr="005304F3">
              <w:rPr>
                <w:rFonts w:asciiTheme="minorHAnsi" w:hAnsiTheme="minorHAnsi" w:cstheme="minorHAnsi"/>
                <w:i/>
                <w:color w:val="000000"/>
                <w:sz w:val="18"/>
              </w:rPr>
              <w:t>tools,</w:t>
            </w:r>
            <w:r w:rsidRPr="00E00A22">
              <w:rPr>
                <w:rFonts w:asciiTheme="minorHAnsi" w:hAnsiTheme="minorHAnsi" w:cstheme="minorHAnsi"/>
                <w:i/>
                <w:color w:val="000000"/>
                <w:sz w:val="18"/>
              </w:rPr>
              <w:t xml:space="preserve"> </w:t>
            </w:r>
            <w:r w:rsidR="00661A11" w:rsidRPr="00E00A22">
              <w:rPr>
                <w:rFonts w:asciiTheme="minorHAnsi" w:hAnsiTheme="minorHAnsi" w:cstheme="minorHAnsi"/>
                <w:i/>
                <w:color w:val="000000"/>
                <w:sz w:val="18"/>
              </w:rPr>
              <w:t>guides,</w:t>
            </w:r>
            <w:r w:rsidRPr="00E00A22">
              <w:rPr>
                <w:rFonts w:asciiTheme="minorHAnsi" w:hAnsiTheme="minorHAnsi" w:cstheme="minorHAnsi"/>
                <w:i/>
                <w:color w:val="000000"/>
                <w:sz w:val="18"/>
              </w:rPr>
              <w:t xml:space="preserve"> and materials</w:t>
            </w:r>
          </w:p>
        </w:tc>
        <w:tc>
          <w:tcPr>
            <w:tcW w:w="2180" w:type="dxa"/>
            <w:tcBorders>
              <w:top w:val="nil"/>
              <w:left w:val="nil"/>
              <w:bottom w:val="single" w:sz="4" w:space="0" w:color="auto"/>
              <w:right w:val="single" w:sz="4" w:space="0" w:color="auto"/>
            </w:tcBorders>
            <w:shd w:val="clear" w:color="000000" w:fill="D3E5F6"/>
            <w:vAlign w:val="center"/>
            <w:hideMark/>
          </w:tcPr>
          <w:p w14:paraId="28065864" w14:textId="77777777" w:rsidR="00863011" w:rsidRPr="00E00A22" w:rsidRDefault="00863011" w:rsidP="00B5762F">
            <w:pPr>
              <w:rPr>
                <w:rFonts w:asciiTheme="minorHAnsi" w:hAnsiTheme="minorHAnsi" w:cstheme="minorHAnsi"/>
                <w:i/>
                <w:iCs/>
                <w:color w:val="000000"/>
                <w:sz w:val="18"/>
                <w:szCs w:val="18"/>
              </w:rPr>
            </w:pPr>
            <w:r w:rsidRPr="00E00A22">
              <w:rPr>
                <w:rFonts w:asciiTheme="minorHAnsi" w:hAnsiTheme="minorHAnsi" w:cstheme="minorHAnsi"/>
                <w:i/>
                <w:color w:val="000000"/>
                <w:sz w:val="18"/>
              </w:rPr>
              <w:t>88,327</w:t>
            </w:r>
          </w:p>
        </w:tc>
        <w:tc>
          <w:tcPr>
            <w:tcW w:w="2180" w:type="dxa"/>
            <w:tcBorders>
              <w:top w:val="nil"/>
              <w:left w:val="nil"/>
              <w:bottom w:val="single" w:sz="4" w:space="0" w:color="auto"/>
              <w:right w:val="single" w:sz="4" w:space="0" w:color="auto"/>
            </w:tcBorders>
            <w:shd w:val="clear" w:color="000000" w:fill="D3E5F6"/>
            <w:vAlign w:val="center"/>
          </w:tcPr>
          <w:p w14:paraId="1679B285" w14:textId="77777777" w:rsidR="00863011" w:rsidRPr="00E00A22" w:rsidRDefault="00863011" w:rsidP="00B5762F">
            <w:pPr>
              <w:rPr>
                <w:rFonts w:asciiTheme="minorHAnsi" w:hAnsiTheme="minorHAnsi" w:cstheme="minorHAnsi"/>
                <w:i/>
                <w:iCs/>
                <w:color w:val="000000"/>
                <w:sz w:val="18"/>
                <w:szCs w:val="18"/>
              </w:rPr>
            </w:pPr>
          </w:p>
        </w:tc>
      </w:tr>
      <w:tr w:rsidR="00863011" w:rsidRPr="00226801" w14:paraId="4CA92173" w14:textId="77777777" w:rsidTr="00EF220F">
        <w:trPr>
          <w:trHeight w:val="46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E4389FC" w14:textId="77777777" w:rsidR="00863011" w:rsidRPr="00E00A22" w:rsidRDefault="00863011" w:rsidP="00B5762F">
            <w:pPr>
              <w:jc w:val="center"/>
              <w:rPr>
                <w:rFonts w:asciiTheme="minorHAnsi" w:hAnsiTheme="minorHAnsi" w:cstheme="minorHAnsi"/>
                <w:i/>
                <w:iCs/>
                <w:color w:val="000000"/>
                <w:sz w:val="18"/>
                <w:szCs w:val="18"/>
              </w:rPr>
            </w:pPr>
            <w:r w:rsidRPr="00E00A22">
              <w:rPr>
                <w:rFonts w:asciiTheme="minorHAnsi" w:hAnsiTheme="minorHAnsi" w:cstheme="minorHAnsi"/>
                <w:i/>
                <w:color w:val="000000"/>
                <w:sz w:val="18"/>
              </w:rPr>
              <w:t>3</w:t>
            </w:r>
          </w:p>
        </w:tc>
        <w:tc>
          <w:tcPr>
            <w:tcW w:w="4520" w:type="dxa"/>
            <w:tcBorders>
              <w:top w:val="nil"/>
              <w:left w:val="nil"/>
              <w:bottom w:val="single" w:sz="4" w:space="0" w:color="auto"/>
              <w:right w:val="single" w:sz="4" w:space="0" w:color="auto"/>
            </w:tcBorders>
            <w:shd w:val="clear" w:color="auto" w:fill="auto"/>
            <w:vAlign w:val="center"/>
            <w:hideMark/>
          </w:tcPr>
          <w:p w14:paraId="20113F9F" w14:textId="77777777" w:rsidR="00863011" w:rsidRPr="00E00A22" w:rsidRDefault="00863011" w:rsidP="00B5762F">
            <w:pPr>
              <w:rPr>
                <w:rFonts w:asciiTheme="minorHAnsi" w:hAnsiTheme="minorHAnsi" w:cstheme="minorHAnsi"/>
                <w:i/>
                <w:iCs/>
                <w:color w:val="000000"/>
                <w:sz w:val="18"/>
                <w:szCs w:val="18"/>
              </w:rPr>
            </w:pPr>
            <w:r w:rsidRPr="00E00A22">
              <w:rPr>
                <w:rFonts w:asciiTheme="minorHAnsi" w:hAnsiTheme="minorHAnsi" w:cstheme="minorHAnsi"/>
                <w:i/>
                <w:color w:val="000000"/>
                <w:sz w:val="18"/>
              </w:rPr>
              <w:t>Briefing for national facilitators</w:t>
            </w:r>
          </w:p>
        </w:tc>
        <w:tc>
          <w:tcPr>
            <w:tcW w:w="2180" w:type="dxa"/>
            <w:tcBorders>
              <w:top w:val="nil"/>
              <w:left w:val="nil"/>
              <w:bottom w:val="single" w:sz="4" w:space="0" w:color="auto"/>
              <w:right w:val="single" w:sz="4" w:space="0" w:color="auto"/>
            </w:tcBorders>
            <w:shd w:val="clear" w:color="auto" w:fill="auto"/>
            <w:vAlign w:val="center"/>
            <w:hideMark/>
          </w:tcPr>
          <w:p w14:paraId="50C27DA5" w14:textId="77777777" w:rsidR="00863011" w:rsidRPr="00E00A22" w:rsidRDefault="00863011" w:rsidP="00B5762F">
            <w:pPr>
              <w:rPr>
                <w:rFonts w:asciiTheme="minorHAnsi" w:hAnsiTheme="minorHAnsi" w:cstheme="minorHAnsi"/>
                <w:i/>
                <w:iCs/>
                <w:color w:val="000000"/>
                <w:sz w:val="18"/>
                <w:szCs w:val="18"/>
              </w:rPr>
            </w:pPr>
            <w:r w:rsidRPr="00E00A22">
              <w:rPr>
                <w:rFonts w:asciiTheme="minorHAnsi" w:hAnsiTheme="minorHAnsi" w:cstheme="minorHAnsi"/>
                <w:i/>
                <w:color w:val="000000"/>
                <w:sz w:val="18"/>
              </w:rPr>
              <w:t>-</w:t>
            </w:r>
          </w:p>
        </w:tc>
        <w:tc>
          <w:tcPr>
            <w:tcW w:w="2180" w:type="dxa"/>
            <w:tcBorders>
              <w:top w:val="nil"/>
              <w:left w:val="nil"/>
              <w:bottom w:val="single" w:sz="4" w:space="0" w:color="auto"/>
              <w:right w:val="single" w:sz="4" w:space="0" w:color="auto"/>
            </w:tcBorders>
            <w:shd w:val="clear" w:color="auto" w:fill="auto"/>
            <w:vAlign w:val="center"/>
          </w:tcPr>
          <w:p w14:paraId="505AF656" w14:textId="77777777" w:rsidR="00863011" w:rsidRPr="00E00A22" w:rsidRDefault="00863011" w:rsidP="00B5762F">
            <w:pPr>
              <w:rPr>
                <w:rFonts w:asciiTheme="minorHAnsi" w:hAnsiTheme="minorHAnsi" w:cstheme="minorHAnsi"/>
                <w:i/>
                <w:iCs/>
                <w:color w:val="000000"/>
                <w:sz w:val="18"/>
                <w:szCs w:val="18"/>
              </w:rPr>
            </w:pPr>
          </w:p>
        </w:tc>
      </w:tr>
      <w:tr w:rsidR="00863011" w:rsidRPr="00226801" w14:paraId="4D07AA7E" w14:textId="77777777" w:rsidTr="00EF220F">
        <w:trPr>
          <w:trHeight w:val="460"/>
        </w:trPr>
        <w:tc>
          <w:tcPr>
            <w:tcW w:w="640" w:type="dxa"/>
            <w:tcBorders>
              <w:top w:val="nil"/>
              <w:left w:val="single" w:sz="4" w:space="0" w:color="auto"/>
              <w:bottom w:val="single" w:sz="4" w:space="0" w:color="auto"/>
              <w:right w:val="single" w:sz="4" w:space="0" w:color="auto"/>
            </w:tcBorders>
            <w:shd w:val="clear" w:color="000000" w:fill="D3E5F6"/>
            <w:vAlign w:val="center"/>
            <w:hideMark/>
          </w:tcPr>
          <w:p w14:paraId="0F751B50" w14:textId="77777777" w:rsidR="00863011" w:rsidRPr="00E00A22" w:rsidRDefault="00863011" w:rsidP="00B5762F">
            <w:pPr>
              <w:jc w:val="center"/>
              <w:rPr>
                <w:rFonts w:asciiTheme="minorHAnsi" w:hAnsiTheme="minorHAnsi" w:cstheme="minorHAnsi"/>
                <w:i/>
                <w:iCs/>
                <w:color w:val="000000"/>
                <w:sz w:val="18"/>
                <w:szCs w:val="18"/>
              </w:rPr>
            </w:pPr>
            <w:r w:rsidRPr="00E00A22">
              <w:rPr>
                <w:rFonts w:asciiTheme="minorHAnsi" w:hAnsiTheme="minorHAnsi" w:cstheme="minorHAnsi"/>
                <w:i/>
                <w:color w:val="000000"/>
                <w:sz w:val="18"/>
              </w:rPr>
              <w:t>4</w:t>
            </w:r>
          </w:p>
        </w:tc>
        <w:tc>
          <w:tcPr>
            <w:tcW w:w="4520" w:type="dxa"/>
            <w:tcBorders>
              <w:top w:val="nil"/>
              <w:left w:val="nil"/>
              <w:bottom w:val="single" w:sz="4" w:space="0" w:color="auto"/>
              <w:right w:val="single" w:sz="4" w:space="0" w:color="auto"/>
            </w:tcBorders>
            <w:shd w:val="clear" w:color="000000" w:fill="D3E5F6"/>
            <w:vAlign w:val="center"/>
            <w:hideMark/>
          </w:tcPr>
          <w:p w14:paraId="1AA57A12" w14:textId="77777777" w:rsidR="00863011" w:rsidRPr="00E00A22" w:rsidRDefault="00863011" w:rsidP="00B5762F">
            <w:pPr>
              <w:rPr>
                <w:rFonts w:asciiTheme="minorHAnsi" w:hAnsiTheme="minorHAnsi" w:cstheme="minorHAnsi"/>
                <w:i/>
                <w:iCs/>
                <w:color w:val="000000"/>
                <w:sz w:val="18"/>
                <w:szCs w:val="18"/>
              </w:rPr>
            </w:pPr>
            <w:r w:rsidRPr="00E00A22">
              <w:rPr>
                <w:rFonts w:asciiTheme="minorHAnsi" w:hAnsiTheme="minorHAnsi" w:cstheme="minorHAnsi"/>
                <w:i/>
                <w:color w:val="000000"/>
                <w:sz w:val="18"/>
              </w:rPr>
              <w:t>Briefing for HD management teams at the regional level</w:t>
            </w:r>
          </w:p>
        </w:tc>
        <w:tc>
          <w:tcPr>
            <w:tcW w:w="2180" w:type="dxa"/>
            <w:tcBorders>
              <w:top w:val="nil"/>
              <w:left w:val="nil"/>
              <w:bottom w:val="single" w:sz="4" w:space="0" w:color="auto"/>
              <w:right w:val="single" w:sz="4" w:space="0" w:color="auto"/>
            </w:tcBorders>
            <w:shd w:val="clear" w:color="000000" w:fill="D3E5F6"/>
            <w:vAlign w:val="center"/>
            <w:hideMark/>
          </w:tcPr>
          <w:p w14:paraId="5948CC3F" w14:textId="77777777" w:rsidR="00863011" w:rsidRPr="00E00A22" w:rsidRDefault="00863011" w:rsidP="00B5762F">
            <w:pPr>
              <w:rPr>
                <w:rFonts w:asciiTheme="minorHAnsi" w:hAnsiTheme="minorHAnsi" w:cstheme="minorHAnsi"/>
                <w:i/>
                <w:iCs/>
                <w:color w:val="000000"/>
                <w:sz w:val="18"/>
                <w:szCs w:val="18"/>
              </w:rPr>
            </w:pPr>
            <w:r w:rsidRPr="00E00A22">
              <w:rPr>
                <w:rFonts w:asciiTheme="minorHAnsi" w:hAnsiTheme="minorHAnsi" w:cstheme="minorHAnsi"/>
                <w:i/>
                <w:color w:val="000000"/>
                <w:sz w:val="18"/>
              </w:rPr>
              <w:t>57,233</w:t>
            </w:r>
          </w:p>
        </w:tc>
        <w:tc>
          <w:tcPr>
            <w:tcW w:w="2180" w:type="dxa"/>
            <w:tcBorders>
              <w:top w:val="nil"/>
              <w:left w:val="nil"/>
              <w:bottom w:val="single" w:sz="4" w:space="0" w:color="auto"/>
              <w:right w:val="single" w:sz="4" w:space="0" w:color="auto"/>
            </w:tcBorders>
            <w:shd w:val="clear" w:color="000000" w:fill="D3E5F6"/>
            <w:vAlign w:val="center"/>
          </w:tcPr>
          <w:p w14:paraId="58D06035" w14:textId="77777777" w:rsidR="00863011" w:rsidRPr="00E00A22" w:rsidRDefault="00863011" w:rsidP="00B5762F">
            <w:pPr>
              <w:rPr>
                <w:rFonts w:asciiTheme="minorHAnsi" w:hAnsiTheme="minorHAnsi" w:cstheme="minorHAnsi"/>
                <w:i/>
                <w:iCs/>
                <w:color w:val="000000"/>
                <w:sz w:val="18"/>
                <w:szCs w:val="18"/>
              </w:rPr>
            </w:pPr>
          </w:p>
        </w:tc>
      </w:tr>
      <w:tr w:rsidR="00863011" w:rsidRPr="00226801" w14:paraId="6E38E2F8" w14:textId="77777777" w:rsidTr="00EF220F">
        <w:trPr>
          <w:trHeight w:val="46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A248A6D" w14:textId="77777777" w:rsidR="00863011" w:rsidRPr="00E00A22" w:rsidRDefault="00863011" w:rsidP="00B5762F">
            <w:pPr>
              <w:jc w:val="center"/>
              <w:rPr>
                <w:rFonts w:asciiTheme="minorHAnsi" w:hAnsiTheme="minorHAnsi" w:cstheme="minorHAnsi"/>
                <w:i/>
                <w:iCs/>
                <w:color w:val="000000"/>
                <w:sz w:val="18"/>
                <w:szCs w:val="18"/>
              </w:rPr>
            </w:pPr>
            <w:r w:rsidRPr="00E00A22">
              <w:rPr>
                <w:rFonts w:asciiTheme="minorHAnsi" w:hAnsiTheme="minorHAnsi" w:cstheme="minorHAnsi"/>
                <w:i/>
                <w:color w:val="000000"/>
                <w:sz w:val="18"/>
              </w:rPr>
              <w:t>5</w:t>
            </w:r>
          </w:p>
        </w:tc>
        <w:tc>
          <w:tcPr>
            <w:tcW w:w="4520" w:type="dxa"/>
            <w:tcBorders>
              <w:top w:val="nil"/>
              <w:left w:val="nil"/>
              <w:bottom w:val="single" w:sz="4" w:space="0" w:color="auto"/>
              <w:right w:val="single" w:sz="4" w:space="0" w:color="auto"/>
            </w:tcBorders>
            <w:shd w:val="clear" w:color="auto" w:fill="auto"/>
            <w:vAlign w:val="center"/>
            <w:hideMark/>
          </w:tcPr>
          <w:p w14:paraId="26DF4B98" w14:textId="77777777" w:rsidR="00863011" w:rsidRPr="00E00A22" w:rsidRDefault="00863011" w:rsidP="00B5762F">
            <w:pPr>
              <w:rPr>
                <w:rFonts w:asciiTheme="minorHAnsi" w:hAnsiTheme="minorHAnsi" w:cstheme="minorHAnsi"/>
                <w:i/>
                <w:iCs/>
                <w:color w:val="000000"/>
                <w:sz w:val="18"/>
                <w:szCs w:val="18"/>
              </w:rPr>
            </w:pPr>
            <w:r w:rsidRPr="00E00A22">
              <w:rPr>
                <w:rFonts w:asciiTheme="minorHAnsi" w:hAnsiTheme="minorHAnsi" w:cstheme="minorHAnsi"/>
                <w:i/>
                <w:color w:val="000000"/>
                <w:sz w:val="18"/>
              </w:rPr>
              <w:t xml:space="preserve">Briefing for health centre managers </w:t>
            </w:r>
          </w:p>
        </w:tc>
        <w:tc>
          <w:tcPr>
            <w:tcW w:w="2180" w:type="dxa"/>
            <w:tcBorders>
              <w:top w:val="nil"/>
              <w:left w:val="nil"/>
              <w:bottom w:val="single" w:sz="4" w:space="0" w:color="auto"/>
              <w:right w:val="single" w:sz="4" w:space="0" w:color="auto"/>
            </w:tcBorders>
            <w:shd w:val="clear" w:color="auto" w:fill="auto"/>
            <w:vAlign w:val="center"/>
            <w:hideMark/>
          </w:tcPr>
          <w:p w14:paraId="5F63D172" w14:textId="77777777" w:rsidR="00863011" w:rsidRPr="00E00A22" w:rsidRDefault="00863011" w:rsidP="00B5762F">
            <w:pPr>
              <w:rPr>
                <w:rFonts w:asciiTheme="minorHAnsi" w:hAnsiTheme="minorHAnsi" w:cstheme="minorHAnsi"/>
                <w:i/>
                <w:iCs/>
                <w:color w:val="000000"/>
                <w:sz w:val="18"/>
                <w:szCs w:val="18"/>
              </w:rPr>
            </w:pPr>
            <w:r w:rsidRPr="00E00A22">
              <w:rPr>
                <w:rFonts w:asciiTheme="minorHAnsi" w:hAnsiTheme="minorHAnsi" w:cstheme="minorHAnsi"/>
                <w:i/>
                <w:color w:val="000000"/>
                <w:sz w:val="18"/>
              </w:rPr>
              <w:t>40,318</w:t>
            </w:r>
          </w:p>
        </w:tc>
        <w:tc>
          <w:tcPr>
            <w:tcW w:w="2180" w:type="dxa"/>
            <w:tcBorders>
              <w:top w:val="nil"/>
              <w:left w:val="nil"/>
              <w:bottom w:val="single" w:sz="4" w:space="0" w:color="auto"/>
              <w:right w:val="single" w:sz="4" w:space="0" w:color="auto"/>
            </w:tcBorders>
            <w:shd w:val="clear" w:color="auto" w:fill="auto"/>
            <w:vAlign w:val="center"/>
          </w:tcPr>
          <w:p w14:paraId="1366EA58" w14:textId="77777777" w:rsidR="00863011" w:rsidRPr="00E00A22" w:rsidRDefault="00863011" w:rsidP="00B5762F">
            <w:pPr>
              <w:rPr>
                <w:rFonts w:asciiTheme="minorHAnsi" w:hAnsiTheme="minorHAnsi" w:cstheme="minorHAnsi"/>
                <w:i/>
                <w:iCs/>
                <w:color w:val="000000"/>
                <w:sz w:val="18"/>
                <w:szCs w:val="18"/>
              </w:rPr>
            </w:pPr>
          </w:p>
        </w:tc>
      </w:tr>
      <w:tr w:rsidR="00863011" w:rsidRPr="00226801" w14:paraId="4421C7E9" w14:textId="77777777" w:rsidTr="00EF220F">
        <w:trPr>
          <w:trHeight w:val="460"/>
        </w:trPr>
        <w:tc>
          <w:tcPr>
            <w:tcW w:w="640" w:type="dxa"/>
            <w:tcBorders>
              <w:top w:val="nil"/>
              <w:left w:val="single" w:sz="4" w:space="0" w:color="auto"/>
              <w:bottom w:val="single" w:sz="4" w:space="0" w:color="auto"/>
              <w:right w:val="single" w:sz="4" w:space="0" w:color="auto"/>
            </w:tcBorders>
            <w:shd w:val="clear" w:color="000000" w:fill="D3E5F6"/>
            <w:vAlign w:val="center"/>
            <w:hideMark/>
          </w:tcPr>
          <w:p w14:paraId="17683C5B" w14:textId="77777777" w:rsidR="00863011" w:rsidRPr="00E00A22" w:rsidRDefault="00863011" w:rsidP="00B5762F">
            <w:pPr>
              <w:jc w:val="center"/>
              <w:rPr>
                <w:rFonts w:asciiTheme="minorHAnsi" w:hAnsiTheme="minorHAnsi" w:cstheme="minorHAnsi"/>
                <w:i/>
                <w:iCs/>
                <w:color w:val="000000"/>
                <w:sz w:val="18"/>
                <w:szCs w:val="18"/>
              </w:rPr>
            </w:pPr>
            <w:r w:rsidRPr="00E00A22">
              <w:rPr>
                <w:rFonts w:asciiTheme="minorHAnsi" w:hAnsiTheme="minorHAnsi" w:cstheme="minorHAnsi"/>
                <w:i/>
                <w:color w:val="000000"/>
                <w:sz w:val="18"/>
              </w:rPr>
              <w:t>6</w:t>
            </w:r>
          </w:p>
        </w:tc>
        <w:tc>
          <w:tcPr>
            <w:tcW w:w="4520" w:type="dxa"/>
            <w:tcBorders>
              <w:top w:val="nil"/>
              <w:left w:val="nil"/>
              <w:bottom w:val="single" w:sz="4" w:space="0" w:color="auto"/>
              <w:right w:val="single" w:sz="4" w:space="0" w:color="auto"/>
            </w:tcBorders>
            <w:shd w:val="clear" w:color="000000" w:fill="D3E5F6"/>
            <w:vAlign w:val="center"/>
            <w:hideMark/>
          </w:tcPr>
          <w:p w14:paraId="14E03711" w14:textId="77777777" w:rsidR="00863011" w:rsidRPr="00E00A22" w:rsidRDefault="00863011" w:rsidP="00B5762F">
            <w:pPr>
              <w:rPr>
                <w:rFonts w:asciiTheme="minorHAnsi" w:hAnsiTheme="minorHAnsi" w:cstheme="minorHAnsi"/>
                <w:i/>
                <w:iCs/>
                <w:color w:val="000000"/>
                <w:sz w:val="18"/>
                <w:szCs w:val="18"/>
              </w:rPr>
            </w:pPr>
            <w:r w:rsidRPr="00E00A22">
              <w:rPr>
                <w:rFonts w:asciiTheme="minorHAnsi" w:hAnsiTheme="minorHAnsi" w:cstheme="minorHAnsi"/>
                <w:i/>
                <w:color w:val="000000"/>
                <w:sz w:val="18"/>
              </w:rPr>
              <w:t>Vaccine delivery to regional warehouses</w:t>
            </w:r>
          </w:p>
        </w:tc>
        <w:tc>
          <w:tcPr>
            <w:tcW w:w="2180" w:type="dxa"/>
            <w:tcBorders>
              <w:top w:val="nil"/>
              <w:left w:val="nil"/>
              <w:bottom w:val="single" w:sz="4" w:space="0" w:color="auto"/>
              <w:right w:val="single" w:sz="4" w:space="0" w:color="auto"/>
            </w:tcBorders>
            <w:shd w:val="clear" w:color="000000" w:fill="D3E5F6"/>
            <w:vAlign w:val="center"/>
            <w:hideMark/>
          </w:tcPr>
          <w:p w14:paraId="78AD5001" w14:textId="77777777" w:rsidR="00863011" w:rsidRPr="00E00A22" w:rsidRDefault="00863011" w:rsidP="00B5762F">
            <w:pPr>
              <w:rPr>
                <w:rFonts w:asciiTheme="minorHAnsi" w:hAnsiTheme="minorHAnsi" w:cstheme="minorHAnsi"/>
                <w:i/>
                <w:iCs/>
                <w:color w:val="000000"/>
                <w:sz w:val="18"/>
                <w:szCs w:val="18"/>
              </w:rPr>
            </w:pPr>
            <w:r w:rsidRPr="00E00A22">
              <w:rPr>
                <w:rFonts w:asciiTheme="minorHAnsi" w:hAnsiTheme="minorHAnsi" w:cstheme="minorHAnsi"/>
                <w:i/>
                <w:color w:val="000000"/>
                <w:sz w:val="18"/>
              </w:rPr>
              <w:t>5,755</w:t>
            </w:r>
          </w:p>
        </w:tc>
        <w:tc>
          <w:tcPr>
            <w:tcW w:w="2180" w:type="dxa"/>
            <w:tcBorders>
              <w:top w:val="nil"/>
              <w:left w:val="nil"/>
              <w:bottom w:val="single" w:sz="4" w:space="0" w:color="auto"/>
              <w:right w:val="single" w:sz="4" w:space="0" w:color="auto"/>
            </w:tcBorders>
            <w:shd w:val="clear" w:color="000000" w:fill="D3E5F6"/>
            <w:vAlign w:val="center"/>
          </w:tcPr>
          <w:p w14:paraId="2BE3257C" w14:textId="77777777" w:rsidR="00863011" w:rsidRPr="00E00A22" w:rsidRDefault="00863011" w:rsidP="00B5762F">
            <w:pPr>
              <w:rPr>
                <w:rFonts w:asciiTheme="minorHAnsi" w:hAnsiTheme="minorHAnsi" w:cstheme="minorHAnsi"/>
                <w:i/>
                <w:iCs/>
                <w:color w:val="000000"/>
                <w:sz w:val="18"/>
                <w:szCs w:val="18"/>
              </w:rPr>
            </w:pPr>
          </w:p>
        </w:tc>
      </w:tr>
      <w:tr w:rsidR="00863011" w:rsidRPr="00226801" w14:paraId="20994C19" w14:textId="77777777" w:rsidTr="00EF220F">
        <w:trPr>
          <w:trHeight w:val="46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EFF0285" w14:textId="77777777" w:rsidR="00863011" w:rsidRPr="00E00A22" w:rsidRDefault="00863011" w:rsidP="00B5762F">
            <w:pPr>
              <w:jc w:val="center"/>
              <w:rPr>
                <w:rFonts w:asciiTheme="minorHAnsi" w:hAnsiTheme="minorHAnsi" w:cstheme="minorHAnsi"/>
                <w:i/>
                <w:iCs/>
                <w:color w:val="000000"/>
                <w:sz w:val="18"/>
                <w:szCs w:val="18"/>
              </w:rPr>
            </w:pPr>
            <w:r w:rsidRPr="00E00A22">
              <w:rPr>
                <w:rFonts w:asciiTheme="minorHAnsi" w:hAnsiTheme="minorHAnsi" w:cstheme="minorHAnsi"/>
                <w:i/>
                <w:color w:val="000000"/>
                <w:sz w:val="18"/>
              </w:rPr>
              <w:t>7</w:t>
            </w:r>
          </w:p>
        </w:tc>
        <w:tc>
          <w:tcPr>
            <w:tcW w:w="4520" w:type="dxa"/>
            <w:tcBorders>
              <w:top w:val="nil"/>
              <w:left w:val="nil"/>
              <w:bottom w:val="single" w:sz="4" w:space="0" w:color="auto"/>
              <w:right w:val="single" w:sz="4" w:space="0" w:color="auto"/>
            </w:tcBorders>
            <w:shd w:val="clear" w:color="auto" w:fill="auto"/>
            <w:vAlign w:val="center"/>
            <w:hideMark/>
          </w:tcPr>
          <w:p w14:paraId="78109017" w14:textId="77777777" w:rsidR="00863011" w:rsidRPr="00E00A22" w:rsidRDefault="00863011" w:rsidP="00B5762F">
            <w:pPr>
              <w:rPr>
                <w:rFonts w:asciiTheme="minorHAnsi" w:hAnsiTheme="minorHAnsi" w:cstheme="minorHAnsi"/>
                <w:i/>
                <w:iCs/>
                <w:color w:val="000000"/>
                <w:sz w:val="18"/>
                <w:szCs w:val="18"/>
              </w:rPr>
            </w:pPr>
            <w:r w:rsidRPr="00E00A22">
              <w:rPr>
                <w:rFonts w:asciiTheme="minorHAnsi" w:hAnsiTheme="minorHAnsi" w:cstheme="minorHAnsi"/>
                <w:i/>
                <w:color w:val="000000"/>
                <w:sz w:val="18"/>
              </w:rPr>
              <w:t>Vaccine delivery to Health Districts and Centres</w:t>
            </w:r>
          </w:p>
        </w:tc>
        <w:tc>
          <w:tcPr>
            <w:tcW w:w="2180" w:type="dxa"/>
            <w:tcBorders>
              <w:top w:val="nil"/>
              <w:left w:val="nil"/>
              <w:bottom w:val="single" w:sz="4" w:space="0" w:color="auto"/>
              <w:right w:val="single" w:sz="4" w:space="0" w:color="auto"/>
            </w:tcBorders>
            <w:shd w:val="clear" w:color="auto" w:fill="auto"/>
            <w:vAlign w:val="center"/>
            <w:hideMark/>
          </w:tcPr>
          <w:p w14:paraId="2E74B226" w14:textId="77777777" w:rsidR="00863011" w:rsidRPr="00E00A22" w:rsidRDefault="00863011" w:rsidP="00B5762F">
            <w:pPr>
              <w:rPr>
                <w:rFonts w:asciiTheme="minorHAnsi" w:hAnsiTheme="minorHAnsi" w:cstheme="minorHAnsi"/>
                <w:i/>
                <w:iCs/>
                <w:color w:val="000000"/>
                <w:sz w:val="18"/>
                <w:szCs w:val="18"/>
              </w:rPr>
            </w:pPr>
            <w:r w:rsidRPr="00E00A22">
              <w:rPr>
                <w:rFonts w:asciiTheme="minorHAnsi" w:hAnsiTheme="minorHAnsi" w:cstheme="minorHAnsi"/>
                <w:i/>
                <w:color w:val="000000"/>
                <w:sz w:val="18"/>
              </w:rPr>
              <w:t>20,600</w:t>
            </w:r>
          </w:p>
        </w:tc>
        <w:tc>
          <w:tcPr>
            <w:tcW w:w="2180" w:type="dxa"/>
            <w:tcBorders>
              <w:top w:val="nil"/>
              <w:left w:val="nil"/>
              <w:bottom w:val="single" w:sz="4" w:space="0" w:color="auto"/>
              <w:right w:val="single" w:sz="4" w:space="0" w:color="auto"/>
            </w:tcBorders>
            <w:shd w:val="clear" w:color="auto" w:fill="auto"/>
            <w:vAlign w:val="center"/>
          </w:tcPr>
          <w:p w14:paraId="4DE335F1" w14:textId="77777777" w:rsidR="00863011" w:rsidRPr="00E00A22" w:rsidRDefault="00863011" w:rsidP="00B5762F">
            <w:pPr>
              <w:rPr>
                <w:rFonts w:asciiTheme="minorHAnsi" w:hAnsiTheme="minorHAnsi" w:cstheme="minorHAnsi"/>
                <w:i/>
                <w:iCs/>
                <w:color w:val="000000"/>
                <w:sz w:val="18"/>
                <w:szCs w:val="18"/>
              </w:rPr>
            </w:pPr>
          </w:p>
        </w:tc>
      </w:tr>
      <w:tr w:rsidR="00863011" w:rsidRPr="00226801" w14:paraId="29A555FA" w14:textId="77777777" w:rsidTr="00EF220F">
        <w:trPr>
          <w:trHeight w:val="340"/>
        </w:trPr>
        <w:tc>
          <w:tcPr>
            <w:tcW w:w="640" w:type="dxa"/>
            <w:tcBorders>
              <w:top w:val="nil"/>
              <w:left w:val="single" w:sz="4" w:space="0" w:color="auto"/>
              <w:bottom w:val="single" w:sz="4" w:space="0" w:color="auto"/>
              <w:right w:val="single" w:sz="4" w:space="0" w:color="auto"/>
            </w:tcBorders>
            <w:shd w:val="clear" w:color="000000" w:fill="8497B0"/>
            <w:vAlign w:val="center"/>
            <w:hideMark/>
          </w:tcPr>
          <w:p w14:paraId="340923FD" w14:textId="77777777" w:rsidR="00863011" w:rsidRPr="00E00A22" w:rsidRDefault="00863011" w:rsidP="00863011">
            <w:pPr>
              <w:jc w:val="center"/>
              <w:rPr>
                <w:rFonts w:asciiTheme="minorHAnsi" w:hAnsiTheme="minorHAnsi" w:cstheme="minorHAnsi"/>
                <w:b/>
                <w:bCs/>
                <w:i/>
                <w:iCs/>
                <w:color w:val="000000"/>
                <w:sz w:val="18"/>
                <w:szCs w:val="18"/>
              </w:rPr>
            </w:pPr>
            <w:r w:rsidRPr="00E00A22">
              <w:rPr>
                <w:rFonts w:asciiTheme="minorHAnsi" w:hAnsiTheme="minorHAnsi" w:cstheme="minorHAnsi"/>
                <w:b/>
                <w:i/>
                <w:color w:val="000000"/>
                <w:sz w:val="18"/>
              </w:rPr>
              <w:t> </w:t>
            </w:r>
          </w:p>
        </w:tc>
        <w:tc>
          <w:tcPr>
            <w:tcW w:w="4520" w:type="dxa"/>
            <w:tcBorders>
              <w:top w:val="nil"/>
              <w:left w:val="nil"/>
              <w:bottom w:val="single" w:sz="4" w:space="0" w:color="auto"/>
              <w:right w:val="single" w:sz="4" w:space="0" w:color="auto"/>
            </w:tcBorders>
            <w:shd w:val="clear" w:color="000000" w:fill="8497B0"/>
            <w:vAlign w:val="center"/>
            <w:hideMark/>
          </w:tcPr>
          <w:p w14:paraId="5DB670A2" w14:textId="77777777" w:rsidR="00863011" w:rsidRPr="00E00A22" w:rsidRDefault="00863011" w:rsidP="00863011">
            <w:pPr>
              <w:jc w:val="center"/>
              <w:rPr>
                <w:rFonts w:asciiTheme="minorHAnsi" w:hAnsiTheme="minorHAnsi" w:cstheme="minorHAnsi"/>
                <w:b/>
                <w:bCs/>
                <w:i/>
                <w:iCs/>
                <w:color w:val="000000"/>
                <w:sz w:val="18"/>
                <w:szCs w:val="18"/>
              </w:rPr>
            </w:pPr>
            <w:r w:rsidRPr="00E00A22">
              <w:rPr>
                <w:rFonts w:asciiTheme="minorHAnsi" w:hAnsiTheme="minorHAnsi" w:cstheme="minorHAnsi"/>
                <w:b/>
                <w:i/>
                <w:color w:val="000000"/>
                <w:sz w:val="18"/>
              </w:rPr>
              <w:t>TOTAL</w:t>
            </w:r>
          </w:p>
        </w:tc>
        <w:tc>
          <w:tcPr>
            <w:tcW w:w="2180" w:type="dxa"/>
            <w:tcBorders>
              <w:top w:val="nil"/>
              <w:left w:val="nil"/>
              <w:bottom w:val="single" w:sz="4" w:space="0" w:color="auto"/>
              <w:right w:val="single" w:sz="4" w:space="0" w:color="auto"/>
            </w:tcBorders>
            <w:shd w:val="clear" w:color="000000" w:fill="8497B0"/>
            <w:vAlign w:val="center"/>
            <w:hideMark/>
          </w:tcPr>
          <w:p w14:paraId="3B0BDAE2" w14:textId="77777777" w:rsidR="00863011" w:rsidRPr="00E00A22" w:rsidRDefault="00863011" w:rsidP="00863011">
            <w:pPr>
              <w:jc w:val="right"/>
              <w:rPr>
                <w:rFonts w:asciiTheme="minorHAnsi" w:hAnsiTheme="minorHAnsi" w:cstheme="minorHAnsi"/>
                <w:b/>
                <w:bCs/>
                <w:i/>
                <w:iCs/>
                <w:color w:val="000000"/>
                <w:sz w:val="18"/>
                <w:szCs w:val="18"/>
              </w:rPr>
            </w:pPr>
            <w:r w:rsidRPr="00E00A22">
              <w:rPr>
                <w:rFonts w:asciiTheme="minorHAnsi" w:hAnsiTheme="minorHAnsi" w:cstheme="minorHAnsi"/>
                <w:b/>
                <w:i/>
                <w:color w:val="000000"/>
                <w:sz w:val="18"/>
              </w:rPr>
              <w:t xml:space="preserve">                                 218,673  </w:t>
            </w:r>
          </w:p>
        </w:tc>
        <w:tc>
          <w:tcPr>
            <w:tcW w:w="2180" w:type="dxa"/>
            <w:tcBorders>
              <w:top w:val="nil"/>
              <w:left w:val="nil"/>
              <w:bottom w:val="single" w:sz="4" w:space="0" w:color="auto"/>
              <w:right w:val="single" w:sz="4" w:space="0" w:color="auto"/>
            </w:tcBorders>
            <w:shd w:val="clear" w:color="000000" w:fill="8497B0"/>
            <w:vAlign w:val="center"/>
          </w:tcPr>
          <w:p w14:paraId="50D8D662" w14:textId="77777777" w:rsidR="00863011" w:rsidRPr="00E00A22" w:rsidRDefault="00863011" w:rsidP="00863011">
            <w:pPr>
              <w:jc w:val="right"/>
              <w:rPr>
                <w:rFonts w:asciiTheme="minorHAnsi" w:hAnsiTheme="minorHAnsi" w:cstheme="minorHAnsi"/>
                <w:b/>
                <w:bCs/>
                <w:i/>
                <w:iCs/>
                <w:color w:val="000000"/>
                <w:sz w:val="18"/>
                <w:szCs w:val="18"/>
              </w:rPr>
            </w:pPr>
          </w:p>
        </w:tc>
      </w:tr>
    </w:tbl>
    <w:p w14:paraId="46E032A2" w14:textId="77777777" w:rsidR="00E97B10" w:rsidRPr="005304F3" w:rsidRDefault="00E97B10" w:rsidP="00E97B10">
      <w:pPr>
        <w:rPr>
          <w:rFonts w:asciiTheme="minorHAnsi" w:hAnsiTheme="minorHAnsi" w:cstheme="minorHAnsi"/>
        </w:rPr>
      </w:pPr>
    </w:p>
    <w:p w14:paraId="22035063" w14:textId="77777777" w:rsidR="00E97B10" w:rsidRPr="00226801" w:rsidRDefault="00E97B10" w:rsidP="00E97B10">
      <w:pPr>
        <w:rPr>
          <w:rFonts w:asciiTheme="minorHAnsi" w:hAnsiTheme="minorHAnsi" w:cstheme="minorHAnsi"/>
        </w:rPr>
      </w:pPr>
    </w:p>
    <w:p w14:paraId="742FB024" w14:textId="77777777" w:rsidR="00F93BD7" w:rsidRPr="00226801" w:rsidRDefault="00F93BD7" w:rsidP="00E97B10">
      <w:pPr>
        <w:rPr>
          <w:rFonts w:asciiTheme="minorHAnsi" w:hAnsiTheme="minorHAnsi" w:cstheme="minorHAnsi"/>
        </w:rPr>
      </w:pPr>
    </w:p>
    <w:p w14:paraId="64854E89" w14:textId="77777777" w:rsidR="00F93BD7" w:rsidRPr="00226801" w:rsidRDefault="00F93BD7" w:rsidP="00E97B10">
      <w:pPr>
        <w:rPr>
          <w:rFonts w:asciiTheme="minorHAnsi" w:hAnsiTheme="minorHAnsi" w:cstheme="minorHAnsi"/>
        </w:rPr>
      </w:pPr>
    </w:p>
    <w:p w14:paraId="6922C88A" w14:textId="77777777" w:rsidR="008661B7" w:rsidRPr="00226801" w:rsidRDefault="008661B7" w:rsidP="00E97B10">
      <w:pPr>
        <w:rPr>
          <w:rFonts w:asciiTheme="minorHAnsi" w:hAnsiTheme="minorHAnsi" w:cstheme="minorHAnsi"/>
        </w:rPr>
      </w:pPr>
    </w:p>
    <w:p w14:paraId="7674501D" w14:textId="77777777" w:rsidR="00F93BD7" w:rsidRPr="00226801" w:rsidRDefault="00F93BD7" w:rsidP="00876462">
      <w:pPr>
        <w:pStyle w:val="Heading1"/>
        <w:numPr>
          <w:ilvl w:val="0"/>
          <w:numId w:val="13"/>
        </w:numPr>
        <w:rPr>
          <w:rFonts w:asciiTheme="minorHAnsi" w:hAnsiTheme="minorHAnsi" w:cstheme="minorHAnsi"/>
          <w:sz w:val="24"/>
          <w:szCs w:val="24"/>
        </w:rPr>
        <w:sectPr w:rsidR="00F93BD7" w:rsidRPr="00226801" w:rsidSect="00E97B10">
          <w:pgSz w:w="11900" w:h="16840"/>
          <w:pgMar w:top="1417" w:right="1417" w:bottom="1417" w:left="1417" w:header="708" w:footer="134" w:gutter="0"/>
          <w:cols w:space="708"/>
          <w:docGrid w:linePitch="360"/>
        </w:sectPr>
      </w:pPr>
    </w:p>
    <w:p w14:paraId="67325DA5" w14:textId="77777777" w:rsidR="002411F5" w:rsidRPr="00226801" w:rsidRDefault="002411F5" w:rsidP="00876462">
      <w:pPr>
        <w:pStyle w:val="Heading1"/>
        <w:numPr>
          <w:ilvl w:val="0"/>
          <w:numId w:val="13"/>
        </w:numPr>
        <w:rPr>
          <w:rFonts w:asciiTheme="minorHAnsi" w:hAnsiTheme="minorHAnsi" w:cstheme="minorHAnsi"/>
          <w:sz w:val="24"/>
          <w:szCs w:val="24"/>
        </w:rPr>
      </w:pPr>
      <w:bookmarkStart w:id="24" w:name="_Toc101798520"/>
      <w:r w:rsidRPr="005304F3">
        <w:rPr>
          <w:rFonts w:asciiTheme="minorHAnsi" w:hAnsiTheme="minorHAnsi" w:cstheme="minorHAnsi"/>
          <w:sz w:val="24"/>
        </w:rPr>
        <w:lastRenderedPageBreak/>
        <w:t>Monitoring-Evaluation</w:t>
      </w:r>
      <w:r w:rsidRPr="00E00A22">
        <w:rPr>
          <w:rFonts w:asciiTheme="minorHAnsi" w:hAnsiTheme="minorHAnsi" w:cstheme="minorHAnsi"/>
          <w:sz w:val="24"/>
        </w:rPr>
        <w:t xml:space="preserve"> framework</w:t>
      </w:r>
      <w:bookmarkEnd w:id="24"/>
    </w:p>
    <w:tbl>
      <w:tblPr>
        <w:tblStyle w:val="GridTable4-Accent2"/>
        <w:tblW w:w="14029" w:type="dxa"/>
        <w:tblLook w:val="04A0" w:firstRow="1" w:lastRow="0" w:firstColumn="1" w:lastColumn="0" w:noHBand="0" w:noVBand="1"/>
      </w:tblPr>
      <w:tblGrid>
        <w:gridCol w:w="783"/>
        <w:gridCol w:w="1937"/>
        <w:gridCol w:w="1955"/>
        <w:gridCol w:w="3075"/>
        <w:gridCol w:w="2260"/>
        <w:gridCol w:w="2135"/>
        <w:gridCol w:w="1884"/>
      </w:tblGrid>
      <w:tr w:rsidR="00F93BD7" w:rsidRPr="002949CC" w14:paraId="18E9DF73" w14:textId="77777777" w:rsidTr="002917EE">
        <w:trPr>
          <w:cnfStyle w:val="100000000000" w:firstRow="1" w:lastRow="0" w:firstColumn="0" w:lastColumn="0" w:oddVBand="0" w:evenVBand="0" w:oddHBand="0" w:evenHBand="0" w:firstRowFirstColumn="0" w:firstRowLastColumn="0" w:lastRowFirstColumn="0" w:lastRowLastColumn="0"/>
          <w:trHeight w:val="334"/>
          <w:tblHeader/>
        </w:trPr>
        <w:tc>
          <w:tcPr>
            <w:cnfStyle w:val="001000000000" w:firstRow="0" w:lastRow="0" w:firstColumn="1" w:lastColumn="0" w:oddVBand="0" w:evenVBand="0" w:oddHBand="0" w:evenHBand="0" w:firstRowFirstColumn="0" w:firstRowLastColumn="0" w:lastRowFirstColumn="0" w:lastRowLastColumn="0"/>
            <w:tcW w:w="2720" w:type="dxa"/>
            <w:gridSpan w:val="2"/>
            <w:noWrap/>
            <w:hideMark/>
          </w:tcPr>
          <w:p w14:paraId="123F7F8D" w14:textId="77777777" w:rsidR="00F93BD7" w:rsidRPr="00226801" w:rsidRDefault="00F93BD7" w:rsidP="00EF454E">
            <w:pPr>
              <w:rPr>
                <w:rFonts w:asciiTheme="minorHAnsi" w:hAnsiTheme="minorHAnsi" w:cstheme="minorHAnsi"/>
                <w:b w:val="0"/>
                <w:bCs w:val="0"/>
                <w:sz w:val="18"/>
                <w:szCs w:val="18"/>
              </w:rPr>
            </w:pPr>
            <w:r w:rsidRPr="00E00A22">
              <w:rPr>
                <w:rFonts w:asciiTheme="minorHAnsi" w:hAnsiTheme="minorHAnsi" w:cstheme="minorHAnsi"/>
                <w:sz w:val="18"/>
              </w:rPr>
              <w:t> </w:t>
            </w:r>
          </w:p>
        </w:tc>
        <w:tc>
          <w:tcPr>
            <w:tcW w:w="1955" w:type="dxa"/>
            <w:noWrap/>
            <w:hideMark/>
          </w:tcPr>
          <w:p w14:paraId="290CFA53" w14:textId="77777777" w:rsidR="00F93BD7" w:rsidRPr="002949CC" w:rsidRDefault="00F93BD7" w:rsidP="00EF454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18"/>
                <w:szCs w:val="18"/>
              </w:rPr>
            </w:pPr>
            <w:r w:rsidRPr="00E00A22">
              <w:rPr>
                <w:rFonts w:asciiTheme="minorHAnsi" w:hAnsiTheme="minorHAnsi" w:cstheme="minorHAnsi"/>
                <w:sz w:val="18"/>
              </w:rPr>
              <w:t>Strategies</w:t>
            </w:r>
          </w:p>
        </w:tc>
        <w:tc>
          <w:tcPr>
            <w:tcW w:w="3075" w:type="dxa"/>
            <w:noWrap/>
            <w:hideMark/>
          </w:tcPr>
          <w:p w14:paraId="71EBFB2C" w14:textId="77777777" w:rsidR="00F93BD7" w:rsidRPr="002949CC" w:rsidRDefault="00F93BD7" w:rsidP="00EF454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18"/>
                <w:szCs w:val="18"/>
              </w:rPr>
            </w:pPr>
            <w:r w:rsidRPr="00E00A22">
              <w:rPr>
                <w:rFonts w:asciiTheme="minorHAnsi" w:hAnsiTheme="minorHAnsi" w:cstheme="minorHAnsi"/>
                <w:sz w:val="18"/>
              </w:rPr>
              <w:t>Intervention</w:t>
            </w:r>
          </w:p>
        </w:tc>
        <w:tc>
          <w:tcPr>
            <w:tcW w:w="2260" w:type="dxa"/>
            <w:noWrap/>
            <w:hideMark/>
          </w:tcPr>
          <w:p w14:paraId="050FA998" w14:textId="77777777" w:rsidR="00F93BD7" w:rsidRPr="002949CC" w:rsidRDefault="00F93BD7" w:rsidP="00EF454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18"/>
                <w:szCs w:val="18"/>
              </w:rPr>
            </w:pPr>
            <w:r w:rsidRPr="00E00A22">
              <w:rPr>
                <w:rFonts w:asciiTheme="minorHAnsi" w:hAnsiTheme="minorHAnsi" w:cstheme="minorHAnsi"/>
                <w:sz w:val="18"/>
              </w:rPr>
              <w:t>Indicators</w:t>
            </w:r>
          </w:p>
        </w:tc>
        <w:tc>
          <w:tcPr>
            <w:tcW w:w="2135" w:type="dxa"/>
            <w:noWrap/>
            <w:hideMark/>
          </w:tcPr>
          <w:p w14:paraId="44E9E131" w14:textId="77777777" w:rsidR="00F93BD7" w:rsidRPr="002949CC" w:rsidRDefault="00F93BD7" w:rsidP="00EF454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18"/>
                <w:szCs w:val="18"/>
              </w:rPr>
            </w:pPr>
            <w:r w:rsidRPr="00E00A22">
              <w:rPr>
                <w:rFonts w:asciiTheme="minorHAnsi" w:hAnsiTheme="minorHAnsi" w:cstheme="minorHAnsi"/>
                <w:sz w:val="18"/>
              </w:rPr>
              <w:t>Verification source</w:t>
            </w:r>
          </w:p>
        </w:tc>
        <w:tc>
          <w:tcPr>
            <w:tcW w:w="1884" w:type="dxa"/>
            <w:noWrap/>
            <w:hideMark/>
          </w:tcPr>
          <w:p w14:paraId="5B70FEBF" w14:textId="77777777" w:rsidR="00F93BD7" w:rsidRPr="002949CC" w:rsidRDefault="00F93BD7" w:rsidP="00EF454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18"/>
                <w:szCs w:val="18"/>
              </w:rPr>
            </w:pPr>
            <w:r w:rsidRPr="00E00A22">
              <w:rPr>
                <w:rFonts w:asciiTheme="minorHAnsi" w:hAnsiTheme="minorHAnsi" w:cstheme="minorHAnsi"/>
                <w:sz w:val="18"/>
              </w:rPr>
              <w:t>Frequency</w:t>
            </w:r>
          </w:p>
        </w:tc>
      </w:tr>
      <w:tr w:rsidR="00F93BD7" w:rsidRPr="00226801" w14:paraId="4F1FFEEC" w14:textId="77777777" w:rsidTr="002917EE">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2720" w:type="dxa"/>
            <w:gridSpan w:val="2"/>
            <w:noWrap/>
            <w:hideMark/>
          </w:tcPr>
          <w:p w14:paraId="5F2DEE21" w14:textId="77777777" w:rsidR="00F93BD7" w:rsidRPr="00226801" w:rsidRDefault="00F93BD7" w:rsidP="00EF454E">
            <w:pPr>
              <w:rPr>
                <w:rFonts w:asciiTheme="minorHAnsi" w:hAnsiTheme="minorHAnsi" w:cstheme="minorHAnsi"/>
                <w:sz w:val="20"/>
                <w:szCs w:val="20"/>
              </w:rPr>
            </w:pPr>
            <w:r w:rsidRPr="005304F3">
              <w:rPr>
                <w:rFonts w:asciiTheme="minorHAnsi" w:hAnsiTheme="minorHAnsi" w:cstheme="minorHAnsi"/>
                <w:sz w:val="20"/>
              </w:rPr>
              <w:t>Ove</w:t>
            </w:r>
            <w:r w:rsidRPr="00E00A22">
              <w:rPr>
                <w:rFonts w:asciiTheme="minorHAnsi" w:hAnsiTheme="minorHAnsi" w:cstheme="minorHAnsi"/>
                <w:sz w:val="20"/>
              </w:rPr>
              <w:t>rall objective:</w:t>
            </w:r>
          </w:p>
        </w:tc>
        <w:tc>
          <w:tcPr>
            <w:tcW w:w="11309" w:type="dxa"/>
            <w:gridSpan w:val="5"/>
            <w:hideMark/>
          </w:tcPr>
          <w:p w14:paraId="00156067" w14:textId="77777777" w:rsidR="00F93BD7" w:rsidRPr="00226801" w:rsidRDefault="00F93BD7" w:rsidP="00EF454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E00A22">
              <w:rPr>
                <w:rFonts w:asciiTheme="minorHAnsi" w:hAnsiTheme="minorHAnsi" w:cstheme="minorHAnsi"/>
                <w:b/>
                <w:sz w:val="20"/>
              </w:rPr>
              <w:t xml:space="preserve">To replace the Rotarix with the </w:t>
            </w:r>
            <w:proofErr w:type="spellStart"/>
            <w:r w:rsidRPr="00E00A22">
              <w:rPr>
                <w:rFonts w:asciiTheme="minorHAnsi" w:hAnsiTheme="minorHAnsi" w:cstheme="minorHAnsi"/>
                <w:b/>
                <w:sz w:val="20"/>
              </w:rPr>
              <w:t>Rotavac</w:t>
            </w:r>
            <w:proofErr w:type="spellEnd"/>
            <w:r w:rsidRPr="00E00A22">
              <w:rPr>
                <w:rFonts w:asciiTheme="minorHAnsi" w:hAnsiTheme="minorHAnsi" w:cstheme="minorHAnsi"/>
                <w:b/>
                <w:sz w:val="20"/>
              </w:rPr>
              <w:t>® vaccine in the routine immunisation schedule without compromising the rotavirus vaccine supply and demand.</w:t>
            </w:r>
          </w:p>
        </w:tc>
      </w:tr>
      <w:tr w:rsidR="00F93BD7" w:rsidRPr="00226801" w14:paraId="65BFD745" w14:textId="77777777" w:rsidTr="002917EE">
        <w:trPr>
          <w:trHeight w:val="956"/>
        </w:trPr>
        <w:tc>
          <w:tcPr>
            <w:cnfStyle w:val="001000000000" w:firstRow="0" w:lastRow="0" w:firstColumn="1" w:lastColumn="0" w:oddVBand="0" w:evenVBand="0" w:oddHBand="0" w:evenHBand="0" w:firstRowFirstColumn="0" w:firstRowLastColumn="0" w:lastRowFirstColumn="0" w:lastRowLastColumn="0"/>
            <w:tcW w:w="783" w:type="dxa"/>
            <w:vMerge w:val="restart"/>
            <w:noWrap/>
            <w:textDirection w:val="tbLrV"/>
            <w:hideMark/>
          </w:tcPr>
          <w:p w14:paraId="198383B9" w14:textId="77777777" w:rsidR="00F93BD7" w:rsidRPr="002949CC" w:rsidRDefault="00F93BD7" w:rsidP="00EF454E">
            <w:pPr>
              <w:jc w:val="center"/>
              <w:rPr>
                <w:rFonts w:asciiTheme="minorHAnsi" w:hAnsiTheme="minorHAnsi" w:cstheme="minorHAnsi"/>
                <w:b w:val="0"/>
                <w:bCs w:val="0"/>
                <w:sz w:val="18"/>
                <w:szCs w:val="18"/>
              </w:rPr>
            </w:pPr>
            <w:r w:rsidRPr="005304F3">
              <w:rPr>
                <w:rFonts w:asciiTheme="minorHAnsi" w:hAnsiTheme="minorHAnsi" w:cstheme="minorHAnsi"/>
                <w:b w:val="0"/>
                <w:sz w:val="18"/>
              </w:rPr>
              <w:t>Specific O</w:t>
            </w:r>
            <w:r w:rsidRPr="00E00A22">
              <w:rPr>
                <w:rFonts w:asciiTheme="minorHAnsi" w:hAnsiTheme="minorHAnsi" w:cstheme="minorHAnsi"/>
                <w:sz w:val="18"/>
              </w:rPr>
              <w:t>bjectives (SO)</w:t>
            </w:r>
          </w:p>
        </w:tc>
        <w:tc>
          <w:tcPr>
            <w:tcW w:w="1937" w:type="dxa"/>
            <w:vMerge w:val="restart"/>
            <w:hideMark/>
          </w:tcPr>
          <w:p w14:paraId="6561051B" w14:textId="77777777" w:rsidR="00F93BD7" w:rsidRPr="00226801" w:rsidRDefault="00F93BD7" w:rsidP="002917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00A22">
              <w:rPr>
                <w:rFonts w:asciiTheme="minorHAnsi" w:hAnsiTheme="minorHAnsi" w:cstheme="minorHAnsi"/>
                <w:sz w:val="18"/>
              </w:rPr>
              <w:t>SO1</w:t>
            </w:r>
            <w:r w:rsidR="00254A7F" w:rsidRPr="00E00A22">
              <w:rPr>
                <w:rFonts w:asciiTheme="minorHAnsi" w:hAnsiTheme="minorHAnsi" w:cstheme="minorHAnsi"/>
                <w:sz w:val="18"/>
              </w:rPr>
              <w:t>:</w:t>
            </w:r>
            <w:r w:rsidRPr="00E00A22">
              <w:rPr>
                <w:rFonts w:asciiTheme="minorHAnsi" w:hAnsiTheme="minorHAnsi" w:cstheme="minorHAnsi"/>
                <w:sz w:val="18"/>
              </w:rPr>
              <w:t xml:space="preserve"> To inform healthcare personnel of the switch and the specificities</w:t>
            </w:r>
            <w:r w:rsidR="00D53734" w:rsidRPr="00E00A22">
              <w:rPr>
                <w:rFonts w:asciiTheme="minorHAnsi" w:hAnsiTheme="minorHAnsi" w:cstheme="minorHAnsi"/>
                <w:sz w:val="18"/>
              </w:rPr>
              <w:t xml:space="preserve"> </w:t>
            </w:r>
            <w:r w:rsidRPr="00E00A22">
              <w:rPr>
                <w:rFonts w:asciiTheme="minorHAnsi" w:hAnsiTheme="minorHAnsi" w:cstheme="minorHAnsi"/>
                <w:sz w:val="18"/>
              </w:rPr>
              <w:t xml:space="preserve">of the </w:t>
            </w:r>
            <w:proofErr w:type="spellStart"/>
            <w:r w:rsidRPr="00E00A22">
              <w:rPr>
                <w:rFonts w:asciiTheme="minorHAnsi" w:hAnsiTheme="minorHAnsi" w:cstheme="minorHAnsi"/>
                <w:sz w:val="18"/>
              </w:rPr>
              <w:t>Rotavac</w:t>
            </w:r>
            <w:proofErr w:type="spellEnd"/>
            <w:r w:rsidRPr="00E00A22">
              <w:rPr>
                <w:rFonts w:asciiTheme="minorHAnsi" w:hAnsiTheme="minorHAnsi" w:cstheme="minorHAnsi"/>
                <w:sz w:val="18"/>
              </w:rPr>
              <w:t xml:space="preserve"> vaccine and the implications of introducing it in the immunisation schedule to replace Rotarix</w:t>
            </w:r>
          </w:p>
        </w:tc>
        <w:tc>
          <w:tcPr>
            <w:tcW w:w="1955" w:type="dxa"/>
            <w:hideMark/>
          </w:tcPr>
          <w:p w14:paraId="560DBFCA" w14:textId="77777777" w:rsidR="00F93BD7" w:rsidRPr="00226801" w:rsidRDefault="00F93BD7" w:rsidP="002917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00A22">
              <w:rPr>
                <w:rFonts w:asciiTheme="minorHAnsi" w:hAnsiTheme="minorHAnsi" w:cstheme="minorHAnsi"/>
                <w:sz w:val="18"/>
              </w:rPr>
              <w:t>Information and capacity building of the personnel in charge of immunisation</w:t>
            </w:r>
          </w:p>
        </w:tc>
        <w:tc>
          <w:tcPr>
            <w:tcW w:w="3075" w:type="dxa"/>
            <w:vMerge w:val="restart"/>
            <w:hideMark/>
          </w:tcPr>
          <w:p w14:paraId="68838032" w14:textId="77777777" w:rsidR="00F93BD7" w:rsidRPr="002949CC" w:rsidRDefault="00F93BD7" w:rsidP="002917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00A22">
              <w:rPr>
                <w:rFonts w:asciiTheme="minorHAnsi" w:hAnsiTheme="minorHAnsi" w:cstheme="minorHAnsi"/>
                <w:sz w:val="18"/>
              </w:rPr>
              <w:br/>
              <w:t xml:space="preserve">1. Updating training modules, guides, communications </w:t>
            </w:r>
            <w:r w:rsidR="00661A11" w:rsidRPr="00E00A22">
              <w:rPr>
                <w:rFonts w:asciiTheme="minorHAnsi" w:hAnsiTheme="minorHAnsi" w:cstheme="minorHAnsi"/>
                <w:sz w:val="18"/>
              </w:rPr>
              <w:t>materials,</w:t>
            </w:r>
            <w:r w:rsidRPr="00E00A22">
              <w:rPr>
                <w:rFonts w:asciiTheme="minorHAnsi" w:hAnsiTheme="minorHAnsi" w:cstheme="minorHAnsi"/>
                <w:sz w:val="18"/>
              </w:rPr>
              <w:t xml:space="preserve"> and data collection tools</w:t>
            </w:r>
            <w:r w:rsidRPr="00E00A22">
              <w:rPr>
                <w:rFonts w:asciiTheme="minorHAnsi" w:hAnsiTheme="minorHAnsi" w:cstheme="minorHAnsi"/>
                <w:sz w:val="18"/>
              </w:rPr>
              <w:br/>
              <w:t>2. Training national supervisors</w:t>
            </w:r>
            <w:r w:rsidRPr="00E00A22">
              <w:rPr>
                <w:rFonts w:asciiTheme="minorHAnsi" w:hAnsiTheme="minorHAnsi" w:cstheme="minorHAnsi"/>
                <w:sz w:val="18"/>
              </w:rPr>
              <w:br/>
              <w:t>3. Training HD management teams</w:t>
            </w:r>
            <w:r w:rsidRPr="00E00A22">
              <w:rPr>
                <w:rFonts w:asciiTheme="minorHAnsi" w:hAnsiTheme="minorHAnsi" w:cstheme="minorHAnsi"/>
                <w:sz w:val="18"/>
              </w:rPr>
              <w:br/>
              <w:t>4. Training health centre managers</w:t>
            </w:r>
          </w:p>
        </w:tc>
        <w:tc>
          <w:tcPr>
            <w:tcW w:w="2260" w:type="dxa"/>
            <w:vMerge w:val="restart"/>
            <w:hideMark/>
          </w:tcPr>
          <w:p w14:paraId="17D9F9E0" w14:textId="77777777" w:rsidR="00F93BD7" w:rsidRPr="00226801" w:rsidRDefault="00F93BD7" w:rsidP="002917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00A22">
              <w:rPr>
                <w:rFonts w:asciiTheme="minorHAnsi" w:hAnsiTheme="minorHAnsi" w:cstheme="minorHAnsi"/>
                <w:sz w:val="18"/>
              </w:rPr>
              <w:t>1. Number of documents updated</w:t>
            </w:r>
            <w:r w:rsidRPr="00E00A22">
              <w:rPr>
                <w:rFonts w:asciiTheme="minorHAnsi" w:hAnsiTheme="minorHAnsi" w:cstheme="minorHAnsi"/>
                <w:sz w:val="18"/>
              </w:rPr>
              <w:br/>
              <w:t>2. Number of national supervisors trained</w:t>
            </w:r>
            <w:r w:rsidRPr="00E00A22">
              <w:rPr>
                <w:rFonts w:asciiTheme="minorHAnsi" w:hAnsiTheme="minorHAnsi" w:cstheme="minorHAnsi"/>
                <w:sz w:val="18"/>
              </w:rPr>
              <w:br/>
              <w:t>3. Number of regional and HD actors trained</w:t>
            </w:r>
            <w:r w:rsidRPr="00E00A22">
              <w:rPr>
                <w:rFonts w:asciiTheme="minorHAnsi" w:hAnsiTheme="minorHAnsi" w:cstheme="minorHAnsi"/>
                <w:sz w:val="18"/>
              </w:rPr>
              <w:br/>
              <w:t>4. Number of health centre managers trained</w:t>
            </w:r>
          </w:p>
        </w:tc>
        <w:tc>
          <w:tcPr>
            <w:tcW w:w="2135" w:type="dxa"/>
            <w:vMerge w:val="restart"/>
            <w:hideMark/>
          </w:tcPr>
          <w:p w14:paraId="2053B595" w14:textId="77777777" w:rsidR="00F93BD7" w:rsidRPr="00226801" w:rsidRDefault="00F93BD7" w:rsidP="002917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00A22">
              <w:rPr>
                <w:rFonts w:asciiTheme="minorHAnsi" w:hAnsiTheme="minorHAnsi" w:cstheme="minorHAnsi"/>
                <w:sz w:val="18"/>
              </w:rPr>
              <w:t>Training reports</w:t>
            </w:r>
            <w:r w:rsidRPr="00E00A22">
              <w:rPr>
                <w:rFonts w:asciiTheme="minorHAnsi" w:hAnsiTheme="minorHAnsi" w:cstheme="minorHAnsi"/>
                <w:sz w:val="18"/>
              </w:rPr>
              <w:br/>
              <w:t>Training completion certifications (as applicable)</w:t>
            </w:r>
          </w:p>
        </w:tc>
        <w:tc>
          <w:tcPr>
            <w:tcW w:w="1884" w:type="dxa"/>
            <w:vMerge w:val="restart"/>
            <w:hideMark/>
          </w:tcPr>
          <w:p w14:paraId="4669D93D" w14:textId="77777777" w:rsidR="00F93BD7" w:rsidRPr="00226801" w:rsidRDefault="00F93BD7" w:rsidP="002917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00A22">
              <w:rPr>
                <w:rFonts w:asciiTheme="minorHAnsi" w:hAnsiTheme="minorHAnsi" w:cstheme="minorHAnsi"/>
                <w:sz w:val="18"/>
              </w:rPr>
              <w:t>Post-training</w:t>
            </w:r>
          </w:p>
        </w:tc>
      </w:tr>
      <w:tr w:rsidR="00F93BD7" w:rsidRPr="00226801" w14:paraId="0D6B61B8" w14:textId="77777777" w:rsidTr="002917EE">
        <w:trPr>
          <w:cnfStyle w:val="000000100000" w:firstRow="0" w:lastRow="0" w:firstColumn="0" w:lastColumn="0" w:oddVBand="0" w:evenVBand="0" w:oddHBand="1" w:evenHBand="0" w:firstRowFirstColumn="0" w:firstRowLastColumn="0" w:lastRowFirstColumn="0" w:lastRowLastColumn="0"/>
          <w:trHeight w:val="1255"/>
        </w:trPr>
        <w:tc>
          <w:tcPr>
            <w:cnfStyle w:val="001000000000" w:firstRow="0" w:lastRow="0" w:firstColumn="1" w:lastColumn="0" w:oddVBand="0" w:evenVBand="0" w:oddHBand="0" w:evenHBand="0" w:firstRowFirstColumn="0" w:firstRowLastColumn="0" w:lastRowFirstColumn="0" w:lastRowLastColumn="0"/>
            <w:tcW w:w="783" w:type="dxa"/>
            <w:vMerge/>
            <w:hideMark/>
          </w:tcPr>
          <w:p w14:paraId="0BB2514E" w14:textId="77777777" w:rsidR="00F93BD7" w:rsidRPr="00226801" w:rsidRDefault="00F93BD7" w:rsidP="00EF454E">
            <w:pPr>
              <w:jc w:val="center"/>
              <w:rPr>
                <w:rFonts w:asciiTheme="minorHAnsi" w:hAnsiTheme="minorHAnsi" w:cstheme="minorHAnsi"/>
                <w:b w:val="0"/>
                <w:bCs w:val="0"/>
                <w:sz w:val="18"/>
                <w:szCs w:val="18"/>
              </w:rPr>
            </w:pPr>
          </w:p>
        </w:tc>
        <w:tc>
          <w:tcPr>
            <w:tcW w:w="1937" w:type="dxa"/>
            <w:vMerge/>
            <w:hideMark/>
          </w:tcPr>
          <w:p w14:paraId="52E5CBA4" w14:textId="77777777" w:rsidR="00F93BD7" w:rsidRPr="002949CC" w:rsidRDefault="00F93BD7" w:rsidP="002917E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955" w:type="dxa"/>
            <w:hideMark/>
          </w:tcPr>
          <w:p w14:paraId="54C23628" w14:textId="77777777" w:rsidR="00F93BD7" w:rsidRPr="00226801" w:rsidRDefault="00F93BD7" w:rsidP="002917E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00A22">
              <w:rPr>
                <w:rFonts w:asciiTheme="minorHAnsi" w:hAnsiTheme="minorHAnsi" w:cstheme="minorHAnsi"/>
                <w:sz w:val="18"/>
              </w:rPr>
              <w:t>Management of Adverse Events Following Immunisation (AEFI) and Adverse Events of Special Interest (AESI)</w:t>
            </w:r>
          </w:p>
        </w:tc>
        <w:tc>
          <w:tcPr>
            <w:tcW w:w="3075" w:type="dxa"/>
            <w:vMerge/>
            <w:hideMark/>
          </w:tcPr>
          <w:p w14:paraId="39A485BB" w14:textId="77777777" w:rsidR="00F93BD7" w:rsidRPr="00226801" w:rsidRDefault="00F93BD7" w:rsidP="002917E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2260" w:type="dxa"/>
            <w:vMerge/>
            <w:hideMark/>
          </w:tcPr>
          <w:p w14:paraId="77AB31AB" w14:textId="77777777" w:rsidR="00F93BD7" w:rsidRPr="00226801" w:rsidRDefault="00F93BD7" w:rsidP="002917E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2135" w:type="dxa"/>
            <w:vMerge/>
            <w:hideMark/>
          </w:tcPr>
          <w:p w14:paraId="7D9D6C0C" w14:textId="77777777" w:rsidR="00F93BD7" w:rsidRPr="00226801" w:rsidRDefault="00F93BD7" w:rsidP="002917E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884" w:type="dxa"/>
            <w:vMerge/>
            <w:hideMark/>
          </w:tcPr>
          <w:p w14:paraId="1B46FD2D" w14:textId="77777777" w:rsidR="00F93BD7" w:rsidRPr="00226801" w:rsidRDefault="00F93BD7" w:rsidP="002917E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F93BD7" w:rsidRPr="00226801" w14:paraId="1D54C36F" w14:textId="77777777" w:rsidTr="002917EE">
        <w:trPr>
          <w:trHeight w:val="1458"/>
        </w:trPr>
        <w:tc>
          <w:tcPr>
            <w:cnfStyle w:val="001000000000" w:firstRow="0" w:lastRow="0" w:firstColumn="1" w:lastColumn="0" w:oddVBand="0" w:evenVBand="0" w:oddHBand="0" w:evenHBand="0" w:firstRowFirstColumn="0" w:firstRowLastColumn="0" w:lastRowFirstColumn="0" w:lastRowLastColumn="0"/>
            <w:tcW w:w="783" w:type="dxa"/>
            <w:vMerge/>
            <w:hideMark/>
          </w:tcPr>
          <w:p w14:paraId="6B90966D" w14:textId="77777777" w:rsidR="00F93BD7" w:rsidRPr="00226801" w:rsidRDefault="00F93BD7" w:rsidP="00EF454E">
            <w:pPr>
              <w:jc w:val="center"/>
              <w:rPr>
                <w:rFonts w:asciiTheme="minorHAnsi" w:hAnsiTheme="minorHAnsi" w:cstheme="minorHAnsi"/>
                <w:b w:val="0"/>
                <w:bCs w:val="0"/>
                <w:sz w:val="18"/>
                <w:szCs w:val="18"/>
              </w:rPr>
            </w:pPr>
          </w:p>
        </w:tc>
        <w:tc>
          <w:tcPr>
            <w:tcW w:w="1937" w:type="dxa"/>
            <w:hideMark/>
          </w:tcPr>
          <w:p w14:paraId="24E7B17C" w14:textId="77777777" w:rsidR="00F93BD7" w:rsidRPr="00226801" w:rsidRDefault="00254A7F" w:rsidP="002917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00A22">
              <w:rPr>
                <w:rFonts w:asciiTheme="minorHAnsi" w:hAnsiTheme="minorHAnsi" w:cstheme="minorHAnsi"/>
                <w:sz w:val="18"/>
              </w:rPr>
              <w:t>SO</w:t>
            </w:r>
            <w:r w:rsidR="00F93BD7" w:rsidRPr="00E00A22">
              <w:rPr>
                <w:rFonts w:asciiTheme="minorHAnsi" w:hAnsiTheme="minorHAnsi" w:cstheme="minorHAnsi"/>
                <w:sz w:val="18"/>
              </w:rPr>
              <w:t>2</w:t>
            </w:r>
            <w:r w:rsidRPr="00E00A22">
              <w:rPr>
                <w:rFonts w:asciiTheme="minorHAnsi" w:hAnsiTheme="minorHAnsi" w:cstheme="minorHAnsi"/>
                <w:sz w:val="18"/>
              </w:rPr>
              <w:t>:</w:t>
            </w:r>
            <w:r w:rsidR="00F93BD7" w:rsidRPr="00E00A22">
              <w:rPr>
                <w:rFonts w:asciiTheme="minorHAnsi" w:hAnsiTheme="minorHAnsi" w:cstheme="minorHAnsi"/>
                <w:sz w:val="18"/>
              </w:rPr>
              <w:t xml:space="preserve"> To inform community and parents of the rotavirus vaccine switch</w:t>
            </w:r>
          </w:p>
        </w:tc>
        <w:tc>
          <w:tcPr>
            <w:tcW w:w="1955" w:type="dxa"/>
            <w:hideMark/>
          </w:tcPr>
          <w:p w14:paraId="6790AC73" w14:textId="77777777" w:rsidR="00F93BD7" w:rsidRPr="00226801" w:rsidRDefault="00F93BD7" w:rsidP="002917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00A22">
              <w:rPr>
                <w:rFonts w:asciiTheme="minorHAnsi" w:hAnsiTheme="minorHAnsi" w:cstheme="minorHAnsi"/>
                <w:sz w:val="18"/>
              </w:rPr>
              <w:t>Community and child guardian information</w:t>
            </w:r>
          </w:p>
        </w:tc>
        <w:tc>
          <w:tcPr>
            <w:tcW w:w="3075" w:type="dxa"/>
            <w:hideMark/>
          </w:tcPr>
          <w:p w14:paraId="34349FC7" w14:textId="77777777" w:rsidR="00F93BD7" w:rsidRPr="00226801" w:rsidRDefault="00F93BD7" w:rsidP="002917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00A22">
              <w:rPr>
                <w:rFonts w:asciiTheme="minorHAnsi" w:hAnsiTheme="minorHAnsi" w:cstheme="minorHAnsi"/>
                <w:sz w:val="18"/>
              </w:rPr>
              <w:t>1. Drafting and distributing a press release on the rota switch</w:t>
            </w:r>
            <w:r w:rsidRPr="00E00A22">
              <w:rPr>
                <w:rFonts w:asciiTheme="minorHAnsi" w:hAnsiTheme="minorHAnsi" w:cstheme="minorHAnsi"/>
                <w:sz w:val="18"/>
              </w:rPr>
              <w:br/>
              <w:t>2. Training healthcare personnel on ICP techniques</w:t>
            </w:r>
            <w:r w:rsidRPr="00E00A22">
              <w:rPr>
                <w:rFonts w:asciiTheme="minorHAnsi" w:hAnsiTheme="minorHAnsi" w:cstheme="minorHAnsi"/>
                <w:sz w:val="18"/>
              </w:rPr>
              <w:br/>
              <w:t>3. Producing communications materials</w:t>
            </w:r>
          </w:p>
        </w:tc>
        <w:tc>
          <w:tcPr>
            <w:tcW w:w="2260" w:type="dxa"/>
            <w:hideMark/>
          </w:tcPr>
          <w:p w14:paraId="61E273A0" w14:textId="77777777" w:rsidR="00F93BD7" w:rsidRPr="00226801" w:rsidRDefault="00F93BD7" w:rsidP="002917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00A22">
              <w:rPr>
                <w:rFonts w:asciiTheme="minorHAnsi" w:hAnsiTheme="minorHAnsi" w:cstheme="minorHAnsi"/>
                <w:sz w:val="18"/>
              </w:rPr>
              <w:t>1. Number of press releases</w:t>
            </w:r>
            <w:r w:rsidRPr="00E00A22">
              <w:rPr>
                <w:rFonts w:asciiTheme="minorHAnsi" w:hAnsiTheme="minorHAnsi" w:cstheme="minorHAnsi"/>
                <w:sz w:val="18"/>
              </w:rPr>
              <w:br/>
              <w:t>2. Number of healthcare personnel trained</w:t>
            </w:r>
            <w:r w:rsidRPr="00E00A22">
              <w:rPr>
                <w:rFonts w:asciiTheme="minorHAnsi" w:hAnsiTheme="minorHAnsi" w:cstheme="minorHAnsi"/>
                <w:sz w:val="18"/>
              </w:rPr>
              <w:br/>
              <w:t>3. Number of materials produced</w:t>
            </w:r>
          </w:p>
        </w:tc>
        <w:tc>
          <w:tcPr>
            <w:tcW w:w="2135" w:type="dxa"/>
            <w:hideMark/>
          </w:tcPr>
          <w:p w14:paraId="477AB544" w14:textId="77777777" w:rsidR="00F93BD7" w:rsidRPr="00226801" w:rsidRDefault="00F93BD7" w:rsidP="002917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00A22">
              <w:rPr>
                <w:rFonts w:asciiTheme="minorHAnsi" w:hAnsiTheme="minorHAnsi" w:cstheme="minorHAnsi"/>
                <w:sz w:val="18"/>
              </w:rPr>
              <w:t>1. Distribution reports</w:t>
            </w:r>
            <w:r w:rsidRPr="00E00A22">
              <w:rPr>
                <w:rFonts w:asciiTheme="minorHAnsi" w:hAnsiTheme="minorHAnsi" w:cstheme="minorHAnsi"/>
                <w:sz w:val="18"/>
              </w:rPr>
              <w:br/>
              <w:t>2. Training workshop reports</w:t>
            </w:r>
            <w:r w:rsidRPr="00E00A22">
              <w:rPr>
                <w:rFonts w:asciiTheme="minorHAnsi" w:hAnsiTheme="minorHAnsi" w:cstheme="minorHAnsi"/>
                <w:sz w:val="18"/>
              </w:rPr>
              <w:br/>
              <w:t>3. Materials produced</w:t>
            </w:r>
          </w:p>
        </w:tc>
        <w:tc>
          <w:tcPr>
            <w:tcW w:w="1884" w:type="dxa"/>
            <w:hideMark/>
          </w:tcPr>
          <w:p w14:paraId="4988BA02" w14:textId="77777777" w:rsidR="00F93BD7" w:rsidRPr="00226801" w:rsidRDefault="00F93BD7" w:rsidP="002917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00A22">
              <w:rPr>
                <w:rFonts w:asciiTheme="minorHAnsi" w:hAnsiTheme="minorHAnsi" w:cstheme="minorHAnsi"/>
                <w:sz w:val="18"/>
              </w:rPr>
              <w:t>1. Monthly</w:t>
            </w:r>
            <w:r w:rsidRPr="00E00A22">
              <w:rPr>
                <w:rFonts w:asciiTheme="minorHAnsi" w:hAnsiTheme="minorHAnsi" w:cstheme="minorHAnsi"/>
                <w:sz w:val="18"/>
              </w:rPr>
              <w:br/>
              <w:t>2. Post-training</w:t>
            </w:r>
            <w:r w:rsidRPr="00E00A22">
              <w:rPr>
                <w:rFonts w:asciiTheme="minorHAnsi" w:hAnsiTheme="minorHAnsi" w:cstheme="minorHAnsi"/>
                <w:sz w:val="18"/>
              </w:rPr>
              <w:br/>
              <w:t>3. Completion of production</w:t>
            </w:r>
          </w:p>
        </w:tc>
      </w:tr>
      <w:tr w:rsidR="00F93BD7" w:rsidRPr="00226801" w14:paraId="62146F4B" w14:textId="77777777" w:rsidTr="002917EE">
        <w:trPr>
          <w:cnfStyle w:val="000000100000" w:firstRow="0" w:lastRow="0" w:firstColumn="0" w:lastColumn="0" w:oddVBand="0" w:evenVBand="0" w:oddHBand="1" w:evenHBand="0" w:firstRowFirstColumn="0" w:firstRowLastColumn="0" w:lastRowFirstColumn="0" w:lastRowLastColumn="0"/>
          <w:trHeight w:val="1513"/>
        </w:trPr>
        <w:tc>
          <w:tcPr>
            <w:cnfStyle w:val="001000000000" w:firstRow="0" w:lastRow="0" w:firstColumn="1" w:lastColumn="0" w:oddVBand="0" w:evenVBand="0" w:oddHBand="0" w:evenHBand="0" w:firstRowFirstColumn="0" w:firstRowLastColumn="0" w:lastRowFirstColumn="0" w:lastRowLastColumn="0"/>
            <w:tcW w:w="783" w:type="dxa"/>
            <w:vMerge/>
            <w:hideMark/>
          </w:tcPr>
          <w:p w14:paraId="57DA3198" w14:textId="77777777" w:rsidR="00F93BD7" w:rsidRPr="00226801" w:rsidRDefault="00F93BD7" w:rsidP="00EF454E">
            <w:pPr>
              <w:jc w:val="center"/>
              <w:rPr>
                <w:rFonts w:asciiTheme="minorHAnsi" w:hAnsiTheme="minorHAnsi" w:cstheme="minorHAnsi"/>
                <w:b w:val="0"/>
                <w:bCs w:val="0"/>
                <w:sz w:val="18"/>
                <w:szCs w:val="18"/>
              </w:rPr>
            </w:pPr>
          </w:p>
        </w:tc>
        <w:tc>
          <w:tcPr>
            <w:tcW w:w="1937" w:type="dxa"/>
            <w:hideMark/>
          </w:tcPr>
          <w:p w14:paraId="68AD7DDE" w14:textId="77777777" w:rsidR="00F93BD7" w:rsidRPr="00226801" w:rsidRDefault="00254A7F" w:rsidP="002917E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00A22">
              <w:rPr>
                <w:rFonts w:asciiTheme="minorHAnsi" w:hAnsiTheme="minorHAnsi" w:cstheme="minorHAnsi"/>
                <w:sz w:val="18"/>
              </w:rPr>
              <w:t>SO</w:t>
            </w:r>
            <w:r w:rsidR="00F93BD7" w:rsidRPr="00E00A22">
              <w:rPr>
                <w:rFonts w:asciiTheme="minorHAnsi" w:hAnsiTheme="minorHAnsi" w:cstheme="minorHAnsi"/>
                <w:sz w:val="18"/>
              </w:rPr>
              <w:t>3</w:t>
            </w:r>
            <w:r w:rsidRPr="00E00A22">
              <w:rPr>
                <w:rFonts w:asciiTheme="minorHAnsi" w:hAnsiTheme="minorHAnsi" w:cstheme="minorHAnsi"/>
                <w:sz w:val="18"/>
              </w:rPr>
              <w:t>:</w:t>
            </w:r>
            <w:r w:rsidR="00F93BD7" w:rsidRPr="00E00A22">
              <w:rPr>
                <w:rFonts w:asciiTheme="minorHAnsi" w:hAnsiTheme="minorHAnsi" w:cstheme="minorHAnsi"/>
                <w:sz w:val="18"/>
              </w:rPr>
              <w:t xml:space="preserve"> To make </w:t>
            </w:r>
            <w:proofErr w:type="spellStart"/>
            <w:r w:rsidR="00F93BD7" w:rsidRPr="00E00A22">
              <w:rPr>
                <w:rFonts w:asciiTheme="minorHAnsi" w:hAnsiTheme="minorHAnsi" w:cstheme="minorHAnsi"/>
                <w:sz w:val="18"/>
              </w:rPr>
              <w:t>Rotavac</w:t>
            </w:r>
            <w:proofErr w:type="spellEnd"/>
            <w:r w:rsidR="00F93BD7" w:rsidRPr="00E00A22">
              <w:rPr>
                <w:rFonts w:asciiTheme="minorHAnsi" w:hAnsiTheme="minorHAnsi" w:cstheme="minorHAnsi"/>
                <w:sz w:val="18"/>
              </w:rPr>
              <w:t>® vaccine injection doses and supplies available to health facilities</w:t>
            </w:r>
          </w:p>
        </w:tc>
        <w:tc>
          <w:tcPr>
            <w:tcW w:w="1955" w:type="dxa"/>
            <w:hideMark/>
          </w:tcPr>
          <w:p w14:paraId="62C28BD5" w14:textId="77777777" w:rsidR="00F93BD7" w:rsidRPr="00226801" w:rsidRDefault="00F93BD7" w:rsidP="002917E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00A22">
              <w:rPr>
                <w:rFonts w:asciiTheme="minorHAnsi" w:hAnsiTheme="minorHAnsi" w:cstheme="minorHAnsi"/>
                <w:sz w:val="18"/>
              </w:rPr>
              <w:t>Vaccine supply and stock management</w:t>
            </w:r>
          </w:p>
        </w:tc>
        <w:tc>
          <w:tcPr>
            <w:tcW w:w="3075" w:type="dxa"/>
            <w:hideMark/>
          </w:tcPr>
          <w:p w14:paraId="5C7B5094" w14:textId="77777777" w:rsidR="00F93BD7" w:rsidRPr="002949CC" w:rsidRDefault="00F93BD7" w:rsidP="002917E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00A22">
              <w:rPr>
                <w:rFonts w:asciiTheme="minorHAnsi" w:hAnsiTheme="minorHAnsi" w:cstheme="minorHAnsi"/>
                <w:sz w:val="18"/>
              </w:rPr>
              <w:t>1. Transporting vaccines from CTG-EPI to the regions</w:t>
            </w:r>
            <w:r w:rsidRPr="00E00A22">
              <w:rPr>
                <w:rFonts w:asciiTheme="minorHAnsi" w:hAnsiTheme="minorHAnsi" w:cstheme="minorHAnsi"/>
                <w:sz w:val="18"/>
              </w:rPr>
              <w:br/>
              <w:t>2. Vaccine procurement from regions to health districts</w:t>
            </w:r>
            <w:r w:rsidRPr="00E00A22">
              <w:rPr>
                <w:rFonts w:asciiTheme="minorHAnsi" w:hAnsiTheme="minorHAnsi" w:cstheme="minorHAnsi"/>
                <w:sz w:val="18"/>
              </w:rPr>
              <w:br/>
              <w:t>3. Vaccine procurement from health districts to health centres</w:t>
            </w:r>
          </w:p>
        </w:tc>
        <w:tc>
          <w:tcPr>
            <w:tcW w:w="2260" w:type="dxa"/>
            <w:hideMark/>
          </w:tcPr>
          <w:p w14:paraId="01CF34AE" w14:textId="77777777" w:rsidR="00F93BD7" w:rsidRPr="00226801" w:rsidRDefault="00F93BD7" w:rsidP="002917E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00A22">
              <w:rPr>
                <w:rFonts w:asciiTheme="minorHAnsi" w:hAnsiTheme="minorHAnsi" w:cstheme="minorHAnsi"/>
                <w:sz w:val="18"/>
              </w:rPr>
              <w:t>1. Number of regions supplied</w:t>
            </w:r>
            <w:r w:rsidRPr="00E00A22">
              <w:rPr>
                <w:rFonts w:asciiTheme="minorHAnsi" w:hAnsiTheme="minorHAnsi" w:cstheme="minorHAnsi"/>
                <w:sz w:val="18"/>
              </w:rPr>
              <w:br/>
              <w:t xml:space="preserve">2. Number of health districts with </w:t>
            </w:r>
            <w:proofErr w:type="spellStart"/>
            <w:r w:rsidRPr="00E00A22">
              <w:rPr>
                <w:rFonts w:asciiTheme="minorHAnsi" w:hAnsiTheme="minorHAnsi" w:cstheme="minorHAnsi"/>
                <w:sz w:val="18"/>
              </w:rPr>
              <w:t>Rotavac</w:t>
            </w:r>
            <w:proofErr w:type="spellEnd"/>
            <w:r w:rsidRPr="00E00A22">
              <w:rPr>
                <w:rFonts w:asciiTheme="minorHAnsi" w:hAnsiTheme="minorHAnsi" w:cstheme="minorHAnsi"/>
                <w:sz w:val="18"/>
              </w:rPr>
              <w:t xml:space="preserve"> vaccines</w:t>
            </w:r>
            <w:r w:rsidRPr="00E00A22">
              <w:rPr>
                <w:rFonts w:asciiTheme="minorHAnsi" w:hAnsiTheme="minorHAnsi" w:cstheme="minorHAnsi"/>
                <w:sz w:val="18"/>
              </w:rPr>
              <w:br/>
              <w:t xml:space="preserve">3. Number of health centres that received the </w:t>
            </w:r>
            <w:proofErr w:type="spellStart"/>
            <w:r w:rsidRPr="00E00A22">
              <w:rPr>
                <w:rFonts w:asciiTheme="minorHAnsi" w:hAnsiTheme="minorHAnsi" w:cstheme="minorHAnsi"/>
                <w:sz w:val="18"/>
              </w:rPr>
              <w:t>Rotavac</w:t>
            </w:r>
            <w:proofErr w:type="spellEnd"/>
            <w:r w:rsidRPr="00E00A22">
              <w:rPr>
                <w:rFonts w:asciiTheme="minorHAnsi" w:hAnsiTheme="minorHAnsi" w:cstheme="minorHAnsi"/>
                <w:sz w:val="18"/>
              </w:rPr>
              <w:t xml:space="preserve"> vaccine</w:t>
            </w:r>
          </w:p>
        </w:tc>
        <w:tc>
          <w:tcPr>
            <w:tcW w:w="2135" w:type="dxa"/>
            <w:hideMark/>
          </w:tcPr>
          <w:p w14:paraId="0524B4CE" w14:textId="77777777" w:rsidR="00F93BD7" w:rsidRPr="00226801" w:rsidRDefault="00F93BD7" w:rsidP="002917E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00A22">
              <w:rPr>
                <w:rFonts w:asciiTheme="minorHAnsi" w:hAnsiTheme="minorHAnsi" w:cstheme="minorHAnsi"/>
                <w:sz w:val="18"/>
              </w:rPr>
              <w:t>Delivery reports</w:t>
            </w:r>
          </w:p>
        </w:tc>
        <w:tc>
          <w:tcPr>
            <w:tcW w:w="1884" w:type="dxa"/>
            <w:noWrap/>
            <w:hideMark/>
          </w:tcPr>
          <w:p w14:paraId="6C390226" w14:textId="77777777" w:rsidR="00F93BD7" w:rsidRPr="00226801" w:rsidRDefault="00F93BD7" w:rsidP="002917E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00A22">
              <w:rPr>
                <w:rFonts w:asciiTheme="minorHAnsi" w:hAnsiTheme="minorHAnsi" w:cstheme="minorHAnsi"/>
                <w:sz w:val="18"/>
              </w:rPr>
              <w:t>Post-delivery</w:t>
            </w:r>
          </w:p>
        </w:tc>
      </w:tr>
      <w:tr w:rsidR="00F93BD7" w:rsidRPr="002949CC" w14:paraId="152CE783" w14:textId="77777777" w:rsidTr="002917EE">
        <w:trPr>
          <w:trHeight w:val="1099"/>
        </w:trPr>
        <w:tc>
          <w:tcPr>
            <w:cnfStyle w:val="001000000000" w:firstRow="0" w:lastRow="0" w:firstColumn="1" w:lastColumn="0" w:oddVBand="0" w:evenVBand="0" w:oddHBand="0" w:evenHBand="0" w:firstRowFirstColumn="0" w:firstRowLastColumn="0" w:lastRowFirstColumn="0" w:lastRowLastColumn="0"/>
            <w:tcW w:w="783" w:type="dxa"/>
            <w:vMerge/>
            <w:hideMark/>
          </w:tcPr>
          <w:p w14:paraId="44FE78C5" w14:textId="77777777" w:rsidR="00F93BD7" w:rsidRPr="00226801" w:rsidRDefault="00F93BD7" w:rsidP="00EF454E">
            <w:pPr>
              <w:rPr>
                <w:rFonts w:asciiTheme="minorHAnsi" w:hAnsiTheme="minorHAnsi" w:cstheme="minorHAnsi"/>
                <w:b w:val="0"/>
                <w:bCs w:val="0"/>
                <w:sz w:val="18"/>
                <w:szCs w:val="18"/>
              </w:rPr>
            </w:pPr>
          </w:p>
        </w:tc>
        <w:tc>
          <w:tcPr>
            <w:tcW w:w="1937" w:type="dxa"/>
            <w:hideMark/>
          </w:tcPr>
          <w:p w14:paraId="716C0650" w14:textId="77777777" w:rsidR="00F93BD7" w:rsidRPr="002949CC" w:rsidRDefault="00254A7F" w:rsidP="002917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00A22">
              <w:rPr>
                <w:rFonts w:asciiTheme="minorHAnsi" w:hAnsiTheme="minorHAnsi" w:cstheme="minorHAnsi"/>
                <w:sz w:val="18"/>
              </w:rPr>
              <w:t>SO</w:t>
            </w:r>
            <w:r w:rsidR="00F93BD7" w:rsidRPr="00E00A22">
              <w:rPr>
                <w:rFonts w:asciiTheme="minorHAnsi" w:hAnsiTheme="minorHAnsi" w:cstheme="minorHAnsi"/>
                <w:sz w:val="18"/>
              </w:rPr>
              <w:t>4</w:t>
            </w:r>
            <w:r w:rsidRPr="00E00A22">
              <w:rPr>
                <w:rFonts w:asciiTheme="minorHAnsi" w:hAnsiTheme="minorHAnsi" w:cstheme="minorHAnsi"/>
                <w:sz w:val="18"/>
              </w:rPr>
              <w:t>:</w:t>
            </w:r>
            <w:r w:rsidR="00F93BD7" w:rsidRPr="00E00A22">
              <w:rPr>
                <w:rFonts w:asciiTheme="minorHAnsi" w:hAnsiTheme="minorHAnsi" w:cstheme="minorHAnsi"/>
                <w:sz w:val="18"/>
              </w:rPr>
              <w:t xml:space="preserve"> To monitor the rotavirus vaccine performance</w:t>
            </w:r>
          </w:p>
        </w:tc>
        <w:tc>
          <w:tcPr>
            <w:tcW w:w="1955" w:type="dxa"/>
            <w:hideMark/>
          </w:tcPr>
          <w:p w14:paraId="583B28B7" w14:textId="77777777" w:rsidR="00F93BD7" w:rsidRPr="00226801" w:rsidRDefault="00F93BD7" w:rsidP="002917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00A22">
              <w:rPr>
                <w:rFonts w:asciiTheme="minorHAnsi" w:hAnsiTheme="minorHAnsi" w:cstheme="minorHAnsi"/>
                <w:sz w:val="18"/>
              </w:rPr>
              <w:t>Data management and performance monitoring</w:t>
            </w:r>
          </w:p>
        </w:tc>
        <w:tc>
          <w:tcPr>
            <w:tcW w:w="3075" w:type="dxa"/>
            <w:hideMark/>
          </w:tcPr>
          <w:p w14:paraId="7095E5D8" w14:textId="77777777" w:rsidR="00F93BD7" w:rsidRPr="00226801" w:rsidRDefault="00F93BD7" w:rsidP="002917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00A22">
              <w:rPr>
                <w:rFonts w:asciiTheme="minorHAnsi" w:hAnsiTheme="minorHAnsi" w:cstheme="minorHAnsi"/>
                <w:sz w:val="18"/>
              </w:rPr>
              <w:t>Monitoring data transmission in the DHIS2</w:t>
            </w:r>
          </w:p>
        </w:tc>
        <w:tc>
          <w:tcPr>
            <w:tcW w:w="2260" w:type="dxa"/>
            <w:hideMark/>
          </w:tcPr>
          <w:p w14:paraId="419F88DA" w14:textId="77777777" w:rsidR="00F93BD7" w:rsidRPr="002949CC" w:rsidRDefault="00F93BD7" w:rsidP="002917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roofErr w:type="spellStart"/>
            <w:r w:rsidRPr="00E00A22">
              <w:rPr>
                <w:rFonts w:asciiTheme="minorHAnsi" w:hAnsiTheme="minorHAnsi" w:cstheme="minorHAnsi"/>
                <w:sz w:val="18"/>
              </w:rPr>
              <w:t>Rotavac</w:t>
            </w:r>
            <w:proofErr w:type="spellEnd"/>
            <w:r w:rsidRPr="00E00A22">
              <w:rPr>
                <w:rFonts w:asciiTheme="minorHAnsi" w:hAnsiTheme="minorHAnsi" w:cstheme="minorHAnsi"/>
                <w:sz w:val="18"/>
              </w:rPr>
              <w:t xml:space="preserve"> wastage rate (10%)</w:t>
            </w:r>
          </w:p>
        </w:tc>
        <w:tc>
          <w:tcPr>
            <w:tcW w:w="2135" w:type="dxa"/>
            <w:hideMark/>
          </w:tcPr>
          <w:p w14:paraId="2051F6ED" w14:textId="77777777" w:rsidR="00F93BD7" w:rsidRPr="002949CC" w:rsidRDefault="00F93BD7" w:rsidP="002917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00A22">
              <w:rPr>
                <w:rFonts w:asciiTheme="minorHAnsi" w:hAnsiTheme="minorHAnsi" w:cstheme="minorHAnsi"/>
                <w:sz w:val="18"/>
              </w:rPr>
              <w:t>DHIS2</w:t>
            </w:r>
          </w:p>
        </w:tc>
        <w:tc>
          <w:tcPr>
            <w:tcW w:w="1884" w:type="dxa"/>
            <w:hideMark/>
          </w:tcPr>
          <w:p w14:paraId="037AB2E0" w14:textId="77777777" w:rsidR="00F93BD7" w:rsidRPr="002949CC" w:rsidRDefault="00F93BD7" w:rsidP="002917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00A22">
              <w:rPr>
                <w:rFonts w:asciiTheme="minorHAnsi" w:hAnsiTheme="minorHAnsi" w:cstheme="minorHAnsi"/>
                <w:sz w:val="18"/>
              </w:rPr>
              <w:t>Monthly</w:t>
            </w:r>
          </w:p>
        </w:tc>
      </w:tr>
    </w:tbl>
    <w:p w14:paraId="76BA3F8A" w14:textId="77777777" w:rsidR="00F07EC8" w:rsidRPr="005304F3" w:rsidRDefault="00F07EC8" w:rsidP="00EF454E">
      <w:pPr>
        <w:rPr>
          <w:rFonts w:asciiTheme="minorHAnsi" w:hAnsiTheme="minorHAnsi" w:cstheme="minorHAnsi"/>
          <w:b/>
          <w:bCs/>
          <w:color w:val="FFFFFF" w:themeColor="background1"/>
        </w:rPr>
      </w:pPr>
    </w:p>
    <w:sectPr w:rsidR="00F07EC8" w:rsidRPr="005304F3" w:rsidSect="002917EE">
      <w:pgSz w:w="16840" w:h="11900"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53653" w14:textId="77777777" w:rsidR="005C4BE9" w:rsidRDefault="005C4BE9" w:rsidP="00F96AF8">
      <w:r>
        <w:separator/>
      </w:r>
    </w:p>
  </w:endnote>
  <w:endnote w:type="continuationSeparator" w:id="0">
    <w:p w14:paraId="64B1BE8E" w14:textId="77777777" w:rsidR="005C4BE9" w:rsidRDefault="005C4BE9" w:rsidP="00F96AF8">
      <w:r>
        <w:continuationSeparator/>
      </w:r>
    </w:p>
  </w:endnote>
  <w:endnote w:type="continuationNotice" w:id="1">
    <w:p w14:paraId="4965F36E" w14:textId="77777777" w:rsidR="005C4BE9" w:rsidRDefault="005C4B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F3889" w14:textId="77777777" w:rsidR="00F732D8" w:rsidRDefault="00F732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30E54" w14:textId="77777777" w:rsidR="00E97B10" w:rsidRPr="00ED1149" w:rsidRDefault="00E97B10">
    <w:pPr>
      <w:pStyle w:val="Footer"/>
    </w:pPr>
    <w:r>
      <w:rPr>
        <w:noProof/>
      </w:rPr>
      <mc:AlternateContent>
        <mc:Choice Requires="wpg">
          <w:drawing>
            <wp:anchor distT="0" distB="0" distL="114300" distR="114300" simplePos="0" relativeHeight="251658240" behindDoc="0" locked="0" layoutInCell="1" allowOverlap="1" wp14:anchorId="1414A5B7" wp14:editId="356B8804">
              <wp:simplePos x="0" y="0"/>
              <wp:positionH relativeFrom="page">
                <wp:posOffset>3546505</wp:posOffset>
              </wp:positionH>
              <wp:positionV relativeFrom="page">
                <wp:posOffset>10049854</wp:posOffset>
              </wp:positionV>
              <wp:extent cx="401640" cy="364389"/>
              <wp:effectExtent l="0" t="0" r="0" b="0"/>
              <wp:wrapNone/>
              <wp:docPr id="19" name="Groupe 19"/>
              <wp:cNvGraphicFramePr/>
              <a:graphic xmlns:a="http://schemas.openxmlformats.org/drawingml/2006/main">
                <a:graphicData uri="http://schemas.microsoft.com/office/word/2010/wordprocessingGroup">
                  <wpg:wgp>
                    <wpg:cNvGrpSpPr/>
                    <wpg:grpSpPr>
                      <a:xfrm>
                        <a:off x="0" y="0"/>
                        <a:ext cx="401640" cy="364389"/>
                        <a:chOff x="0" y="0"/>
                        <a:chExt cx="1005840" cy="1005840"/>
                      </a:xfrm>
                    </wpg:grpSpPr>
                    <wps:wsp>
                      <wps:cNvPr id="18" name="Rectangle 18"/>
                      <wps:cNvSpPr/>
                      <wps:spPr>
                        <a:xfrm>
                          <a:off x="0" y="0"/>
                          <a:ext cx="1005840" cy="10058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Forme libre 5"/>
                      <wps:cNvSpPr>
                        <a:spLocks/>
                      </wps:cNvSpPr>
                      <wps:spPr bwMode="auto">
                        <a:xfrm>
                          <a:off x="104775" y="104775"/>
                          <a:ext cx="787400" cy="787400"/>
                        </a:xfrm>
                        <a:custGeom>
                          <a:avLst/>
                          <a:gdLst>
                            <a:gd name="T0" fmla="*/ 240 w 240"/>
                            <a:gd name="T1" fmla="*/ 120 h 240"/>
                            <a:gd name="T2" fmla="*/ 230 w 240"/>
                            <a:gd name="T3" fmla="*/ 142 h 240"/>
                            <a:gd name="T4" fmla="*/ 230 w 240"/>
                            <a:gd name="T5" fmla="*/ 166 h 240"/>
                            <a:gd name="T6" fmla="*/ 214 w 240"/>
                            <a:gd name="T7" fmla="*/ 183 h 240"/>
                            <a:gd name="T8" fmla="*/ 204 w 240"/>
                            <a:gd name="T9" fmla="*/ 205 h 240"/>
                            <a:gd name="T10" fmla="*/ 182 w 240"/>
                            <a:gd name="T11" fmla="*/ 214 h 240"/>
                            <a:gd name="T12" fmla="*/ 165 w 240"/>
                            <a:gd name="T13" fmla="*/ 231 h 240"/>
                            <a:gd name="T14" fmla="*/ 142 w 240"/>
                            <a:gd name="T15" fmla="*/ 231 h 240"/>
                            <a:gd name="T16" fmla="*/ 120 w 240"/>
                            <a:gd name="T17" fmla="*/ 240 h 240"/>
                            <a:gd name="T18" fmla="*/ 97 w 240"/>
                            <a:gd name="T19" fmla="*/ 231 h 240"/>
                            <a:gd name="T20" fmla="*/ 74 w 240"/>
                            <a:gd name="T21" fmla="*/ 231 h 240"/>
                            <a:gd name="T22" fmla="*/ 57 w 240"/>
                            <a:gd name="T23" fmla="*/ 214 h 240"/>
                            <a:gd name="T24" fmla="*/ 35 w 240"/>
                            <a:gd name="T25" fmla="*/ 205 h 240"/>
                            <a:gd name="T26" fmla="*/ 26 w 240"/>
                            <a:gd name="T27" fmla="*/ 183 h 240"/>
                            <a:gd name="T28" fmla="*/ 9 w 240"/>
                            <a:gd name="T29" fmla="*/ 166 h 240"/>
                            <a:gd name="T30" fmla="*/ 9 w 240"/>
                            <a:gd name="T31" fmla="*/ 142 h 240"/>
                            <a:gd name="T32" fmla="*/ 0 w 240"/>
                            <a:gd name="T33" fmla="*/ 120 h 240"/>
                            <a:gd name="T34" fmla="*/ 9 w 240"/>
                            <a:gd name="T35" fmla="*/ 98 h 240"/>
                            <a:gd name="T36" fmla="*/ 9 w 240"/>
                            <a:gd name="T37" fmla="*/ 74 h 240"/>
                            <a:gd name="T38" fmla="*/ 26 w 240"/>
                            <a:gd name="T39" fmla="*/ 57 h 240"/>
                            <a:gd name="T40" fmla="*/ 35 w 240"/>
                            <a:gd name="T41" fmla="*/ 35 h 240"/>
                            <a:gd name="T42" fmla="*/ 57 w 240"/>
                            <a:gd name="T43" fmla="*/ 26 h 240"/>
                            <a:gd name="T44" fmla="*/ 74 w 240"/>
                            <a:gd name="T45" fmla="*/ 9 h 240"/>
                            <a:gd name="T46" fmla="*/ 97 w 240"/>
                            <a:gd name="T47" fmla="*/ 9 h 240"/>
                            <a:gd name="T48" fmla="*/ 120 w 240"/>
                            <a:gd name="T49" fmla="*/ 0 h 240"/>
                            <a:gd name="T50" fmla="*/ 142 w 240"/>
                            <a:gd name="T51" fmla="*/ 9 h 240"/>
                            <a:gd name="T52" fmla="*/ 165 w 240"/>
                            <a:gd name="T53" fmla="*/ 9 h 240"/>
                            <a:gd name="T54" fmla="*/ 182 w 240"/>
                            <a:gd name="T55" fmla="*/ 26 h 240"/>
                            <a:gd name="T56" fmla="*/ 204 w 240"/>
                            <a:gd name="T57" fmla="*/ 35 h 240"/>
                            <a:gd name="T58" fmla="*/ 214 w 240"/>
                            <a:gd name="T59" fmla="*/ 57 h 240"/>
                            <a:gd name="T60" fmla="*/ 230 w 240"/>
                            <a:gd name="T61" fmla="*/ 74 h 240"/>
                            <a:gd name="T62" fmla="*/ 230 w 240"/>
                            <a:gd name="T63" fmla="*/ 98 h 240"/>
                            <a:gd name="T64" fmla="*/ 240 w 240"/>
                            <a:gd name="T65" fmla="*/ 12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40" h="240">
                              <a:moveTo>
                                <a:pt x="240" y="120"/>
                              </a:moveTo>
                              <a:cubicBezTo>
                                <a:pt x="240" y="128"/>
                                <a:pt x="232" y="135"/>
                                <a:pt x="230" y="142"/>
                              </a:cubicBezTo>
                              <a:cubicBezTo>
                                <a:pt x="229" y="150"/>
                                <a:pt x="233" y="159"/>
                                <a:pt x="230" y="166"/>
                              </a:cubicBezTo>
                              <a:cubicBezTo>
                                <a:pt x="227" y="173"/>
                                <a:pt x="218" y="176"/>
                                <a:pt x="214" y="183"/>
                              </a:cubicBezTo>
                              <a:cubicBezTo>
                                <a:pt x="209" y="189"/>
                                <a:pt x="210" y="199"/>
                                <a:pt x="204" y="205"/>
                              </a:cubicBezTo>
                              <a:cubicBezTo>
                                <a:pt x="199" y="210"/>
                                <a:pt x="189" y="210"/>
                                <a:pt x="182" y="214"/>
                              </a:cubicBezTo>
                              <a:cubicBezTo>
                                <a:pt x="176" y="218"/>
                                <a:pt x="173" y="228"/>
                                <a:pt x="165" y="231"/>
                              </a:cubicBezTo>
                              <a:cubicBezTo>
                                <a:pt x="159" y="234"/>
                                <a:pt x="149" y="229"/>
                                <a:pt x="142" y="231"/>
                              </a:cubicBezTo>
                              <a:cubicBezTo>
                                <a:pt x="134" y="232"/>
                                <a:pt x="127" y="240"/>
                                <a:pt x="120" y="240"/>
                              </a:cubicBezTo>
                              <a:cubicBezTo>
                                <a:pt x="112" y="240"/>
                                <a:pt x="105" y="232"/>
                                <a:pt x="97" y="231"/>
                              </a:cubicBezTo>
                              <a:cubicBezTo>
                                <a:pt x="90" y="229"/>
                                <a:pt x="81" y="234"/>
                                <a:pt x="74" y="231"/>
                              </a:cubicBezTo>
                              <a:cubicBezTo>
                                <a:pt x="67" y="228"/>
                                <a:pt x="63" y="218"/>
                                <a:pt x="57" y="214"/>
                              </a:cubicBezTo>
                              <a:cubicBezTo>
                                <a:pt x="50" y="210"/>
                                <a:pt x="40" y="210"/>
                                <a:pt x="35" y="205"/>
                              </a:cubicBezTo>
                              <a:cubicBezTo>
                                <a:pt x="29" y="199"/>
                                <a:pt x="30" y="189"/>
                                <a:pt x="26" y="183"/>
                              </a:cubicBezTo>
                              <a:cubicBezTo>
                                <a:pt x="21" y="176"/>
                                <a:pt x="12" y="173"/>
                                <a:pt x="9" y="166"/>
                              </a:cubicBezTo>
                              <a:cubicBezTo>
                                <a:pt x="6" y="159"/>
                                <a:pt x="10" y="150"/>
                                <a:pt x="9" y="142"/>
                              </a:cubicBezTo>
                              <a:cubicBezTo>
                                <a:pt x="7" y="135"/>
                                <a:pt x="0" y="128"/>
                                <a:pt x="0" y="120"/>
                              </a:cubicBezTo>
                              <a:cubicBezTo>
                                <a:pt x="0" y="112"/>
                                <a:pt x="7" y="105"/>
                                <a:pt x="9" y="98"/>
                              </a:cubicBezTo>
                              <a:cubicBezTo>
                                <a:pt x="10" y="90"/>
                                <a:pt x="6" y="81"/>
                                <a:pt x="9" y="74"/>
                              </a:cubicBezTo>
                              <a:cubicBezTo>
                                <a:pt x="12" y="67"/>
                                <a:pt x="21" y="64"/>
                                <a:pt x="26" y="57"/>
                              </a:cubicBezTo>
                              <a:cubicBezTo>
                                <a:pt x="30" y="51"/>
                                <a:pt x="29" y="41"/>
                                <a:pt x="35" y="35"/>
                              </a:cubicBezTo>
                              <a:cubicBezTo>
                                <a:pt x="40" y="30"/>
                                <a:pt x="50" y="30"/>
                                <a:pt x="57" y="26"/>
                              </a:cubicBezTo>
                              <a:cubicBezTo>
                                <a:pt x="63" y="22"/>
                                <a:pt x="67" y="12"/>
                                <a:pt x="74" y="9"/>
                              </a:cubicBezTo>
                              <a:cubicBezTo>
                                <a:pt x="81" y="6"/>
                                <a:pt x="90" y="11"/>
                                <a:pt x="97" y="9"/>
                              </a:cubicBezTo>
                              <a:cubicBezTo>
                                <a:pt x="105" y="8"/>
                                <a:pt x="112" y="0"/>
                                <a:pt x="120" y="0"/>
                              </a:cubicBezTo>
                              <a:cubicBezTo>
                                <a:pt x="127" y="0"/>
                                <a:pt x="134" y="8"/>
                                <a:pt x="142" y="9"/>
                              </a:cubicBezTo>
                              <a:cubicBezTo>
                                <a:pt x="149" y="11"/>
                                <a:pt x="159" y="6"/>
                                <a:pt x="165" y="9"/>
                              </a:cubicBezTo>
                              <a:cubicBezTo>
                                <a:pt x="173" y="12"/>
                                <a:pt x="176" y="22"/>
                                <a:pt x="182" y="26"/>
                              </a:cubicBezTo>
                              <a:cubicBezTo>
                                <a:pt x="189" y="30"/>
                                <a:pt x="199" y="30"/>
                                <a:pt x="204" y="35"/>
                              </a:cubicBezTo>
                              <a:cubicBezTo>
                                <a:pt x="210" y="41"/>
                                <a:pt x="209" y="51"/>
                                <a:pt x="214" y="57"/>
                              </a:cubicBezTo>
                              <a:cubicBezTo>
                                <a:pt x="218" y="64"/>
                                <a:pt x="227" y="67"/>
                                <a:pt x="230" y="74"/>
                              </a:cubicBezTo>
                              <a:cubicBezTo>
                                <a:pt x="233" y="81"/>
                                <a:pt x="229" y="90"/>
                                <a:pt x="230" y="98"/>
                              </a:cubicBezTo>
                              <a:cubicBezTo>
                                <a:pt x="232" y="105"/>
                                <a:pt x="240" y="112"/>
                                <a:pt x="240" y="120"/>
                              </a:cubicBezTo>
                              <a:close/>
                            </a:path>
                          </a:pathLst>
                        </a:custGeom>
                        <a:solidFill>
                          <a:schemeClr val="accent1"/>
                        </a:solidFill>
                        <a:ln>
                          <a:noFill/>
                        </a:ln>
                      </wps:spPr>
                      <wps:txbx>
                        <w:txbxContent>
                          <w:p w14:paraId="5588C584" w14:textId="77777777" w:rsidR="00E97B10" w:rsidRPr="00E97B10" w:rsidRDefault="00E97B10">
                            <w:pPr>
                              <w:pStyle w:val="NoSpacing"/>
                              <w:jc w:val="center"/>
                              <w:rPr>
                                <w:b/>
                                <w:color w:val="FFFFFF" w:themeColor="background1"/>
                                <w:spacing w:val="20"/>
                                <w:sz w:val="22"/>
                                <w:szCs w:val="22"/>
                              </w:rPr>
                            </w:pPr>
                            <w:r w:rsidRPr="00E97B10">
                              <w:rPr>
                                <w:b/>
                                <w:color w:val="FFFFFF" w:themeColor="background1"/>
                                <w:sz w:val="22"/>
                              </w:rPr>
                              <w:fldChar w:fldCharType="begin"/>
                            </w:r>
                            <w:r w:rsidRPr="00E97B10">
                              <w:rPr>
                                <w:b/>
                                <w:color w:val="FFFFFF" w:themeColor="background1"/>
                                <w:sz w:val="22"/>
                              </w:rPr>
                              <w:instrText xml:space="preserve"> PAGE   \* MERGEFORMAT </w:instrText>
                            </w:r>
                            <w:r w:rsidRPr="00E97B10">
                              <w:rPr>
                                <w:b/>
                                <w:color w:val="FFFFFF" w:themeColor="background1"/>
                                <w:sz w:val="22"/>
                              </w:rPr>
                              <w:fldChar w:fldCharType="separate"/>
                            </w:r>
                            <w:r w:rsidRPr="00E97B10">
                              <w:rPr>
                                <w:b/>
                                <w:color w:val="FFFFFF" w:themeColor="background1"/>
                                <w:sz w:val="22"/>
                              </w:rPr>
                              <w:t>2</w:t>
                            </w:r>
                            <w:r w:rsidRPr="00E97B10">
                              <w:rPr>
                                <w:b/>
                                <w:color w:val="FFFFFF" w:themeColor="background1"/>
                                <w:sz w:val="22"/>
                              </w:rPr>
                              <w:fldChar w:fldCharType="end"/>
                            </w:r>
                          </w:p>
                        </w:txbxContent>
                      </wps:txbx>
                      <wps:bodyPr vert="horz" wrap="square" lIns="91440" tIns="45720" rIns="91440" bIns="45720" numCol="1" anchor="ctr"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1414A5B7" id="Groupe 19" o:spid="_x0000_s1027" style="position:absolute;margin-left:279.25pt;margin-top:791.35pt;width:31.65pt;height:28.7pt;z-index:251658240;mso-position-horizontal-relative:page;mso-position-vertical-relative:page;mso-width-relative:margin;mso-height-relative:margin" coordsize="10058,10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">
              <v:rect id="Rectangle 18" o:spid="_x0000_s1028" style="position:absolute;width:10058;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" filled="f" stroked="f" strokeweight="1pt"/>
              <v:shape id="Forme libre 5" o:spid="_x0000_s1029" style="position:absolute;left:1047;top:1047;width:7874;height:7874;visibility:visible;mso-wrap-style:square;v-text-anchor:middle" coordsize="240,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" adj="-11796480,,5400" path="m240,120v,8,-8,15,-10,22c229,150,233,159,230,166v-3,7,-12,10,-16,17c209,189,210,199,204,205v-5,5,-15,5,-22,9c176,218,173,228,165,231v-6,3,-16,-2,-23,c134,232,127,240,120,240v-8,,-15,-8,-23,-9c90,229,81,234,74,231,67,228,63,218,57,214v-7,-4,-17,-4,-22,-9c29,199,30,189,26,183,21,176,12,173,9,166v-3,-7,1,-16,,-24c7,135,,128,,120,,112,7,105,9,98,10,90,6,81,9,74,12,67,21,64,26,57v4,-6,3,-16,9,-22c40,30,50,30,57,26,63,22,67,12,74,9v7,-3,16,2,23,c105,8,112,,120,v7,,14,8,22,9c149,11,159,6,165,9v8,3,11,13,17,17c189,30,199,30,204,35v6,6,5,16,10,22c218,64,227,67,230,74v3,7,-1,16,,24c232,105,240,112,240,120xe" fillcolor="#4a66ac [3204]" stroked="f">
                <v:stroke joinstyle="miter"/>
                <v:formulas/>
                <v:path arrowok="t" o:connecttype="custom" o:connectlocs="787400,393700;754592,465878;754592,544618;702098,600393;669290,672571;597112,702098;541338,757873;465878,757873;393700,787400;318241,757873;242782,757873;187008,702098;114829,672571;85302,600393;29528,544618;29528,465878;0,393700;29528,321522;29528,242782;85302,187008;114829,114829;187008,85302;242782,29528;318241,29528;393700,0;465878,29528;541338,29528;597112,85302;669290,114829;702098,187008;754592,242782;754592,321522;787400,393700" o:connectangles="0,0,0,0,0,0,0,0,0,0,0,0,0,0,0,0,0,0,0,0,0,0,0,0,0,0,0,0,0,0,0,0,0" textboxrect="0,0,240,240"/>
                <v:textbox>
                  <w:txbxContent>
                    <w:p w:rsidR="00E97B10" w:rsidRPr="00E97B10" w:rsidRDefault="00E97B10">
                      <w:pPr>
                        <w:pStyle w:val="NoSpacing"/>
                        <w:jc w:val="center"/>
                        <w:rPr>
                          <w:b/>
                          <w:color w:val="FFFFFF" w:themeColor="background1"/>
                          <w:spacing w:val="20"/>
                          <w:sz w:val="22"/>
                          <w:szCs w:val="22"/>
                        </w:rPr>
                      </w:pPr>
                      <w:r w:rsidRPr="00E97B10">
                        <w:rPr>
                          <w:b/>
                          <w:color w:val="FFFFFF" w:themeColor="background1"/>
                          <w:sz w:val="22"/>
                        </w:rPr>
                        <w:fldChar w:fldCharType="begin"/>
                      </w:r>
                      <w:r w:rsidRPr="00E97B10">
                        <w:rPr>
                          <w:b/>
                          <w:color w:val="FFFFFF" w:themeColor="background1"/>
                          <w:sz w:val="22"/>
                        </w:rPr>
                        <w:instrText xml:space="preserve"> PAGE   \* MERGEFORMAT </w:instrText>
                      </w:r>
                      <w:r w:rsidRPr="00E97B10">
                        <w:rPr>
                          <w:b/>
                          <w:color w:val="FFFFFF" w:themeColor="background1"/>
                          <w:sz w:val="22"/>
                        </w:rPr>
                        <w:fldChar w:fldCharType="separate"/>
                      </w:r>
                      <w:r w:rsidRPr="00E97B10">
                        <w:rPr>
                          <w:b/>
                          <w:color w:val="FFFFFF" w:themeColor="background1"/>
                          <w:sz w:val="22"/>
                        </w:rPr>
                        <w:t>2</w:t>
                      </w:r>
                      <w:r w:rsidRPr="00E97B10">
                        <w:rPr>
                          <w:b/>
                          <w:color w:val="FFFFFF" w:themeColor="background1"/>
                          <w:sz w:val="22"/>
                        </w:rPr>
                        <w:fldChar w:fldCharType="end"/>
                      </w:r>
                    </w:p>
                  </w:txbxContent>
                </v:textbox>
              </v:shape>
              <w10:wrap anchorx="page" anchory="page"/>
            </v:group>
          </w:pict>
        </mc:Fallback>
      </mc:AlternateContent>
    </w:r>
  </w:p>
  <w:p w14:paraId="7B0E3363" w14:textId="77777777" w:rsidR="007B6BFD" w:rsidRDefault="007B6B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1E209" w14:textId="77777777" w:rsidR="00F732D8" w:rsidRDefault="00F732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47EC0" w14:textId="77777777" w:rsidR="005C4BE9" w:rsidRDefault="005C4BE9" w:rsidP="00F96AF8">
      <w:r>
        <w:separator/>
      </w:r>
    </w:p>
  </w:footnote>
  <w:footnote w:type="continuationSeparator" w:id="0">
    <w:p w14:paraId="2D1F8210" w14:textId="77777777" w:rsidR="005C4BE9" w:rsidRDefault="005C4BE9" w:rsidP="00F96AF8">
      <w:r>
        <w:continuationSeparator/>
      </w:r>
    </w:p>
  </w:footnote>
  <w:footnote w:type="continuationNotice" w:id="1">
    <w:p w14:paraId="73E43C99" w14:textId="77777777" w:rsidR="005C4BE9" w:rsidRDefault="005C4BE9"/>
  </w:footnote>
  <w:footnote w:id="2">
    <w:p w14:paraId="15F5B032" w14:textId="77777777" w:rsidR="003D6FEE" w:rsidRPr="00BF39DE" w:rsidRDefault="003D6FEE" w:rsidP="003D6FEE">
      <w:pPr>
        <w:pStyle w:val="FootnoteText"/>
      </w:pPr>
      <w:r>
        <w:rPr>
          <w:rStyle w:val="FootnoteReference"/>
          <w:sz w:val="18"/>
          <w:szCs w:val="18"/>
        </w:rPr>
        <w:footnoteRef/>
      </w:r>
      <w:r>
        <w:rPr>
          <w:sz w:val="18"/>
        </w:rPr>
        <w:t xml:space="preserve"> </w:t>
      </w:r>
      <w:r>
        <w:t>Study on the reasons for refusing immunisation during SIA (MoH/EPI February 2021). Study on population acceptability and logistics to the introduction of the COVID-19 vaccine in Cameroon (MoH/EPI</w:t>
      </w:r>
      <w:r w:rsidR="00D53734">
        <w:t xml:space="preserve"> </w:t>
      </w:r>
      <w:r>
        <w:t>April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E51A4" w14:textId="77777777" w:rsidR="00F732D8" w:rsidRDefault="00F732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CC911" w14:textId="77777777" w:rsidR="00F732D8" w:rsidRDefault="00F732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29C89" w14:textId="77777777" w:rsidR="00F732D8" w:rsidRDefault="00F732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4C0DFBA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11.55pt" o:bullet="t">
        <v:imagedata r:id="rId1" o:title="msoEE06"/>
      </v:shape>
    </w:pict>
  </w:numPicBullet>
  <w:abstractNum w:abstractNumId="0" w15:restartNumberingAfterBreak="0">
    <w:nsid w:val="15895FC4"/>
    <w:multiLevelType w:val="hybridMultilevel"/>
    <w:tmpl w:val="2A7A06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F6430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9F58A4"/>
    <w:multiLevelType w:val="hybridMultilevel"/>
    <w:tmpl w:val="AEDA6F70"/>
    <w:lvl w:ilvl="0" w:tplc="040C0001">
      <w:start w:val="1"/>
      <w:numFmt w:val="bullet"/>
      <w:lvlText w:val=""/>
      <w:lvlJc w:val="left"/>
      <w:pPr>
        <w:ind w:left="775" w:hanging="360"/>
      </w:pPr>
      <w:rPr>
        <w:rFonts w:ascii="Symbol" w:hAnsi="Symbol"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3" w15:restartNumberingAfterBreak="0">
    <w:nsid w:val="20854EB5"/>
    <w:multiLevelType w:val="hybridMultilevel"/>
    <w:tmpl w:val="310E6C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B8835C3"/>
    <w:multiLevelType w:val="hybridMultilevel"/>
    <w:tmpl w:val="7898F4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DCF226B"/>
    <w:multiLevelType w:val="hybridMultilevel"/>
    <w:tmpl w:val="F650E2D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E6C1DCE"/>
    <w:multiLevelType w:val="hybridMultilevel"/>
    <w:tmpl w:val="1FF67C3C"/>
    <w:lvl w:ilvl="0" w:tplc="040C0007">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1A05397"/>
    <w:multiLevelType w:val="hybridMultilevel"/>
    <w:tmpl w:val="14EC0712"/>
    <w:lvl w:ilvl="0" w:tplc="F1BEA218">
      <w:start w:val="4"/>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5E94E5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66D7C99"/>
    <w:multiLevelType w:val="hybridMultilevel"/>
    <w:tmpl w:val="74962C08"/>
    <w:lvl w:ilvl="0" w:tplc="DD081198">
      <w:start w:val="1"/>
      <w:numFmt w:val="lowerRoman"/>
      <w:lvlText w:val="(%1)"/>
      <w:lvlJc w:val="left"/>
      <w:pPr>
        <w:ind w:left="2160" w:hanging="72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0" w15:restartNumberingAfterBreak="0">
    <w:nsid w:val="51E035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223797"/>
    <w:multiLevelType w:val="hybridMultilevel"/>
    <w:tmpl w:val="361C255A"/>
    <w:lvl w:ilvl="0" w:tplc="966ACFF0">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1BA69F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171B0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81B71E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48063042">
    <w:abstractNumId w:val="5"/>
  </w:num>
  <w:num w:numId="2" w16cid:durableId="571503270">
    <w:abstractNumId w:val="9"/>
  </w:num>
  <w:num w:numId="3" w16cid:durableId="1767842920">
    <w:abstractNumId w:val="14"/>
  </w:num>
  <w:num w:numId="4" w16cid:durableId="1415668017">
    <w:abstractNumId w:val="10"/>
  </w:num>
  <w:num w:numId="5" w16cid:durableId="1070425017">
    <w:abstractNumId w:val="4"/>
  </w:num>
  <w:num w:numId="6" w16cid:durableId="861162083">
    <w:abstractNumId w:val="11"/>
  </w:num>
  <w:num w:numId="7" w16cid:durableId="263806966">
    <w:abstractNumId w:val="6"/>
  </w:num>
  <w:num w:numId="8" w16cid:durableId="625353650">
    <w:abstractNumId w:val="2"/>
  </w:num>
  <w:num w:numId="9" w16cid:durableId="78794585">
    <w:abstractNumId w:val="7"/>
  </w:num>
  <w:num w:numId="10" w16cid:durableId="1122071152">
    <w:abstractNumId w:val="8"/>
  </w:num>
  <w:num w:numId="11" w16cid:durableId="815533786">
    <w:abstractNumId w:val="13"/>
  </w:num>
  <w:num w:numId="12" w16cid:durableId="76833860">
    <w:abstractNumId w:val="1"/>
  </w:num>
  <w:num w:numId="13" w16cid:durableId="970332050">
    <w:abstractNumId w:val="12"/>
  </w:num>
  <w:num w:numId="14" w16cid:durableId="544215567">
    <w:abstractNumId w:val="0"/>
  </w:num>
  <w:num w:numId="15" w16cid:durableId="8275514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isplayBackgroundShape/>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1MTQ3NjcxNTM3NTdU0lEKTi0uzszPAykwrQUAekVdUiwAAAA="/>
  </w:docVars>
  <w:rsids>
    <w:rsidRoot w:val="00560502"/>
    <w:rsid w:val="00001690"/>
    <w:rsid w:val="000179E9"/>
    <w:rsid w:val="000262E9"/>
    <w:rsid w:val="00042146"/>
    <w:rsid w:val="000502F7"/>
    <w:rsid w:val="0005380F"/>
    <w:rsid w:val="00053AD2"/>
    <w:rsid w:val="000601E7"/>
    <w:rsid w:val="00062DDB"/>
    <w:rsid w:val="0009150A"/>
    <w:rsid w:val="000A1E5F"/>
    <w:rsid w:val="000A5CB8"/>
    <w:rsid w:val="000B0658"/>
    <w:rsid w:val="000E126C"/>
    <w:rsid w:val="000E7A57"/>
    <w:rsid w:val="001362BE"/>
    <w:rsid w:val="00144026"/>
    <w:rsid w:val="00157C6D"/>
    <w:rsid w:val="00164880"/>
    <w:rsid w:val="001655B7"/>
    <w:rsid w:val="0017006F"/>
    <w:rsid w:val="001718AE"/>
    <w:rsid w:val="00176294"/>
    <w:rsid w:val="00191DCF"/>
    <w:rsid w:val="00192B7F"/>
    <w:rsid w:val="0019786C"/>
    <w:rsid w:val="001B4BE7"/>
    <w:rsid w:val="001D1F51"/>
    <w:rsid w:val="001D2B89"/>
    <w:rsid w:val="001D3C54"/>
    <w:rsid w:val="001E4095"/>
    <w:rsid w:val="00211A44"/>
    <w:rsid w:val="002169C2"/>
    <w:rsid w:val="00226801"/>
    <w:rsid w:val="002411F5"/>
    <w:rsid w:val="002433FE"/>
    <w:rsid w:val="00254A7F"/>
    <w:rsid w:val="0026403F"/>
    <w:rsid w:val="00277838"/>
    <w:rsid w:val="002917EE"/>
    <w:rsid w:val="002935E2"/>
    <w:rsid w:val="002949CC"/>
    <w:rsid w:val="002A5E3A"/>
    <w:rsid w:val="002D2E4F"/>
    <w:rsid w:val="002E112C"/>
    <w:rsid w:val="002E3225"/>
    <w:rsid w:val="002E3C65"/>
    <w:rsid w:val="002F4D8B"/>
    <w:rsid w:val="00315679"/>
    <w:rsid w:val="003203D1"/>
    <w:rsid w:val="00330422"/>
    <w:rsid w:val="00341649"/>
    <w:rsid w:val="00352629"/>
    <w:rsid w:val="0037042B"/>
    <w:rsid w:val="00373063"/>
    <w:rsid w:val="00374649"/>
    <w:rsid w:val="003A7498"/>
    <w:rsid w:val="003B694A"/>
    <w:rsid w:val="003C60EE"/>
    <w:rsid w:val="003D013A"/>
    <w:rsid w:val="003D6FEE"/>
    <w:rsid w:val="003E1A1A"/>
    <w:rsid w:val="003E7EA9"/>
    <w:rsid w:val="003F0ED2"/>
    <w:rsid w:val="004015E5"/>
    <w:rsid w:val="00415C9B"/>
    <w:rsid w:val="00417EF4"/>
    <w:rsid w:val="00423B14"/>
    <w:rsid w:val="004260D6"/>
    <w:rsid w:val="00427104"/>
    <w:rsid w:val="0044190B"/>
    <w:rsid w:val="00442E22"/>
    <w:rsid w:val="00466880"/>
    <w:rsid w:val="004958BF"/>
    <w:rsid w:val="004C3206"/>
    <w:rsid w:val="004E1E36"/>
    <w:rsid w:val="004F2D08"/>
    <w:rsid w:val="00525216"/>
    <w:rsid w:val="005304F3"/>
    <w:rsid w:val="0055147D"/>
    <w:rsid w:val="00554259"/>
    <w:rsid w:val="005600AE"/>
    <w:rsid w:val="00560502"/>
    <w:rsid w:val="00571F7B"/>
    <w:rsid w:val="0057285E"/>
    <w:rsid w:val="00594F38"/>
    <w:rsid w:val="005A4363"/>
    <w:rsid w:val="005B260D"/>
    <w:rsid w:val="005C4BE9"/>
    <w:rsid w:val="005D5B3E"/>
    <w:rsid w:val="005F6D5C"/>
    <w:rsid w:val="00602D2D"/>
    <w:rsid w:val="00611270"/>
    <w:rsid w:val="00612008"/>
    <w:rsid w:val="00635A13"/>
    <w:rsid w:val="00636A13"/>
    <w:rsid w:val="006411A7"/>
    <w:rsid w:val="006461BC"/>
    <w:rsid w:val="00655B0D"/>
    <w:rsid w:val="00661A11"/>
    <w:rsid w:val="00663E4A"/>
    <w:rsid w:val="0068651D"/>
    <w:rsid w:val="006A5639"/>
    <w:rsid w:val="006A765C"/>
    <w:rsid w:val="006D054C"/>
    <w:rsid w:val="006D2817"/>
    <w:rsid w:val="006D6D93"/>
    <w:rsid w:val="006E4ED3"/>
    <w:rsid w:val="006F0AB3"/>
    <w:rsid w:val="006F755D"/>
    <w:rsid w:val="007057E6"/>
    <w:rsid w:val="00710CC9"/>
    <w:rsid w:val="00721B36"/>
    <w:rsid w:val="00762BE3"/>
    <w:rsid w:val="00786204"/>
    <w:rsid w:val="00792D2C"/>
    <w:rsid w:val="007B2A16"/>
    <w:rsid w:val="007B6BFD"/>
    <w:rsid w:val="007C1373"/>
    <w:rsid w:val="007C48C0"/>
    <w:rsid w:val="007C58D8"/>
    <w:rsid w:val="007D1599"/>
    <w:rsid w:val="007D37FE"/>
    <w:rsid w:val="007D7E28"/>
    <w:rsid w:val="007E1298"/>
    <w:rsid w:val="008015B5"/>
    <w:rsid w:val="0083515B"/>
    <w:rsid w:val="0084064F"/>
    <w:rsid w:val="00840726"/>
    <w:rsid w:val="00840789"/>
    <w:rsid w:val="0085371E"/>
    <w:rsid w:val="00862D55"/>
    <w:rsid w:val="00863011"/>
    <w:rsid w:val="008661B7"/>
    <w:rsid w:val="00867DF4"/>
    <w:rsid w:val="00870387"/>
    <w:rsid w:val="008740DE"/>
    <w:rsid w:val="00874403"/>
    <w:rsid w:val="00876462"/>
    <w:rsid w:val="008B0F16"/>
    <w:rsid w:val="008C4A9E"/>
    <w:rsid w:val="008D5276"/>
    <w:rsid w:val="008E5326"/>
    <w:rsid w:val="008F48CF"/>
    <w:rsid w:val="0093711B"/>
    <w:rsid w:val="00941866"/>
    <w:rsid w:val="00946386"/>
    <w:rsid w:val="00953971"/>
    <w:rsid w:val="009647DF"/>
    <w:rsid w:val="00991B43"/>
    <w:rsid w:val="00992AF7"/>
    <w:rsid w:val="009A291A"/>
    <w:rsid w:val="009A29EC"/>
    <w:rsid w:val="009C2448"/>
    <w:rsid w:val="009E44BC"/>
    <w:rsid w:val="009F3C1A"/>
    <w:rsid w:val="009F6AD0"/>
    <w:rsid w:val="00A01630"/>
    <w:rsid w:val="00A120D3"/>
    <w:rsid w:val="00A14478"/>
    <w:rsid w:val="00A30738"/>
    <w:rsid w:val="00A32C29"/>
    <w:rsid w:val="00A91CDC"/>
    <w:rsid w:val="00AA2661"/>
    <w:rsid w:val="00AE23AF"/>
    <w:rsid w:val="00AE3081"/>
    <w:rsid w:val="00AE4A4C"/>
    <w:rsid w:val="00AE4ABF"/>
    <w:rsid w:val="00AE6267"/>
    <w:rsid w:val="00B06E9B"/>
    <w:rsid w:val="00B168DE"/>
    <w:rsid w:val="00B3552E"/>
    <w:rsid w:val="00B527B9"/>
    <w:rsid w:val="00B54FFA"/>
    <w:rsid w:val="00B5762F"/>
    <w:rsid w:val="00B62F38"/>
    <w:rsid w:val="00BC6716"/>
    <w:rsid w:val="00BD54F8"/>
    <w:rsid w:val="00C0454A"/>
    <w:rsid w:val="00C35735"/>
    <w:rsid w:val="00C370E0"/>
    <w:rsid w:val="00C44A71"/>
    <w:rsid w:val="00C62753"/>
    <w:rsid w:val="00C80E9B"/>
    <w:rsid w:val="00CB006B"/>
    <w:rsid w:val="00CB3730"/>
    <w:rsid w:val="00CD6ED4"/>
    <w:rsid w:val="00CE03EC"/>
    <w:rsid w:val="00CE6A8E"/>
    <w:rsid w:val="00CE77AD"/>
    <w:rsid w:val="00CF1923"/>
    <w:rsid w:val="00D00425"/>
    <w:rsid w:val="00D1211B"/>
    <w:rsid w:val="00D1458D"/>
    <w:rsid w:val="00D15927"/>
    <w:rsid w:val="00D3593A"/>
    <w:rsid w:val="00D50ADA"/>
    <w:rsid w:val="00D53734"/>
    <w:rsid w:val="00D609A1"/>
    <w:rsid w:val="00D67BB3"/>
    <w:rsid w:val="00D7372C"/>
    <w:rsid w:val="00D9323E"/>
    <w:rsid w:val="00DA095E"/>
    <w:rsid w:val="00DD3E25"/>
    <w:rsid w:val="00E00A22"/>
    <w:rsid w:val="00E070B1"/>
    <w:rsid w:val="00E14CBF"/>
    <w:rsid w:val="00E31E05"/>
    <w:rsid w:val="00E418CD"/>
    <w:rsid w:val="00E42C8F"/>
    <w:rsid w:val="00E468D6"/>
    <w:rsid w:val="00E53FB5"/>
    <w:rsid w:val="00E639F8"/>
    <w:rsid w:val="00E779F2"/>
    <w:rsid w:val="00E97B10"/>
    <w:rsid w:val="00EA3B28"/>
    <w:rsid w:val="00EB100F"/>
    <w:rsid w:val="00EC6056"/>
    <w:rsid w:val="00ED11B6"/>
    <w:rsid w:val="00EF220F"/>
    <w:rsid w:val="00EF454E"/>
    <w:rsid w:val="00F03C9E"/>
    <w:rsid w:val="00F07EC8"/>
    <w:rsid w:val="00F10FA7"/>
    <w:rsid w:val="00F457B1"/>
    <w:rsid w:val="00F70108"/>
    <w:rsid w:val="00F732D8"/>
    <w:rsid w:val="00F76A7C"/>
    <w:rsid w:val="00F807C7"/>
    <w:rsid w:val="00F86262"/>
    <w:rsid w:val="00F8762F"/>
    <w:rsid w:val="00F93BD7"/>
    <w:rsid w:val="00F957FD"/>
    <w:rsid w:val="00F96AF8"/>
    <w:rsid w:val="00F96CC0"/>
    <w:rsid w:val="00F96EA7"/>
    <w:rsid w:val="00FA30FF"/>
    <w:rsid w:val="00FA67B4"/>
    <w:rsid w:val="00FD42B4"/>
    <w:rsid w:val="00FD4F19"/>
    <w:rsid w:val="00FD6652"/>
    <w:rsid w:val="00FE24C4"/>
    <w:rsid w:val="00FF5744"/>
    <w:rsid w:val="00FF590C"/>
    <w:rsid w:val="00FF6F62"/>
    <w:rsid w:val="03008567"/>
    <w:rsid w:val="085CC012"/>
    <w:rsid w:val="088AE1EA"/>
    <w:rsid w:val="0D8A2C39"/>
    <w:rsid w:val="0E6098EA"/>
    <w:rsid w:val="14FFF57F"/>
    <w:rsid w:val="21139968"/>
    <w:rsid w:val="2C21EEE0"/>
    <w:rsid w:val="38F72E36"/>
    <w:rsid w:val="39107ECA"/>
    <w:rsid w:val="3EF4A380"/>
    <w:rsid w:val="40CE7A64"/>
    <w:rsid w:val="42F0839C"/>
    <w:rsid w:val="479CB8B9"/>
    <w:rsid w:val="47D5BD6F"/>
    <w:rsid w:val="4E709AB4"/>
    <w:rsid w:val="56365103"/>
    <w:rsid w:val="5FAE6F5F"/>
    <w:rsid w:val="638792C5"/>
    <w:rsid w:val="63FDEB3A"/>
    <w:rsid w:val="7DC18360"/>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3D788798"/>
  <w15:chartTrackingRefBased/>
  <w15:docId w15:val="{FE33940E-30DC-4457-B421-3CDF7A55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630"/>
    <w:pPr>
      <w:spacing w:after="0" w:line="240" w:lineRule="auto"/>
    </w:pPr>
    <w:rPr>
      <w:rFonts w:ascii="Times New Roman" w:eastAsia="Times New Roman" w:hAnsi="Times New Roman" w:cs="Times New Roman"/>
      <w:sz w:val="24"/>
      <w:szCs w:val="24"/>
      <w:lang w:eastAsia="fr-FR"/>
    </w:rPr>
  </w:style>
  <w:style w:type="paragraph" w:styleId="Heading1">
    <w:name w:val="heading 1"/>
    <w:basedOn w:val="Normal"/>
    <w:next w:val="Normal"/>
    <w:link w:val="Heading1Char"/>
    <w:uiPriority w:val="9"/>
    <w:qFormat/>
    <w:rsid w:val="00F8762F"/>
    <w:pPr>
      <w:pBdr>
        <w:top w:val="single" w:sz="8" w:space="0" w:color="629DD1" w:themeColor="accent2"/>
        <w:left w:val="single" w:sz="8" w:space="0" w:color="629DD1" w:themeColor="accent2"/>
        <w:bottom w:val="single" w:sz="8" w:space="0" w:color="629DD1" w:themeColor="accent2"/>
        <w:right w:val="single" w:sz="8" w:space="0" w:color="629DD1" w:themeColor="accent2"/>
      </w:pBdr>
      <w:shd w:val="clear" w:color="auto" w:fill="DFEBF5" w:themeFill="accent2" w:themeFillTint="33"/>
      <w:spacing w:before="480" w:after="100" w:line="269" w:lineRule="auto"/>
      <w:contextualSpacing/>
      <w:outlineLvl w:val="0"/>
    </w:pPr>
    <w:rPr>
      <w:rFonts w:asciiTheme="majorHAnsi" w:eastAsiaTheme="majorEastAsia" w:hAnsiTheme="majorHAnsi" w:cstheme="majorBidi"/>
      <w:b/>
      <w:bCs/>
      <w:i/>
      <w:iCs/>
      <w:color w:val="224E76" w:themeColor="accent2" w:themeShade="7F"/>
      <w:sz w:val="22"/>
      <w:szCs w:val="22"/>
      <w:lang w:eastAsia="en-US"/>
    </w:rPr>
  </w:style>
  <w:style w:type="paragraph" w:styleId="Heading2">
    <w:name w:val="heading 2"/>
    <w:basedOn w:val="Normal"/>
    <w:next w:val="Normal"/>
    <w:link w:val="Heading2Char"/>
    <w:uiPriority w:val="9"/>
    <w:unhideWhenUsed/>
    <w:qFormat/>
    <w:rsid w:val="00F8762F"/>
    <w:pPr>
      <w:pBdr>
        <w:top w:val="single" w:sz="4" w:space="0" w:color="629DD1" w:themeColor="accent2"/>
        <w:left w:val="single" w:sz="48" w:space="2" w:color="629DD1" w:themeColor="accent2"/>
        <w:bottom w:val="single" w:sz="4" w:space="0" w:color="629DD1" w:themeColor="accent2"/>
        <w:right w:val="single" w:sz="4" w:space="4" w:color="629DD1" w:themeColor="accent2"/>
      </w:pBdr>
      <w:spacing w:before="200" w:after="100" w:line="269" w:lineRule="auto"/>
      <w:ind w:left="144"/>
      <w:contextualSpacing/>
      <w:outlineLvl w:val="1"/>
    </w:pPr>
    <w:rPr>
      <w:rFonts w:asciiTheme="majorHAnsi" w:eastAsiaTheme="majorEastAsia" w:hAnsiTheme="majorHAnsi" w:cstheme="majorBidi"/>
      <w:b/>
      <w:bCs/>
      <w:i/>
      <w:iCs/>
      <w:color w:val="3476B1" w:themeColor="accent2" w:themeShade="BF"/>
      <w:sz w:val="22"/>
      <w:szCs w:val="22"/>
      <w:lang w:eastAsia="en-US"/>
    </w:rPr>
  </w:style>
  <w:style w:type="paragraph" w:styleId="Heading3">
    <w:name w:val="heading 3"/>
    <w:basedOn w:val="Normal"/>
    <w:next w:val="Normal"/>
    <w:link w:val="Heading3Char"/>
    <w:uiPriority w:val="9"/>
    <w:unhideWhenUsed/>
    <w:qFormat/>
    <w:rsid w:val="00F8762F"/>
    <w:pPr>
      <w:pBdr>
        <w:left w:val="single" w:sz="48" w:space="2" w:color="629DD1" w:themeColor="accent2"/>
        <w:bottom w:val="single" w:sz="4" w:space="0" w:color="629DD1" w:themeColor="accent2"/>
      </w:pBdr>
      <w:spacing w:before="200" w:after="100"/>
      <w:ind w:left="144"/>
      <w:contextualSpacing/>
      <w:outlineLvl w:val="2"/>
    </w:pPr>
    <w:rPr>
      <w:rFonts w:asciiTheme="majorHAnsi" w:eastAsiaTheme="majorEastAsia" w:hAnsiTheme="majorHAnsi" w:cstheme="majorBidi"/>
      <w:b/>
      <w:bCs/>
      <w:i/>
      <w:iCs/>
      <w:color w:val="3476B1" w:themeColor="accent2" w:themeShade="BF"/>
      <w:sz w:val="22"/>
      <w:szCs w:val="22"/>
      <w:lang w:eastAsia="en-US"/>
    </w:rPr>
  </w:style>
  <w:style w:type="paragraph" w:styleId="Heading4">
    <w:name w:val="heading 4"/>
    <w:basedOn w:val="Normal"/>
    <w:next w:val="Normal"/>
    <w:link w:val="Heading4Char"/>
    <w:uiPriority w:val="9"/>
    <w:semiHidden/>
    <w:unhideWhenUsed/>
    <w:qFormat/>
    <w:rsid w:val="00F8762F"/>
    <w:pPr>
      <w:pBdr>
        <w:left w:val="single" w:sz="4" w:space="2" w:color="629DD1" w:themeColor="accent2"/>
        <w:bottom w:val="single" w:sz="4" w:space="2" w:color="629DD1" w:themeColor="accent2"/>
      </w:pBdr>
      <w:spacing w:before="200" w:after="100"/>
      <w:ind w:left="86"/>
      <w:contextualSpacing/>
      <w:outlineLvl w:val="3"/>
    </w:pPr>
    <w:rPr>
      <w:rFonts w:asciiTheme="majorHAnsi" w:eastAsiaTheme="majorEastAsia" w:hAnsiTheme="majorHAnsi" w:cstheme="majorBidi"/>
      <w:b/>
      <w:bCs/>
      <w:i/>
      <w:iCs/>
      <w:color w:val="3476B1" w:themeColor="accent2" w:themeShade="BF"/>
      <w:sz w:val="22"/>
      <w:szCs w:val="22"/>
      <w:lang w:eastAsia="en-US"/>
    </w:rPr>
  </w:style>
  <w:style w:type="paragraph" w:styleId="Heading5">
    <w:name w:val="heading 5"/>
    <w:basedOn w:val="Normal"/>
    <w:next w:val="Normal"/>
    <w:link w:val="Heading5Char"/>
    <w:uiPriority w:val="9"/>
    <w:semiHidden/>
    <w:unhideWhenUsed/>
    <w:qFormat/>
    <w:rsid w:val="00F8762F"/>
    <w:pPr>
      <w:pBdr>
        <w:left w:val="dotted" w:sz="4" w:space="2" w:color="629DD1" w:themeColor="accent2"/>
        <w:bottom w:val="dotted" w:sz="4" w:space="2" w:color="629DD1" w:themeColor="accent2"/>
      </w:pBdr>
      <w:spacing w:before="200" w:after="100"/>
      <w:ind w:left="86"/>
      <w:contextualSpacing/>
      <w:outlineLvl w:val="4"/>
    </w:pPr>
    <w:rPr>
      <w:rFonts w:asciiTheme="majorHAnsi" w:eastAsiaTheme="majorEastAsia" w:hAnsiTheme="majorHAnsi" w:cstheme="majorBidi"/>
      <w:b/>
      <w:bCs/>
      <w:i/>
      <w:iCs/>
      <w:color w:val="3476B1" w:themeColor="accent2" w:themeShade="BF"/>
      <w:sz w:val="22"/>
      <w:szCs w:val="22"/>
      <w:lang w:eastAsia="en-US"/>
    </w:rPr>
  </w:style>
  <w:style w:type="paragraph" w:styleId="Heading6">
    <w:name w:val="heading 6"/>
    <w:basedOn w:val="Normal"/>
    <w:next w:val="Normal"/>
    <w:link w:val="Heading6Char"/>
    <w:uiPriority w:val="9"/>
    <w:semiHidden/>
    <w:unhideWhenUsed/>
    <w:qFormat/>
    <w:rsid w:val="00F8762F"/>
    <w:pPr>
      <w:pBdr>
        <w:bottom w:val="single" w:sz="4" w:space="2" w:color="C0D7EC" w:themeColor="accent2" w:themeTint="66"/>
      </w:pBdr>
      <w:spacing w:before="200" w:after="100"/>
      <w:contextualSpacing/>
      <w:outlineLvl w:val="5"/>
    </w:pPr>
    <w:rPr>
      <w:rFonts w:asciiTheme="majorHAnsi" w:eastAsiaTheme="majorEastAsia" w:hAnsiTheme="majorHAnsi" w:cstheme="majorBidi"/>
      <w:i/>
      <w:iCs/>
      <w:color w:val="3476B1" w:themeColor="accent2" w:themeShade="BF"/>
      <w:sz w:val="22"/>
      <w:szCs w:val="22"/>
      <w:lang w:eastAsia="en-US"/>
    </w:rPr>
  </w:style>
  <w:style w:type="paragraph" w:styleId="Heading7">
    <w:name w:val="heading 7"/>
    <w:basedOn w:val="Normal"/>
    <w:next w:val="Normal"/>
    <w:link w:val="Heading7Char"/>
    <w:uiPriority w:val="9"/>
    <w:semiHidden/>
    <w:unhideWhenUsed/>
    <w:qFormat/>
    <w:rsid w:val="00F8762F"/>
    <w:pPr>
      <w:pBdr>
        <w:bottom w:val="dotted" w:sz="4" w:space="2" w:color="A0C3E3" w:themeColor="accent2" w:themeTint="99"/>
      </w:pBdr>
      <w:spacing w:before="200" w:after="100"/>
      <w:contextualSpacing/>
      <w:outlineLvl w:val="6"/>
    </w:pPr>
    <w:rPr>
      <w:rFonts w:asciiTheme="majorHAnsi" w:eastAsiaTheme="majorEastAsia" w:hAnsiTheme="majorHAnsi" w:cstheme="majorBidi"/>
      <w:i/>
      <w:iCs/>
      <w:color w:val="3476B1" w:themeColor="accent2" w:themeShade="BF"/>
      <w:sz w:val="22"/>
      <w:szCs w:val="22"/>
      <w:lang w:eastAsia="en-US"/>
    </w:rPr>
  </w:style>
  <w:style w:type="paragraph" w:styleId="Heading8">
    <w:name w:val="heading 8"/>
    <w:basedOn w:val="Normal"/>
    <w:next w:val="Normal"/>
    <w:link w:val="Heading8Char"/>
    <w:uiPriority w:val="9"/>
    <w:semiHidden/>
    <w:unhideWhenUsed/>
    <w:qFormat/>
    <w:rsid w:val="00F8762F"/>
    <w:pPr>
      <w:spacing w:before="200" w:after="100"/>
      <w:contextualSpacing/>
      <w:outlineLvl w:val="7"/>
    </w:pPr>
    <w:rPr>
      <w:rFonts w:asciiTheme="majorHAnsi" w:eastAsiaTheme="majorEastAsia" w:hAnsiTheme="majorHAnsi" w:cstheme="majorBidi"/>
      <w:i/>
      <w:iCs/>
      <w:color w:val="629DD1" w:themeColor="accent2"/>
      <w:sz w:val="22"/>
      <w:szCs w:val="22"/>
      <w:lang w:eastAsia="en-US"/>
    </w:rPr>
  </w:style>
  <w:style w:type="paragraph" w:styleId="Heading9">
    <w:name w:val="heading 9"/>
    <w:basedOn w:val="Normal"/>
    <w:next w:val="Normal"/>
    <w:link w:val="Heading9Char"/>
    <w:uiPriority w:val="9"/>
    <w:semiHidden/>
    <w:unhideWhenUsed/>
    <w:qFormat/>
    <w:rsid w:val="00F8762F"/>
    <w:pPr>
      <w:spacing w:before="200" w:after="100"/>
      <w:contextualSpacing/>
      <w:outlineLvl w:val="8"/>
    </w:pPr>
    <w:rPr>
      <w:rFonts w:asciiTheme="majorHAnsi" w:eastAsiaTheme="majorEastAsia" w:hAnsiTheme="majorHAnsi" w:cstheme="majorBidi"/>
      <w:i/>
      <w:iCs/>
      <w:color w:val="629DD1" w:themeColor="accent2"/>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62F"/>
    <w:pPr>
      <w:spacing w:after="200" w:line="288" w:lineRule="auto"/>
      <w:ind w:left="720"/>
      <w:contextualSpacing/>
    </w:pPr>
    <w:rPr>
      <w:rFonts w:asciiTheme="minorHAnsi" w:eastAsiaTheme="minorEastAsia" w:hAnsiTheme="minorHAnsi" w:cstheme="minorBidi"/>
      <w:i/>
      <w:iCs/>
      <w:sz w:val="20"/>
      <w:szCs w:val="20"/>
      <w:lang w:eastAsia="en-US"/>
    </w:rPr>
  </w:style>
  <w:style w:type="paragraph" w:styleId="Header">
    <w:name w:val="header"/>
    <w:basedOn w:val="Normal"/>
    <w:link w:val="HeaderChar"/>
    <w:uiPriority w:val="99"/>
    <w:unhideWhenUsed/>
    <w:rsid w:val="00F96AF8"/>
    <w:pPr>
      <w:tabs>
        <w:tab w:val="center" w:pos="4536"/>
        <w:tab w:val="right" w:pos="9072"/>
      </w:tabs>
      <w:spacing w:after="200" w:line="288" w:lineRule="auto"/>
    </w:pPr>
    <w:rPr>
      <w:rFonts w:asciiTheme="minorHAnsi" w:eastAsiaTheme="minorEastAsia" w:hAnsiTheme="minorHAnsi" w:cstheme="minorBidi"/>
      <w:i/>
      <w:iCs/>
      <w:sz w:val="20"/>
      <w:szCs w:val="20"/>
      <w:lang w:eastAsia="en-US"/>
    </w:rPr>
  </w:style>
  <w:style w:type="character" w:customStyle="1" w:styleId="HeaderChar">
    <w:name w:val="Header Char"/>
    <w:basedOn w:val="DefaultParagraphFont"/>
    <w:link w:val="Header"/>
    <w:uiPriority w:val="99"/>
    <w:rsid w:val="00F96AF8"/>
  </w:style>
  <w:style w:type="paragraph" w:styleId="Footer">
    <w:name w:val="footer"/>
    <w:basedOn w:val="Normal"/>
    <w:link w:val="FooterChar"/>
    <w:uiPriority w:val="99"/>
    <w:unhideWhenUsed/>
    <w:rsid w:val="00F96AF8"/>
    <w:pPr>
      <w:tabs>
        <w:tab w:val="center" w:pos="4536"/>
        <w:tab w:val="right" w:pos="9072"/>
      </w:tabs>
      <w:spacing w:after="200" w:line="288" w:lineRule="auto"/>
    </w:pPr>
    <w:rPr>
      <w:rFonts w:asciiTheme="minorHAnsi" w:eastAsiaTheme="minorEastAsia" w:hAnsiTheme="minorHAnsi" w:cstheme="minorBidi"/>
      <w:i/>
      <w:iCs/>
      <w:sz w:val="20"/>
      <w:szCs w:val="20"/>
      <w:lang w:eastAsia="en-US"/>
    </w:rPr>
  </w:style>
  <w:style w:type="character" w:customStyle="1" w:styleId="FooterChar">
    <w:name w:val="Footer Char"/>
    <w:basedOn w:val="DefaultParagraphFont"/>
    <w:link w:val="Footer"/>
    <w:uiPriority w:val="99"/>
    <w:rsid w:val="00F96AF8"/>
  </w:style>
  <w:style w:type="paragraph" w:styleId="NoSpacing">
    <w:name w:val="No Spacing"/>
    <w:basedOn w:val="Normal"/>
    <w:link w:val="NoSpacingChar"/>
    <w:uiPriority w:val="1"/>
    <w:qFormat/>
    <w:rsid w:val="00F8762F"/>
    <w:rPr>
      <w:rFonts w:asciiTheme="minorHAnsi" w:eastAsiaTheme="minorEastAsia" w:hAnsiTheme="minorHAnsi" w:cstheme="minorBidi"/>
      <w:i/>
      <w:iCs/>
      <w:sz w:val="20"/>
      <w:szCs w:val="20"/>
      <w:lang w:eastAsia="en-US"/>
    </w:rPr>
  </w:style>
  <w:style w:type="character" w:customStyle="1" w:styleId="NoSpacingChar">
    <w:name w:val="No Spacing Char"/>
    <w:basedOn w:val="DefaultParagraphFont"/>
    <w:link w:val="NoSpacing"/>
    <w:uiPriority w:val="1"/>
    <w:rsid w:val="00F8762F"/>
    <w:rPr>
      <w:i/>
      <w:iCs/>
      <w:sz w:val="20"/>
      <w:szCs w:val="20"/>
    </w:rPr>
  </w:style>
  <w:style w:type="character" w:customStyle="1" w:styleId="Heading1Char">
    <w:name w:val="Heading 1 Char"/>
    <w:basedOn w:val="DefaultParagraphFont"/>
    <w:link w:val="Heading1"/>
    <w:uiPriority w:val="9"/>
    <w:rsid w:val="00F8762F"/>
    <w:rPr>
      <w:rFonts w:asciiTheme="majorHAnsi" w:eastAsiaTheme="majorEastAsia" w:hAnsiTheme="majorHAnsi" w:cstheme="majorBidi"/>
      <w:b/>
      <w:bCs/>
      <w:i/>
      <w:iCs/>
      <w:color w:val="224E76" w:themeColor="accent2" w:themeShade="7F"/>
      <w:shd w:val="clear" w:color="auto" w:fill="DFEBF5" w:themeFill="accent2" w:themeFillTint="33"/>
    </w:rPr>
  </w:style>
  <w:style w:type="paragraph" w:styleId="TOCHeading">
    <w:name w:val="TOC Heading"/>
    <w:basedOn w:val="Heading1"/>
    <w:next w:val="Normal"/>
    <w:uiPriority w:val="39"/>
    <w:unhideWhenUsed/>
    <w:qFormat/>
    <w:rsid w:val="00F8762F"/>
    <w:pPr>
      <w:outlineLvl w:val="9"/>
    </w:pPr>
  </w:style>
  <w:style w:type="paragraph" w:styleId="TOC1">
    <w:name w:val="toc 1"/>
    <w:basedOn w:val="Normal"/>
    <w:next w:val="Normal"/>
    <w:autoRedefine/>
    <w:uiPriority w:val="39"/>
    <w:unhideWhenUsed/>
    <w:rsid w:val="00176294"/>
    <w:pPr>
      <w:spacing w:before="120" w:after="120" w:line="288" w:lineRule="auto"/>
    </w:pPr>
    <w:rPr>
      <w:rFonts w:asciiTheme="minorHAnsi" w:eastAsiaTheme="minorEastAsia" w:hAnsiTheme="minorHAnsi" w:cstheme="minorHAnsi"/>
      <w:b/>
      <w:bCs/>
      <w:i/>
      <w:iCs/>
      <w:caps/>
      <w:sz w:val="20"/>
      <w:szCs w:val="20"/>
      <w:lang w:eastAsia="en-US"/>
    </w:rPr>
  </w:style>
  <w:style w:type="paragraph" w:styleId="TOC2">
    <w:name w:val="toc 2"/>
    <w:basedOn w:val="Normal"/>
    <w:next w:val="Normal"/>
    <w:autoRedefine/>
    <w:uiPriority w:val="39"/>
    <w:unhideWhenUsed/>
    <w:rsid w:val="00176294"/>
    <w:pPr>
      <w:spacing w:after="200" w:line="288" w:lineRule="auto"/>
      <w:ind w:left="240"/>
    </w:pPr>
    <w:rPr>
      <w:rFonts w:asciiTheme="minorHAnsi" w:eastAsiaTheme="minorEastAsia" w:hAnsiTheme="minorHAnsi" w:cstheme="minorHAnsi"/>
      <w:i/>
      <w:iCs/>
      <w:smallCaps/>
      <w:sz w:val="20"/>
      <w:szCs w:val="20"/>
      <w:lang w:eastAsia="en-US"/>
    </w:rPr>
  </w:style>
  <w:style w:type="paragraph" w:styleId="TOC3">
    <w:name w:val="toc 3"/>
    <w:basedOn w:val="Normal"/>
    <w:next w:val="Normal"/>
    <w:autoRedefine/>
    <w:uiPriority w:val="39"/>
    <w:unhideWhenUsed/>
    <w:rsid w:val="00176294"/>
    <w:pPr>
      <w:spacing w:after="200" w:line="288" w:lineRule="auto"/>
      <w:ind w:left="480"/>
    </w:pPr>
    <w:rPr>
      <w:rFonts w:asciiTheme="minorHAnsi" w:eastAsiaTheme="minorEastAsia" w:hAnsiTheme="minorHAnsi" w:cstheme="minorHAnsi"/>
      <w:sz w:val="20"/>
      <w:szCs w:val="20"/>
      <w:lang w:eastAsia="en-US"/>
    </w:rPr>
  </w:style>
  <w:style w:type="paragraph" w:styleId="TOC4">
    <w:name w:val="toc 4"/>
    <w:basedOn w:val="Normal"/>
    <w:next w:val="Normal"/>
    <w:autoRedefine/>
    <w:uiPriority w:val="39"/>
    <w:semiHidden/>
    <w:unhideWhenUsed/>
    <w:rsid w:val="00176294"/>
    <w:pPr>
      <w:spacing w:after="200" w:line="288" w:lineRule="auto"/>
      <w:ind w:left="720"/>
    </w:pPr>
    <w:rPr>
      <w:rFonts w:asciiTheme="minorHAnsi" w:eastAsiaTheme="minorEastAsia" w:hAnsiTheme="minorHAnsi" w:cstheme="minorHAnsi"/>
      <w:i/>
      <w:iCs/>
      <w:sz w:val="18"/>
      <w:szCs w:val="18"/>
      <w:lang w:eastAsia="en-US"/>
    </w:rPr>
  </w:style>
  <w:style w:type="paragraph" w:styleId="TOC5">
    <w:name w:val="toc 5"/>
    <w:basedOn w:val="Normal"/>
    <w:next w:val="Normal"/>
    <w:autoRedefine/>
    <w:uiPriority w:val="39"/>
    <w:semiHidden/>
    <w:unhideWhenUsed/>
    <w:rsid w:val="00176294"/>
    <w:pPr>
      <w:spacing w:after="200" w:line="288" w:lineRule="auto"/>
      <w:ind w:left="960"/>
    </w:pPr>
    <w:rPr>
      <w:rFonts w:asciiTheme="minorHAnsi" w:eastAsiaTheme="minorEastAsia" w:hAnsiTheme="minorHAnsi" w:cstheme="minorHAnsi"/>
      <w:i/>
      <w:iCs/>
      <w:sz w:val="18"/>
      <w:szCs w:val="18"/>
      <w:lang w:eastAsia="en-US"/>
    </w:rPr>
  </w:style>
  <w:style w:type="paragraph" w:styleId="TOC6">
    <w:name w:val="toc 6"/>
    <w:basedOn w:val="Normal"/>
    <w:next w:val="Normal"/>
    <w:autoRedefine/>
    <w:uiPriority w:val="39"/>
    <w:semiHidden/>
    <w:unhideWhenUsed/>
    <w:rsid w:val="00176294"/>
    <w:pPr>
      <w:spacing w:after="200" w:line="288" w:lineRule="auto"/>
      <w:ind w:left="1200"/>
    </w:pPr>
    <w:rPr>
      <w:rFonts w:asciiTheme="minorHAnsi" w:eastAsiaTheme="minorEastAsia" w:hAnsiTheme="minorHAnsi" w:cstheme="minorHAnsi"/>
      <w:i/>
      <w:iCs/>
      <w:sz w:val="18"/>
      <w:szCs w:val="18"/>
      <w:lang w:eastAsia="en-US"/>
    </w:rPr>
  </w:style>
  <w:style w:type="paragraph" w:styleId="TOC7">
    <w:name w:val="toc 7"/>
    <w:basedOn w:val="Normal"/>
    <w:next w:val="Normal"/>
    <w:autoRedefine/>
    <w:uiPriority w:val="39"/>
    <w:semiHidden/>
    <w:unhideWhenUsed/>
    <w:rsid w:val="00176294"/>
    <w:pPr>
      <w:spacing w:after="200" w:line="288" w:lineRule="auto"/>
      <w:ind w:left="1440"/>
    </w:pPr>
    <w:rPr>
      <w:rFonts w:asciiTheme="minorHAnsi" w:eastAsiaTheme="minorEastAsia" w:hAnsiTheme="minorHAnsi" w:cstheme="minorHAnsi"/>
      <w:i/>
      <w:iCs/>
      <w:sz w:val="18"/>
      <w:szCs w:val="18"/>
      <w:lang w:eastAsia="en-US"/>
    </w:rPr>
  </w:style>
  <w:style w:type="paragraph" w:styleId="TOC8">
    <w:name w:val="toc 8"/>
    <w:basedOn w:val="Normal"/>
    <w:next w:val="Normal"/>
    <w:autoRedefine/>
    <w:uiPriority w:val="39"/>
    <w:semiHidden/>
    <w:unhideWhenUsed/>
    <w:rsid w:val="00176294"/>
    <w:pPr>
      <w:spacing w:after="200" w:line="288" w:lineRule="auto"/>
      <w:ind w:left="1680"/>
    </w:pPr>
    <w:rPr>
      <w:rFonts w:asciiTheme="minorHAnsi" w:eastAsiaTheme="minorEastAsia" w:hAnsiTheme="minorHAnsi" w:cstheme="minorHAnsi"/>
      <w:i/>
      <w:iCs/>
      <w:sz w:val="18"/>
      <w:szCs w:val="18"/>
      <w:lang w:eastAsia="en-US"/>
    </w:rPr>
  </w:style>
  <w:style w:type="paragraph" w:styleId="TOC9">
    <w:name w:val="toc 9"/>
    <w:basedOn w:val="Normal"/>
    <w:next w:val="Normal"/>
    <w:autoRedefine/>
    <w:uiPriority w:val="39"/>
    <w:semiHidden/>
    <w:unhideWhenUsed/>
    <w:rsid w:val="00176294"/>
    <w:pPr>
      <w:spacing w:after="200" w:line="288" w:lineRule="auto"/>
      <w:ind w:left="1920"/>
    </w:pPr>
    <w:rPr>
      <w:rFonts w:asciiTheme="minorHAnsi" w:eastAsiaTheme="minorEastAsia" w:hAnsiTheme="minorHAnsi" w:cstheme="minorHAnsi"/>
      <w:i/>
      <w:iCs/>
      <w:sz w:val="18"/>
      <w:szCs w:val="18"/>
      <w:lang w:eastAsia="en-US"/>
    </w:rPr>
  </w:style>
  <w:style w:type="character" w:customStyle="1" w:styleId="Heading2Char">
    <w:name w:val="Heading 2 Char"/>
    <w:basedOn w:val="DefaultParagraphFont"/>
    <w:link w:val="Heading2"/>
    <w:uiPriority w:val="9"/>
    <w:rsid w:val="00F8762F"/>
    <w:rPr>
      <w:rFonts w:asciiTheme="majorHAnsi" w:eastAsiaTheme="majorEastAsia" w:hAnsiTheme="majorHAnsi" w:cstheme="majorBidi"/>
      <w:b/>
      <w:bCs/>
      <w:i/>
      <w:iCs/>
      <w:color w:val="3476B1" w:themeColor="accent2" w:themeShade="BF"/>
    </w:rPr>
  </w:style>
  <w:style w:type="character" w:customStyle="1" w:styleId="Heading3Char">
    <w:name w:val="Heading 3 Char"/>
    <w:basedOn w:val="DefaultParagraphFont"/>
    <w:link w:val="Heading3"/>
    <w:uiPriority w:val="9"/>
    <w:rsid w:val="00F8762F"/>
    <w:rPr>
      <w:rFonts w:asciiTheme="majorHAnsi" w:eastAsiaTheme="majorEastAsia" w:hAnsiTheme="majorHAnsi" w:cstheme="majorBidi"/>
      <w:b/>
      <w:bCs/>
      <w:i/>
      <w:iCs/>
      <w:color w:val="3476B1" w:themeColor="accent2" w:themeShade="BF"/>
    </w:rPr>
  </w:style>
  <w:style w:type="character" w:customStyle="1" w:styleId="Heading4Char">
    <w:name w:val="Heading 4 Char"/>
    <w:basedOn w:val="DefaultParagraphFont"/>
    <w:link w:val="Heading4"/>
    <w:uiPriority w:val="9"/>
    <w:semiHidden/>
    <w:rsid w:val="00F8762F"/>
    <w:rPr>
      <w:rFonts w:asciiTheme="majorHAnsi" w:eastAsiaTheme="majorEastAsia" w:hAnsiTheme="majorHAnsi" w:cstheme="majorBidi"/>
      <w:b/>
      <w:bCs/>
      <w:i/>
      <w:iCs/>
      <w:color w:val="3476B1" w:themeColor="accent2" w:themeShade="BF"/>
    </w:rPr>
  </w:style>
  <w:style w:type="character" w:customStyle="1" w:styleId="Heading5Char">
    <w:name w:val="Heading 5 Char"/>
    <w:basedOn w:val="DefaultParagraphFont"/>
    <w:link w:val="Heading5"/>
    <w:uiPriority w:val="9"/>
    <w:semiHidden/>
    <w:rsid w:val="00F8762F"/>
    <w:rPr>
      <w:rFonts w:asciiTheme="majorHAnsi" w:eastAsiaTheme="majorEastAsia" w:hAnsiTheme="majorHAnsi" w:cstheme="majorBidi"/>
      <w:b/>
      <w:bCs/>
      <w:i/>
      <w:iCs/>
      <w:color w:val="3476B1" w:themeColor="accent2" w:themeShade="BF"/>
    </w:rPr>
  </w:style>
  <w:style w:type="character" w:customStyle="1" w:styleId="Heading6Char">
    <w:name w:val="Heading 6 Char"/>
    <w:basedOn w:val="DefaultParagraphFont"/>
    <w:link w:val="Heading6"/>
    <w:uiPriority w:val="9"/>
    <w:semiHidden/>
    <w:rsid w:val="00F8762F"/>
    <w:rPr>
      <w:rFonts w:asciiTheme="majorHAnsi" w:eastAsiaTheme="majorEastAsia" w:hAnsiTheme="majorHAnsi" w:cstheme="majorBidi"/>
      <w:i/>
      <w:iCs/>
      <w:color w:val="3476B1" w:themeColor="accent2" w:themeShade="BF"/>
    </w:rPr>
  </w:style>
  <w:style w:type="character" w:customStyle="1" w:styleId="Heading7Char">
    <w:name w:val="Heading 7 Char"/>
    <w:basedOn w:val="DefaultParagraphFont"/>
    <w:link w:val="Heading7"/>
    <w:uiPriority w:val="9"/>
    <w:semiHidden/>
    <w:rsid w:val="00F8762F"/>
    <w:rPr>
      <w:rFonts w:asciiTheme="majorHAnsi" w:eastAsiaTheme="majorEastAsia" w:hAnsiTheme="majorHAnsi" w:cstheme="majorBidi"/>
      <w:i/>
      <w:iCs/>
      <w:color w:val="3476B1" w:themeColor="accent2" w:themeShade="BF"/>
    </w:rPr>
  </w:style>
  <w:style w:type="character" w:customStyle="1" w:styleId="Heading8Char">
    <w:name w:val="Heading 8 Char"/>
    <w:basedOn w:val="DefaultParagraphFont"/>
    <w:link w:val="Heading8"/>
    <w:uiPriority w:val="9"/>
    <w:semiHidden/>
    <w:rsid w:val="00F8762F"/>
    <w:rPr>
      <w:rFonts w:asciiTheme="majorHAnsi" w:eastAsiaTheme="majorEastAsia" w:hAnsiTheme="majorHAnsi" w:cstheme="majorBidi"/>
      <w:i/>
      <w:iCs/>
      <w:color w:val="629DD1" w:themeColor="accent2"/>
    </w:rPr>
  </w:style>
  <w:style w:type="character" w:customStyle="1" w:styleId="Heading9Char">
    <w:name w:val="Heading 9 Char"/>
    <w:basedOn w:val="DefaultParagraphFont"/>
    <w:link w:val="Heading9"/>
    <w:uiPriority w:val="9"/>
    <w:semiHidden/>
    <w:rsid w:val="00F8762F"/>
    <w:rPr>
      <w:rFonts w:asciiTheme="majorHAnsi" w:eastAsiaTheme="majorEastAsia" w:hAnsiTheme="majorHAnsi" w:cstheme="majorBidi"/>
      <w:i/>
      <w:iCs/>
      <w:color w:val="629DD1" w:themeColor="accent2"/>
      <w:sz w:val="20"/>
      <w:szCs w:val="20"/>
    </w:rPr>
  </w:style>
  <w:style w:type="paragraph" w:styleId="Caption">
    <w:name w:val="caption"/>
    <w:basedOn w:val="Normal"/>
    <w:next w:val="Normal"/>
    <w:uiPriority w:val="35"/>
    <w:unhideWhenUsed/>
    <w:qFormat/>
    <w:rsid w:val="00F8762F"/>
    <w:pPr>
      <w:spacing w:after="200" w:line="288" w:lineRule="auto"/>
    </w:pPr>
    <w:rPr>
      <w:rFonts w:asciiTheme="minorHAnsi" w:eastAsiaTheme="minorEastAsia" w:hAnsiTheme="minorHAnsi" w:cstheme="minorBidi"/>
      <w:b/>
      <w:bCs/>
      <w:i/>
      <w:iCs/>
      <w:color w:val="3476B1" w:themeColor="accent2" w:themeShade="BF"/>
      <w:sz w:val="18"/>
      <w:szCs w:val="18"/>
      <w:lang w:eastAsia="en-US"/>
    </w:rPr>
  </w:style>
  <w:style w:type="paragraph" w:styleId="Title">
    <w:name w:val="Title"/>
    <w:basedOn w:val="Normal"/>
    <w:next w:val="Normal"/>
    <w:link w:val="TitleChar"/>
    <w:uiPriority w:val="10"/>
    <w:qFormat/>
    <w:rsid w:val="00F8762F"/>
    <w:pPr>
      <w:pBdr>
        <w:top w:val="single" w:sz="48" w:space="0" w:color="629DD1" w:themeColor="accent2"/>
        <w:bottom w:val="single" w:sz="48" w:space="0" w:color="629DD1" w:themeColor="accent2"/>
      </w:pBdr>
      <w:shd w:val="clear" w:color="auto" w:fill="629DD1" w:themeFill="accent2"/>
      <w:jc w:val="center"/>
    </w:pPr>
    <w:rPr>
      <w:rFonts w:asciiTheme="majorHAnsi" w:eastAsiaTheme="majorEastAsia" w:hAnsiTheme="majorHAnsi" w:cstheme="majorBidi"/>
      <w:i/>
      <w:iCs/>
      <w:color w:val="FFFFFF" w:themeColor="background1"/>
      <w:spacing w:val="10"/>
      <w:sz w:val="48"/>
      <w:szCs w:val="48"/>
      <w:lang w:eastAsia="en-US"/>
    </w:rPr>
  </w:style>
  <w:style w:type="character" w:customStyle="1" w:styleId="TitleChar">
    <w:name w:val="Title Char"/>
    <w:basedOn w:val="DefaultParagraphFont"/>
    <w:link w:val="Title"/>
    <w:uiPriority w:val="10"/>
    <w:rsid w:val="00F8762F"/>
    <w:rPr>
      <w:rFonts w:asciiTheme="majorHAnsi" w:eastAsiaTheme="majorEastAsia" w:hAnsiTheme="majorHAnsi" w:cstheme="majorBidi"/>
      <w:i/>
      <w:iCs/>
      <w:color w:val="FFFFFF" w:themeColor="background1"/>
      <w:spacing w:val="10"/>
      <w:sz w:val="48"/>
      <w:szCs w:val="48"/>
      <w:shd w:val="clear" w:color="auto" w:fill="629DD1" w:themeFill="accent2"/>
    </w:rPr>
  </w:style>
  <w:style w:type="paragraph" w:styleId="Subtitle">
    <w:name w:val="Subtitle"/>
    <w:basedOn w:val="Normal"/>
    <w:next w:val="Normal"/>
    <w:link w:val="SubtitleChar"/>
    <w:uiPriority w:val="11"/>
    <w:qFormat/>
    <w:rsid w:val="00F8762F"/>
    <w:pPr>
      <w:pBdr>
        <w:bottom w:val="dotted" w:sz="8" w:space="10" w:color="629DD1" w:themeColor="accent2"/>
      </w:pBdr>
      <w:spacing w:before="200" w:after="900"/>
      <w:jc w:val="center"/>
    </w:pPr>
    <w:rPr>
      <w:rFonts w:asciiTheme="majorHAnsi" w:eastAsiaTheme="majorEastAsia" w:hAnsiTheme="majorHAnsi" w:cstheme="majorBidi"/>
      <w:i/>
      <w:iCs/>
      <w:color w:val="224E76" w:themeColor="accent2" w:themeShade="7F"/>
      <w:lang w:eastAsia="en-US"/>
    </w:rPr>
  </w:style>
  <w:style w:type="character" w:customStyle="1" w:styleId="SubtitleChar">
    <w:name w:val="Subtitle Char"/>
    <w:basedOn w:val="DefaultParagraphFont"/>
    <w:link w:val="Subtitle"/>
    <w:uiPriority w:val="11"/>
    <w:rsid w:val="00F8762F"/>
    <w:rPr>
      <w:rFonts w:asciiTheme="majorHAnsi" w:eastAsiaTheme="majorEastAsia" w:hAnsiTheme="majorHAnsi" w:cstheme="majorBidi"/>
      <w:i/>
      <w:iCs/>
      <w:color w:val="224E76" w:themeColor="accent2" w:themeShade="7F"/>
      <w:sz w:val="24"/>
      <w:szCs w:val="24"/>
    </w:rPr>
  </w:style>
  <w:style w:type="character" w:styleId="Strong">
    <w:name w:val="Strong"/>
    <w:uiPriority w:val="22"/>
    <w:qFormat/>
    <w:rsid w:val="00F8762F"/>
    <w:rPr>
      <w:b/>
      <w:bCs/>
      <w:spacing w:val="0"/>
    </w:rPr>
  </w:style>
  <w:style w:type="character" w:styleId="Emphasis">
    <w:name w:val="Emphasis"/>
    <w:uiPriority w:val="20"/>
    <w:qFormat/>
    <w:rsid w:val="00F8762F"/>
    <w:rPr>
      <w:rFonts w:asciiTheme="majorHAnsi" w:eastAsiaTheme="majorEastAsia" w:hAnsiTheme="majorHAnsi" w:cstheme="majorBidi"/>
      <w:b/>
      <w:bCs/>
      <w:i/>
      <w:iCs/>
      <w:color w:val="629DD1" w:themeColor="accent2"/>
      <w:bdr w:val="single" w:sz="18" w:space="0" w:color="DFEBF5" w:themeColor="accent2" w:themeTint="33"/>
      <w:shd w:val="clear" w:color="auto" w:fill="DFEBF5" w:themeFill="accent2" w:themeFillTint="33"/>
    </w:rPr>
  </w:style>
  <w:style w:type="paragraph" w:styleId="Quote">
    <w:name w:val="Quote"/>
    <w:basedOn w:val="Normal"/>
    <w:next w:val="Normal"/>
    <w:link w:val="QuoteChar"/>
    <w:uiPriority w:val="29"/>
    <w:qFormat/>
    <w:rsid w:val="00F8762F"/>
    <w:pPr>
      <w:spacing w:after="200" w:line="288" w:lineRule="auto"/>
    </w:pPr>
    <w:rPr>
      <w:rFonts w:asciiTheme="minorHAnsi" w:eastAsiaTheme="minorEastAsia" w:hAnsiTheme="minorHAnsi" w:cstheme="minorBidi"/>
      <w:color w:val="3476B1" w:themeColor="accent2" w:themeShade="BF"/>
      <w:sz w:val="20"/>
      <w:szCs w:val="20"/>
      <w:lang w:eastAsia="en-US"/>
    </w:rPr>
  </w:style>
  <w:style w:type="character" w:customStyle="1" w:styleId="QuoteChar">
    <w:name w:val="Quote Char"/>
    <w:basedOn w:val="DefaultParagraphFont"/>
    <w:link w:val="Quote"/>
    <w:uiPriority w:val="29"/>
    <w:rsid w:val="00F8762F"/>
    <w:rPr>
      <w:color w:val="3476B1" w:themeColor="accent2" w:themeShade="BF"/>
      <w:sz w:val="20"/>
      <w:szCs w:val="20"/>
    </w:rPr>
  </w:style>
  <w:style w:type="paragraph" w:styleId="IntenseQuote">
    <w:name w:val="Intense Quote"/>
    <w:basedOn w:val="Normal"/>
    <w:next w:val="Normal"/>
    <w:link w:val="IntenseQuoteChar"/>
    <w:uiPriority w:val="30"/>
    <w:qFormat/>
    <w:rsid w:val="00F8762F"/>
    <w:pPr>
      <w:pBdr>
        <w:top w:val="dotted" w:sz="8" w:space="10" w:color="629DD1" w:themeColor="accent2"/>
        <w:bottom w:val="dotted" w:sz="8" w:space="10" w:color="629DD1" w:themeColor="accent2"/>
      </w:pBdr>
      <w:spacing w:after="200" w:line="300" w:lineRule="auto"/>
      <w:ind w:left="2160" w:right="2160"/>
      <w:jc w:val="center"/>
    </w:pPr>
    <w:rPr>
      <w:rFonts w:asciiTheme="majorHAnsi" w:eastAsiaTheme="majorEastAsia" w:hAnsiTheme="majorHAnsi" w:cstheme="majorBidi"/>
      <w:b/>
      <w:bCs/>
      <w:i/>
      <w:iCs/>
      <w:color w:val="629DD1" w:themeColor="accent2"/>
      <w:sz w:val="20"/>
      <w:szCs w:val="20"/>
      <w:lang w:eastAsia="en-US"/>
    </w:rPr>
  </w:style>
  <w:style w:type="character" w:customStyle="1" w:styleId="IntenseQuoteChar">
    <w:name w:val="Intense Quote Char"/>
    <w:basedOn w:val="DefaultParagraphFont"/>
    <w:link w:val="IntenseQuote"/>
    <w:uiPriority w:val="30"/>
    <w:rsid w:val="00F8762F"/>
    <w:rPr>
      <w:rFonts w:asciiTheme="majorHAnsi" w:eastAsiaTheme="majorEastAsia" w:hAnsiTheme="majorHAnsi" w:cstheme="majorBidi"/>
      <w:b/>
      <w:bCs/>
      <w:i/>
      <w:iCs/>
      <w:color w:val="629DD1" w:themeColor="accent2"/>
      <w:sz w:val="20"/>
      <w:szCs w:val="20"/>
    </w:rPr>
  </w:style>
  <w:style w:type="character" w:styleId="SubtleEmphasis">
    <w:name w:val="Subtle Emphasis"/>
    <w:uiPriority w:val="19"/>
    <w:qFormat/>
    <w:rsid w:val="00F8762F"/>
    <w:rPr>
      <w:rFonts w:asciiTheme="majorHAnsi" w:eastAsiaTheme="majorEastAsia" w:hAnsiTheme="majorHAnsi" w:cstheme="majorBidi"/>
      <w:i/>
      <w:iCs/>
      <w:color w:val="629DD1" w:themeColor="accent2"/>
    </w:rPr>
  </w:style>
  <w:style w:type="character" w:styleId="IntenseEmphasis">
    <w:name w:val="Intense Emphasis"/>
    <w:uiPriority w:val="21"/>
    <w:qFormat/>
    <w:rsid w:val="00F8762F"/>
    <w:rPr>
      <w:rFonts w:asciiTheme="majorHAnsi" w:eastAsiaTheme="majorEastAsia" w:hAnsiTheme="majorHAnsi" w:cstheme="majorBidi"/>
      <w:b/>
      <w:bCs/>
      <w:i/>
      <w:iCs/>
      <w:dstrike w:val="0"/>
      <w:color w:val="FFFFFF" w:themeColor="background1"/>
      <w:bdr w:val="single" w:sz="18" w:space="0" w:color="629DD1" w:themeColor="accent2"/>
      <w:shd w:val="clear" w:color="auto" w:fill="629DD1" w:themeFill="accent2"/>
      <w:vertAlign w:val="baseline"/>
    </w:rPr>
  </w:style>
  <w:style w:type="character" w:styleId="SubtleReference">
    <w:name w:val="Subtle Reference"/>
    <w:uiPriority w:val="31"/>
    <w:qFormat/>
    <w:rsid w:val="00F8762F"/>
    <w:rPr>
      <w:i/>
      <w:iCs/>
      <w:smallCaps/>
      <w:color w:val="629DD1" w:themeColor="accent2"/>
      <w:u w:color="629DD1" w:themeColor="accent2"/>
    </w:rPr>
  </w:style>
  <w:style w:type="character" w:styleId="IntenseReference">
    <w:name w:val="Intense Reference"/>
    <w:uiPriority w:val="32"/>
    <w:qFormat/>
    <w:rsid w:val="00F8762F"/>
    <w:rPr>
      <w:b/>
      <w:bCs/>
      <w:i/>
      <w:iCs/>
      <w:smallCaps/>
      <w:color w:val="629DD1" w:themeColor="accent2"/>
      <w:u w:color="629DD1" w:themeColor="accent2"/>
    </w:rPr>
  </w:style>
  <w:style w:type="character" w:styleId="BookTitle">
    <w:name w:val="Book Title"/>
    <w:uiPriority w:val="33"/>
    <w:qFormat/>
    <w:rsid w:val="00F8762F"/>
    <w:rPr>
      <w:rFonts w:asciiTheme="majorHAnsi" w:eastAsiaTheme="majorEastAsia" w:hAnsiTheme="majorHAnsi" w:cstheme="majorBidi"/>
      <w:b/>
      <w:bCs/>
      <w:i/>
      <w:iCs/>
      <w:smallCaps/>
      <w:color w:val="3476B1" w:themeColor="accent2" w:themeShade="BF"/>
      <w:u w:val="single"/>
    </w:rPr>
  </w:style>
  <w:style w:type="paragraph" w:customStyle="1" w:styleId="PersonalName">
    <w:name w:val="Personal Name"/>
    <w:basedOn w:val="Title"/>
    <w:rsid w:val="00F8762F"/>
    <w:rPr>
      <w:b/>
      <w:caps/>
      <w:color w:val="000000"/>
      <w:sz w:val="28"/>
      <w:szCs w:val="28"/>
    </w:rPr>
  </w:style>
  <w:style w:type="character" w:styleId="Hyperlink">
    <w:name w:val="Hyperlink"/>
    <w:basedOn w:val="DefaultParagraphFont"/>
    <w:uiPriority w:val="99"/>
    <w:unhideWhenUsed/>
    <w:rsid w:val="000A1E5F"/>
    <w:rPr>
      <w:color w:val="9454C3" w:themeColor="hyperlink"/>
      <w:u w:val="single"/>
    </w:rPr>
  </w:style>
  <w:style w:type="paragraph" w:styleId="Revision">
    <w:name w:val="Revision"/>
    <w:hidden/>
    <w:uiPriority w:val="99"/>
    <w:semiHidden/>
    <w:rsid w:val="00786204"/>
    <w:pPr>
      <w:spacing w:after="0" w:line="240" w:lineRule="auto"/>
    </w:pPr>
    <w:rPr>
      <w:i/>
      <w:iCs/>
      <w:sz w:val="20"/>
      <w:szCs w:val="20"/>
    </w:rPr>
  </w:style>
  <w:style w:type="paragraph" w:styleId="FootnoteText">
    <w:name w:val="footnote text"/>
    <w:basedOn w:val="Normal"/>
    <w:link w:val="FootnoteTextChar"/>
    <w:uiPriority w:val="99"/>
    <w:semiHidden/>
    <w:unhideWhenUsed/>
    <w:rsid w:val="003D6FEE"/>
    <w:rPr>
      <w:rFonts w:asciiTheme="minorHAnsi" w:eastAsiaTheme="minorEastAsia" w:hAnsiTheme="minorHAnsi" w:cstheme="minorBidi"/>
      <w:i/>
      <w:iCs/>
      <w:sz w:val="20"/>
      <w:szCs w:val="20"/>
      <w:lang w:eastAsia="en-US"/>
    </w:rPr>
  </w:style>
  <w:style w:type="character" w:customStyle="1" w:styleId="FootnoteTextChar">
    <w:name w:val="Footnote Text Char"/>
    <w:basedOn w:val="DefaultParagraphFont"/>
    <w:link w:val="FootnoteText"/>
    <w:uiPriority w:val="99"/>
    <w:semiHidden/>
    <w:rsid w:val="003D6FEE"/>
    <w:rPr>
      <w:i/>
      <w:iCs/>
      <w:sz w:val="20"/>
      <w:szCs w:val="20"/>
    </w:rPr>
  </w:style>
  <w:style w:type="character" w:styleId="FootnoteReference">
    <w:name w:val="footnote reference"/>
    <w:basedOn w:val="DefaultParagraphFont"/>
    <w:uiPriority w:val="99"/>
    <w:semiHidden/>
    <w:unhideWhenUsed/>
    <w:rsid w:val="003D6FEE"/>
    <w:rPr>
      <w:vertAlign w:val="superscript"/>
    </w:rPr>
  </w:style>
  <w:style w:type="paragraph" w:customStyle="1" w:styleId="StyleCorpsdetexte12ptJustifi1">
    <w:name w:val="Style Corps de texte + 12 pt Justifié1"/>
    <w:basedOn w:val="BodyText"/>
    <w:link w:val="StyleCorpsdetexte12ptJustifi1Car"/>
    <w:rsid w:val="007B2A16"/>
    <w:pPr>
      <w:spacing w:after="0" w:line="360" w:lineRule="auto"/>
    </w:pPr>
    <w:rPr>
      <w:rFonts w:ascii="Times New Roman" w:eastAsia="Times New Roman" w:hAnsi="Times New Roman" w:cs="Times New Roman"/>
      <w:i w:val="0"/>
      <w:iCs w:val="0"/>
      <w:sz w:val="24"/>
      <w:szCs w:val="24"/>
      <w:lang w:eastAsia="fr-FR"/>
    </w:rPr>
  </w:style>
  <w:style w:type="character" w:customStyle="1" w:styleId="StyleCorpsdetexte12ptJustifi1Car">
    <w:name w:val="Style Corps de texte + 12 pt Justifié1 Car"/>
    <w:link w:val="StyleCorpsdetexte12ptJustifi1"/>
    <w:rsid w:val="007B2A16"/>
    <w:rPr>
      <w:rFonts w:ascii="Times New Roman" w:eastAsia="Times New Roman" w:hAnsi="Times New Roman" w:cs="Times New Roman"/>
      <w:sz w:val="24"/>
      <w:szCs w:val="24"/>
      <w:lang w:val="en-GB" w:eastAsia="fr-FR"/>
    </w:rPr>
  </w:style>
  <w:style w:type="paragraph" w:styleId="BodyText">
    <w:name w:val="Body Text"/>
    <w:basedOn w:val="Normal"/>
    <w:link w:val="BodyTextChar"/>
    <w:uiPriority w:val="99"/>
    <w:semiHidden/>
    <w:unhideWhenUsed/>
    <w:rsid w:val="007B2A16"/>
    <w:pPr>
      <w:spacing w:after="120" w:line="288" w:lineRule="auto"/>
    </w:pPr>
    <w:rPr>
      <w:rFonts w:asciiTheme="minorHAnsi" w:eastAsiaTheme="minorEastAsia" w:hAnsiTheme="minorHAnsi" w:cstheme="minorBidi"/>
      <w:i/>
      <w:iCs/>
      <w:sz w:val="20"/>
      <w:szCs w:val="20"/>
      <w:lang w:eastAsia="en-US"/>
    </w:rPr>
  </w:style>
  <w:style w:type="character" w:customStyle="1" w:styleId="BodyTextChar">
    <w:name w:val="Body Text Char"/>
    <w:basedOn w:val="DefaultParagraphFont"/>
    <w:link w:val="BodyText"/>
    <w:uiPriority w:val="99"/>
    <w:semiHidden/>
    <w:rsid w:val="007B2A16"/>
    <w:rPr>
      <w:i/>
      <w:iCs/>
      <w:sz w:val="20"/>
      <w:szCs w:val="20"/>
    </w:rPr>
  </w:style>
  <w:style w:type="table" w:styleId="GridTable4-Accent2">
    <w:name w:val="Grid Table 4 Accent 2"/>
    <w:basedOn w:val="TableNormal"/>
    <w:uiPriority w:val="49"/>
    <w:rsid w:val="00F93BD7"/>
    <w:pPr>
      <w:spacing w:after="0" w:line="240" w:lineRule="auto"/>
    </w:pPr>
    <w:tblPr>
      <w:tblStyleRowBandSize w:val="1"/>
      <w:tblStyleColBandSize w:val="1"/>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Pr>
    <w:tblStylePr w:type="firstRow">
      <w:rPr>
        <w:b/>
        <w:bCs/>
        <w:color w:val="FFFFFF" w:themeColor="background1"/>
      </w:rPr>
      <w:tblPr/>
      <w:tcPr>
        <w:tcBorders>
          <w:top w:val="single" w:sz="4" w:space="0" w:color="629DD1" w:themeColor="accent2"/>
          <w:left w:val="single" w:sz="4" w:space="0" w:color="629DD1" w:themeColor="accent2"/>
          <w:bottom w:val="single" w:sz="4" w:space="0" w:color="629DD1" w:themeColor="accent2"/>
          <w:right w:val="single" w:sz="4" w:space="0" w:color="629DD1" w:themeColor="accent2"/>
          <w:insideH w:val="nil"/>
          <w:insideV w:val="nil"/>
        </w:tcBorders>
        <w:shd w:val="clear" w:color="auto" w:fill="629DD1" w:themeFill="accent2"/>
      </w:tcPr>
    </w:tblStylePr>
    <w:tblStylePr w:type="lastRow">
      <w:rPr>
        <w:b/>
        <w:bCs/>
      </w:rPr>
      <w:tblPr/>
      <w:tcPr>
        <w:tcBorders>
          <w:top w:val="double" w:sz="4" w:space="0" w:color="629DD1" w:themeColor="accent2"/>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character" w:styleId="CommentReference">
    <w:name w:val="annotation reference"/>
    <w:basedOn w:val="DefaultParagraphFont"/>
    <w:uiPriority w:val="99"/>
    <w:semiHidden/>
    <w:unhideWhenUsed/>
    <w:rsid w:val="002F4D8B"/>
    <w:rPr>
      <w:sz w:val="16"/>
      <w:szCs w:val="16"/>
    </w:rPr>
  </w:style>
  <w:style w:type="paragraph" w:styleId="CommentText">
    <w:name w:val="annotation text"/>
    <w:basedOn w:val="Normal"/>
    <w:link w:val="CommentTextChar"/>
    <w:uiPriority w:val="99"/>
    <w:unhideWhenUsed/>
    <w:rsid w:val="002F4D8B"/>
    <w:pPr>
      <w:spacing w:after="200"/>
    </w:pPr>
    <w:rPr>
      <w:rFonts w:asciiTheme="minorHAnsi" w:eastAsiaTheme="minorEastAsia" w:hAnsiTheme="minorHAnsi" w:cstheme="minorBidi"/>
      <w:i/>
      <w:iCs/>
      <w:sz w:val="20"/>
      <w:szCs w:val="20"/>
      <w:lang w:eastAsia="en-US"/>
    </w:rPr>
  </w:style>
  <w:style w:type="character" w:customStyle="1" w:styleId="CommentTextChar">
    <w:name w:val="Comment Text Char"/>
    <w:basedOn w:val="DefaultParagraphFont"/>
    <w:link w:val="CommentText"/>
    <w:uiPriority w:val="99"/>
    <w:rsid w:val="002F4D8B"/>
    <w:rPr>
      <w:i/>
      <w:iCs/>
      <w:sz w:val="20"/>
      <w:szCs w:val="20"/>
    </w:rPr>
  </w:style>
  <w:style w:type="paragraph" w:styleId="CommentSubject">
    <w:name w:val="annotation subject"/>
    <w:basedOn w:val="CommentText"/>
    <w:next w:val="CommentText"/>
    <w:link w:val="CommentSubjectChar"/>
    <w:uiPriority w:val="99"/>
    <w:semiHidden/>
    <w:unhideWhenUsed/>
    <w:rsid w:val="002F4D8B"/>
    <w:rPr>
      <w:b/>
      <w:bCs/>
    </w:rPr>
  </w:style>
  <w:style w:type="character" w:customStyle="1" w:styleId="CommentSubjectChar">
    <w:name w:val="Comment Subject Char"/>
    <w:basedOn w:val="CommentTextChar"/>
    <w:link w:val="CommentSubject"/>
    <w:uiPriority w:val="99"/>
    <w:semiHidden/>
    <w:rsid w:val="002F4D8B"/>
    <w:rPr>
      <w:b/>
      <w:bCs/>
      <w:i/>
      <w:iCs/>
      <w:sz w:val="20"/>
      <w:szCs w:val="20"/>
    </w:rPr>
  </w:style>
  <w:style w:type="table" w:styleId="PlainTable2">
    <w:name w:val="Plain Table 2"/>
    <w:basedOn w:val="TableNormal"/>
    <w:uiPriority w:val="42"/>
    <w:rsid w:val="009E44B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9E44B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Accent1">
    <w:name w:val="List Table 6 Colorful Accent 1"/>
    <w:basedOn w:val="TableNormal"/>
    <w:uiPriority w:val="51"/>
    <w:rsid w:val="009E44BC"/>
    <w:pPr>
      <w:spacing w:after="0" w:line="240" w:lineRule="auto"/>
    </w:pPr>
    <w:rPr>
      <w:color w:val="374C80" w:themeColor="accent1" w:themeShade="BF"/>
    </w:rPr>
    <w:tblPr>
      <w:tblStyleRowBandSize w:val="1"/>
      <w:tblStyleColBandSize w:val="1"/>
      <w:tblBorders>
        <w:top w:val="single" w:sz="4" w:space="0" w:color="4A66AC" w:themeColor="accent1"/>
        <w:bottom w:val="single" w:sz="4" w:space="0" w:color="4A66AC" w:themeColor="accent1"/>
      </w:tblBorders>
    </w:tblPr>
    <w:tblStylePr w:type="firstRow">
      <w:rPr>
        <w:b/>
        <w:bCs/>
      </w:rPr>
      <w:tblPr/>
      <w:tcPr>
        <w:tcBorders>
          <w:bottom w:val="single" w:sz="4" w:space="0" w:color="4A66AC" w:themeColor="accent1"/>
        </w:tcBorders>
      </w:tcPr>
    </w:tblStylePr>
    <w:tblStylePr w:type="lastRow">
      <w:rPr>
        <w:b/>
        <w:bCs/>
      </w:rPr>
      <w:tblPr/>
      <w:tcPr>
        <w:tcBorders>
          <w:top w:val="double" w:sz="4" w:space="0" w:color="4A66AC" w:themeColor="accent1"/>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TableGrid">
    <w:name w:val="Table Grid"/>
    <w:basedOn w:val="TableNormal"/>
    <w:uiPriority w:val="39"/>
    <w:rsid w:val="002E3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urfulAccent1">
    <w:name w:val="Grid Table 6 Colorful Accent 1"/>
    <w:basedOn w:val="TableNormal"/>
    <w:uiPriority w:val="51"/>
    <w:rsid w:val="002E3225"/>
    <w:pPr>
      <w:spacing w:after="0" w:line="240" w:lineRule="auto"/>
    </w:pPr>
    <w:rPr>
      <w:color w:val="374C80" w:themeColor="accent1" w:themeShade="BF"/>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bottom w:val="single" w:sz="12" w:space="0" w:color="90A1CF" w:themeColor="accent1" w:themeTint="99"/>
        </w:tcBorders>
      </w:tcPr>
    </w:tblStylePr>
    <w:tblStylePr w:type="lastRow">
      <w:rPr>
        <w:b/>
        <w:bCs/>
      </w:rPr>
      <w:tblPr/>
      <w:tcPr>
        <w:tcBorders>
          <w:top w:val="double" w:sz="4" w:space="0" w:color="90A1CF" w:themeColor="accent1" w:themeTint="99"/>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ListTable2-Accent1">
    <w:name w:val="List Table 2 Accent 1"/>
    <w:basedOn w:val="TableNormal"/>
    <w:uiPriority w:val="47"/>
    <w:rsid w:val="00AA2661"/>
    <w:pPr>
      <w:spacing w:after="0" w:line="240" w:lineRule="auto"/>
    </w:pPr>
    <w:tblPr>
      <w:tblStyleRowBandSize w:val="1"/>
      <w:tblStyleColBandSize w:val="1"/>
      <w:tblBorders>
        <w:top w:val="single" w:sz="4" w:space="0" w:color="90A1CF" w:themeColor="accent1" w:themeTint="99"/>
        <w:bottom w:val="single" w:sz="4" w:space="0" w:color="90A1CF" w:themeColor="accent1" w:themeTint="99"/>
        <w:insideH w:val="single" w:sz="4" w:space="0" w:color="90A1C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27152">
      <w:bodyDiv w:val="1"/>
      <w:marLeft w:val="0"/>
      <w:marRight w:val="0"/>
      <w:marTop w:val="0"/>
      <w:marBottom w:val="0"/>
      <w:divBdr>
        <w:top w:val="none" w:sz="0" w:space="0" w:color="auto"/>
        <w:left w:val="none" w:sz="0" w:space="0" w:color="auto"/>
        <w:bottom w:val="none" w:sz="0" w:space="0" w:color="auto"/>
        <w:right w:val="none" w:sz="0" w:space="0" w:color="auto"/>
      </w:divBdr>
    </w:div>
    <w:div w:id="296762914">
      <w:bodyDiv w:val="1"/>
      <w:marLeft w:val="0"/>
      <w:marRight w:val="0"/>
      <w:marTop w:val="0"/>
      <w:marBottom w:val="0"/>
      <w:divBdr>
        <w:top w:val="none" w:sz="0" w:space="0" w:color="auto"/>
        <w:left w:val="none" w:sz="0" w:space="0" w:color="auto"/>
        <w:bottom w:val="none" w:sz="0" w:space="0" w:color="auto"/>
        <w:right w:val="none" w:sz="0" w:space="0" w:color="auto"/>
      </w:divBdr>
    </w:div>
    <w:div w:id="420101405">
      <w:bodyDiv w:val="1"/>
      <w:marLeft w:val="0"/>
      <w:marRight w:val="0"/>
      <w:marTop w:val="0"/>
      <w:marBottom w:val="0"/>
      <w:divBdr>
        <w:top w:val="none" w:sz="0" w:space="0" w:color="auto"/>
        <w:left w:val="none" w:sz="0" w:space="0" w:color="auto"/>
        <w:bottom w:val="none" w:sz="0" w:space="0" w:color="auto"/>
        <w:right w:val="none" w:sz="0" w:space="0" w:color="auto"/>
      </w:divBdr>
    </w:div>
    <w:div w:id="521356061">
      <w:bodyDiv w:val="1"/>
      <w:marLeft w:val="0"/>
      <w:marRight w:val="0"/>
      <w:marTop w:val="0"/>
      <w:marBottom w:val="0"/>
      <w:divBdr>
        <w:top w:val="none" w:sz="0" w:space="0" w:color="auto"/>
        <w:left w:val="none" w:sz="0" w:space="0" w:color="auto"/>
        <w:bottom w:val="none" w:sz="0" w:space="0" w:color="auto"/>
        <w:right w:val="none" w:sz="0" w:space="0" w:color="auto"/>
      </w:divBdr>
    </w:div>
    <w:div w:id="593320935">
      <w:bodyDiv w:val="1"/>
      <w:marLeft w:val="0"/>
      <w:marRight w:val="0"/>
      <w:marTop w:val="0"/>
      <w:marBottom w:val="0"/>
      <w:divBdr>
        <w:top w:val="none" w:sz="0" w:space="0" w:color="auto"/>
        <w:left w:val="none" w:sz="0" w:space="0" w:color="auto"/>
        <w:bottom w:val="none" w:sz="0" w:space="0" w:color="auto"/>
        <w:right w:val="none" w:sz="0" w:space="0" w:color="auto"/>
      </w:divBdr>
    </w:div>
    <w:div w:id="616452539">
      <w:bodyDiv w:val="1"/>
      <w:marLeft w:val="0"/>
      <w:marRight w:val="0"/>
      <w:marTop w:val="0"/>
      <w:marBottom w:val="0"/>
      <w:divBdr>
        <w:top w:val="none" w:sz="0" w:space="0" w:color="auto"/>
        <w:left w:val="none" w:sz="0" w:space="0" w:color="auto"/>
        <w:bottom w:val="none" w:sz="0" w:space="0" w:color="auto"/>
        <w:right w:val="none" w:sz="0" w:space="0" w:color="auto"/>
      </w:divBdr>
    </w:div>
    <w:div w:id="972172711">
      <w:bodyDiv w:val="1"/>
      <w:marLeft w:val="0"/>
      <w:marRight w:val="0"/>
      <w:marTop w:val="0"/>
      <w:marBottom w:val="0"/>
      <w:divBdr>
        <w:top w:val="none" w:sz="0" w:space="0" w:color="auto"/>
        <w:left w:val="none" w:sz="0" w:space="0" w:color="auto"/>
        <w:bottom w:val="none" w:sz="0" w:space="0" w:color="auto"/>
        <w:right w:val="none" w:sz="0" w:space="0" w:color="auto"/>
      </w:divBdr>
    </w:div>
    <w:div w:id="1262452296">
      <w:bodyDiv w:val="1"/>
      <w:marLeft w:val="0"/>
      <w:marRight w:val="0"/>
      <w:marTop w:val="0"/>
      <w:marBottom w:val="0"/>
      <w:divBdr>
        <w:top w:val="none" w:sz="0" w:space="0" w:color="auto"/>
        <w:left w:val="none" w:sz="0" w:space="0" w:color="auto"/>
        <w:bottom w:val="none" w:sz="0" w:space="0" w:color="auto"/>
        <w:right w:val="none" w:sz="0" w:space="0" w:color="auto"/>
      </w:divBdr>
    </w:div>
    <w:div w:id="147221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09" ma:contentTypeDescription="Gavi Document content type " ma:contentTypeScope="" ma:versionID="8abffd65a2549209876088ff7f5b6b5c">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5971584af17f91b453a11c9380367a38"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3cb0222-e980-4273-ad97-85dba3159c09" ContentTypeId="0x0101009954897F3EE3CC4ABB9FB9EDAC9CDEBC"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_dlc_DocId xmlns="55894003-98dc-4f3e-8669-85b90bdbcc8c">GAVI-438364776-1058202</_dlc_DocId>
    <_dlc_DocIdUrl xmlns="55894003-98dc-4f3e-8669-85b90bdbcc8c">
      <Url>https://gavinet.sharepoint.com/teams/PAP/srp/_layouts/15/DocIdRedir.aspx?ID=GAVI-438364776-1058202</Url>
      <Description>GAVI-438364776-1058202</Description>
    </_dlc_DocIdUrl>
    <lcf76f155ced4ddcb4097134ff3c332f xmlns="5c2490db-6e42-4989-a0fb-d6ff54a6a7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AFEDF7-0B40-4E4F-9262-9EA283A11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06217-df7c-4bf4-936d-b09aa3b837af"/>
    <ds:schemaRef ds:uri="55894003-98dc-4f3e-8669-85b90bdbcc8c"/>
    <ds:schemaRef ds:uri="5c2490db-6e42-4989-a0fb-d6ff54a6a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0FC893-99B7-43D3-8A94-64FFA2C02395}">
  <ds:schemaRefs>
    <ds:schemaRef ds:uri="Microsoft.SharePoint.Taxonomy.ContentTypeSync"/>
  </ds:schemaRefs>
</ds:datastoreItem>
</file>

<file path=customXml/itemProps3.xml><?xml version="1.0" encoding="utf-8"?>
<ds:datastoreItem xmlns:ds="http://schemas.openxmlformats.org/officeDocument/2006/customXml" ds:itemID="{828CAE40-B11F-4561-8593-DCE07A113F7F}">
  <ds:schemaRefs>
    <ds:schemaRef ds:uri="http://schemas.microsoft.com/sharepoint/v3/contenttype/forms"/>
  </ds:schemaRefs>
</ds:datastoreItem>
</file>

<file path=customXml/itemProps4.xml><?xml version="1.0" encoding="utf-8"?>
<ds:datastoreItem xmlns:ds="http://schemas.openxmlformats.org/officeDocument/2006/customXml" ds:itemID="{D573E915-0B5B-49D4-A807-D46DF2C52946}">
  <ds:schemaRefs>
    <ds:schemaRef ds:uri="http://schemas.microsoft.com/sharepoint/events"/>
  </ds:schemaRefs>
</ds:datastoreItem>
</file>

<file path=customXml/itemProps5.xml><?xml version="1.0" encoding="utf-8"?>
<ds:datastoreItem xmlns:ds="http://schemas.openxmlformats.org/officeDocument/2006/customXml" ds:itemID="{D43FADF1-C257-464A-BDEA-3F7A1A806D21}">
  <ds:schemaRefs>
    <ds:schemaRef ds:uri="http://schemas.openxmlformats.org/officeDocument/2006/bibliography"/>
  </ds:schemaRefs>
</ds:datastoreItem>
</file>

<file path=customXml/itemProps6.xml><?xml version="1.0" encoding="utf-8"?>
<ds:datastoreItem xmlns:ds="http://schemas.openxmlformats.org/officeDocument/2006/customXml" ds:itemID="{C7C6A5CC-DBFB-4485-B0E8-496FEE7F435E}">
  <ds:schemaRefs>
    <ds:schemaRef ds:uri="http://schemas.microsoft.com/office/2006/metadata/properties"/>
    <ds:schemaRef ds:uri="http://schemas.microsoft.com/office/infopath/2007/PartnerControls"/>
    <ds:schemaRef ds:uri="d0706217-df7c-4bf4-936d-b09aa3b837af"/>
    <ds:schemaRef ds:uri="a0d399e1-4586-4335-9383-7d9098bfc9ba"/>
    <ds:schemaRef ds:uri="700359ba-e36c-422a-9925-ddada98091a9"/>
    <ds:schemaRef ds:uri="998dc545-0596-47bf-b914-7a05e078b45d"/>
    <ds:schemaRef ds:uri="55894003-98dc-4f3e-8669-85b90bdbcc8c"/>
    <ds:schemaRef ds:uri="5c2490db-6e42-4989-a0fb-d6ff54a6a7d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3335</Words>
  <Characters>19011</Characters>
  <Application>Microsoft Office Word</Application>
  <DocSecurity>0</DocSecurity>
  <Lines>158</Lines>
  <Paragraphs>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22302</CharactersWithSpaces>
  <SharedDoc>false</SharedDoc>
  <HLinks>
    <vt:vector size="138" baseType="variant">
      <vt:variant>
        <vt:i4>1900600</vt:i4>
      </vt:variant>
      <vt:variant>
        <vt:i4>134</vt:i4>
      </vt:variant>
      <vt:variant>
        <vt:i4>0</vt:i4>
      </vt:variant>
      <vt:variant>
        <vt:i4>5</vt:i4>
      </vt:variant>
      <vt:variant>
        <vt:lpwstr/>
      </vt:variant>
      <vt:variant>
        <vt:lpwstr>_Toc97130907</vt:lpwstr>
      </vt:variant>
      <vt:variant>
        <vt:i4>1835064</vt:i4>
      </vt:variant>
      <vt:variant>
        <vt:i4>128</vt:i4>
      </vt:variant>
      <vt:variant>
        <vt:i4>0</vt:i4>
      </vt:variant>
      <vt:variant>
        <vt:i4>5</vt:i4>
      </vt:variant>
      <vt:variant>
        <vt:lpwstr/>
      </vt:variant>
      <vt:variant>
        <vt:lpwstr>_Toc97130906</vt:lpwstr>
      </vt:variant>
      <vt:variant>
        <vt:i4>2031672</vt:i4>
      </vt:variant>
      <vt:variant>
        <vt:i4>122</vt:i4>
      </vt:variant>
      <vt:variant>
        <vt:i4>0</vt:i4>
      </vt:variant>
      <vt:variant>
        <vt:i4>5</vt:i4>
      </vt:variant>
      <vt:variant>
        <vt:lpwstr/>
      </vt:variant>
      <vt:variant>
        <vt:lpwstr>_Toc97130905</vt:lpwstr>
      </vt:variant>
      <vt:variant>
        <vt:i4>1966136</vt:i4>
      </vt:variant>
      <vt:variant>
        <vt:i4>116</vt:i4>
      </vt:variant>
      <vt:variant>
        <vt:i4>0</vt:i4>
      </vt:variant>
      <vt:variant>
        <vt:i4>5</vt:i4>
      </vt:variant>
      <vt:variant>
        <vt:lpwstr/>
      </vt:variant>
      <vt:variant>
        <vt:lpwstr>_Toc97130904</vt:lpwstr>
      </vt:variant>
      <vt:variant>
        <vt:i4>1638456</vt:i4>
      </vt:variant>
      <vt:variant>
        <vt:i4>110</vt:i4>
      </vt:variant>
      <vt:variant>
        <vt:i4>0</vt:i4>
      </vt:variant>
      <vt:variant>
        <vt:i4>5</vt:i4>
      </vt:variant>
      <vt:variant>
        <vt:lpwstr/>
      </vt:variant>
      <vt:variant>
        <vt:lpwstr>_Toc97130903</vt:lpwstr>
      </vt:variant>
      <vt:variant>
        <vt:i4>1572920</vt:i4>
      </vt:variant>
      <vt:variant>
        <vt:i4>104</vt:i4>
      </vt:variant>
      <vt:variant>
        <vt:i4>0</vt:i4>
      </vt:variant>
      <vt:variant>
        <vt:i4>5</vt:i4>
      </vt:variant>
      <vt:variant>
        <vt:lpwstr/>
      </vt:variant>
      <vt:variant>
        <vt:lpwstr>_Toc97130902</vt:lpwstr>
      </vt:variant>
      <vt:variant>
        <vt:i4>1769528</vt:i4>
      </vt:variant>
      <vt:variant>
        <vt:i4>98</vt:i4>
      </vt:variant>
      <vt:variant>
        <vt:i4>0</vt:i4>
      </vt:variant>
      <vt:variant>
        <vt:i4>5</vt:i4>
      </vt:variant>
      <vt:variant>
        <vt:lpwstr/>
      </vt:variant>
      <vt:variant>
        <vt:lpwstr>_Toc97130901</vt:lpwstr>
      </vt:variant>
      <vt:variant>
        <vt:i4>1703992</vt:i4>
      </vt:variant>
      <vt:variant>
        <vt:i4>92</vt:i4>
      </vt:variant>
      <vt:variant>
        <vt:i4>0</vt:i4>
      </vt:variant>
      <vt:variant>
        <vt:i4>5</vt:i4>
      </vt:variant>
      <vt:variant>
        <vt:lpwstr/>
      </vt:variant>
      <vt:variant>
        <vt:lpwstr>_Toc97130900</vt:lpwstr>
      </vt:variant>
      <vt:variant>
        <vt:i4>1179697</vt:i4>
      </vt:variant>
      <vt:variant>
        <vt:i4>86</vt:i4>
      </vt:variant>
      <vt:variant>
        <vt:i4>0</vt:i4>
      </vt:variant>
      <vt:variant>
        <vt:i4>5</vt:i4>
      </vt:variant>
      <vt:variant>
        <vt:lpwstr/>
      </vt:variant>
      <vt:variant>
        <vt:lpwstr>_Toc97130899</vt:lpwstr>
      </vt:variant>
      <vt:variant>
        <vt:i4>1245233</vt:i4>
      </vt:variant>
      <vt:variant>
        <vt:i4>80</vt:i4>
      </vt:variant>
      <vt:variant>
        <vt:i4>0</vt:i4>
      </vt:variant>
      <vt:variant>
        <vt:i4>5</vt:i4>
      </vt:variant>
      <vt:variant>
        <vt:lpwstr/>
      </vt:variant>
      <vt:variant>
        <vt:lpwstr>_Toc97130898</vt:lpwstr>
      </vt:variant>
      <vt:variant>
        <vt:i4>1835057</vt:i4>
      </vt:variant>
      <vt:variant>
        <vt:i4>74</vt:i4>
      </vt:variant>
      <vt:variant>
        <vt:i4>0</vt:i4>
      </vt:variant>
      <vt:variant>
        <vt:i4>5</vt:i4>
      </vt:variant>
      <vt:variant>
        <vt:lpwstr/>
      </vt:variant>
      <vt:variant>
        <vt:lpwstr>_Toc97130897</vt:lpwstr>
      </vt:variant>
      <vt:variant>
        <vt:i4>1900593</vt:i4>
      </vt:variant>
      <vt:variant>
        <vt:i4>68</vt:i4>
      </vt:variant>
      <vt:variant>
        <vt:i4>0</vt:i4>
      </vt:variant>
      <vt:variant>
        <vt:i4>5</vt:i4>
      </vt:variant>
      <vt:variant>
        <vt:lpwstr/>
      </vt:variant>
      <vt:variant>
        <vt:lpwstr>_Toc97130896</vt:lpwstr>
      </vt:variant>
      <vt:variant>
        <vt:i4>1966129</vt:i4>
      </vt:variant>
      <vt:variant>
        <vt:i4>62</vt:i4>
      </vt:variant>
      <vt:variant>
        <vt:i4>0</vt:i4>
      </vt:variant>
      <vt:variant>
        <vt:i4>5</vt:i4>
      </vt:variant>
      <vt:variant>
        <vt:lpwstr/>
      </vt:variant>
      <vt:variant>
        <vt:lpwstr>_Toc97130895</vt:lpwstr>
      </vt:variant>
      <vt:variant>
        <vt:i4>2031665</vt:i4>
      </vt:variant>
      <vt:variant>
        <vt:i4>56</vt:i4>
      </vt:variant>
      <vt:variant>
        <vt:i4>0</vt:i4>
      </vt:variant>
      <vt:variant>
        <vt:i4>5</vt:i4>
      </vt:variant>
      <vt:variant>
        <vt:lpwstr/>
      </vt:variant>
      <vt:variant>
        <vt:lpwstr>_Toc97130894</vt:lpwstr>
      </vt:variant>
      <vt:variant>
        <vt:i4>1572913</vt:i4>
      </vt:variant>
      <vt:variant>
        <vt:i4>50</vt:i4>
      </vt:variant>
      <vt:variant>
        <vt:i4>0</vt:i4>
      </vt:variant>
      <vt:variant>
        <vt:i4>5</vt:i4>
      </vt:variant>
      <vt:variant>
        <vt:lpwstr/>
      </vt:variant>
      <vt:variant>
        <vt:lpwstr>_Toc97130893</vt:lpwstr>
      </vt:variant>
      <vt:variant>
        <vt:i4>1638449</vt:i4>
      </vt:variant>
      <vt:variant>
        <vt:i4>44</vt:i4>
      </vt:variant>
      <vt:variant>
        <vt:i4>0</vt:i4>
      </vt:variant>
      <vt:variant>
        <vt:i4>5</vt:i4>
      </vt:variant>
      <vt:variant>
        <vt:lpwstr/>
      </vt:variant>
      <vt:variant>
        <vt:lpwstr>_Toc97130892</vt:lpwstr>
      </vt:variant>
      <vt:variant>
        <vt:i4>1703985</vt:i4>
      </vt:variant>
      <vt:variant>
        <vt:i4>38</vt:i4>
      </vt:variant>
      <vt:variant>
        <vt:i4>0</vt:i4>
      </vt:variant>
      <vt:variant>
        <vt:i4>5</vt:i4>
      </vt:variant>
      <vt:variant>
        <vt:lpwstr/>
      </vt:variant>
      <vt:variant>
        <vt:lpwstr>_Toc97130891</vt:lpwstr>
      </vt:variant>
      <vt:variant>
        <vt:i4>1769521</vt:i4>
      </vt:variant>
      <vt:variant>
        <vt:i4>32</vt:i4>
      </vt:variant>
      <vt:variant>
        <vt:i4>0</vt:i4>
      </vt:variant>
      <vt:variant>
        <vt:i4>5</vt:i4>
      </vt:variant>
      <vt:variant>
        <vt:lpwstr/>
      </vt:variant>
      <vt:variant>
        <vt:lpwstr>_Toc97130890</vt:lpwstr>
      </vt:variant>
      <vt:variant>
        <vt:i4>1179696</vt:i4>
      </vt:variant>
      <vt:variant>
        <vt:i4>26</vt:i4>
      </vt:variant>
      <vt:variant>
        <vt:i4>0</vt:i4>
      </vt:variant>
      <vt:variant>
        <vt:i4>5</vt:i4>
      </vt:variant>
      <vt:variant>
        <vt:lpwstr/>
      </vt:variant>
      <vt:variant>
        <vt:lpwstr>_Toc97130889</vt:lpwstr>
      </vt:variant>
      <vt:variant>
        <vt:i4>1245232</vt:i4>
      </vt:variant>
      <vt:variant>
        <vt:i4>20</vt:i4>
      </vt:variant>
      <vt:variant>
        <vt:i4>0</vt:i4>
      </vt:variant>
      <vt:variant>
        <vt:i4>5</vt:i4>
      </vt:variant>
      <vt:variant>
        <vt:lpwstr/>
      </vt:variant>
      <vt:variant>
        <vt:lpwstr>_Toc97130888</vt:lpwstr>
      </vt:variant>
      <vt:variant>
        <vt:i4>1835056</vt:i4>
      </vt:variant>
      <vt:variant>
        <vt:i4>14</vt:i4>
      </vt:variant>
      <vt:variant>
        <vt:i4>0</vt:i4>
      </vt:variant>
      <vt:variant>
        <vt:i4>5</vt:i4>
      </vt:variant>
      <vt:variant>
        <vt:lpwstr/>
      </vt:variant>
      <vt:variant>
        <vt:lpwstr>_Toc97130887</vt:lpwstr>
      </vt:variant>
      <vt:variant>
        <vt:i4>1900592</vt:i4>
      </vt:variant>
      <vt:variant>
        <vt:i4>8</vt:i4>
      </vt:variant>
      <vt:variant>
        <vt:i4>0</vt:i4>
      </vt:variant>
      <vt:variant>
        <vt:i4>5</vt:i4>
      </vt:variant>
      <vt:variant>
        <vt:lpwstr/>
      </vt:variant>
      <vt:variant>
        <vt:lpwstr>_Toc97130886</vt:lpwstr>
      </vt:variant>
      <vt:variant>
        <vt:i4>1966128</vt:i4>
      </vt:variant>
      <vt:variant>
        <vt:i4>2</vt:i4>
      </vt:variant>
      <vt:variant>
        <vt:i4>0</vt:i4>
      </vt:variant>
      <vt:variant>
        <vt:i4>5</vt:i4>
      </vt:variant>
      <vt:variant>
        <vt:lpwstr/>
      </vt:variant>
      <vt:variant>
        <vt:lpwstr>_Toc97130885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TCHOKFE NDOULA Shalom</dc:creator>
  <cp:keywords/>
  <dc:description/>
  <cp:lastModifiedBy>Anna Waldenström (Consultant)</cp:lastModifiedBy>
  <cp:revision>2</cp:revision>
  <dcterms:created xsi:type="dcterms:W3CDTF">2023-04-21T10:19:00Z</dcterms:created>
  <dcterms:modified xsi:type="dcterms:W3CDTF">2023-04-21T10:19:00Z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0x0101009954897F3EE3CC4ABB9FB9EDAC9CDEBC0061E92A44B5DD2545AEF000129C25E859</vt:lpwstr>
  </property>
  <property fmtid="{D5CDD505-2E9C-101B-9397-08002B2CF9AE}" pid="3" name="_dlc_DocIdItemGuid">
    <vt:lpwstr>95eb6a25-9a25-4fbe-935c-1d0e4f59aee7</vt:lpwstr>
  </property>
  <property fmtid="{D5CDD505-2E9C-101B-9397-08002B2CF9AE}" pid="4" name="MSIP_Label_0a957285-7815-485a-9751-5b273b784ad5_Enabled">
    <vt:lpwstr>true</vt:lpwstr>
  </property>
  <property fmtid="{D5CDD505-2E9C-101B-9397-08002B2CF9AE}" pid="5" name="MSIP_Label_0a957285-7815-485a-9751-5b273b784ad5_SetDate">
    <vt:lpwstr>2022-03-03T19:27:39Z</vt:lpwstr>
  </property>
  <property fmtid="{D5CDD505-2E9C-101B-9397-08002B2CF9AE}" pid="6" name="MSIP_Label_0a957285-7815-485a-9751-5b273b784ad5_Method">
    <vt:lpwstr>Privileged</vt:lpwstr>
  </property>
  <property fmtid="{D5CDD505-2E9C-101B-9397-08002B2CF9AE}" pid="7" name="MSIP_Label_0a957285-7815-485a-9751-5b273b784ad5_Name">
    <vt:lpwstr>0a957285-7815-485a-9751-5b273b784ad5</vt:lpwstr>
  </property>
  <property fmtid="{D5CDD505-2E9C-101B-9397-08002B2CF9AE}" pid="8" name="MSIP_Label_0a957285-7815-485a-9751-5b273b784ad5_SiteId">
    <vt:lpwstr>1de6d9f3-0daf-4df6-b9d6-5959f16f6118</vt:lpwstr>
  </property>
  <property fmtid="{D5CDD505-2E9C-101B-9397-08002B2CF9AE}" pid="9" name="MSIP_Label_0a957285-7815-485a-9751-5b273b784ad5_ActionId">
    <vt:lpwstr>7e6a5636-721f-4163-b6f6-e4d1737aeab7</vt:lpwstr>
  </property>
  <property fmtid="{D5CDD505-2E9C-101B-9397-08002B2CF9AE}" pid="10" name="MSIP_Label_0a957285-7815-485a-9751-5b273b784ad5_ContentBits">
    <vt:lpwstr>0</vt:lpwstr>
  </property>
  <property fmtid="{D5CDD505-2E9C-101B-9397-08002B2CF9AE}" pid="11" name="MediaServiceImageTags">
    <vt:lpwstr/>
  </property>
  <property fmtid="{D5CDD505-2E9C-101B-9397-08002B2CF9AE}" pid="12" name="Health">
    <vt:lpwstr/>
  </property>
  <property fmtid="{D5CDD505-2E9C-101B-9397-08002B2CF9AE}" pid="13" name="kfa83adfad8641678ddaedda80d7e126">
    <vt:lpwstr/>
  </property>
  <property fmtid="{D5CDD505-2E9C-101B-9397-08002B2CF9AE}" pid="14" name="Test">
    <vt:lpwstr/>
  </property>
</Properties>
</file>